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AECFF" w14:textId="77777777" w:rsidR="001D4DC0" w:rsidRDefault="00000000">
      <w:pPr>
        <w:spacing w:before="200" w:after="200"/>
        <w:jc w:val="center"/>
      </w:pPr>
      <w:r>
        <w:rPr>
          <w:noProof/>
        </w:rPr>
        <w:drawing>
          <wp:inline distT="114300" distB="114300" distL="114300" distR="114300" wp14:anchorId="3486B5C0" wp14:editId="2EF74CCF">
            <wp:extent cx="2425700" cy="1028700"/>
            <wp:effectExtent l="0" t="0" r="0" b="0"/>
            <wp:docPr id="6" name="image6.gif"/>
            <wp:cNvGraphicFramePr/>
            <a:graphic xmlns:a="http://schemas.openxmlformats.org/drawingml/2006/main">
              <a:graphicData uri="http://schemas.openxmlformats.org/drawingml/2006/picture">
                <pic:pic xmlns:pic="http://schemas.openxmlformats.org/drawingml/2006/picture">
                  <pic:nvPicPr>
                    <pic:cNvPr id="6" name="image6.gif"/>
                    <pic:cNvPicPr preferRelativeResize="0"/>
                  </pic:nvPicPr>
                  <pic:blipFill>
                    <a:blip r:embed="rId7"/>
                    <a:srcRect/>
                    <a:stretch>
                      <a:fillRect/>
                    </a:stretch>
                  </pic:blipFill>
                  <pic:spPr>
                    <a:xfrm>
                      <a:off x="0" y="0"/>
                      <a:ext cx="2425700" cy="1028700"/>
                    </a:xfrm>
                    <a:prstGeom prst="rect">
                      <a:avLst/>
                    </a:prstGeom>
                  </pic:spPr>
                </pic:pic>
              </a:graphicData>
            </a:graphic>
          </wp:inline>
        </w:drawing>
      </w:r>
    </w:p>
    <w:p w14:paraId="7202C654" w14:textId="77777777" w:rsidR="001D4DC0" w:rsidRDefault="001D4DC0">
      <w:pPr>
        <w:spacing w:before="200" w:after="200"/>
        <w:jc w:val="center"/>
        <w:rPr>
          <w:b/>
          <w:bCs/>
          <w:sz w:val="28"/>
          <w:szCs w:val="28"/>
        </w:rPr>
      </w:pPr>
    </w:p>
    <w:p w14:paraId="6F7F8098" w14:textId="77777777" w:rsidR="001D4DC0" w:rsidRDefault="001D4DC0">
      <w:pPr>
        <w:spacing w:before="200" w:after="200"/>
        <w:jc w:val="center"/>
        <w:rPr>
          <w:b/>
          <w:bCs/>
          <w:sz w:val="28"/>
          <w:szCs w:val="28"/>
        </w:rPr>
      </w:pPr>
    </w:p>
    <w:p w14:paraId="09753FA2" w14:textId="77777777" w:rsidR="001D4DC0" w:rsidRDefault="001D4DC0">
      <w:pPr>
        <w:spacing w:before="200" w:after="200"/>
        <w:jc w:val="center"/>
        <w:rPr>
          <w:b/>
          <w:bCs/>
          <w:sz w:val="28"/>
          <w:szCs w:val="28"/>
        </w:rPr>
      </w:pPr>
    </w:p>
    <w:p w14:paraId="7216D96E" w14:textId="77777777" w:rsidR="001D4DC0" w:rsidRDefault="00000000">
      <w:pPr>
        <w:spacing w:before="200" w:after="200"/>
        <w:jc w:val="center"/>
        <w:rPr>
          <w:b/>
          <w:bCs/>
          <w:sz w:val="28"/>
          <w:szCs w:val="28"/>
        </w:rPr>
      </w:pPr>
      <w:r>
        <w:rPr>
          <w:b/>
          <w:bCs/>
          <w:sz w:val="28"/>
          <w:szCs w:val="28"/>
        </w:rPr>
        <w:t>Programme: BA (Hons) Hospitality &amp; Hotel Management</w:t>
      </w:r>
    </w:p>
    <w:p w14:paraId="71A037E9" w14:textId="77777777" w:rsidR="001D4DC0" w:rsidRDefault="00000000">
      <w:pPr>
        <w:spacing w:before="200" w:after="200"/>
        <w:jc w:val="center"/>
        <w:rPr>
          <w:b/>
          <w:bCs/>
          <w:sz w:val="28"/>
          <w:szCs w:val="28"/>
        </w:rPr>
      </w:pPr>
      <w:r>
        <w:rPr>
          <w:b/>
          <w:bCs/>
          <w:sz w:val="28"/>
          <w:szCs w:val="28"/>
        </w:rPr>
        <w:t>Module: Contemporary Themes in the Hotel and Hospitality Sector</w:t>
      </w:r>
    </w:p>
    <w:p w14:paraId="2A8DD5AA" w14:textId="77777777" w:rsidR="001D4DC0" w:rsidRDefault="00000000">
      <w:pPr>
        <w:spacing w:before="200" w:after="200"/>
        <w:jc w:val="center"/>
        <w:rPr>
          <w:b/>
          <w:bCs/>
          <w:sz w:val="28"/>
          <w:szCs w:val="28"/>
        </w:rPr>
      </w:pPr>
      <w:r>
        <w:rPr>
          <w:b/>
          <w:bCs/>
          <w:sz w:val="28"/>
          <w:szCs w:val="28"/>
        </w:rPr>
        <w:t>Module code: BMIH6001</w:t>
      </w:r>
    </w:p>
    <w:p w14:paraId="1E4AA384" w14:textId="77777777" w:rsidR="001D4DC0" w:rsidRDefault="00000000">
      <w:pPr>
        <w:spacing w:before="200" w:after="200"/>
        <w:jc w:val="center"/>
        <w:rPr>
          <w:b/>
          <w:bCs/>
          <w:sz w:val="28"/>
          <w:szCs w:val="28"/>
        </w:rPr>
      </w:pPr>
      <w:r>
        <w:rPr>
          <w:b/>
          <w:bCs/>
          <w:sz w:val="28"/>
          <w:szCs w:val="28"/>
        </w:rPr>
        <w:t>Level 6</w:t>
      </w:r>
    </w:p>
    <w:p w14:paraId="306FC0BE" w14:textId="34AC430E" w:rsidR="001D4DC0" w:rsidRDefault="00000000">
      <w:pPr>
        <w:spacing w:before="200" w:after="200"/>
        <w:jc w:val="center"/>
        <w:rPr>
          <w:b/>
          <w:bCs/>
          <w:sz w:val="28"/>
          <w:szCs w:val="28"/>
        </w:rPr>
      </w:pPr>
      <w:r>
        <w:rPr>
          <w:b/>
          <w:bCs/>
          <w:sz w:val="28"/>
          <w:szCs w:val="28"/>
        </w:rPr>
        <w:t xml:space="preserve"> Title: Conference Research Paper</w:t>
      </w:r>
    </w:p>
    <w:p w14:paraId="4A41FEEE" w14:textId="501AB955" w:rsidR="001D4DC0" w:rsidRDefault="00000000">
      <w:pPr>
        <w:spacing w:before="200" w:after="200"/>
        <w:jc w:val="center"/>
        <w:rPr>
          <w:b/>
          <w:bCs/>
          <w:sz w:val="28"/>
          <w:szCs w:val="28"/>
        </w:rPr>
      </w:pPr>
      <w:r>
        <w:rPr>
          <w:b/>
          <w:bCs/>
          <w:sz w:val="28"/>
          <w:szCs w:val="28"/>
        </w:rPr>
        <w:t>Theme: The deepening mental health crisis in the Hospitality industry</w:t>
      </w:r>
    </w:p>
    <w:p w14:paraId="60DDDC5B" w14:textId="6A77B4D0" w:rsidR="001D4DC0" w:rsidRDefault="00000000">
      <w:pPr>
        <w:spacing w:before="200" w:after="200"/>
        <w:jc w:val="center"/>
        <w:rPr>
          <w:b/>
          <w:bCs/>
          <w:sz w:val="28"/>
          <w:szCs w:val="28"/>
        </w:rPr>
      </w:pPr>
      <w:r>
        <w:rPr>
          <w:b/>
          <w:bCs/>
          <w:sz w:val="28"/>
          <w:szCs w:val="28"/>
        </w:rPr>
        <w:t>Student Name: Catalina I</w:t>
      </w:r>
      <w:r w:rsidR="00864D33">
        <w:rPr>
          <w:b/>
          <w:bCs/>
          <w:sz w:val="28"/>
          <w:szCs w:val="28"/>
        </w:rPr>
        <w:t>a</w:t>
      </w:r>
      <w:r>
        <w:rPr>
          <w:b/>
          <w:bCs/>
          <w:sz w:val="28"/>
          <w:szCs w:val="28"/>
        </w:rPr>
        <w:t>nos</w:t>
      </w:r>
    </w:p>
    <w:p w14:paraId="29F4C0CB" w14:textId="5300A8FA" w:rsidR="00B1682A" w:rsidRDefault="00B1682A">
      <w:pPr>
        <w:spacing w:before="200" w:after="200"/>
        <w:jc w:val="center"/>
        <w:rPr>
          <w:b/>
          <w:bCs/>
          <w:sz w:val="28"/>
          <w:szCs w:val="28"/>
        </w:rPr>
      </w:pPr>
      <w:r>
        <w:rPr>
          <w:b/>
          <w:bCs/>
          <w:sz w:val="28"/>
          <w:szCs w:val="28"/>
        </w:rPr>
        <w:t>Student id:2232322</w:t>
      </w:r>
    </w:p>
    <w:p w14:paraId="630FEBFB" w14:textId="77777777" w:rsidR="001D4DC0" w:rsidRDefault="00000000">
      <w:pPr>
        <w:spacing w:before="200" w:after="200"/>
        <w:jc w:val="center"/>
        <w:rPr>
          <w:b/>
          <w:bCs/>
          <w:sz w:val="28"/>
          <w:szCs w:val="28"/>
        </w:rPr>
      </w:pPr>
      <w:r>
        <w:rPr>
          <w:b/>
          <w:bCs/>
          <w:sz w:val="28"/>
          <w:szCs w:val="28"/>
        </w:rPr>
        <w:t xml:space="preserve">Topic: To critically examine the relationship between work intensity and burnout among frontline hospitality employees: A Case study of Hotel Novotel Birmingham city centre  </w:t>
      </w:r>
    </w:p>
    <w:p w14:paraId="74DCD7F8" w14:textId="77777777" w:rsidR="001D4DC0" w:rsidRDefault="00000000">
      <w:pPr>
        <w:spacing w:before="200" w:after="200"/>
        <w:jc w:val="center"/>
        <w:rPr>
          <w:b/>
          <w:bCs/>
        </w:rPr>
      </w:pPr>
      <w:r>
        <w:br w:type="page"/>
      </w:r>
      <w:r>
        <w:rPr>
          <w:b/>
          <w:bCs/>
        </w:rPr>
        <w:lastRenderedPageBreak/>
        <w:t>Declaration</w:t>
      </w:r>
    </w:p>
    <w:p w14:paraId="5756327D" w14:textId="77777777" w:rsidR="001D4DC0" w:rsidRDefault="00000000">
      <w:pPr>
        <w:spacing w:before="200" w:after="200"/>
        <w:rPr>
          <w:b/>
          <w:bCs/>
        </w:rPr>
      </w:pPr>
      <w:r>
        <w:rPr>
          <w:highlight w:val="white"/>
        </w:rPr>
        <w:t>I declare that the research project is original and entirely written by me. All information sources have been mentioned and referenced properly in accordance with the academic integrity and plagiarism policy of the university. This work demonstrates my self-directed work, critical thinking and adherence to high academic standards during the research and writing process.</w:t>
      </w:r>
      <w:r>
        <w:br w:type="page"/>
      </w:r>
    </w:p>
    <w:p w14:paraId="20DBC6BF" w14:textId="77777777" w:rsidR="001D4DC0" w:rsidRDefault="001D4DC0"/>
    <w:sdt>
      <w:sdtPr>
        <w:rPr>
          <w:rFonts w:ascii="Times New Roman" w:eastAsia="Times New Roman" w:hAnsi="Times New Roman" w:cs="Times New Roman"/>
          <w:color w:val="auto"/>
          <w:sz w:val="24"/>
          <w:szCs w:val="24"/>
          <w:lang w:val="en-GB" w:eastAsia="en-IN"/>
        </w:rPr>
        <w:id w:val="1172144268"/>
        <w:docPartObj>
          <w:docPartGallery w:val="Table of Contents"/>
          <w:docPartUnique/>
        </w:docPartObj>
      </w:sdtPr>
      <w:sdtEndPr>
        <w:rPr>
          <w:b/>
          <w:bCs/>
        </w:rPr>
      </w:sdtEndPr>
      <w:sdtContent>
        <w:p w14:paraId="2A643EFE" w14:textId="77777777" w:rsidR="001D4DC0" w:rsidRDefault="00000000">
          <w:pPr>
            <w:pStyle w:val="TOCHeading1"/>
            <w:spacing w:line="360" w:lineRule="auto"/>
            <w:jc w:val="center"/>
            <w:rPr>
              <w:rFonts w:ascii="Times New Roman" w:hAnsi="Times New Roman" w:cs="Times New Roman"/>
              <w:b/>
              <w:bCs/>
              <w:color w:val="auto"/>
              <w:sz w:val="28"/>
              <w:szCs w:val="28"/>
            </w:rPr>
          </w:pPr>
          <w:r>
            <w:rPr>
              <w:rFonts w:ascii="Times New Roman" w:hAnsi="Times New Roman" w:cs="Times New Roman"/>
              <w:b/>
              <w:bCs/>
              <w:color w:val="auto"/>
              <w:sz w:val="28"/>
              <w:szCs w:val="28"/>
            </w:rPr>
            <w:t>Table of Contents</w:t>
          </w:r>
        </w:p>
        <w:p w14:paraId="62D15330" w14:textId="77777777" w:rsidR="001D4DC0" w:rsidRDefault="00000000">
          <w:pPr>
            <w:pStyle w:val="TOC1"/>
            <w:tabs>
              <w:tab w:val="right" w:leader="dot" w:pos="9019"/>
            </w:tabs>
            <w:rPr>
              <w:rFonts w:asciiTheme="minorHAnsi" w:eastAsiaTheme="minorEastAsia" w:hAnsiTheme="minorHAnsi" w:cstheme="minorBidi"/>
              <w:kern w:val="2"/>
              <w:lang w:val="en-IN"/>
              <w14:ligatures w14:val="standardContextual"/>
            </w:rPr>
          </w:pPr>
          <w:r>
            <w:fldChar w:fldCharType="begin"/>
          </w:r>
          <w:r>
            <w:instrText xml:space="preserve"> TOC \o "1-3" \h \z \u </w:instrText>
          </w:r>
          <w:r>
            <w:fldChar w:fldCharType="separate"/>
          </w:r>
          <w:hyperlink w:anchor="_Toc220697201" w:history="1">
            <w:r w:rsidR="001D4DC0">
              <w:rPr>
                <w:rStyle w:val="Hyperlink"/>
              </w:rPr>
              <w:t>Slide: 1 Introduction</w:t>
            </w:r>
            <w:r w:rsidR="001D4DC0">
              <w:tab/>
            </w:r>
            <w:r w:rsidR="001D4DC0">
              <w:fldChar w:fldCharType="begin"/>
            </w:r>
            <w:r w:rsidR="001D4DC0">
              <w:instrText xml:space="preserve"> PAGEREF _Toc220697201 \h </w:instrText>
            </w:r>
            <w:r w:rsidR="001D4DC0">
              <w:fldChar w:fldCharType="separate"/>
            </w:r>
            <w:r w:rsidR="001D4DC0">
              <w:t>3</w:t>
            </w:r>
            <w:r w:rsidR="001D4DC0">
              <w:fldChar w:fldCharType="end"/>
            </w:r>
          </w:hyperlink>
        </w:p>
        <w:p w14:paraId="13714C21"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2" w:history="1">
            <w:r>
              <w:rPr>
                <w:rStyle w:val="Hyperlink"/>
              </w:rPr>
              <w:t>Slide 2: Declaration</w:t>
            </w:r>
            <w:r>
              <w:tab/>
            </w:r>
            <w:r>
              <w:fldChar w:fldCharType="begin"/>
            </w:r>
            <w:r>
              <w:instrText xml:space="preserve"> PAGEREF _Toc220697202 \h </w:instrText>
            </w:r>
            <w:r>
              <w:fldChar w:fldCharType="separate"/>
            </w:r>
            <w:r>
              <w:t>4</w:t>
            </w:r>
            <w:r>
              <w:fldChar w:fldCharType="end"/>
            </w:r>
          </w:hyperlink>
        </w:p>
        <w:p w14:paraId="7C8252D8"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3" w:history="1">
            <w:r>
              <w:rPr>
                <w:rStyle w:val="Hyperlink"/>
              </w:rPr>
              <w:t xml:space="preserve">Slide 3: Literature Review </w:t>
            </w:r>
            <w:r>
              <w:tab/>
            </w:r>
            <w:r>
              <w:fldChar w:fldCharType="begin"/>
            </w:r>
            <w:r>
              <w:instrText xml:space="preserve"> PAGEREF _Toc220697203 \h </w:instrText>
            </w:r>
            <w:r>
              <w:fldChar w:fldCharType="separate"/>
            </w:r>
            <w:r>
              <w:t>5</w:t>
            </w:r>
            <w:r>
              <w:fldChar w:fldCharType="end"/>
            </w:r>
          </w:hyperlink>
        </w:p>
        <w:p w14:paraId="2EB125E6"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4" w:history="1">
            <w:r>
              <w:rPr>
                <w:rStyle w:val="Hyperlink"/>
              </w:rPr>
              <w:t>Slide 4: Literature Review (Continuation)</w:t>
            </w:r>
            <w:r>
              <w:tab/>
            </w:r>
            <w:r>
              <w:fldChar w:fldCharType="begin"/>
            </w:r>
            <w:r>
              <w:instrText xml:space="preserve"> PAGEREF _Toc220697204 \h </w:instrText>
            </w:r>
            <w:r>
              <w:fldChar w:fldCharType="separate"/>
            </w:r>
            <w:r>
              <w:t>6</w:t>
            </w:r>
            <w:r>
              <w:fldChar w:fldCharType="end"/>
            </w:r>
          </w:hyperlink>
        </w:p>
        <w:p w14:paraId="5D07C517"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5" w:history="1">
            <w:r>
              <w:rPr>
                <w:rStyle w:val="Hyperlink"/>
              </w:rPr>
              <w:t>Slide 5: Literature Review (Continuation)</w:t>
            </w:r>
            <w:r>
              <w:tab/>
            </w:r>
            <w:r>
              <w:fldChar w:fldCharType="begin"/>
            </w:r>
            <w:r>
              <w:instrText xml:space="preserve"> PAGEREF _Toc220697205 \h </w:instrText>
            </w:r>
            <w:r>
              <w:fldChar w:fldCharType="separate"/>
            </w:r>
            <w:r>
              <w:t>7</w:t>
            </w:r>
            <w:r>
              <w:fldChar w:fldCharType="end"/>
            </w:r>
          </w:hyperlink>
        </w:p>
        <w:p w14:paraId="0E20E9B6"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6" w:history="1">
            <w:r>
              <w:rPr>
                <w:rStyle w:val="Hyperlink"/>
              </w:rPr>
              <w:t xml:space="preserve">Slide 6:Method </w:t>
            </w:r>
            <w:r>
              <w:tab/>
            </w:r>
            <w:r>
              <w:fldChar w:fldCharType="begin"/>
            </w:r>
            <w:r>
              <w:instrText xml:space="preserve"> PAGEREF _Toc220697206 \h </w:instrText>
            </w:r>
            <w:r>
              <w:fldChar w:fldCharType="separate"/>
            </w:r>
            <w:r>
              <w:t>8</w:t>
            </w:r>
            <w:r>
              <w:fldChar w:fldCharType="end"/>
            </w:r>
          </w:hyperlink>
        </w:p>
        <w:p w14:paraId="1FB2A33E"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7" w:history="1">
            <w:r>
              <w:rPr>
                <w:rStyle w:val="Hyperlink"/>
              </w:rPr>
              <w:t>Slide 7: Method (Continuation)</w:t>
            </w:r>
            <w:r>
              <w:tab/>
            </w:r>
            <w:r>
              <w:fldChar w:fldCharType="begin"/>
            </w:r>
            <w:r>
              <w:instrText xml:space="preserve"> PAGEREF _Toc220697207 \h </w:instrText>
            </w:r>
            <w:r>
              <w:fldChar w:fldCharType="separate"/>
            </w:r>
            <w:r>
              <w:t>9</w:t>
            </w:r>
            <w:r>
              <w:fldChar w:fldCharType="end"/>
            </w:r>
          </w:hyperlink>
        </w:p>
        <w:p w14:paraId="232D36E0"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8" w:history="1">
            <w:r>
              <w:rPr>
                <w:rStyle w:val="Hyperlink"/>
              </w:rPr>
              <w:t>Slide 8: Method (Continuation)</w:t>
            </w:r>
            <w:r>
              <w:tab/>
            </w:r>
            <w:r>
              <w:fldChar w:fldCharType="begin"/>
            </w:r>
            <w:r>
              <w:instrText xml:space="preserve"> PAGEREF _Toc220697208 \h </w:instrText>
            </w:r>
            <w:r>
              <w:fldChar w:fldCharType="separate"/>
            </w:r>
            <w:r>
              <w:t>10</w:t>
            </w:r>
            <w:r>
              <w:fldChar w:fldCharType="end"/>
            </w:r>
          </w:hyperlink>
        </w:p>
        <w:p w14:paraId="189EEF71"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09" w:history="1">
            <w:r>
              <w:rPr>
                <w:rStyle w:val="Hyperlink"/>
              </w:rPr>
              <w:t>Slide 9: Conclusion</w:t>
            </w:r>
            <w:r>
              <w:tab/>
            </w:r>
            <w:r>
              <w:fldChar w:fldCharType="begin"/>
            </w:r>
            <w:r>
              <w:instrText xml:space="preserve"> PAGEREF _Toc220697209 \h </w:instrText>
            </w:r>
            <w:r>
              <w:fldChar w:fldCharType="separate"/>
            </w:r>
            <w:r>
              <w:t>10</w:t>
            </w:r>
            <w:r>
              <w:fldChar w:fldCharType="end"/>
            </w:r>
          </w:hyperlink>
        </w:p>
        <w:p w14:paraId="24548124" w14:textId="77777777" w:rsidR="001D4DC0" w:rsidRDefault="001D4DC0">
          <w:pPr>
            <w:pStyle w:val="TOC1"/>
            <w:tabs>
              <w:tab w:val="right" w:leader="dot" w:pos="9019"/>
            </w:tabs>
            <w:rPr>
              <w:rFonts w:asciiTheme="minorHAnsi" w:eastAsiaTheme="minorEastAsia" w:hAnsiTheme="minorHAnsi" w:cstheme="minorBidi"/>
              <w:kern w:val="2"/>
              <w:lang w:val="en-IN"/>
              <w14:ligatures w14:val="standardContextual"/>
            </w:rPr>
          </w:pPr>
          <w:hyperlink w:anchor="_Toc220697210" w:history="1">
            <w:r>
              <w:rPr>
                <w:rStyle w:val="Hyperlink"/>
              </w:rPr>
              <w:t>Slide 10: Recommendations</w:t>
            </w:r>
            <w:r>
              <w:tab/>
            </w:r>
            <w:r>
              <w:fldChar w:fldCharType="begin"/>
            </w:r>
            <w:r>
              <w:instrText xml:space="preserve"> PAGEREF _Toc220697210 \h </w:instrText>
            </w:r>
            <w:r>
              <w:fldChar w:fldCharType="separate"/>
            </w:r>
            <w:r>
              <w:t>11</w:t>
            </w:r>
            <w:r>
              <w:fldChar w:fldCharType="end"/>
            </w:r>
          </w:hyperlink>
        </w:p>
        <w:p w14:paraId="58EB19AB" w14:textId="77777777" w:rsidR="001D4DC0" w:rsidRDefault="00000000">
          <w:pPr>
            <w:pStyle w:val="TOC1"/>
            <w:tabs>
              <w:tab w:val="right" w:leader="dot" w:pos="9019"/>
            </w:tabs>
            <w:rPr>
              <w:rFonts w:asciiTheme="minorHAnsi" w:eastAsiaTheme="minorEastAsia" w:hAnsiTheme="minorHAnsi" w:cstheme="minorBidi"/>
              <w:kern w:val="2"/>
              <w:lang w:val="en-IN"/>
              <w14:ligatures w14:val="standardContextual"/>
            </w:rPr>
          </w:pPr>
          <w:r>
            <w:rPr>
              <w:rStyle w:val="Hyperlink"/>
              <w:color w:val="auto"/>
              <w:u w:val="none"/>
            </w:rPr>
            <w:t xml:space="preserve">Slide 11: </w:t>
          </w:r>
          <w:hyperlink w:anchor="_Toc220697211" w:history="1">
            <w:r w:rsidR="001D4DC0">
              <w:rPr>
                <w:rStyle w:val="Hyperlink"/>
              </w:rPr>
              <w:t>References</w:t>
            </w:r>
            <w:r w:rsidR="001D4DC0">
              <w:tab/>
            </w:r>
            <w:r w:rsidR="001D4DC0">
              <w:fldChar w:fldCharType="begin"/>
            </w:r>
            <w:r w:rsidR="001D4DC0">
              <w:instrText xml:space="preserve"> PAGEREF _Toc220697211 \h </w:instrText>
            </w:r>
            <w:r w:rsidR="001D4DC0">
              <w:fldChar w:fldCharType="separate"/>
            </w:r>
            <w:r w:rsidR="001D4DC0">
              <w:t>12</w:t>
            </w:r>
            <w:r w:rsidR="001D4DC0">
              <w:fldChar w:fldCharType="end"/>
            </w:r>
          </w:hyperlink>
        </w:p>
        <w:p w14:paraId="4E449BEC" w14:textId="77777777" w:rsidR="001D4DC0" w:rsidRDefault="00000000">
          <w:r>
            <w:rPr>
              <w:b/>
              <w:bCs/>
            </w:rPr>
            <w:fldChar w:fldCharType="end"/>
          </w:r>
        </w:p>
      </w:sdtContent>
    </w:sdt>
    <w:p w14:paraId="391E8EAB" w14:textId="77777777" w:rsidR="001D4DC0" w:rsidRDefault="001D4DC0"/>
    <w:p w14:paraId="6453F91B" w14:textId="77777777" w:rsidR="001D4DC0" w:rsidRDefault="00000000">
      <w:pPr>
        <w:rPr>
          <w:b/>
          <w:bCs/>
          <w:sz w:val="28"/>
          <w:szCs w:val="28"/>
        </w:rPr>
      </w:pPr>
      <w:bookmarkStart w:id="0" w:name="_jx6obnp72ace" w:colFirst="0" w:colLast="0"/>
      <w:bookmarkEnd w:id="0"/>
      <w:r>
        <w:br w:type="page"/>
      </w:r>
    </w:p>
    <w:p w14:paraId="0488697D" w14:textId="77777777" w:rsidR="001D4DC0" w:rsidRDefault="00000000">
      <w:pPr>
        <w:pStyle w:val="Heading1"/>
      </w:pPr>
      <w:bookmarkStart w:id="1" w:name="_Toc220697201"/>
      <w:r>
        <w:lastRenderedPageBreak/>
        <w:t>Slide: 1 Introduction</w:t>
      </w:r>
      <w:bookmarkEnd w:id="1"/>
    </w:p>
    <w:p w14:paraId="00438A60" w14:textId="77777777" w:rsidR="001D4DC0" w:rsidRDefault="00000000">
      <w:pPr>
        <w:jc w:val="center"/>
      </w:pPr>
      <w:bookmarkStart w:id="2" w:name="_yhe166xbcq1f" w:colFirst="0" w:colLast="0"/>
      <w:bookmarkEnd w:id="2"/>
      <w:r>
        <w:rPr>
          <w:noProof/>
        </w:rPr>
        <w:drawing>
          <wp:inline distT="0" distB="0" distL="0" distR="0" wp14:anchorId="604A74AB" wp14:editId="236AAB4D">
            <wp:extent cx="5733415" cy="3225165"/>
            <wp:effectExtent l="0" t="0" r="635" b="0"/>
            <wp:docPr id="16005621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562103" name="Graphic 1"/>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3225165"/>
                    </a:xfrm>
                    <a:prstGeom prst="rect">
                      <a:avLst/>
                    </a:prstGeom>
                  </pic:spPr>
                </pic:pic>
              </a:graphicData>
            </a:graphic>
          </wp:inline>
        </w:drawing>
      </w:r>
    </w:p>
    <w:p w14:paraId="3A202D90" w14:textId="77777777" w:rsidR="001D4DC0" w:rsidRDefault="00000000">
      <w:pPr>
        <w:rPr>
          <w:b/>
          <w:bCs/>
        </w:rPr>
      </w:pPr>
      <w:r>
        <w:t>Birmingham is a key location in the hospitality industry and is facing severe labour issues, which are reported in the UK hospitality industry. The aim of the presentation is to assess the work intensity and burnout associated with the work of the employees in the hospitality industry, putting particular focus on the Hotel Novotel Birmingham City Centre case study. Burnout workplace incidents have escalated very fast in the 21st century, and it causes delays in productivity. To that end, assignment 1 brings to the forefront some of the most important themes in terms of the economic and operational impact of burnout on the performance of hotels, its impacts on employee health and work-life balance and implications on organisational culture and employee relations in hospitality.</w:t>
      </w:r>
    </w:p>
    <w:p w14:paraId="7F80B8FD" w14:textId="77777777" w:rsidR="001D4DC0" w:rsidRDefault="00000000">
      <w:pPr>
        <w:pStyle w:val="Heading1"/>
      </w:pPr>
      <w:bookmarkStart w:id="3" w:name="_Toc220697202"/>
      <w:r>
        <w:lastRenderedPageBreak/>
        <w:t xml:space="preserve">Slide2: </w:t>
      </w:r>
      <w:r>
        <w:rPr>
          <w:noProof/>
        </w:rPr>
        <w:drawing>
          <wp:inline distT="0" distB="0" distL="114300" distR="114300" wp14:anchorId="4E3A6105" wp14:editId="30A8D190">
            <wp:extent cx="5731510" cy="3249295"/>
            <wp:effectExtent l="0" t="0" r="8890" b="1905"/>
            <wp:docPr id="2" name="Picture 2" descr="Screenshot 2026-02-19 11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reenshot 2026-02-19 114318"/>
                    <pic:cNvPicPr>
                      <a:picLocks noChangeAspect="1"/>
                    </pic:cNvPicPr>
                  </pic:nvPicPr>
                  <pic:blipFill>
                    <a:blip r:embed="rId10"/>
                    <a:stretch>
                      <a:fillRect/>
                    </a:stretch>
                  </pic:blipFill>
                  <pic:spPr>
                    <a:xfrm>
                      <a:off x="0" y="0"/>
                      <a:ext cx="5731510" cy="3249295"/>
                    </a:xfrm>
                    <a:prstGeom prst="rect">
                      <a:avLst/>
                    </a:prstGeom>
                  </pic:spPr>
                </pic:pic>
              </a:graphicData>
            </a:graphic>
          </wp:inline>
        </w:drawing>
      </w:r>
    </w:p>
    <w:p w14:paraId="0845BBAC" w14:textId="77777777" w:rsidR="001D4DC0" w:rsidRDefault="00000000">
      <w:pPr>
        <w:pStyle w:val="Heading1"/>
      </w:pPr>
      <w:r>
        <w:t xml:space="preserve">Slide </w:t>
      </w:r>
      <w:proofErr w:type="gramStart"/>
      <w:r>
        <w:t>3 :Literature</w:t>
      </w:r>
      <w:proofErr w:type="gramEnd"/>
      <w:r>
        <w:t xml:space="preserve"> Review</w:t>
      </w:r>
      <w:bookmarkEnd w:id="3"/>
    </w:p>
    <w:p w14:paraId="763D6F67" w14:textId="77777777" w:rsidR="001D4DC0" w:rsidRDefault="00000000">
      <w:pPr>
        <w:jc w:val="center"/>
      </w:pPr>
      <w:r>
        <w:rPr>
          <w:noProof/>
        </w:rPr>
        <w:drawing>
          <wp:inline distT="0" distB="0" distL="0" distR="0" wp14:anchorId="577C457F" wp14:editId="5582FE37">
            <wp:extent cx="5733415" cy="3225165"/>
            <wp:effectExtent l="0" t="0" r="635" b="0"/>
            <wp:docPr id="5327366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736635" name="Graphic 1"/>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0" y="0"/>
                      <a:ext cx="5733415" cy="3225165"/>
                    </a:xfrm>
                    <a:prstGeom prst="rect">
                      <a:avLst/>
                    </a:prstGeom>
                  </pic:spPr>
                </pic:pic>
              </a:graphicData>
            </a:graphic>
          </wp:inline>
        </w:drawing>
      </w:r>
    </w:p>
    <w:p w14:paraId="2DE7ABEB" w14:textId="77777777" w:rsidR="001D4DC0" w:rsidRDefault="00000000">
      <w:r>
        <w:t xml:space="preserve">There is a direct link between high levels of work intensity and burnout among the workforce that is very common in the hospitality sector. In this context, existing studies indicate that a high level of service that can only be achieved by high-intensity work delivery leads to a great guest experience. In a similar study, another study indicated that, in the </w:t>
      </w:r>
      <w:proofErr w:type="gramStart"/>
      <w:r>
        <w:t>long-run</w:t>
      </w:r>
      <w:proofErr w:type="gramEnd"/>
      <w:r>
        <w:t xml:space="preserve">, this high </w:t>
      </w:r>
      <w:r>
        <w:lastRenderedPageBreak/>
        <w:t xml:space="preserve">intensity workload among staff leads to emotional exhaustion, mental health deterioration and overall health deterioration. </w:t>
      </w:r>
    </w:p>
    <w:p w14:paraId="2BBB269F" w14:textId="77777777" w:rsidR="001D4DC0" w:rsidRDefault="00000000">
      <w:pPr>
        <w:pStyle w:val="Heading1"/>
      </w:pPr>
      <w:bookmarkStart w:id="4" w:name="_20lhmkpoymy7" w:colFirst="0" w:colLast="0"/>
      <w:bookmarkStart w:id="5" w:name="_Toc220697203"/>
      <w:bookmarkEnd w:id="4"/>
      <w:r>
        <w:t>Slide 3: Literature Review (Continuation)</w:t>
      </w:r>
      <w:bookmarkEnd w:id="5"/>
    </w:p>
    <w:p w14:paraId="45C569D8" w14:textId="77777777" w:rsidR="001D4DC0" w:rsidRDefault="00000000">
      <w:pPr>
        <w:jc w:val="center"/>
      </w:pPr>
      <w:bookmarkStart w:id="6" w:name="_l6dn41z4fz57" w:colFirst="0" w:colLast="0"/>
      <w:bookmarkEnd w:id="6"/>
      <w:r>
        <w:rPr>
          <w:noProof/>
        </w:rPr>
        <w:drawing>
          <wp:inline distT="0" distB="0" distL="0" distR="0" wp14:anchorId="1D5F5F19" wp14:editId="6ECFF0C3">
            <wp:extent cx="5733415" cy="3225165"/>
            <wp:effectExtent l="0" t="0" r="635" b="0"/>
            <wp:docPr id="16241252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125237" name="Graphic 1"/>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5733415" cy="3225165"/>
                    </a:xfrm>
                    <a:prstGeom prst="rect">
                      <a:avLst/>
                    </a:prstGeom>
                  </pic:spPr>
                </pic:pic>
              </a:graphicData>
            </a:graphic>
          </wp:inline>
        </w:drawing>
      </w:r>
    </w:p>
    <w:p w14:paraId="417A5345" w14:textId="77777777" w:rsidR="001D4DC0" w:rsidRDefault="00000000">
      <w:pPr>
        <w:rPr>
          <w:b/>
          <w:bCs/>
        </w:rPr>
      </w:pPr>
      <w:r>
        <w:t>Job satisfaction and pro-social service behaviour were found to greatly depend upon psychological well-being and positive workplace relationships; self-acceptance and environmental mastery were defined as the major sub-factors. Nonetheless, after COVID-19, work patterns have a massive change, which eventually results in mental health degradation. Financial instability is also one of the greatest reasons that adversely affect the mental health of individuals. Nevertheless, according to another study, implementation and educational intervention are not the only means of closing the gap of excessive burnout in the hospitality industry. Non-critical environments that promote dignity and peer support have been proven to reduce self-stigma when implemented in community-based programmes.</w:t>
      </w:r>
    </w:p>
    <w:p w14:paraId="0CD942B4" w14:textId="77777777" w:rsidR="001D4DC0" w:rsidRDefault="00000000">
      <w:pPr>
        <w:pStyle w:val="Heading1"/>
      </w:pPr>
      <w:bookmarkStart w:id="7" w:name="_Toc220697204"/>
      <w:r>
        <w:lastRenderedPageBreak/>
        <w:t>Slide 4: Literature Review (Continuation)</w:t>
      </w:r>
      <w:bookmarkEnd w:id="7"/>
    </w:p>
    <w:p w14:paraId="05E0B58E" w14:textId="77777777" w:rsidR="001D4DC0" w:rsidRDefault="00000000">
      <w:pPr>
        <w:jc w:val="center"/>
      </w:pPr>
      <w:r>
        <w:rPr>
          <w:noProof/>
        </w:rPr>
        <w:drawing>
          <wp:inline distT="0" distB="0" distL="0" distR="0" wp14:anchorId="3A5448E6" wp14:editId="4E7D744C">
            <wp:extent cx="5733415" cy="3225165"/>
            <wp:effectExtent l="0" t="0" r="635" b="0"/>
            <wp:docPr id="6397992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799236" name="Graphic 1"/>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0" y="0"/>
                      <a:ext cx="5733415" cy="3225165"/>
                    </a:xfrm>
                    <a:prstGeom prst="rect">
                      <a:avLst/>
                    </a:prstGeom>
                  </pic:spPr>
                </pic:pic>
              </a:graphicData>
            </a:graphic>
          </wp:inline>
        </w:drawing>
      </w:r>
    </w:p>
    <w:p w14:paraId="18A1CAFA" w14:textId="77777777" w:rsidR="001D4DC0" w:rsidRDefault="00000000">
      <w:pPr>
        <w:rPr>
          <w:b/>
          <w:bCs/>
        </w:rPr>
      </w:pPr>
      <w:bookmarkStart w:id="8" w:name="_hsbd6i5wjlmq" w:colFirst="0" w:colLast="0"/>
      <w:bookmarkEnd w:id="8"/>
      <w:r>
        <w:t>The theory of Herzberg views that two key factors exist in the two-factor theory. First is the hygiene factors that are external motivations, such as wage, job satisfaction, job security and working conditions. Intrinsic motivation is also inspired by motivating factors such as important tasks, interesting assignments, recognition, and others. To attain long-term outcomes, internal motivation should be considered. Conversely, as per the JD-R model, job demand and resources dictate the state of the well-being of the employees. Thus, job demand</w:t>
      </w:r>
      <w:r>
        <w:rPr>
          <w:b/>
          <w:bCs/>
        </w:rPr>
        <w:t>,</w:t>
      </w:r>
      <w:r>
        <w:t xml:space="preserve"> which includes high workload and time pressure</w:t>
      </w:r>
      <w:r>
        <w:rPr>
          <w:b/>
          <w:bCs/>
        </w:rPr>
        <w:t>,</w:t>
      </w:r>
      <w:r>
        <w:t xml:space="preserve"> has an undesirable effect on employees. Likewise, the absence of a culture where support is also a detriment to the Staff of the workplace.</w:t>
      </w:r>
    </w:p>
    <w:p w14:paraId="11F489C0" w14:textId="77777777" w:rsidR="001D4DC0" w:rsidRDefault="00000000">
      <w:pPr>
        <w:pStyle w:val="Heading1"/>
      </w:pPr>
      <w:bookmarkStart w:id="9" w:name="_Toc220697205"/>
      <w:r>
        <w:lastRenderedPageBreak/>
        <w:t>Slide 5: Method</w:t>
      </w:r>
      <w:bookmarkEnd w:id="9"/>
    </w:p>
    <w:p w14:paraId="6D5555AD" w14:textId="77777777" w:rsidR="001D4DC0" w:rsidRDefault="00000000">
      <w:pPr>
        <w:jc w:val="center"/>
      </w:pPr>
      <w:r>
        <w:rPr>
          <w:noProof/>
        </w:rPr>
        <w:drawing>
          <wp:inline distT="0" distB="0" distL="0" distR="0" wp14:anchorId="3DE37228" wp14:editId="599F4D9C">
            <wp:extent cx="5733415" cy="3225165"/>
            <wp:effectExtent l="0" t="0" r="635" b="0"/>
            <wp:docPr id="2380663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66383" name="Graphic 1"/>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a:xfrm>
                      <a:off x="0" y="0"/>
                      <a:ext cx="5733415" cy="3225165"/>
                    </a:xfrm>
                    <a:prstGeom prst="rect">
                      <a:avLst/>
                    </a:prstGeom>
                  </pic:spPr>
                </pic:pic>
              </a:graphicData>
            </a:graphic>
          </wp:inline>
        </w:drawing>
      </w:r>
    </w:p>
    <w:p w14:paraId="7DC4C042" w14:textId="77777777" w:rsidR="001D4DC0" w:rsidRDefault="00000000">
      <w:r>
        <w:t>PESTEL analysis consists of the framework of measuring the factors of the external environment through the consideration of social, political, technological, economic, legal and environmental factors. The thematic analysis was used as the main technique of analysis, and it helped to find common patterns and topics in the literature. Such a systematic approach makes it possible to develop a full picture of the mental health crisis and is analytically transparent and methodologically sound.</w:t>
      </w:r>
    </w:p>
    <w:p w14:paraId="0010B245" w14:textId="77777777" w:rsidR="001D4DC0" w:rsidRDefault="00000000">
      <w:pPr>
        <w:pStyle w:val="Heading1"/>
      </w:pPr>
      <w:bookmarkStart w:id="10" w:name="_ozj3617r8eu1" w:colFirst="0" w:colLast="0"/>
      <w:bookmarkStart w:id="11" w:name="_Toc220697206"/>
      <w:bookmarkEnd w:id="10"/>
      <w:r>
        <w:lastRenderedPageBreak/>
        <w:t>Slide 6: Method (Continuation)</w:t>
      </w:r>
      <w:bookmarkEnd w:id="11"/>
    </w:p>
    <w:p w14:paraId="1B93B226" w14:textId="77777777" w:rsidR="001D4DC0" w:rsidRDefault="00000000">
      <w:pPr>
        <w:jc w:val="center"/>
      </w:pPr>
      <w:r>
        <w:rPr>
          <w:noProof/>
        </w:rPr>
        <w:drawing>
          <wp:inline distT="0" distB="0" distL="0" distR="0" wp14:anchorId="4F7134C9" wp14:editId="4502D810">
            <wp:extent cx="5733415" cy="3225165"/>
            <wp:effectExtent l="0" t="0" r="635" b="0"/>
            <wp:docPr id="348425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25898" name="Graphic 1"/>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0" y="0"/>
                      <a:ext cx="5733415" cy="3225165"/>
                    </a:xfrm>
                    <a:prstGeom prst="rect">
                      <a:avLst/>
                    </a:prstGeom>
                  </pic:spPr>
                </pic:pic>
              </a:graphicData>
            </a:graphic>
          </wp:inline>
        </w:drawing>
      </w:r>
    </w:p>
    <w:p w14:paraId="0C260E50" w14:textId="77777777" w:rsidR="001D4DC0" w:rsidRDefault="00000000">
      <w:r>
        <w:t>According to the hotel-based report, 45 per cent of the operators are being forced by the immediate productivity and labour shortages. Consequently, it assists in cutting down trading hours or capacity, and this explains why the hospitality industry loses about 21 billion pounds in annual revenue because of a lack of adequate staffing. The result of the high cost of living and the effects of Brexit on the hospitality industry cause high-intensity working conditions due to understaffing. This leads to physical and emotional burnout of the employees.</w:t>
      </w:r>
    </w:p>
    <w:p w14:paraId="2AFFBE26" w14:textId="77777777" w:rsidR="001D4DC0" w:rsidRDefault="00000000">
      <w:pPr>
        <w:pStyle w:val="Heading1"/>
      </w:pPr>
      <w:bookmarkStart w:id="12" w:name="_np25z67kelzu" w:colFirst="0" w:colLast="0"/>
      <w:bookmarkStart w:id="13" w:name="_Toc220697207"/>
      <w:bookmarkEnd w:id="12"/>
      <w:r>
        <w:lastRenderedPageBreak/>
        <w:t>Slide 7: Method (Continuation)</w:t>
      </w:r>
      <w:bookmarkEnd w:id="13"/>
    </w:p>
    <w:p w14:paraId="302E7C4A" w14:textId="77777777" w:rsidR="001D4DC0" w:rsidRDefault="00000000">
      <w:pPr>
        <w:jc w:val="center"/>
      </w:pPr>
      <w:bookmarkStart w:id="14" w:name="_usigbc81qmvo" w:colFirst="0" w:colLast="0"/>
      <w:bookmarkEnd w:id="14"/>
      <w:r>
        <w:rPr>
          <w:noProof/>
        </w:rPr>
        <w:drawing>
          <wp:inline distT="0" distB="0" distL="0" distR="0" wp14:anchorId="1927BDE0" wp14:editId="24ABE89C">
            <wp:extent cx="5733415" cy="3225165"/>
            <wp:effectExtent l="0" t="0" r="635" b="0"/>
            <wp:docPr id="5615853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85334" name="Graphic 1"/>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a:off x="0" y="0"/>
                      <a:ext cx="5733415" cy="3225165"/>
                    </a:xfrm>
                    <a:prstGeom prst="rect">
                      <a:avLst/>
                    </a:prstGeom>
                  </pic:spPr>
                </pic:pic>
              </a:graphicData>
            </a:graphic>
          </wp:inline>
        </w:drawing>
      </w:r>
    </w:p>
    <w:p w14:paraId="0262FD7A" w14:textId="77777777" w:rsidR="001D4DC0" w:rsidRDefault="00000000">
      <w:r>
        <w:t xml:space="preserve">The present social trend in the UK provides high demand for sustainable living and the preservation of the work-life balance. Indicatively, according to the survey, work-life balance is the most desired motivation as it was preferred by 83% of the workers in 35 nations. Nevertheless, the hospitality industry, particularly Novotel in the UK, did not bring back the work-life balance to its workforce. The 24*7 rotational shift comes </w:t>
      </w:r>
      <w:proofErr w:type="gramStart"/>
      <w:r>
        <w:t>as a result of</w:t>
      </w:r>
      <w:proofErr w:type="gramEnd"/>
      <w:r>
        <w:t xml:space="preserve"> the excellent service experience to its customers. Thus, the work-life balance is mismanaged due to the high-intense pressure.</w:t>
      </w:r>
    </w:p>
    <w:p w14:paraId="2AA2D596" w14:textId="77777777" w:rsidR="001D4DC0" w:rsidRDefault="00000000">
      <w:pPr>
        <w:pStyle w:val="Heading1"/>
      </w:pPr>
      <w:bookmarkStart w:id="15" w:name="_Toc220697208"/>
      <w:r>
        <w:lastRenderedPageBreak/>
        <w:t>Slide 8: Method (Continuation)</w:t>
      </w:r>
      <w:bookmarkEnd w:id="15"/>
    </w:p>
    <w:p w14:paraId="43E8B209" w14:textId="77777777" w:rsidR="001D4DC0" w:rsidRDefault="00000000">
      <w:pPr>
        <w:jc w:val="center"/>
      </w:pPr>
      <w:r>
        <w:rPr>
          <w:noProof/>
        </w:rPr>
        <w:drawing>
          <wp:inline distT="0" distB="0" distL="0" distR="0" wp14:anchorId="72075EEB" wp14:editId="1FD14AB2">
            <wp:extent cx="5733415" cy="3225165"/>
            <wp:effectExtent l="0" t="0" r="635" b="0"/>
            <wp:docPr id="5065441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544160" name="Graphic 1"/>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0" y="0"/>
                      <a:ext cx="5733415" cy="3225165"/>
                    </a:xfrm>
                    <a:prstGeom prst="rect">
                      <a:avLst/>
                    </a:prstGeom>
                  </pic:spPr>
                </pic:pic>
              </a:graphicData>
            </a:graphic>
          </wp:inline>
        </w:drawing>
      </w:r>
    </w:p>
    <w:p w14:paraId="5102EC3E" w14:textId="77777777" w:rsidR="001D4DC0" w:rsidRDefault="00000000">
      <w:r>
        <w:t xml:space="preserve">Sixty-six per cent of hospitality venues in the UK indicate they offer an environment conducive to open mental health discussions, which is concerning to mitigate the crisis of intense workload. However, the lack of utilisation of digital technologies by the hospital sector can be considered a drawback that creates additional pressure on staff. The only strict utilisation of the Employment Act 2025 may be effective to create positive organisational culture.   </w:t>
      </w:r>
    </w:p>
    <w:p w14:paraId="782DF2B7" w14:textId="77777777" w:rsidR="001D4DC0" w:rsidRDefault="00000000">
      <w:pPr>
        <w:pStyle w:val="Heading1"/>
      </w:pPr>
      <w:bookmarkStart w:id="16" w:name="_ji920jolv13g" w:colFirst="0" w:colLast="0"/>
      <w:bookmarkStart w:id="17" w:name="_Toc220697209"/>
      <w:bookmarkEnd w:id="16"/>
      <w:r>
        <w:t>Slide 9: Conclusion</w:t>
      </w:r>
      <w:bookmarkEnd w:id="17"/>
    </w:p>
    <w:p w14:paraId="15C561C6" w14:textId="77777777" w:rsidR="001D4DC0" w:rsidRDefault="00000000">
      <w:pPr>
        <w:jc w:val="center"/>
        <w:rPr>
          <w:b/>
          <w:bCs/>
        </w:rPr>
      </w:pPr>
      <w:r>
        <w:rPr>
          <w:noProof/>
        </w:rPr>
        <w:drawing>
          <wp:inline distT="0" distB="0" distL="0" distR="0" wp14:anchorId="3B2B42BD" wp14:editId="05AC2FB8">
            <wp:extent cx="5733415" cy="3225165"/>
            <wp:effectExtent l="0" t="0" r="635" b="0"/>
            <wp:docPr id="18391092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09253" name="Graphic 1"/>
                    <pic:cNvPicPr>
                      <a:picLocks noChangeAspect="1"/>
                    </pic:cNvPicPr>
                  </pic:nvPicPr>
                  <pic:blipFill>
                    <a:blip r:embed="rId25">
                      <a:extLst>
                        <a:ext uri="{96DAC541-7B7A-43D3-8B79-37D633B846F1}">
                          <asvg:svgBlip xmlns:asvg="http://schemas.microsoft.com/office/drawing/2016/SVG/main" r:embed="rId26"/>
                        </a:ext>
                      </a:extLst>
                    </a:blip>
                    <a:stretch>
                      <a:fillRect/>
                    </a:stretch>
                  </pic:blipFill>
                  <pic:spPr>
                    <a:xfrm>
                      <a:off x="0" y="0"/>
                      <a:ext cx="5733415" cy="3225165"/>
                    </a:xfrm>
                    <a:prstGeom prst="rect">
                      <a:avLst/>
                    </a:prstGeom>
                  </pic:spPr>
                </pic:pic>
              </a:graphicData>
            </a:graphic>
          </wp:inline>
        </w:drawing>
      </w:r>
    </w:p>
    <w:p w14:paraId="5044B62E" w14:textId="77777777" w:rsidR="001D4DC0" w:rsidRDefault="00000000">
      <w:r>
        <w:lastRenderedPageBreak/>
        <w:t xml:space="preserve">In summary, the presentation successfully highlights the major causes of burnout in the hospitality sector, which include the intensive shifting hours, labour shortage and poor organisational culture. More strict structural changes need to be carried out to make a higher degree of impact for the restoration of employees' mental health. For that, a radical structure is suggested with proper shift and workforce planning.  </w:t>
      </w:r>
    </w:p>
    <w:p w14:paraId="770DE6F6" w14:textId="77777777" w:rsidR="001D4DC0" w:rsidRDefault="00000000">
      <w:pPr>
        <w:pStyle w:val="Heading1"/>
      </w:pPr>
      <w:bookmarkStart w:id="18" w:name="_nr8mzcfldklr" w:colFirst="0" w:colLast="0"/>
      <w:bookmarkStart w:id="19" w:name="_Toc220697210"/>
      <w:bookmarkEnd w:id="18"/>
      <w:r>
        <w:t>Slide 10: Recommendations</w:t>
      </w:r>
      <w:bookmarkEnd w:id="19"/>
    </w:p>
    <w:p w14:paraId="6B626CEA" w14:textId="77777777" w:rsidR="001D4DC0" w:rsidRDefault="00000000">
      <w:pPr>
        <w:jc w:val="center"/>
      </w:pPr>
      <w:r>
        <w:rPr>
          <w:noProof/>
        </w:rPr>
        <w:drawing>
          <wp:inline distT="0" distB="0" distL="0" distR="0" wp14:anchorId="39AF5E44" wp14:editId="17C027EE">
            <wp:extent cx="5733415" cy="3225165"/>
            <wp:effectExtent l="0" t="0" r="635" b="0"/>
            <wp:docPr id="14298496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49607" name="Graphic 1"/>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a:off x="0" y="0"/>
                      <a:ext cx="5733415" cy="3225165"/>
                    </a:xfrm>
                    <a:prstGeom prst="rect">
                      <a:avLst/>
                    </a:prstGeom>
                  </pic:spPr>
                </pic:pic>
              </a:graphicData>
            </a:graphic>
          </wp:inline>
        </w:drawing>
      </w:r>
    </w:p>
    <w:p w14:paraId="39F94F75" w14:textId="77777777" w:rsidR="001D4DC0" w:rsidRDefault="00000000">
      <w:r>
        <w:t>According to the results of the research work, there are two guidelines that can be proposed. The first one is the redesign of the structural scheduling programme with emphasis on the leadership strategy. It assists in the management of work for all employees. To give an example, predictive scheduling by Marriott International is meant to minimise any last-minute modification without further increasing the stress. Furthermore, the collaborative approach between different sectors of the UK hospitality and the development of KPIs to monitor the long-term achievements.</w:t>
      </w:r>
    </w:p>
    <w:p w14:paraId="2C6A1E7C" w14:textId="77777777" w:rsidR="001D4DC0" w:rsidRDefault="00000000">
      <w:r>
        <w:br w:type="page"/>
      </w:r>
    </w:p>
    <w:p w14:paraId="7E2052DC" w14:textId="77777777" w:rsidR="001D4DC0" w:rsidRDefault="00000000">
      <w:pPr>
        <w:pStyle w:val="Heading1"/>
      </w:pPr>
      <w:bookmarkStart w:id="20" w:name="_snm2kyllte5c" w:colFirst="0" w:colLast="0"/>
      <w:bookmarkStart w:id="21" w:name="_Toc220697211"/>
      <w:bookmarkEnd w:id="20"/>
      <w:r>
        <w:lastRenderedPageBreak/>
        <w:t>Slide 11: References</w:t>
      </w:r>
      <w:bookmarkEnd w:id="21"/>
      <w:r>
        <w:t xml:space="preserve"> </w:t>
      </w:r>
    </w:p>
    <w:p w14:paraId="3917BDA1" w14:textId="77777777" w:rsidR="001D4DC0" w:rsidRDefault="00000000">
      <w:pPr>
        <w:spacing w:after="240"/>
        <w:jc w:val="center"/>
        <w:rPr>
          <w:highlight w:val="white"/>
        </w:rPr>
      </w:pPr>
      <w:r>
        <w:rPr>
          <w:noProof/>
        </w:rPr>
        <w:drawing>
          <wp:inline distT="0" distB="0" distL="0" distR="0" wp14:anchorId="41C8850A" wp14:editId="44A4B796">
            <wp:extent cx="5733415" cy="3225165"/>
            <wp:effectExtent l="0" t="0" r="635" b="0"/>
            <wp:docPr id="14428269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26993" name="Graphic 1"/>
                    <pic:cNvPicPr>
                      <a:picLocks noChangeAspect="1"/>
                    </pic:cNvPicPr>
                  </pic:nvPicPr>
                  <pic:blipFill>
                    <a:blip r:embed="rId29">
                      <a:extLst>
                        <a:ext uri="{96DAC541-7B7A-43D3-8B79-37D633B846F1}">
                          <asvg:svgBlip xmlns:asvg="http://schemas.microsoft.com/office/drawing/2016/SVG/main" r:embed="rId30"/>
                        </a:ext>
                      </a:extLst>
                    </a:blip>
                    <a:stretch>
                      <a:fillRect/>
                    </a:stretch>
                  </pic:blipFill>
                  <pic:spPr>
                    <a:xfrm>
                      <a:off x="0" y="0"/>
                      <a:ext cx="5733415" cy="3225165"/>
                    </a:xfrm>
                    <a:prstGeom prst="rect">
                      <a:avLst/>
                    </a:prstGeom>
                  </pic:spPr>
                </pic:pic>
              </a:graphicData>
            </a:graphic>
          </wp:inline>
        </w:drawing>
      </w:r>
    </w:p>
    <w:p w14:paraId="5ED29F21" w14:textId="77777777" w:rsidR="001D4DC0" w:rsidRDefault="00000000">
      <w:pPr>
        <w:spacing w:after="240"/>
        <w:rPr>
          <w:highlight w:val="white"/>
        </w:rPr>
      </w:pPr>
      <w:r>
        <w:rPr>
          <w:highlight w:val="white"/>
        </w:rPr>
        <w:t xml:space="preserve">Ballah, I. (2023) </w:t>
      </w:r>
      <w:r>
        <w:rPr>
          <w:i/>
          <w:iCs/>
          <w:highlight w:val="white"/>
        </w:rPr>
        <w:t>Understanding PESTEL, SWOT, and Lean Canvas: Strategic Tools for Entrepreneurs</w:t>
      </w:r>
      <w:r>
        <w:rPr>
          <w:highlight w:val="white"/>
        </w:rPr>
        <w:t>. Available at: https://medium.com/@isaiahballah/understanding-pestel-swot-and-lean-canvas-strategic-tools-for-entrepreneurs-636424ebd52b (Accessed: 24 January 2026).</w:t>
      </w:r>
    </w:p>
    <w:p w14:paraId="512FA66E" w14:textId="77777777" w:rsidR="001D4DC0" w:rsidRDefault="00000000">
      <w:pPr>
        <w:spacing w:before="200" w:after="200"/>
        <w:rPr>
          <w:highlight w:val="white"/>
        </w:rPr>
      </w:pPr>
      <w:proofErr w:type="spellStart"/>
      <w:r>
        <w:rPr>
          <w:highlight w:val="white"/>
        </w:rPr>
        <w:t>Batabyal</w:t>
      </w:r>
      <w:proofErr w:type="spellEnd"/>
      <w:r>
        <w:rPr>
          <w:highlight w:val="white"/>
        </w:rPr>
        <w:t xml:space="preserve">, D. and Das, D.K. (eds) (2019) </w:t>
      </w:r>
      <w:r>
        <w:rPr>
          <w:i/>
          <w:iCs/>
          <w:highlight w:val="white"/>
        </w:rPr>
        <w:t>Global trends, practices, and challenges in contemporary tourism and hospitality management</w:t>
      </w:r>
      <w:r>
        <w:rPr>
          <w:highlight w:val="white"/>
        </w:rPr>
        <w:t>. Hershey, Pennsylvania: Business Science Reference, an imprint of IGI Global.</w:t>
      </w:r>
    </w:p>
    <w:p w14:paraId="2C10A3F4" w14:textId="77777777" w:rsidR="001D4DC0" w:rsidRDefault="00000000">
      <w:pPr>
        <w:spacing w:before="200" w:after="200"/>
        <w:rPr>
          <w:highlight w:val="white"/>
        </w:rPr>
      </w:pPr>
      <w:r>
        <w:rPr>
          <w:highlight w:val="white"/>
        </w:rPr>
        <w:t xml:space="preserve">Cooper, C. and Hall, C.M. (2023) </w:t>
      </w:r>
      <w:r>
        <w:rPr>
          <w:i/>
          <w:iCs/>
          <w:highlight w:val="white"/>
        </w:rPr>
        <w:t xml:space="preserve">Contemporary </w:t>
      </w:r>
      <w:proofErr w:type="gramStart"/>
      <w:r>
        <w:rPr>
          <w:i/>
          <w:iCs/>
          <w:highlight w:val="white"/>
        </w:rPr>
        <w:t>tourism :</w:t>
      </w:r>
      <w:proofErr w:type="gramEnd"/>
      <w:r>
        <w:rPr>
          <w:i/>
          <w:iCs/>
          <w:highlight w:val="white"/>
        </w:rPr>
        <w:t xml:space="preserve"> an international approach</w:t>
      </w:r>
      <w:r>
        <w:rPr>
          <w:highlight w:val="white"/>
        </w:rPr>
        <w:t>. 5th ed. Oxford: Goodfellow Publishers Limited.</w:t>
      </w:r>
    </w:p>
    <w:p w14:paraId="156E80E4" w14:textId="77777777" w:rsidR="001D4DC0" w:rsidRDefault="00000000">
      <w:pPr>
        <w:spacing w:before="200" w:after="200"/>
        <w:rPr>
          <w:highlight w:val="white"/>
        </w:rPr>
      </w:pPr>
      <w:r>
        <w:rPr>
          <w:highlight w:val="white"/>
        </w:rPr>
        <w:t xml:space="preserve">Costa, V. and Costa, C. (eds) (2022) </w:t>
      </w:r>
      <w:r>
        <w:rPr>
          <w:i/>
          <w:iCs/>
          <w:highlight w:val="white"/>
        </w:rPr>
        <w:t>Sustainability and competitiveness in the hospitality industry</w:t>
      </w:r>
      <w:r>
        <w:rPr>
          <w:highlight w:val="white"/>
        </w:rPr>
        <w:t>. Hershey, Pennsylvania: Business Science Reference.</w:t>
      </w:r>
    </w:p>
    <w:p w14:paraId="4B53559D" w14:textId="77777777" w:rsidR="001D4DC0" w:rsidRDefault="00000000">
      <w:pPr>
        <w:spacing w:before="240" w:after="240"/>
      </w:pPr>
      <w:r>
        <w:t xml:space="preserve">Downtown in Business (2025) </w:t>
      </w:r>
      <w:r>
        <w:rPr>
          <w:i/>
          <w:iCs/>
        </w:rPr>
        <w:t>Novotel Birmingham City Centre - Downtown in Business</w:t>
      </w:r>
      <w:r>
        <w:t>. Available at: https://downtowninbusiness.com/venue-of-the-month/2025/11/01/novotel-birmingham-city-centre/ (Accessed: 20 January 2026)</w:t>
      </w:r>
    </w:p>
    <w:p w14:paraId="57083702" w14:textId="77777777" w:rsidR="001D4DC0" w:rsidRDefault="00000000">
      <w:pPr>
        <w:spacing w:after="240"/>
        <w:rPr>
          <w:highlight w:val="white"/>
        </w:rPr>
      </w:pPr>
      <w:proofErr w:type="spellStart"/>
      <w:r>
        <w:rPr>
          <w:highlight w:val="white"/>
        </w:rPr>
        <w:lastRenderedPageBreak/>
        <w:t>Dreamstime</w:t>
      </w:r>
      <w:proofErr w:type="spellEnd"/>
      <w:r>
        <w:rPr>
          <w:highlight w:val="white"/>
        </w:rPr>
        <w:t xml:space="preserve"> (2024) </w:t>
      </w:r>
      <w:r>
        <w:rPr>
          <w:i/>
          <w:iCs/>
          <w:highlight w:val="white"/>
        </w:rPr>
        <w:t xml:space="preserve">Conclusion Tag Stock Illustrations – 740 Conclusion Tag Stock Illustrations, Vectors &amp; Clipart - </w:t>
      </w:r>
      <w:proofErr w:type="spellStart"/>
      <w:proofErr w:type="gramStart"/>
      <w:r>
        <w:rPr>
          <w:i/>
          <w:iCs/>
          <w:highlight w:val="white"/>
        </w:rPr>
        <w:t>Dreamstime</w:t>
      </w:r>
      <w:proofErr w:type="spellEnd"/>
      <w:r>
        <w:rPr>
          <w:highlight w:val="white"/>
        </w:rPr>
        <w:t>..</w:t>
      </w:r>
      <w:proofErr w:type="gramEnd"/>
      <w:r>
        <w:rPr>
          <w:highlight w:val="white"/>
        </w:rPr>
        <w:t xml:space="preserve"> Available at: https://www.dreamstime.com/illustration/conclusion-tag.html (Accessed: 21 January 2026).</w:t>
      </w:r>
    </w:p>
    <w:p w14:paraId="713332CC" w14:textId="77777777" w:rsidR="001D4DC0" w:rsidRDefault="00000000">
      <w:pPr>
        <w:spacing w:after="240"/>
        <w:rPr>
          <w:highlight w:val="white"/>
        </w:rPr>
      </w:pPr>
      <w:r>
        <w:rPr>
          <w:highlight w:val="white"/>
        </w:rPr>
        <w:t xml:space="preserve">Fleck, A. (2022) </w:t>
      </w:r>
      <w:r>
        <w:rPr>
          <w:i/>
          <w:iCs/>
          <w:highlight w:val="white"/>
        </w:rPr>
        <w:t>Infographic: A Breakdown of the Rising Cost of Living</w:t>
      </w:r>
      <w:r>
        <w:rPr>
          <w:highlight w:val="white"/>
        </w:rPr>
        <w:t>. Available at: https://www.statista.com/chart/28262/breakdown-of-the-rising-cost-of-living-in-the-uk/?srsltid=AfmBOoqRm2FFXnqo0gqBSGG91wD_qRdJ4HHyS0dZxyNCUwtvvECnL5WR (Accessed: 22 January 2026).</w:t>
      </w:r>
    </w:p>
    <w:p w14:paraId="5430AB9A" w14:textId="77777777" w:rsidR="001D4DC0" w:rsidRDefault="00000000">
      <w:pPr>
        <w:spacing w:after="240"/>
        <w:rPr>
          <w:highlight w:val="white"/>
        </w:rPr>
      </w:pPr>
      <w:r>
        <w:rPr>
          <w:highlight w:val="white"/>
        </w:rPr>
        <w:t xml:space="preserve">GOV UK (2026) </w:t>
      </w:r>
      <w:r>
        <w:rPr>
          <w:i/>
          <w:iCs/>
          <w:highlight w:val="white"/>
        </w:rPr>
        <w:t xml:space="preserve">Factsheet: Employment Rights Act 2025 - Overview </w:t>
      </w:r>
      <w:proofErr w:type="spellStart"/>
      <w:r>
        <w:rPr>
          <w:i/>
          <w:iCs/>
          <w:highlight w:val="white"/>
        </w:rPr>
        <w:t>Overview</w:t>
      </w:r>
      <w:proofErr w:type="spellEnd"/>
      <w:r>
        <w:rPr>
          <w:highlight w:val="white"/>
        </w:rPr>
        <w:t>. Available at: https://assets.publishing.service.gov.uk/media/696fabb3c0f4afaa9536a0f2/employment-rights-act-2025-overview-factsheet.pdf (Accessed: 26 January 2026).</w:t>
      </w:r>
    </w:p>
    <w:p w14:paraId="6A341792" w14:textId="77777777" w:rsidR="001D4DC0" w:rsidRDefault="00000000">
      <w:pPr>
        <w:spacing w:after="240"/>
        <w:rPr>
          <w:highlight w:val="white"/>
        </w:rPr>
      </w:pPr>
      <w:r>
        <w:rPr>
          <w:highlight w:val="white"/>
        </w:rPr>
        <w:t xml:space="preserve">Hinton, T. (2023) </w:t>
      </w:r>
      <w:r>
        <w:rPr>
          <w:i/>
          <w:iCs/>
          <w:highlight w:val="white"/>
        </w:rPr>
        <w:t>Infographic: Digital transformation: what matters most to European hoteliers</w:t>
      </w:r>
      <w:r>
        <w:rPr>
          <w:highlight w:val="white"/>
        </w:rPr>
        <w:t>. Available at: https://www.statista.com/chart/29350/leading-digital-transformation-topics-for-european-hoteliers/ (Accessed: 23 January 2026).</w:t>
      </w:r>
    </w:p>
    <w:p w14:paraId="6B793A11" w14:textId="77777777" w:rsidR="001D4DC0" w:rsidRDefault="00000000">
      <w:pPr>
        <w:spacing w:before="200" w:after="200"/>
        <w:rPr>
          <w:highlight w:val="white"/>
        </w:rPr>
      </w:pPr>
      <w:r>
        <w:rPr>
          <w:highlight w:val="white"/>
        </w:rPr>
        <w:t xml:space="preserve">Hotel-Online (2025) </w:t>
      </w:r>
      <w:r>
        <w:rPr>
          <w:i/>
          <w:iCs/>
          <w:highlight w:val="white"/>
        </w:rPr>
        <w:t xml:space="preserve">Hospitality Wellbeing in 2025: Turning Insight </w:t>
      </w:r>
      <w:proofErr w:type="gramStart"/>
      <w:r>
        <w:rPr>
          <w:i/>
          <w:iCs/>
          <w:highlight w:val="white"/>
        </w:rPr>
        <w:t>Into</w:t>
      </w:r>
      <w:proofErr w:type="gramEnd"/>
      <w:r>
        <w:rPr>
          <w:i/>
          <w:iCs/>
          <w:highlight w:val="white"/>
        </w:rPr>
        <w:t xml:space="preserve"> Action</w:t>
      </w:r>
      <w:r>
        <w:rPr>
          <w:highlight w:val="white"/>
        </w:rPr>
        <w:t>. Available at:</w:t>
      </w:r>
      <w:hyperlink r:id="rId31">
        <w:r w:rsidR="001D4DC0">
          <w:rPr>
            <w:highlight w:val="white"/>
          </w:rPr>
          <w:t xml:space="preserve"> https://www.hotel-online.com/news/hospitality-wellbeing-in-2025-turning-insight-into-action</w:t>
        </w:r>
      </w:hyperlink>
      <w:r>
        <w:rPr>
          <w:highlight w:val="white"/>
        </w:rPr>
        <w:t xml:space="preserve"> (Accessed: 24 January 2026)</w:t>
      </w:r>
    </w:p>
    <w:p w14:paraId="24B58BF3" w14:textId="77777777" w:rsidR="001D4DC0" w:rsidRDefault="00000000">
      <w:pPr>
        <w:rPr>
          <w:highlight w:val="white"/>
        </w:rPr>
      </w:pPr>
      <w:r>
        <w:rPr>
          <w:highlight w:val="white"/>
        </w:rPr>
        <w:t xml:space="preserve">Ibrahim, I. W., Ghazali, I. M., Syed, S. A., Abdullah, N. H. R., Hamid, M. H. A., and Aisyah, S. H. (2023) ‘Exploring motivation for learning using Hertzberg’s two factor theory’ </w:t>
      </w:r>
      <w:r>
        <w:rPr>
          <w:i/>
          <w:iCs/>
          <w:highlight w:val="white"/>
        </w:rPr>
        <w:t>International Journal of Academic Research in Business and Social Sciences</w:t>
      </w:r>
      <w:r>
        <w:rPr>
          <w:highlight w:val="white"/>
        </w:rPr>
        <w:t>, 13(3), pp. 1065-1083.</w:t>
      </w:r>
    </w:p>
    <w:p w14:paraId="63C6A0CC" w14:textId="77777777" w:rsidR="001D4DC0" w:rsidRDefault="00000000">
      <w:pPr>
        <w:spacing w:before="200" w:after="200"/>
        <w:rPr>
          <w:highlight w:val="white"/>
        </w:rPr>
      </w:pPr>
      <w:r>
        <w:rPr>
          <w:highlight w:val="white"/>
        </w:rPr>
        <w:t xml:space="preserve">Jung, H., Hwang, Y. and Yoon, H.-H. (2023) ‘Impact of Hotel Employees’ Psychological Well-Being on Job Satisfaction and Pro-Social Service </w:t>
      </w:r>
      <w:proofErr w:type="spellStart"/>
      <w:r>
        <w:rPr>
          <w:highlight w:val="white"/>
        </w:rPr>
        <w:t>Behavior</w:t>
      </w:r>
      <w:proofErr w:type="spellEnd"/>
      <w:r>
        <w:rPr>
          <w:highlight w:val="white"/>
        </w:rPr>
        <w:t xml:space="preserve">: Moderating Effect of Work–Life Balance’, </w:t>
      </w:r>
      <w:r>
        <w:rPr>
          <w:i/>
          <w:iCs/>
          <w:highlight w:val="white"/>
        </w:rPr>
        <w:t>Sustainability</w:t>
      </w:r>
      <w:r>
        <w:rPr>
          <w:highlight w:val="white"/>
        </w:rPr>
        <w:t xml:space="preserve">, 15(15), p. 11687. </w:t>
      </w:r>
    </w:p>
    <w:p w14:paraId="5613A2CD" w14:textId="77777777" w:rsidR="001D4DC0" w:rsidRDefault="00000000">
      <w:pPr>
        <w:rPr>
          <w:highlight w:val="white"/>
        </w:rPr>
      </w:pPr>
      <w:r>
        <w:rPr>
          <w:highlight w:val="white"/>
        </w:rPr>
        <w:t xml:space="preserve">Li, Y., Chen, C., and Yuan, Y. (2025) ‘Evolving the job demands-resources framework to JD-R 3.0: The impact of after-hours connectivity and organizational support on employee psychological distress’ </w:t>
      </w:r>
      <w:r>
        <w:rPr>
          <w:i/>
          <w:iCs/>
          <w:highlight w:val="white"/>
        </w:rPr>
        <w:t xml:space="preserve">Acta </w:t>
      </w:r>
      <w:proofErr w:type="spellStart"/>
      <w:r>
        <w:rPr>
          <w:i/>
          <w:iCs/>
          <w:highlight w:val="white"/>
        </w:rPr>
        <w:t>Psychologica</w:t>
      </w:r>
      <w:proofErr w:type="spellEnd"/>
      <w:r>
        <w:rPr>
          <w:highlight w:val="white"/>
        </w:rPr>
        <w:t>, 253, p. 104710.</w:t>
      </w:r>
    </w:p>
    <w:p w14:paraId="4A597381" w14:textId="77777777" w:rsidR="001D4DC0" w:rsidRDefault="00000000">
      <w:pPr>
        <w:spacing w:before="240" w:after="240"/>
        <w:rPr>
          <w:highlight w:val="white"/>
        </w:rPr>
      </w:pPr>
      <w:r>
        <w:rPr>
          <w:highlight w:val="white"/>
        </w:rPr>
        <w:t xml:space="preserve">Moody, K. (2024) </w:t>
      </w:r>
      <w:r>
        <w:rPr>
          <w:i/>
          <w:iCs/>
          <w:highlight w:val="white"/>
        </w:rPr>
        <w:t>Hospitality industry faces increased pressure over worker burnout, outdated training</w:t>
      </w:r>
      <w:r>
        <w:rPr>
          <w:highlight w:val="white"/>
        </w:rPr>
        <w:t>. Available at: https://www.hrdive.com/news/hospitality-industry-faces-increased-pressure/725348/ (Accessed: 20 January 2026)</w:t>
      </w:r>
    </w:p>
    <w:p w14:paraId="64B0FE51" w14:textId="77777777" w:rsidR="001D4DC0" w:rsidRDefault="00000000">
      <w:pPr>
        <w:spacing w:after="240"/>
        <w:rPr>
          <w:highlight w:val="white"/>
        </w:rPr>
      </w:pPr>
      <w:r>
        <w:rPr>
          <w:highlight w:val="white"/>
        </w:rPr>
        <w:lastRenderedPageBreak/>
        <w:t xml:space="preserve">O’Carroll, L. (2023) </w:t>
      </w:r>
      <w:r>
        <w:rPr>
          <w:i/>
          <w:iCs/>
          <w:highlight w:val="white"/>
        </w:rPr>
        <w:t>Shortfall of 330,000 workers in UK due to Brexit, say thinktanks</w:t>
      </w:r>
      <w:r>
        <w:rPr>
          <w:highlight w:val="white"/>
        </w:rPr>
        <w:t>. Available at: https://www.theguardian.com/politics/2023/jan/17/shortfall-of-330000-workers-in-uk-due-to-brexit-say-thinktanks (Accessed: 26 January 2026).</w:t>
      </w:r>
    </w:p>
    <w:p w14:paraId="75195D30" w14:textId="77777777" w:rsidR="001D4DC0" w:rsidRDefault="00000000">
      <w:pPr>
        <w:spacing w:before="200" w:after="200"/>
        <w:rPr>
          <w:highlight w:val="white"/>
        </w:rPr>
      </w:pPr>
      <w:r>
        <w:rPr>
          <w:highlight w:val="white"/>
        </w:rPr>
        <w:t xml:space="preserve">Partridge, J. (2025) </w:t>
      </w:r>
      <w:r>
        <w:rPr>
          <w:i/>
          <w:iCs/>
          <w:highlight w:val="white"/>
        </w:rPr>
        <w:t>Work-life balance more important than pay for employees worldwide</w:t>
      </w:r>
      <w:r>
        <w:rPr>
          <w:highlight w:val="white"/>
        </w:rPr>
        <w:t>. Available at: https://www.theguardian.com/business/2025/jan/21/work-life-balance-pay-workers-covid-pandemic (Accessed: 21 January 2026)</w:t>
      </w:r>
    </w:p>
    <w:p w14:paraId="6918ECA0" w14:textId="77777777" w:rsidR="001D4DC0" w:rsidRDefault="00000000">
      <w:pPr>
        <w:rPr>
          <w:highlight w:val="white"/>
        </w:rPr>
      </w:pPr>
      <w:r>
        <w:rPr>
          <w:highlight w:val="white"/>
        </w:rPr>
        <w:t xml:space="preserve">Ren, F. F., and Guo, R. J. (2020) ‘Public mental health in post-COVID-19 era’ </w:t>
      </w:r>
      <w:proofErr w:type="spellStart"/>
      <w:r>
        <w:rPr>
          <w:i/>
          <w:iCs/>
          <w:highlight w:val="white"/>
        </w:rPr>
        <w:t>Psychiatria</w:t>
      </w:r>
      <w:proofErr w:type="spellEnd"/>
      <w:r>
        <w:rPr>
          <w:i/>
          <w:iCs/>
          <w:highlight w:val="white"/>
        </w:rPr>
        <w:t xml:space="preserve"> </w:t>
      </w:r>
      <w:proofErr w:type="spellStart"/>
      <w:r>
        <w:rPr>
          <w:i/>
          <w:iCs/>
          <w:highlight w:val="white"/>
        </w:rPr>
        <w:t>danubina</w:t>
      </w:r>
      <w:proofErr w:type="spellEnd"/>
      <w:r>
        <w:rPr>
          <w:highlight w:val="white"/>
        </w:rPr>
        <w:t>, 32(2), pp. 251-255.</w:t>
      </w:r>
    </w:p>
    <w:p w14:paraId="7C3AAF6E" w14:textId="77777777" w:rsidR="001D4DC0" w:rsidRDefault="00000000">
      <w:pPr>
        <w:spacing w:after="240"/>
        <w:rPr>
          <w:highlight w:val="white"/>
        </w:rPr>
      </w:pPr>
      <w:r>
        <w:rPr>
          <w:highlight w:val="white"/>
        </w:rPr>
        <w:t xml:space="preserve">Statista. (2024) </w:t>
      </w:r>
      <w:r>
        <w:rPr>
          <w:i/>
          <w:iCs/>
          <w:highlight w:val="white"/>
        </w:rPr>
        <w:t>Requirements for sustainable living UK 2024| Statista</w:t>
      </w:r>
      <w:r>
        <w:rPr>
          <w:highlight w:val="white"/>
        </w:rPr>
        <w:t>. Available at: https://www.statista.com/statistics/1325318/prerequisites-for-living-a-more-sustainable-lifestyle-uk/?srsltid=AfmBOopp8V7aeBb9Euv05hGfS3AC79UbD0_3BzYMqK_WFjsECgRGyiT6 (Accessed: 21 January 2026).</w:t>
      </w:r>
    </w:p>
    <w:p w14:paraId="72691215" w14:textId="77777777" w:rsidR="001D4DC0" w:rsidRDefault="00000000">
      <w:pPr>
        <w:spacing w:before="200" w:after="200"/>
        <w:rPr>
          <w:highlight w:val="white"/>
        </w:rPr>
      </w:pPr>
      <w:proofErr w:type="spellStart"/>
      <w:r>
        <w:rPr>
          <w:highlight w:val="white"/>
        </w:rPr>
        <w:t>Üngüren</w:t>
      </w:r>
      <w:proofErr w:type="spellEnd"/>
      <w:r>
        <w:rPr>
          <w:highlight w:val="white"/>
        </w:rPr>
        <w:t xml:space="preserve">, E., Onur, N., Demirel, H. and Tekin, Ö.A. (2024) ‘The Effects of Job Stress on Burnout and Turnover Intention: The Moderating Effects of Job Security and Financial Dependency’, </w:t>
      </w:r>
      <w:proofErr w:type="spellStart"/>
      <w:r>
        <w:rPr>
          <w:i/>
          <w:iCs/>
          <w:highlight w:val="white"/>
        </w:rPr>
        <w:t>Behavioral</w:t>
      </w:r>
      <w:proofErr w:type="spellEnd"/>
      <w:r>
        <w:rPr>
          <w:i/>
          <w:iCs/>
          <w:highlight w:val="white"/>
        </w:rPr>
        <w:t xml:space="preserve"> Sciences</w:t>
      </w:r>
      <w:r>
        <w:rPr>
          <w:highlight w:val="white"/>
        </w:rPr>
        <w:t xml:space="preserve">, 14(4), p. 322. </w:t>
      </w:r>
    </w:p>
    <w:p w14:paraId="43E7AB09" w14:textId="77777777" w:rsidR="001D4DC0" w:rsidRDefault="00000000">
      <w:pPr>
        <w:spacing w:before="240" w:after="240"/>
        <w:rPr>
          <w:highlight w:val="white"/>
        </w:rPr>
      </w:pPr>
      <w:r>
        <w:rPr>
          <w:highlight w:val="white"/>
        </w:rPr>
        <w:t xml:space="preserve">Writer, S. (2025) </w:t>
      </w:r>
      <w:r>
        <w:rPr>
          <w:i/>
          <w:iCs/>
          <w:highlight w:val="white"/>
        </w:rPr>
        <w:t>Half of UK employees admit to making stress-related mistakes</w:t>
      </w:r>
      <w:r>
        <w:rPr>
          <w:highlight w:val="white"/>
        </w:rPr>
        <w:t>. Available at: https://www.healthandsafetyinternational.com/article/1943084/half-uk-employees-admit-making-stress-related-mistakes (Accessed: 21 January 2026)</w:t>
      </w:r>
    </w:p>
    <w:p w14:paraId="29995867" w14:textId="77777777" w:rsidR="001D4DC0" w:rsidRDefault="00000000">
      <w:pPr>
        <w:spacing w:before="200" w:after="200"/>
        <w:rPr>
          <w:highlight w:val="white"/>
        </w:rPr>
      </w:pPr>
      <w:r>
        <w:rPr>
          <w:highlight w:val="white"/>
        </w:rPr>
        <w:t xml:space="preserve">Yan, J., Kim, S., Zhang, S.X., Foo, M.-D., Alvarez-Risco, A., Del-Aguila-Arcentales, S. and Yáñez, J.A. (2021) ‘Hospitality workers’ COVID-19 risk perception and depression: a contingent model based on transactional theory of stress model’, </w:t>
      </w:r>
      <w:r>
        <w:rPr>
          <w:i/>
          <w:iCs/>
          <w:highlight w:val="white"/>
        </w:rPr>
        <w:t>International Journal of Hospitality Management</w:t>
      </w:r>
      <w:r>
        <w:rPr>
          <w:highlight w:val="white"/>
        </w:rPr>
        <w:t xml:space="preserve">, 95, pp. 1–12. </w:t>
      </w:r>
    </w:p>
    <w:p w14:paraId="7AE142FA" w14:textId="77777777" w:rsidR="001D4DC0" w:rsidRDefault="00000000">
      <w:pPr>
        <w:rPr>
          <w:highlight w:val="white"/>
        </w:rPr>
      </w:pPr>
      <w:r>
        <w:rPr>
          <w:highlight w:val="white"/>
        </w:rPr>
        <w:t xml:space="preserve">Yin, X. L., Yang, Y. L., Kim, H. J., and Zhang, Y. (2022) ‘Examining the job burnout of Chinese hospitality management students in internships via the transactional model’ </w:t>
      </w:r>
      <w:r>
        <w:rPr>
          <w:i/>
          <w:iCs/>
          <w:highlight w:val="white"/>
        </w:rPr>
        <w:t>Frontiers in Psychology</w:t>
      </w:r>
      <w:r>
        <w:rPr>
          <w:highlight w:val="white"/>
        </w:rPr>
        <w:t>, 13, pp. 1-11.</w:t>
      </w:r>
    </w:p>
    <w:p w14:paraId="2ED36FAD" w14:textId="77777777" w:rsidR="001D4DC0" w:rsidRDefault="001D4DC0">
      <w:pPr>
        <w:spacing w:after="240"/>
        <w:rPr>
          <w:highlight w:val="white"/>
        </w:rPr>
      </w:pPr>
    </w:p>
    <w:p w14:paraId="00700742" w14:textId="77777777" w:rsidR="001D4DC0" w:rsidRDefault="001D4DC0">
      <w:pPr>
        <w:spacing w:after="240"/>
        <w:rPr>
          <w:highlight w:val="white"/>
        </w:rPr>
      </w:pPr>
    </w:p>
    <w:p w14:paraId="64D3266C" w14:textId="77777777" w:rsidR="001D4DC0" w:rsidRDefault="001D4DC0">
      <w:pPr>
        <w:spacing w:before="240" w:after="240"/>
        <w:rPr>
          <w:highlight w:val="white"/>
        </w:rPr>
      </w:pPr>
    </w:p>
    <w:p w14:paraId="1375E6F6" w14:textId="77777777" w:rsidR="001D4DC0" w:rsidRDefault="001D4DC0">
      <w:pPr>
        <w:spacing w:before="200" w:after="200"/>
        <w:rPr>
          <w:highlight w:val="white"/>
        </w:rPr>
      </w:pPr>
    </w:p>
    <w:p w14:paraId="2D2A359F" w14:textId="77777777" w:rsidR="001D4DC0" w:rsidRDefault="001D4DC0">
      <w:pPr>
        <w:spacing w:after="240"/>
        <w:rPr>
          <w:highlight w:val="white"/>
        </w:rPr>
      </w:pPr>
    </w:p>
    <w:p w14:paraId="4757EED3" w14:textId="77777777" w:rsidR="001D4DC0" w:rsidRDefault="001D4DC0">
      <w:pPr>
        <w:spacing w:after="240"/>
        <w:rPr>
          <w:highlight w:val="white"/>
        </w:rPr>
      </w:pPr>
    </w:p>
    <w:p w14:paraId="1371FB3B" w14:textId="77777777" w:rsidR="001D4DC0" w:rsidRDefault="001D4DC0">
      <w:pPr>
        <w:rPr>
          <w:highlight w:val="white"/>
        </w:rPr>
      </w:pPr>
    </w:p>
    <w:p w14:paraId="16BFD376" w14:textId="77777777" w:rsidR="001D4DC0" w:rsidRDefault="001D4DC0"/>
    <w:p w14:paraId="58202537" w14:textId="77777777" w:rsidR="001D4DC0" w:rsidRDefault="001D4DC0"/>
    <w:p w14:paraId="64409688" w14:textId="77777777" w:rsidR="001D4DC0" w:rsidRDefault="001D4DC0"/>
    <w:p w14:paraId="1CDBBA4C" w14:textId="77777777" w:rsidR="001D4DC0" w:rsidRDefault="001D4DC0"/>
    <w:sectPr w:rsidR="001D4DC0">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B24A4" w14:textId="77777777" w:rsidR="00CF6686" w:rsidRDefault="00CF6686">
      <w:pPr>
        <w:spacing w:line="240" w:lineRule="auto"/>
      </w:pPr>
      <w:r>
        <w:separator/>
      </w:r>
    </w:p>
  </w:endnote>
  <w:endnote w:type="continuationSeparator" w:id="0">
    <w:p w14:paraId="7015A814" w14:textId="77777777" w:rsidR="00CF6686" w:rsidRDefault="00CF66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7CAA9BB-A94E-7840-A11B-D0B778AC1FAA}"/>
    <w:embedBold r:id="rId2" w:fontKey="{608E59E3-2DA4-F641-B35B-02C6EAA65C0F}"/>
    <w:embedItalic r:id="rId3" w:fontKey="{33603F6E-1703-6448-B7C8-7C3246CB0320}"/>
  </w:font>
  <w:font w:name="Arial">
    <w:panose1 w:val="020B0604020202020204"/>
    <w:charset w:val="00"/>
    <w:family w:val="swiss"/>
    <w:pitch w:val="variable"/>
    <w:sig w:usb0="E0002AFF" w:usb1="C0007843" w:usb2="00000009" w:usb3="00000000" w:csb0="000001FF" w:csb1="00000000"/>
    <w:embedRegular r:id="rId4" w:fontKey="{144D4822-16B4-0C47-89F4-6B035F4962E1}"/>
  </w:font>
  <w:font w:name="Calibri">
    <w:panose1 w:val="020F0502020204030204"/>
    <w:charset w:val="00"/>
    <w:family w:val="swiss"/>
    <w:pitch w:val="variable"/>
    <w:sig w:usb0="E0002AFF" w:usb1="C000247B" w:usb2="00000009" w:usb3="00000000" w:csb0="000001FF" w:csb1="00000000"/>
    <w:embedRegular r:id="rId5" w:fontKey="{2FE81FFC-9B08-5546-A72C-7776EEC22F24}"/>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embedRegular r:id="rId6" w:fontKey="{587AFC0B-408E-AF4D-AEA0-31B9BF3118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FE98A" w14:textId="77777777" w:rsidR="001D4DC0" w:rsidRDefault="00000000">
    <w:pPr>
      <w:jc w:val="right"/>
    </w:pP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494F5" w14:textId="77777777" w:rsidR="00CF6686" w:rsidRDefault="00CF6686">
      <w:r>
        <w:separator/>
      </w:r>
    </w:p>
  </w:footnote>
  <w:footnote w:type="continuationSeparator" w:id="0">
    <w:p w14:paraId="7E08FCDC" w14:textId="77777777" w:rsidR="00CF6686" w:rsidRDefault="00CF66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F9A"/>
    <w:rsid w:val="0002472B"/>
    <w:rsid w:val="00090752"/>
    <w:rsid w:val="000A0835"/>
    <w:rsid w:val="000C6B1C"/>
    <w:rsid w:val="000D67BA"/>
    <w:rsid w:val="001140ED"/>
    <w:rsid w:val="00127BA6"/>
    <w:rsid w:val="00136F9A"/>
    <w:rsid w:val="001D4DC0"/>
    <w:rsid w:val="00251FB5"/>
    <w:rsid w:val="0026062E"/>
    <w:rsid w:val="002F3E74"/>
    <w:rsid w:val="00382062"/>
    <w:rsid w:val="0041174A"/>
    <w:rsid w:val="004C74A3"/>
    <w:rsid w:val="00517FFA"/>
    <w:rsid w:val="005D4CBE"/>
    <w:rsid w:val="00677F64"/>
    <w:rsid w:val="0071683E"/>
    <w:rsid w:val="007701D3"/>
    <w:rsid w:val="00777360"/>
    <w:rsid w:val="008646AD"/>
    <w:rsid w:val="00864D33"/>
    <w:rsid w:val="009332E8"/>
    <w:rsid w:val="0095414A"/>
    <w:rsid w:val="009707A8"/>
    <w:rsid w:val="009E69EB"/>
    <w:rsid w:val="00B1682A"/>
    <w:rsid w:val="00C1170C"/>
    <w:rsid w:val="00C41A16"/>
    <w:rsid w:val="00CD3FF0"/>
    <w:rsid w:val="00CF6686"/>
    <w:rsid w:val="00D10FA2"/>
    <w:rsid w:val="00DE18EC"/>
    <w:rsid w:val="00F533BC"/>
    <w:rsid w:val="00FD6F7F"/>
    <w:rsid w:val="00FE5980"/>
    <w:rsid w:val="28E01E33"/>
    <w:rsid w:val="6DB71A0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2364349"/>
  <w15:docId w15:val="{EE07F368-F0D7-0740-85D1-1235488A4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eastAsia="en-IN"/>
    </w:rPr>
  </w:style>
  <w:style w:type="paragraph" w:styleId="Heading1">
    <w:name w:val="heading 1"/>
    <w:basedOn w:val="Normal"/>
    <w:next w:val="Normal"/>
    <w:uiPriority w:val="9"/>
    <w:qFormat/>
    <w:pPr>
      <w:keepNext/>
      <w:keepLines/>
      <w:spacing w:after="20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table" w:customStyle="1" w:styleId="TableNormal0">
    <w:name w:val="TableNormal"/>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GIF"/><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hotel-online.com/news/hospitality-wellbeing-in-2025-turning-insight-into-action"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0742A-9C53-47A2-8BF2-7BBCE83B9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1753</Words>
  <Characters>11518</Characters>
  <Application>Microsoft Office Word</Application>
  <DocSecurity>0</DocSecurity>
  <Lines>225</Lines>
  <Paragraphs>81</Paragraphs>
  <ScaleCrop>false</ScaleCrop>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Catalina Ianos (2232322)</cp:lastModifiedBy>
  <cp:revision>3</cp:revision>
  <dcterms:created xsi:type="dcterms:W3CDTF">2026-01-30T14:04:00Z</dcterms:created>
  <dcterms:modified xsi:type="dcterms:W3CDTF">2026-02-25T17:23:00Z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5538eb64-33de-4170-bfb2-d354c5f81f0e</vt:lpwstr>
  </property>
  <property fmtid="{D5CDD505-2E9C-101B-9397-08002B2CF9AE}" pid="3" name="KSOProductBuildVer">
    <vt:lpwstr>2057-12.2.0.23196</vt:lpwstr>
  </property>
  <property fmtid="{D5CDD505-2E9C-101B-9397-08002B2CF9AE}" pid="4" name="ICV">
    <vt:lpwstr>37E6EA3B7EC847368B1342D68096DE5F_12</vt:lpwstr>
  </property>
</Properties>
</file>