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3653F" w14:textId="512B367A" w:rsidR="00DF48FB" w:rsidRPr="00DF48FB" w:rsidRDefault="00DF48FB" w:rsidP="00DF48FB">
      <w:pPr>
        <w:spacing w:before="100" w:beforeAutospacing="1" w:after="100" w:afterAutospacing="1"/>
        <w:rPr>
          <w:rFonts w:ascii="Calibri" w:hAnsi="Calibri" w:cs="Calibri"/>
          <w:b/>
          <w:bCs/>
        </w:rPr>
      </w:pPr>
      <w:r w:rsidRPr="00DF48FB">
        <w:rPr>
          <w:rFonts w:ascii="Calibri" w:hAnsi="Calibri" w:cs="Calibri"/>
          <w:b/>
          <w:bCs/>
        </w:rPr>
        <w:t>The Death of Manx and Cornish and the Survival of Welsh: A Comparative Analysis</w:t>
      </w:r>
    </w:p>
    <w:p w14:paraId="53B75C74" w14:textId="36CF056C"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The extinction of Manx and Cornish and the survival of Welsh present a compelling case for the study of language death and revitali</w:t>
      </w:r>
      <w:r w:rsidRPr="00FC6DE0">
        <w:rPr>
          <w:rFonts w:ascii="Calibri" w:hAnsi="Calibri" w:cs="Calibri"/>
        </w:rPr>
        <w:t>s</w:t>
      </w:r>
      <w:r w:rsidRPr="00DF48FB">
        <w:rPr>
          <w:rFonts w:ascii="Calibri" w:hAnsi="Calibri" w:cs="Calibri"/>
        </w:rPr>
        <w:t xml:space="preserve">ation. </w:t>
      </w:r>
      <w:r w:rsidRPr="00FC6DE0">
        <w:rPr>
          <w:rFonts w:ascii="Calibri" w:hAnsi="Calibri" w:cs="Calibri"/>
        </w:rPr>
        <w:t>As we will discuss, l</w:t>
      </w:r>
      <w:r w:rsidRPr="00DF48FB">
        <w:rPr>
          <w:rFonts w:ascii="Calibri" w:hAnsi="Calibri" w:cs="Calibri"/>
        </w:rPr>
        <w:t>anguages do not die purely due to demographic decline or linguistic inferiority; instead, they fade due to complex socio-political, cultural, and institutional dynamics. This essay examines the historical, political, educational, and technological factors that led to the decline of Manx and Cornish, contrasting them with the multifaceted supports that have enabled Welsh to survive and even thrive into the twenty-first century. Drawing on both primary sources, such as census records and oral histories</w:t>
      </w:r>
      <w:r w:rsidRPr="00FC6DE0">
        <w:rPr>
          <w:rFonts w:ascii="Calibri" w:hAnsi="Calibri" w:cs="Calibri"/>
        </w:rPr>
        <w:t>,</w:t>
      </w:r>
      <w:r w:rsidRPr="00DF48FB">
        <w:rPr>
          <w:rFonts w:ascii="Calibri" w:hAnsi="Calibri" w:cs="Calibri"/>
        </w:rPr>
        <w:t xml:space="preserve"> and secondary scholarship, this study argues that Welsh has endured due to a </w:t>
      </w:r>
      <w:r w:rsidRPr="00FC6DE0">
        <w:rPr>
          <w:rFonts w:ascii="Calibri" w:hAnsi="Calibri" w:cs="Calibri"/>
        </w:rPr>
        <w:t>combination</w:t>
      </w:r>
      <w:r w:rsidRPr="00DF48FB">
        <w:rPr>
          <w:rFonts w:ascii="Calibri" w:hAnsi="Calibri" w:cs="Calibri"/>
        </w:rPr>
        <w:t xml:space="preserve"> of demographic strength, institutional commitment, symbolic legitimacy, and strategic cultural integration.</w:t>
      </w:r>
    </w:p>
    <w:p w14:paraId="2F2251D9" w14:textId="4456ACE1" w:rsidR="00DF48FB" w:rsidRPr="00DF48FB" w:rsidRDefault="00FC6DE0" w:rsidP="00DF48FB">
      <w:pPr>
        <w:spacing w:before="100" w:beforeAutospacing="1" w:after="100" w:afterAutospacing="1"/>
        <w:rPr>
          <w:rFonts w:ascii="Calibri" w:hAnsi="Calibri" w:cs="Calibri"/>
        </w:rPr>
      </w:pPr>
      <w:r w:rsidRPr="00FC6DE0">
        <w:rPr>
          <w:rFonts w:ascii="Calibri" w:hAnsi="Calibri" w:cs="Calibri"/>
        </w:rPr>
        <w:t xml:space="preserve">The marginalisation of Manx and Cornish paralleled their integration into English governance, where regional languages were gradually excluded from public life. </w:t>
      </w:r>
      <w:r w:rsidR="00DF48FB" w:rsidRPr="00DF48FB">
        <w:rPr>
          <w:rFonts w:ascii="Calibri" w:hAnsi="Calibri" w:cs="Calibri"/>
        </w:rPr>
        <w:t>With the expansion of centrali</w:t>
      </w:r>
      <w:r w:rsidR="00DF48FB" w:rsidRPr="00FC6DE0">
        <w:rPr>
          <w:rFonts w:ascii="Calibri" w:hAnsi="Calibri" w:cs="Calibri"/>
        </w:rPr>
        <w:t>s</w:t>
      </w:r>
      <w:r w:rsidR="00DF48FB" w:rsidRPr="00DF48FB">
        <w:rPr>
          <w:rFonts w:ascii="Calibri" w:hAnsi="Calibri" w:cs="Calibri"/>
        </w:rPr>
        <w:t>ed English governance, religious conformity, and economic moderni</w:t>
      </w:r>
      <w:r w:rsidR="00DF48FB" w:rsidRPr="00FC6DE0">
        <w:rPr>
          <w:rFonts w:ascii="Calibri" w:hAnsi="Calibri" w:cs="Calibri"/>
        </w:rPr>
        <w:t>sa</w:t>
      </w:r>
      <w:r w:rsidR="00DF48FB" w:rsidRPr="00DF48FB">
        <w:rPr>
          <w:rFonts w:ascii="Calibri" w:hAnsi="Calibri" w:cs="Calibri"/>
        </w:rPr>
        <w:t>tion, regional languages became increasingly irrelevant to public life and formal institutions. In Cornwall, the imposition of the English-language Book of Common Prayer in 1549 prompted the Prayer Book Rebellion, a violent uprising by Cornish speakers demanding the right to worship in their native tongue</w:t>
      </w:r>
      <w:r w:rsidR="00DF48FB" w:rsidRPr="00FC6DE0">
        <w:rPr>
          <w:rFonts w:ascii="Calibri" w:hAnsi="Calibri" w:cs="Calibri"/>
        </w:rPr>
        <w:t>, however</w:t>
      </w:r>
      <w:r w:rsidR="00DF48FB" w:rsidRPr="00DF48FB">
        <w:rPr>
          <w:rFonts w:ascii="Calibri" w:hAnsi="Calibri" w:cs="Calibri"/>
        </w:rPr>
        <w:t xml:space="preserve"> </w:t>
      </w:r>
      <w:r w:rsidR="00DF48FB" w:rsidRPr="00FC6DE0">
        <w:rPr>
          <w:rFonts w:ascii="Calibri" w:hAnsi="Calibri" w:cs="Calibri"/>
        </w:rPr>
        <w:t>i</w:t>
      </w:r>
      <w:r w:rsidR="00DF48FB" w:rsidRPr="00DF48FB">
        <w:rPr>
          <w:rFonts w:ascii="Calibri" w:hAnsi="Calibri" w:cs="Calibri"/>
        </w:rPr>
        <w:t xml:space="preserve">ts </w:t>
      </w:r>
      <w:r w:rsidRPr="00FC6DE0">
        <w:rPr>
          <w:rFonts w:ascii="Calibri" w:hAnsi="Calibri" w:cs="Calibri"/>
        </w:rPr>
        <w:t>brutal suppression not only quelled the revolt but also undermined the status of Cornish as a public language. Kenneth Jackson notes this pivotal moment as the transition from a living Celtic language to a ceremonial relic.</w:t>
      </w:r>
      <w:r w:rsidRPr="00FC6DE0">
        <w:rPr>
          <w:rStyle w:val="FootnoteReference"/>
          <w:rFonts w:ascii="Calibri" w:hAnsi="Calibri" w:cs="Calibri"/>
        </w:rPr>
        <w:footnoteReference w:id="1"/>
      </w:r>
    </w:p>
    <w:p w14:paraId="7811A252" w14:textId="1707F378" w:rsidR="00FC6DE0" w:rsidRPr="00DF48FB" w:rsidRDefault="00DF48FB" w:rsidP="00DF48FB">
      <w:pPr>
        <w:spacing w:before="100" w:beforeAutospacing="1" w:after="100" w:afterAutospacing="1"/>
        <w:rPr>
          <w:rFonts w:ascii="Calibri" w:hAnsi="Calibri" w:cs="Calibri"/>
        </w:rPr>
      </w:pPr>
      <w:r w:rsidRPr="00DF48FB">
        <w:rPr>
          <w:rFonts w:ascii="Calibri" w:hAnsi="Calibri" w:cs="Calibri"/>
        </w:rPr>
        <w:t>The Manx language faced a similar fate. Although the Isle of Man retained a degree of political autonomy, English became increasingly dominant in administration and education from the eighteenth century onward. Nancy Dorian emphasizes the significance of domain loss in language death</w:t>
      </w:r>
      <w:r w:rsidR="00FC6DE0" w:rsidRPr="00FC6DE0">
        <w:rPr>
          <w:rFonts w:ascii="Calibri" w:hAnsi="Calibri" w:cs="Calibri"/>
        </w:rPr>
        <w:t>, demonstrating that w</w:t>
      </w:r>
      <w:r w:rsidRPr="00DF48FB">
        <w:rPr>
          <w:rFonts w:ascii="Calibri" w:hAnsi="Calibri" w:cs="Calibri"/>
        </w:rPr>
        <w:t>hen a minority language is excluded from education, religion, and administration, it becomes irrelevant to the aspirations of the younger generation</w:t>
      </w:r>
      <w:r w:rsidR="00FC6DE0" w:rsidRPr="00FC6DE0">
        <w:rPr>
          <w:rFonts w:ascii="Calibri" w:hAnsi="Calibri" w:cs="Calibri"/>
        </w:rPr>
        <w:t>.</w:t>
      </w:r>
      <w:r w:rsidR="00FC6DE0" w:rsidRPr="00FC6DE0">
        <w:rPr>
          <w:rStyle w:val="FootnoteReference"/>
          <w:rFonts w:ascii="Calibri" w:hAnsi="Calibri" w:cs="Calibri"/>
        </w:rPr>
        <w:footnoteReference w:id="2"/>
      </w:r>
      <w:r w:rsidRPr="00DF48FB">
        <w:rPr>
          <w:rFonts w:ascii="Calibri" w:hAnsi="Calibri" w:cs="Calibri"/>
        </w:rPr>
        <w:t xml:space="preserve"> The use of English in schools and churches meant that children no longer acquired Manx or Cornish in institutional contexts, severing the intergenerational chain of transmission. Additionally, the rise of English as a lingua franca for trade and legal affairs displaced the native languages from their practical roles in everyday communication.</w:t>
      </w:r>
      <w:r w:rsidR="00FC6DE0" w:rsidRPr="00FC6DE0">
        <w:rPr>
          <w:rFonts w:ascii="Calibri" w:hAnsi="Calibri" w:cs="Calibri"/>
        </w:rPr>
        <w:t xml:space="preserve"> </w:t>
      </w:r>
      <w:r w:rsidR="00FC6DE0" w:rsidRPr="00FC6DE0">
        <w:rPr>
          <w:rFonts w:ascii="Calibri" w:hAnsi="Calibri" w:cs="Calibri"/>
        </w:rPr>
        <w:t xml:space="preserve">Brian Stowell, a pivotal figure in the Manx language revival, observed that </w:t>
      </w:r>
      <w:r w:rsidR="00FC6DE0" w:rsidRPr="00FC6DE0">
        <w:rPr>
          <w:rFonts w:ascii="Calibri" w:hAnsi="Calibri" w:cs="Calibri"/>
        </w:rPr>
        <w:t>‘</w:t>
      </w:r>
      <w:r w:rsidR="00FC6DE0" w:rsidRPr="00FC6DE0">
        <w:rPr>
          <w:rFonts w:ascii="Calibri" w:hAnsi="Calibri" w:cs="Calibri"/>
        </w:rPr>
        <w:t>Manx was taught out of children by institutions who did not recognise its value.</w:t>
      </w:r>
      <w:r w:rsidR="00FC6DE0" w:rsidRPr="00FC6DE0">
        <w:rPr>
          <w:rFonts w:ascii="Calibri" w:hAnsi="Calibri" w:cs="Calibri"/>
        </w:rPr>
        <w:t>’</w:t>
      </w:r>
      <w:r w:rsidR="00FC6DE0" w:rsidRPr="00FC6DE0">
        <w:rPr>
          <w:rStyle w:val="FootnoteReference"/>
          <w:rFonts w:ascii="Calibri" w:hAnsi="Calibri" w:cs="Calibri"/>
        </w:rPr>
        <w:footnoteReference w:id="3"/>
      </w:r>
      <w:r w:rsidR="00FC6DE0" w:rsidRPr="00FC6DE0">
        <w:rPr>
          <w:rFonts w:ascii="Calibri" w:hAnsi="Calibri" w:cs="Calibri"/>
        </w:rPr>
        <w:t xml:space="preserve"> The practical effect of these shifts was domain loss—a reduction in contexts where the language was considered socially legitimate.</w:t>
      </w:r>
    </w:p>
    <w:p w14:paraId="4D57DA86" w14:textId="71045955" w:rsidR="00DF48FB" w:rsidRPr="00DF48FB" w:rsidRDefault="00DF48FB" w:rsidP="00FC6DE0">
      <w:pPr>
        <w:spacing w:before="100" w:beforeAutospacing="1" w:after="100" w:afterAutospacing="1"/>
        <w:rPr>
          <w:rFonts w:ascii="Calibri" w:hAnsi="Calibri" w:cs="Calibri"/>
        </w:rPr>
      </w:pPr>
      <w:r w:rsidRPr="00DF48FB">
        <w:rPr>
          <w:rFonts w:ascii="Calibri" w:hAnsi="Calibri" w:cs="Calibri"/>
        </w:rPr>
        <w:t xml:space="preserve">Evidence of language death is found in both oral histories and archival documents. Ned </w:t>
      </w:r>
      <w:proofErr w:type="spellStart"/>
      <w:r w:rsidRPr="00DF48FB">
        <w:rPr>
          <w:rFonts w:ascii="Calibri" w:hAnsi="Calibri" w:cs="Calibri"/>
        </w:rPr>
        <w:t>Maddrell</w:t>
      </w:r>
      <w:proofErr w:type="spellEnd"/>
      <w:r w:rsidRPr="00DF48FB">
        <w:rPr>
          <w:rFonts w:ascii="Calibri" w:hAnsi="Calibri" w:cs="Calibri"/>
        </w:rPr>
        <w:t xml:space="preserve">, often cited as the last native Manx speaker, died in 1974. His speech was recorded by the </w:t>
      </w:r>
      <w:r w:rsidR="00FC6DE0" w:rsidRPr="00FC6DE0">
        <w:rPr>
          <w:rFonts w:ascii="Calibri" w:hAnsi="Calibri" w:cs="Calibri"/>
        </w:rPr>
        <w:t>Irish Folklore Commission.</w:t>
      </w:r>
      <w:r w:rsidR="00FC6DE0" w:rsidRPr="00FC6DE0">
        <w:rPr>
          <w:rStyle w:val="FootnoteReference"/>
          <w:rFonts w:ascii="Calibri" w:hAnsi="Calibri" w:cs="Calibri"/>
        </w:rPr>
        <w:footnoteReference w:id="4"/>
      </w:r>
      <w:r w:rsidR="00FC6DE0" w:rsidRPr="00FC6DE0">
        <w:rPr>
          <w:rFonts w:ascii="Calibri" w:hAnsi="Calibri" w:cs="Calibri"/>
        </w:rPr>
        <w:t xml:space="preserve"> </w:t>
      </w:r>
      <w:r w:rsidRPr="00DF48FB">
        <w:rPr>
          <w:rFonts w:ascii="Calibri" w:hAnsi="Calibri" w:cs="Calibri"/>
        </w:rPr>
        <w:t xml:space="preserve">and remains a vital primary source for linguistic </w:t>
      </w:r>
      <w:r w:rsidRPr="00DF48FB">
        <w:rPr>
          <w:rFonts w:ascii="Calibri" w:hAnsi="Calibri" w:cs="Calibri"/>
        </w:rPr>
        <w:lastRenderedPageBreak/>
        <w:t xml:space="preserve">reconstruction. Dolly </w:t>
      </w:r>
      <w:proofErr w:type="spellStart"/>
      <w:r w:rsidRPr="00DF48FB">
        <w:rPr>
          <w:rFonts w:ascii="Calibri" w:hAnsi="Calibri" w:cs="Calibri"/>
        </w:rPr>
        <w:t>Pentreath</w:t>
      </w:r>
      <w:proofErr w:type="spellEnd"/>
      <w:r w:rsidRPr="00DF48FB">
        <w:rPr>
          <w:rFonts w:ascii="Calibri" w:hAnsi="Calibri" w:cs="Calibri"/>
        </w:rPr>
        <w:t>, who died in 1777, is traditionally regarded as the last fluent Cornish speaker. However, partial speakers and those with heritage knowledge persisted beyond this symbolic endpoint. It is important to recogni</w:t>
      </w:r>
      <w:r w:rsidRPr="00FC6DE0">
        <w:rPr>
          <w:rFonts w:ascii="Calibri" w:hAnsi="Calibri" w:cs="Calibri"/>
        </w:rPr>
        <w:t>s</w:t>
      </w:r>
      <w:r w:rsidRPr="00DF48FB">
        <w:rPr>
          <w:rFonts w:ascii="Calibri" w:hAnsi="Calibri" w:cs="Calibri"/>
        </w:rPr>
        <w:t>e that the designation of "last speaker" is often more symbolic than precise, marking the loss of active community transmission rather than total linguistic disappearance.</w:t>
      </w:r>
      <w:r w:rsidR="00FC6DE0" w:rsidRPr="00FC6DE0">
        <w:rPr>
          <w:rFonts w:ascii="Calibri" w:hAnsi="Calibri" w:cs="Calibri"/>
        </w:rPr>
        <w:t xml:space="preserve"> Dorian notes ‘</w:t>
      </w:r>
      <w:r w:rsidR="00FC6DE0" w:rsidRPr="00FC6DE0">
        <w:rPr>
          <w:rFonts w:ascii="Calibri" w:hAnsi="Calibri" w:cs="Calibri"/>
        </w:rPr>
        <w:t>Where a language</w:t>
      </w:r>
      <w:r w:rsidR="00FC6DE0" w:rsidRPr="00FC6DE0">
        <w:rPr>
          <w:rFonts w:ascii="Calibri" w:hAnsi="Calibri" w:cs="Calibri"/>
        </w:rPr>
        <w:t xml:space="preserve"> </w:t>
      </w:r>
      <w:r w:rsidR="00FC6DE0" w:rsidRPr="00FC6DE0">
        <w:rPr>
          <w:rFonts w:ascii="Calibri" w:hAnsi="Calibri" w:cs="Calibri"/>
        </w:rPr>
        <w:t>shift</w:t>
      </w:r>
      <w:r w:rsidR="00FC6DE0" w:rsidRPr="00FC6DE0">
        <w:rPr>
          <w:rFonts w:ascii="Calibri" w:hAnsi="Calibri" w:cs="Calibri"/>
        </w:rPr>
        <w:t xml:space="preserve"> </w:t>
      </w:r>
      <w:r w:rsidR="00FC6DE0" w:rsidRPr="00FC6DE0">
        <w:rPr>
          <w:rFonts w:ascii="Calibri" w:hAnsi="Calibri" w:cs="Calibri"/>
        </w:rPr>
        <w:t>is taking place</w:t>
      </w:r>
      <w:r w:rsidR="00FC6DE0" w:rsidRPr="00FC6DE0">
        <w:rPr>
          <w:rFonts w:ascii="Calibri" w:hAnsi="Calibri" w:cs="Calibri"/>
        </w:rPr>
        <w:t>…</w:t>
      </w:r>
      <w:r w:rsidR="00FC6DE0" w:rsidRPr="00FC6DE0">
        <w:rPr>
          <w:rFonts w:ascii="Calibri" w:hAnsi="Calibri" w:cs="Calibri"/>
        </w:rPr>
        <w:t>so that a new language is gradually replacing the original language of a community, without the extinction of a people, it is common to find speakers of quite different ability among the residual population which still speaks the older tongue.</w:t>
      </w:r>
      <w:r w:rsidR="00FC6DE0" w:rsidRPr="00FC6DE0">
        <w:rPr>
          <w:rFonts w:ascii="Calibri" w:hAnsi="Calibri" w:cs="Calibri"/>
        </w:rPr>
        <w:t>’</w:t>
      </w:r>
      <w:r w:rsidR="00FC6DE0" w:rsidRPr="00FC6DE0">
        <w:rPr>
          <w:rStyle w:val="FootnoteReference"/>
          <w:rFonts w:ascii="Calibri" w:hAnsi="Calibri" w:cs="Calibri"/>
        </w:rPr>
        <w:footnoteReference w:id="5"/>
      </w:r>
      <w:r w:rsidR="00FC6DE0" w:rsidRPr="00FC6DE0">
        <w:rPr>
          <w:rFonts w:ascii="Calibri" w:hAnsi="Calibri" w:cs="Calibri"/>
        </w:rPr>
        <w:t xml:space="preserve"> </w:t>
      </w:r>
    </w:p>
    <w:p w14:paraId="7266967B" w14:textId="41A9F9AE" w:rsidR="00FC6DE0" w:rsidRPr="00FC6DE0" w:rsidRDefault="00DF48FB" w:rsidP="00DF48FB">
      <w:pPr>
        <w:spacing w:before="100" w:beforeAutospacing="1" w:after="100" w:afterAutospacing="1"/>
        <w:rPr>
          <w:rFonts w:ascii="Calibri" w:hAnsi="Calibri" w:cs="Calibri"/>
        </w:rPr>
      </w:pPr>
      <w:r w:rsidRPr="00DF48FB">
        <w:rPr>
          <w:rFonts w:ascii="Calibri" w:hAnsi="Calibri" w:cs="Calibri"/>
        </w:rPr>
        <w:t xml:space="preserve">Census data from the nineteenth and early twentieth centuries reveal stark declines in speaker numbers. The 1901 Census of the Isle of Man reported fewer than 1,000 Manx speakers, many of them elderly. </w:t>
      </w:r>
      <w:r w:rsidR="00FC6DE0" w:rsidRPr="00FC6DE0">
        <w:rPr>
          <w:rFonts w:ascii="Calibri" w:hAnsi="Calibri" w:cs="Calibri"/>
        </w:rPr>
        <w:t xml:space="preserve">Cornwall’s linguistic transition is documented in parish records, letters, and travellers’ accounts that chronicle the retreat of Cornish from everyday use, has </w:t>
      </w:r>
      <w:r w:rsidR="00FC6DE0" w:rsidRPr="00DF48FB">
        <w:rPr>
          <w:rFonts w:ascii="Calibri" w:hAnsi="Calibri" w:cs="Calibri"/>
        </w:rPr>
        <w:t>references to language use and the increasing dominance of English</w:t>
      </w:r>
      <w:r w:rsidR="00FC6DE0" w:rsidRPr="00FC6DE0">
        <w:rPr>
          <w:rFonts w:ascii="Calibri" w:hAnsi="Calibri" w:cs="Calibri"/>
        </w:rPr>
        <w:t>.</w:t>
      </w:r>
      <w:r w:rsidR="00FC6DE0" w:rsidRPr="00FC6DE0">
        <w:rPr>
          <w:rFonts w:ascii="Calibri" w:hAnsi="Calibri" w:cs="Calibri"/>
        </w:rPr>
        <w:t xml:space="preserve"> </w:t>
      </w:r>
      <w:r w:rsidRPr="00DF48FB">
        <w:rPr>
          <w:rFonts w:ascii="Calibri" w:hAnsi="Calibri" w:cs="Calibri"/>
        </w:rPr>
        <w:t xml:space="preserve">These sources underscore the steady erosion of vernacular speech in everyday life. Additionally, anecdotal accounts from clergy, educators, and </w:t>
      </w:r>
      <w:r w:rsidRPr="00FC6DE0">
        <w:rPr>
          <w:rFonts w:ascii="Calibri" w:hAnsi="Calibri" w:cs="Calibri"/>
        </w:rPr>
        <w:t>travellers</w:t>
      </w:r>
      <w:r w:rsidRPr="00DF48FB">
        <w:rPr>
          <w:rFonts w:ascii="Calibri" w:hAnsi="Calibri" w:cs="Calibri"/>
        </w:rPr>
        <w:t xml:space="preserve"> often lamented the disappearance of native languages from public life.</w:t>
      </w:r>
      <w:r w:rsidR="00FC6DE0" w:rsidRPr="00FC6DE0">
        <w:rPr>
          <w:rFonts w:ascii="Calibri" w:hAnsi="Calibri" w:cs="Calibri"/>
        </w:rPr>
        <w:t xml:space="preserve"> </w:t>
      </w:r>
    </w:p>
    <w:p w14:paraId="4350B976" w14:textId="54671CBB" w:rsidR="00FC6DE0" w:rsidRPr="00FC6DE0" w:rsidRDefault="00FC6DE0" w:rsidP="00FC6DE0">
      <w:pPr>
        <w:spacing w:before="100" w:beforeAutospacing="1" w:after="100" w:afterAutospacing="1"/>
        <w:rPr>
          <w:rFonts w:ascii="Calibri" w:hAnsi="Calibri" w:cs="Calibri"/>
        </w:rPr>
      </w:pPr>
      <w:r w:rsidRPr="00FC6DE0">
        <w:rPr>
          <w:rFonts w:ascii="Calibri" w:hAnsi="Calibri" w:cs="Calibri"/>
        </w:rPr>
        <w:t xml:space="preserve">The Welsh language </w:t>
      </w:r>
      <w:r w:rsidRPr="00FC6DE0">
        <w:rPr>
          <w:rFonts w:ascii="Calibri" w:hAnsi="Calibri" w:cs="Calibri"/>
        </w:rPr>
        <w:t>also</w:t>
      </w:r>
      <w:r w:rsidRPr="00FC6DE0">
        <w:rPr>
          <w:rFonts w:ascii="Calibri" w:hAnsi="Calibri" w:cs="Calibri"/>
        </w:rPr>
        <w:t xml:space="preserve"> experienced systematic suppression </w:t>
      </w:r>
      <w:r w:rsidRPr="00FC6DE0">
        <w:rPr>
          <w:rFonts w:ascii="Calibri" w:hAnsi="Calibri" w:cs="Calibri"/>
        </w:rPr>
        <w:t>which</w:t>
      </w:r>
      <w:r w:rsidRPr="00FC6DE0">
        <w:rPr>
          <w:rFonts w:ascii="Calibri" w:hAnsi="Calibri" w:cs="Calibri"/>
        </w:rPr>
        <w:t xml:space="preserve"> began intensifying in the sixteenth century, particularly after the </w:t>
      </w:r>
      <w:r w:rsidRPr="00FC6DE0">
        <w:rPr>
          <w:rStyle w:val="Emphasis"/>
          <w:rFonts w:ascii="Calibri" w:eastAsiaTheme="majorEastAsia" w:hAnsi="Calibri" w:cs="Calibri"/>
        </w:rPr>
        <w:t>Acts of Union</w:t>
      </w:r>
      <w:r w:rsidRPr="00FC6DE0">
        <w:rPr>
          <w:rFonts w:ascii="Calibri" w:hAnsi="Calibri" w:cs="Calibri"/>
        </w:rPr>
        <w:t xml:space="preserve"> (1536–1543), which annexed Wales into the English legal system and imposed English as the language of administration and justice. The </w:t>
      </w:r>
      <w:r w:rsidRPr="00FC6DE0">
        <w:rPr>
          <w:rStyle w:val="Emphasis"/>
          <w:rFonts w:ascii="Calibri" w:eastAsiaTheme="majorEastAsia" w:hAnsi="Calibri" w:cs="Calibri"/>
        </w:rPr>
        <w:t>Blue Books</w:t>
      </w:r>
      <w:r w:rsidRPr="00FC6DE0">
        <w:rPr>
          <w:rFonts w:ascii="Calibri" w:hAnsi="Calibri" w:cs="Calibri"/>
        </w:rPr>
        <w:t xml:space="preserve"> report of 1847, commissioned by the British government, further stigmati</w:t>
      </w:r>
      <w:r w:rsidRPr="00FC6DE0">
        <w:rPr>
          <w:rFonts w:ascii="Calibri" w:hAnsi="Calibri" w:cs="Calibri"/>
        </w:rPr>
        <w:t>s</w:t>
      </w:r>
      <w:r w:rsidRPr="00FC6DE0">
        <w:rPr>
          <w:rFonts w:ascii="Calibri" w:hAnsi="Calibri" w:cs="Calibri"/>
        </w:rPr>
        <w:t>ed Welsh by portraying it as a barrier to progress, leading to widespread linguistic shaming in schools—a phenomenon famously embodied in the use of the “Welsh Not,” a token used to punish children speaking Welsh. Despite this, Welsh endured as a community language, particularly in rural and Nonconformist religious settings.</w:t>
      </w:r>
      <w:r w:rsidRPr="00FC6DE0">
        <w:rPr>
          <w:rFonts w:ascii="Calibri" w:hAnsi="Calibri" w:cs="Calibri"/>
        </w:rPr>
        <w:t xml:space="preserve"> This was</w:t>
      </w:r>
      <w:r w:rsidRPr="00FC6DE0">
        <w:rPr>
          <w:rFonts w:ascii="Calibri" w:hAnsi="Calibri" w:cs="Calibri"/>
        </w:rPr>
        <w:t xml:space="preserve"> largely due to its deep entrenchment in rural life and Nonconformist religious practice throughout the eighteenth and nineteenth centuries. In rural regions such as Gwynedd, Ceredigion, and Carmarthenshire, where English had limited practical utility, Welsh remained the dominant medium of daily communication. These areas maintained relatively stable, intergenerational Welsh-speaking populations, creating what sociolinguists refer to as “language strongholds.” More crucially, the rise of Nonconformist denominations—such as Methodists, Baptists, and Independents—helped anchor Welsh within a spiritually and socially vital domain</w:t>
      </w:r>
      <w:r w:rsidRPr="00FC6DE0">
        <w:rPr>
          <w:rFonts w:ascii="Calibri" w:hAnsi="Calibri" w:cs="Calibri"/>
        </w:rPr>
        <w:t>, as</w:t>
      </w:r>
      <w:r w:rsidRPr="00FC6DE0">
        <w:rPr>
          <w:rFonts w:ascii="Calibri" w:hAnsi="Calibri" w:cs="Calibri"/>
        </w:rPr>
        <w:t xml:space="preserve"> </w:t>
      </w:r>
      <w:r w:rsidRPr="00FC6DE0">
        <w:rPr>
          <w:rFonts w:ascii="Calibri" w:hAnsi="Calibri" w:cs="Calibri"/>
        </w:rPr>
        <w:t>u</w:t>
      </w:r>
      <w:r w:rsidRPr="00FC6DE0">
        <w:rPr>
          <w:rFonts w:ascii="Calibri" w:hAnsi="Calibri" w:cs="Calibri"/>
        </w:rPr>
        <w:t>nlike the Anglican Church, which conducted services in English, Nonconformist chapels embraced Welsh as the language of worship, preaching, and community organi</w:t>
      </w:r>
      <w:r w:rsidRPr="00FC6DE0">
        <w:rPr>
          <w:rFonts w:ascii="Calibri" w:hAnsi="Calibri" w:cs="Calibri"/>
        </w:rPr>
        <w:t>s</w:t>
      </w:r>
      <w:r w:rsidRPr="00FC6DE0">
        <w:rPr>
          <w:rFonts w:ascii="Calibri" w:hAnsi="Calibri" w:cs="Calibri"/>
        </w:rPr>
        <w:t xml:space="preserve">ation. This linkage of language to religious and moral identity imbued Welsh with a symbolic authority that extended beyond the domestic sphere. As Gwyn Thomas noted, </w:t>
      </w:r>
      <w:r w:rsidRPr="00FC6DE0">
        <w:rPr>
          <w:rFonts w:ascii="Calibri" w:hAnsi="Calibri" w:cs="Calibri"/>
        </w:rPr>
        <w:t>‘</w:t>
      </w:r>
      <w:r w:rsidRPr="00FC6DE0">
        <w:rPr>
          <w:rFonts w:ascii="Calibri" w:hAnsi="Calibri" w:cs="Calibri"/>
        </w:rPr>
        <w:t>in the pulpit and the pew, the Welsh language found refuge and reverence, even as it was excluded from the schoolhouse and courtroom.</w:t>
      </w:r>
      <w:r w:rsidRPr="00FC6DE0">
        <w:rPr>
          <w:rFonts w:ascii="Calibri" w:hAnsi="Calibri" w:cs="Calibri"/>
        </w:rPr>
        <w:t>’</w:t>
      </w:r>
      <w:r w:rsidRPr="00FC6DE0">
        <w:rPr>
          <w:rStyle w:val="FootnoteReference"/>
          <w:rFonts w:ascii="Calibri" w:hAnsi="Calibri" w:cs="Calibri"/>
        </w:rPr>
        <w:footnoteReference w:id="6"/>
      </w:r>
      <w:r w:rsidRPr="00FC6DE0">
        <w:rPr>
          <w:rFonts w:ascii="Calibri" w:hAnsi="Calibri" w:cs="Calibri"/>
        </w:rPr>
        <w:t xml:space="preserve"> This religious-cultural ecosystem not only preserved fluency but also reinforced the association of Welsh with moral integrity, resistance, and communal resilience.</w:t>
      </w:r>
    </w:p>
    <w:p w14:paraId="0AE7B937" w14:textId="0A128297" w:rsidR="00FC6DE0" w:rsidRPr="00FC6DE0" w:rsidRDefault="00FC6DE0" w:rsidP="00FC6DE0">
      <w:pPr>
        <w:spacing w:before="100" w:beforeAutospacing="1" w:after="100" w:afterAutospacing="1"/>
        <w:rPr>
          <w:rFonts w:ascii="Calibri" w:hAnsi="Calibri" w:cs="Calibri"/>
        </w:rPr>
      </w:pPr>
      <w:r w:rsidRPr="00DF48FB">
        <w:rPr>
          <w:rFonts w:ascii="Calibri" w:hAnsi="Calibri" w:cs="Calibri"/>
        </w:rPr>
        <w:lastRenderedPageBreak/>
        <w:t>In contrast, the Isle of Man and Cornwall had far smaller and more fragmented populations. Economic pressures prompted outmigration, breaking up language communities and exposing younger generations to predominantly English-speaking environments. As language domains narrowed, speakers shifted to English for socio-economic advancement, and the native languages were gradually lost. In Cornwall, in particular, mining collapse and agricultural hardship contributed to this trend</w:t>
      </w:r>
      <w:r w:rsidRPr="00FC6DE0">
        <w:rPr>
          <w:rFonts w:ascii="Calibri" w:hAnsi="Calibri" w:cs="Calibri"/>
        </w:rPr>
        <w:t>, with l</w:t>
      </w:r>
      <w:r w:rsidRPr="00DF48FB">
        <w:rPr>
          <w:rFonts w:ascii="Calibri" w:hAnsi="Calibri" w:cs="Calibri"/>
        </w:rPr>
        <w:t>anguage loss often accompanied by narratives of progress and modernity, in which speaking English became a marker of upward mobility.</w:t>
      </w:r>
    </w:p>
    <w:p w14:paraId="283EFCA4" w14:textId="284D3C18" w:rsidR="00FC6DE0" w:rsidRPr="00FC6DE0" w:rsidRDefault="00FC6DE0" w:rsidP="00FC6DE0">
      <w:pPr>
        <w:pStyle w:val="NormalWeb"/>
        <w:rPr>
          <w:rFonts w:ascii="Calibri" w:hAnsi="Calibri" w:cs="Calibri"/>
        </w:rPr>
      </w:pPr>
      <w:r w:rsidRPr="00FC6DE0">
        <w:rPr>
          <w:rFonts w:ascii="Calibri" w:hAnsi="Calibri" w:cs="Calibri"/>
        </w:rPr>
        <w:t>Alongside the community aspect,</w:t>
      </w:r>
      <w:r w:rsidRPr="00FC6DE0">
        <w:rPr>
          <w:rFonts w:ascii="Calibri" w:hAnsi="Calibri" w:cs="Calibri"/>
        </w:rPr>
        <w:t xml:space="preserve"> neither Cornwall nor the Isle of Man developed a robust religious infrastructure that supported the vernacular languages in the same way Wales did. Following the Reformation, Anglicanism became dominant in both regions, and with it, English was increasingly adopted as the language of worship and ecclesiastical authority. </w:t>
      </w:r>
      <w:r w:rsidRPr="00FC6DE0">
        <w:rPr>
          <w:rFonts w:ascii="Calibri" w:hAnsi="Calibri" w:cs="Calibri"/>
        </w:rPr>
        <w:t>As mentioned earlier, i</w:t>
      </w:r>
      <w:r w:rsidRPr="00FC6DE0">
        <w:rPr>
          <w:rFonts w:ascii="Calibri" w:hAnsi="Calibri" w:cs="Calibri"/>
        </w:rPr>
        <w:t>n Cornwall the suppression of Cornish was accelerated by the violent aftermath of the 1549 Prayer Book Rebellion, which was sparked by the imposition of the English-language Book of Common Prayer. The event marked not only a political defeat but also a symbolic displacement of Cornish from its sacred functions. Similarly, in the Isle of Man, while the Church of England remained officially established, its gradual adoption of English over Manx in the eighteenth and nineteenth centuries eroded one of the last public domains where the language was once central. As Brian Stowell observed, “when Manx ceased to be the language of the pulpit, it ceased to be the language of prestige and purpose.</w:t>
      </w:r>
      <w:r w:rsidRPr="00FC6DE0">
        <w:rPr>
          <w:rFonts w:ascii="Calibri" w:hAnsi="Calibri" w:cs="Calibri"/>
        </w:rPr>
        <w:t>’</w:t>
      </w:r>
      <w:r w:rsidRPr="00FC6DE0">
        <w:rPr>
          <w:rStyle w:val="FootnoteReference"/>
          <w:rFonts w:ascii="Calibri" w:hAnsi="Calibri" w:cs="Calibri"/>
        </w:rPr>
        <w:footnoteReference w:id="7"/>
      </w:r>
      <w:r w:rsidRPr="00FC6DE0">
        <w:rPr>
          <w:rFonts w:ascii="Calibri" w:hAnsi="Calibri" w:cs="Calibri"/>
        </w:rPr>
        <w:t xml:space="preserve"> </w:t>
      </w:r>
      <w:r w:rsidRPr="00FC6DE0">
        <w:rPr>
          <w:rFonts w:ascii="Calibri" w:hAnsi="Calibri" w:cs="Calibri"/>
        </w:rPr>
        <w:t>Unlike Welsh, neither Cornish nor Manx benefited from Nonconformist religious movements that might have maintained the language in community life</w:t>
      </w:r>
      <w:r w:rsidRPr="00FC6DE0">
        <w:rPr>
          <w:rFonts w:ascii="Calibri" w:hAnsi="Calibri" w:cs="Calibri"/>
        </w:rPr>
        <w:t>, and t</w:t>
      </w:r>
      <w:r w:rsidRPr="00FC6DE0">
        <w:rPr>
          <w:rFonts w:ascii="Calibri" w:hAnsi="Calibri" w:cs="Calibri"/>
        </w:rPr>
        <w:t>his absence of spiritual reinforcement contributed to the weakening of linguistic identity and accelerated the shift toward English in both regions.</w:t>
      </w:r>
    </w:p>
    <w:p w14:paraId="79489910" w14:textId="145F9D37" w:rsidR="00FC6DE0" w:rsidRPr="00FC6DE0" w:rsidRDefault="00FC6DE0" w:rsidP="00FC6DE0">
      <w:pPr>
        <w:spacing w:before="100" w:beforeAutospacing="1" w:after="100" w:afterAutospacing="1"/>
        <w:rPr>
          <w:rFonts w:ascii="Calibri" w:hAnsi="Calibri" w:cs="Calibri"/>
        </w:rPr>
      </w:pPr>
      <w:r w:rsidRPr="00DF48FB">
        <w:rPr>
          <w:rFonts w:ascii="Calibri" w:hAnsi="Calibri" w:cs="Calibri"/>
        </w:rPr>
        <w:t xml:space="preserve">Perhaps the most critical distinction between the cases lies in education. Welsh-medium education has been supported by the state since the 1940s and expanded significantly after Welsh became a compulsory subject in the national curriculum in 1988. Colin Williams </w:t>
      </w:r>
      <w:r w:rsidRPr="00FC6DE0">
        <w:rPr>
          <w:rFonts w:ascii="Calibri" w:hAnsi="Calibri" w:cs="Calibri"/>
        </w:rPr>
        <w:t>discusses the need for policies of bilingual environments (especially within public sector employment) to be enacted in conjunction with clear educational planning, as without the education to promote the everyday use of the language it will never become ‘</w:t>
      </w:r>
      <w:r w:rsidRPr="00FC6DE0">
        <w:rPr>
          <w:rFonts w:ascii="Calibri" w:hAnsi="Calibri" w:cs="Calibri"/>
        </w:rPr>
        <w:t>more of a situational norm rather than an exceptional case.</w:t>
      </w:r>
      <w:r w:rsidRPr="00FC6DE0">
        <w:rPr>
          <w:rFonts w:ascii="Calibri" w:hAnsi="Calibri" w:cs="Calibri"/>
        </w:rPr>
        <w:t>’</w:t>
      </w:r>
      <w:r w:rsidRPr="00FC6DE0">
        <w:rPr>
          <w:rStyle w:val="FootnoteReference"/>
          <w:rFonts w:ascii="Calibri" w:hAnsi="Calibri" w:cs="Calibri"/>
        </w:rPr>
        <w:footnoteReference w:id="8"/>
      </w:r>
      <w:r w:rsidRPr="00DF48FB">
        <w:rPr>
          <w:rFonts w:ascii="Calibri" w:hAnsi="Calibri" w:cs="Calibri"/>
        </w:rPr>
        <w:t xml:space="preserve"> The systematic exposure of children to Welsh through structured education has </w:t>
      </w:r>
      <w:r w:rsidRPr="00FC6DE0">
        <w:rPr>
          <w:rFonts w:ascii="Calibri" w:hAnsi="Calibri" w:cs="Calibri"/>
        </w:rPr>
        <w:t>improved</w:t>
      </w:r>
      <w:r w:rsidRPr="00DF48FB">
        <w:rPr>
          <w:rFonts w:ascii="Calibri" w:hAnsi="Calibri" w:cs="Calibri"/>
        </w:rPr>
        <w:t xml:space="preserve"> intergenerational transmission. Welsh-medium schools, known as </w:t>
      </w:r>
      <w:proofErr w:type="spellStart"/>
      <w:r w:rsidRPr="00DF48FB">
        <w:rPr>
          <w:rFonts w:ascii="Calibri" w:hAnsi="Calibri" w:cs="Calibri"/>
        </w:rPr>
        <w:t>ysgolion</w:t>
      </w:r>
      <w:proofErr w:type="spellEnd"/>
      <w:r w:rsidRPr="00DF48FB">
        <w:rPr>
          <w:rFonts w:ascii="Calibri" w:hAnsi="Calibri" w:cs="Calibri"/>
        </w:rPr>
        <w:t xml:space="preserve"> Cymraeg, now operate in most parts of Wales</w:t>
      </w:r>
      <w:r w:rsidRPr="00FC6DE0">
        <w:rPr>
          <w:rFonts w:ascii="Calibri" w:hAnsi="Calibri" w:cs="Calibri"/>
        </w:rPr>
        <w:t xml:space="preserve">, and </w:t>
      </w:r>
      <w:r w:rsidRPr="00DF48FB">
        <w:rPr>
          <w:rFonts w:ascii="Calibri" w:hAnsi="Calibri" w:cs="Calibri"/>
        </w:rPr>
        <w:t>Welsh</w:t>
      </w:r>
      <w:r w:rsidRPr="00FC6DE0">
        <w:rPr>
          <w:rFonts w:ascii="Calibri" w:hAnsi="Calibri" w:cs="Calibri"/>
        </w:rPr>
        <w:t xml:space="preserve"> usage</w:t>
      </w:r>
      <w:r w:rsidRPr="00DF48FB">
        <w:rPr>
          <w:rFonts w:ascii="Calibri" w:hAnsi="Calibri" w:cs="Calibri"/>
        </w:rPr>
        <w:t xml:space="preserve"> </w:t>
      </w:r>
      <w:r w:rsidRPr="00FC6DE0">
        <w:rPr>
          <w:rFonts w:ascii="Calibri" w:hAnsi="Calibri" w:cs="Calibri"/>
        </w:rPr>
        <w:t xml:space="preserve">has </w:t>
      </w:r>
      <w:r w:rsidRPr="00DF48FB">
        <w:rPr>
          <w:rFonts w:ascii="Calibri" w:hAnsi="Calibri" w:cs="Calibri"/>
        </w:rPr>
        <w:t>benefitted from increasing state intervention, particularly in the late twentieth century. The Welsh Language Acts of 1967 and 1993 recognized the right to use Welsh in legal and governmental contexts</w:t>
      </w:r>
      <w:r w:rsidRPr="00FC6DE0">
        <w:rPr>
          <w:rFonts w:ascii="Calibri" w:hAnsi="Calibri" w:cs="Calibri"/>
        </w:rPr>
        <w:t xml:space="preserve"> and gradually cemented Welsh as a language of government, public life, and education. </w:t>
      </w:r>
      <w:r w:rsidRPr="00DF48FB">
        <w:rPr>
          <w:rFonts w:ascii="Calibri" w:hAnsi="Calibri" w:cs="Calibri"/>
        </w:rPr>
        <w:t xml:space="preserve"> The Welsh Language Measure 2011 granted it official status in Wales, ensuring equal treatment in public services. These laws were not merely symbolic; they mandated institutional reforms that embedded Welsh into the administrative, educational, and legal fabric of Welsh life. Local authorities were required to </w:t>
      </w:r>
      <w:r w:rsidRPr="00DF48FB">
        <w:rPr>
          <w:rFonts w:ascii="Calibri" w:hAnsi="Calibri" w:cs="Calibri"/>
        </w:rPr>
        <w:lastRenderedPageBreak/>
        <w:t>prepare Welsh Language Schemes, and public signage was adapted to reflect bilingual policy.</w:t>
      </w:r>
    </w:p>
    <w:p w14:paraId="11EE2A58" w14:textId="4DEE19DA" w:rsidR="00FC6DE0" w:rsidRPr="00DF48FB" w:rsidRDefault="00FC6DE0" w:rsidP="00FC6DE0">
      <w:pPr>
        <w:spacing w:before="100" w:beforeAutospacing="1" w:after="100" w:afterAutospacing="1"/>
        <w:ind w:left="720"/>
        <w:rPr>
          <w:rFonts w:ascii="Calibri" w:hAnsi="Calibri" w:cs="Calibri"/>
        </w:rPr>
      </w:pPr>
      <w:r w:rsidRPr="00FC6DE0">
        <w:rPr>
          <w:rFonts w:ascii="Calibri" w:hAnsi="Calibri" w:cs="Calibri"/>
        </w:rPr>
        <w:t>The lasting significance of bilingual public employment is that it…legitimise</w:t>
      </w:r>
      <w:r w:rsidRPr="00FC6DE0">
        <w:rPr>
          <w:rFonts w:ascii="Calibri" w:hAnsi="Calibri" w:cs="Calibri"/>
        </w:rPr>
        <w:t>(s)</w:t>
      </w:r>
      <w:r w:rsidRPr="00FC6DE0">
        <w:rPr>
          <w:rFonts w:ascii="Calibri" w:hAnsi="Calibri" w:cs="Calibri"/>
        </w:rPr>
        <w:t xml:space="preserve"> the use of Welsh, not just in a symbolic legalistic sense, but more importantly in a functional domain, where it is seen to be used as a living, dynamic, and technically adequate medium of communication in the affairs of state.</w:t>
      </w:r>
      <w:r w:rsidRPr="00FC6DE0">
        <w:rPr>
          <w:rStyle w:val="FootnoteReference"/>
          <w:rFonts w:ascii="Calibri" w:hAnsi="Calibri" w:cs="Calibri"/>
        </w:rPr>
        <w:footnoteReference w:id="9"/>
      </w:r>
    </w:p>
    <w:p w14:paraId="171164A9" w14:textId="71B9F1A1" w:rsidR="00FC6DE0" w:rsidRPr="00DF48FB" w:rsidRDefault="00FC6DE0" w:rsidP="00DF48FB">
      <w:pPr>
        <w:spacing w:before="100" w:beforeAutospacing="1" w:after="100" w:afterAutospacing="1"/>
        <w:rPr>
          <w:rFonts w:ascii="Calibri" w:hAnsi="Calibri" w:cs="Calibri"/>
        </w:rPr>
      </w:pPr>
      <w:r w:rsidRPr="00DF48FB">
        <w:rPr>
          <w:rFonts w:ascii="Calibri" w:hAnsi="Calibri" w:cs="Calibri"/>
        </w:rPr>
        <w:t xml:space="preserve">Manx and Cornish, </w:t>
      </w:r>
      <w:r w:rsidRPr="00FC6DE0">
        <w:rPr>
          <w:rFonts w:ascii="Calibri" w:hAnsi="Calibri" w:cs="Calibri"/>
        </w:rPr>
        <w:t>again in stark</w:t>
      </w:r>
      <w:r w:rsidRPr="00DF48FB">
        <w:rPr>
          <w:rFonts w:ascii="Calibri" w:hAnsi="Calibri" w:cs="Calibri"/>
        </w:rPr>
        <w:t xml:space="preserve"> contrast, were actively excluded from formal education during their period of decline. Linguistic shaming in schools, where children were punished for speaking their native languages, accelerated the erosion of community confidence and discouraged parents from transmitting the language. </w:t>
      </w:r>
    </w:p>
    <w:p w14:paraId="6485F1E5" w14:textId="7861038D" w:rsidR="00FC6DE0" w:rsidRPr="00DF48FB" w:rsidRDefault="00DF48FB" w:rsidP="00DF48FB">
      <w:pPr>
        <w:spacing w:before="100" w:beforeAutospacing="1" w:after="100" w:afterAutospacing="1"/>
        <w:rPr>
          <w:rFonts w:ascii="Calibri" w:hAnsi="Calibri" w:cs="Calibri"/>
        </w:rPr>
      </w:pPr>
      <w:r w:rsidRPr="00DF48FB">
        <w:rPr>
          <w:rFonts w:ascii="Calibri" w:hAnsi="Calibri" w:cs="Calibri"/>
        </w:rPr>
        <w:t xml:space="preserve">Attempts to revive Manx and Cornish began in the early twentieth century. Henry Jenner's </w:t>
      </w:r>
      <w:r w:rsidRPr="00DF48FB">
        <w:rPr>
          <w:rFonts w:ascii="Calibri" w:hAnsi="Calibri" w:cs="Calibri"/>
          <w:i/>
          <w:iCs/>
        </w:rPr>
        <w:t>A Handbook of the Cornish Language</w:t>
      </w:r>
      <w:r w:rsidRPr="00DF48FB">
        <w:rPr>
          <w:rFonts w:ascii="Calibri" w:hAnsi="Calibri" w:cs="Calibri"/>
        </w:rPr>
        <w:t xml:space="preserve"> (1904) </w:t>
      </w:r>
      <w:r w:rsidR="00FC6DE0" w:rsidRPr="00FC6DE0">
        <w:rPr>
          <w:rFonts w:ascii="Calibri" w:hAnsi="Calibri" w:cs="Calibri"/>
        </w:rPr>
        <w:t>was the first attempt to systematise Cornish revival</w:t>
      </w:r>
      <w:r w:rsidRPr="00DF48FB">
        <w:rPr>
          <w:rFonts w:ascii="Calibri" w:hAnsi="Calibri" w:cs="Calibri"/>
        </w:rPr>
        <w:t xml:space="preserve">, </w:t>
      </w:r>
      <w:r w:rsidR="00FC6DE0" w:rsidRPr="00FC6DE0">
        <w:rPr>
          <w:rFonts w:ascii="Calibri" w:hAnsi="Calibri" w:cs="Calibri"/>
        </w:rPr>
        <w:t xml:space="preserve">and </w:t>
      </w:r>
      <w:r w:rsidR="00FC6DE0" w:rsidRPr="00FC6DE0">
        <w:rPr>
          <w:rFonts w:ascii="Calibri" w:hAnsi="Calibri" w:cs="Calibri"/>
        </w:rPr>
        <w:t xml:space="preserve">Robert Morton Nance furthered this effort with </w:t>
      </w:r>
      <w:r w:rsidR="00FC6DE0" w:rsidRPr="00FC6DE0">
        <w:rPr>
          <w:rFonts w:ascii="Calibri" w:hAnsi="Calibri" w:cs="Calibri"/>
        </w:rPr>
        <w:t xml:space="preserve">attempted </w:t>
      </w:r>
      <w:r w:rsidR="00FC6DE0" w:rsidRPr="00FC6DE0">
        <w:rPr>
          <w:rFonts w:ascii="Calibri" w:hAnsi="Calibri" w:cs="Calibri"/>
        </w:rPr>
        <w:t xml:space="preserve">orthographic standardisation. On the Isle of Man, the founding of </w:t>
      </w:r>
      <w:proofErr w:type="spellStart"/>
      <w:r w:rsidR="00FC6DE0" w:rsidRPr="00FC6DE0">
        <w:rPr>
          <w:rFonts w:ascii="Calibri" w:hAnsi="Calibri" w:cs="Calibri"/>
          <w:i/>
          <w:iCs/>
        </w:rPr>
        <w:t>Yn</w:t>
      </w:r>
      <w:proofErr w:type="spellEnd"/>
      <w:r w:rsidR="00FC6DE0" w:rsidRPr="00FC6DE0">
        <w:rPr>
          <w:rFonts w:ascii="Calibri" w:hAnsi="Calibri" w:cs="Calibri"/>
          <w:i/>
          <w:iCs/>
        </w:rPr>
        <w:t xml:space="preserve"> </w:t>
      </w:r>
      <w:proofErr w:type="spellStart"/>
      <w:r w:rsidR="00FC6DE0" w:rsidRPr="00FC6DE0">
        <w:rPr>
          <w:rFonts w:ascii="Calibri" w:hAnsi="Calibri" w:cs="Calibri"/>
          <w:i/>
          <w:iCs/>
        </w:rPr>
        <w:t>Çheshaght</w:t>
      </w:r>
      <w:proofErr w:type="spellEnd"/>
      <w:r w:rsidR="00FC6DE0" w:rsidRPr="00FC6DE0">
        <w:rPr>
          <w:rFonts w:ascii="Calibri" w:hAnsi="Calibri" w:cs="Calibri"/>
          <w:i/>
          <w:iCs/>
        </w:rPr>
        <w:t xml:space="preserve"> </w:t>
      </w:r>
      <w:proofErr w:type="spellStart"/>
      <w:r w:rsidR="00FC6DE0" w:rsidRPr="00FC6DE0">
        <w:rPr>
          <w:rFonts w:ascii="Calibri" w:hAnsi="Calibri" w:cs="Calibri"/>
          <w:i/>
          <w:iCs/>
        </w:rPr>
        <w:t>Ghailckagh</w:t>
      </w:r>
      <w:proofErr w:type="spellEnd"/>
      <w:r w:rsidR="00FC6DE0" w:rsidRPr="00FC6DE0">
        <w:rPr>
          <w:rFonts w:ascii="Calibri" w:hAnsi="Calibri" w:cs="Calibri"/>
        </w:rPr>
        <w:t xml:space="preserve"> (1899) marked the beginning of serious institutional attempts to preserve Manx</w:t>
      </w:r>
      <w:r w:rsidR="00FC6DE0" w:rsidRPr="00FC6DE0">
        <w:rPr>
          <w:rFonts w:ascii="Calibri" w:hAnsi="Calibri" w:cs="Calibri"/>
        </w:rPr>
        <w:t xml:space="preserve"> and while t</w:t>
      </w:r>
      <w:r w:rsidRPr="00DF48FB">
        <w:rPr>
          <w:rFonts w:ascii="Calibri" w:hAnsi="Calibri" w:cs="Calibri"/>
        </w:rPr>
        <w:t xml:space="preserve">hese efforts were sincere and culturally </w:t>
      </w:r>
      <w:r w:rsidR="00FC6DE0" w:rsidRPr="00FC6DE0">
        <w:rPr>
          <w:rFonts w:ascii="Calibri" w:hAnsi="Calibri" w:cs="Calibri"/>
        </w:rPr>
        <w:t>significant,</w:t>
      </w:r>
      <w:r w:rsidRPr="00DF48FB">
        <w:rPr>
          <w:rFonts w:ascii="Calibri" w:hAnsi="Calibri" w:cs="Calibri"/>
        </w:rPr>
        <w:t xml:space="preserve"> </w:t>
      </w:r>
      <w:r w:rsidR="00FC6DE0" w:rsidRPr="00FC6DE0">
        <w:rPr>
          <w:rFonts w:ascii="Calibri" w:hAnsi="Calibri" w:cs="Calibri"/>
        </w:rPr>
        <w:t>they</w:t>
      </w:r>
      <w:r w:rsidRPr="00DF48FB">
        <w:rPr>
          <w:rFonts w:ascii="Calibri" w:hAnsi="Calibri" w:cs="Calibri"/>
        </w:rPr>
        <w:t xml:space="preserve"> lacked consistent institutional support</w:t>
      </w:r>
      <w:r w:rsidR="00FC6DE0" w:rsidRPr="00FC6DE0">
        <w:rPr>
          <w:rFonts w:ascii="Calibri" w:hAnsi="Calibri" w:cs="Calibri"/>
        </w:rPr>
        <w:t xml:space="preserve"> – the </w:t>
      </w:r>
      <w:r w:rsidRPr="00DF48FB">
        <w:rPr>
          <w:rFonts w:ascii="Calibri" w:hAnsi="Calibri" w:cs="Calibri"/>
        </w:rPr>
        <w:t>revival of Cornish wa</w:t>
      </w:r>
      <w:r w:rsidR="00FC6DE0" w:rsidRPr="00FC6DE0">
        <w:rPr>
          <w:rFonts w:ascii="Calibri" w:hAnsi="Calibri" w:cs="Calibri"/>
        </w:rPr>
        <w:t xml:space="preserve">sn’t </w:t>
      </w:r>
      <w:r w:rsidRPr="00DF48FB">
        <w:rPr>
          <w:rFonts w:ascii="Calibri" w:hAnsi="Calibri" w:cs="Calibri"/>
        </w:rPr>
        <w:t>matched with coherent public policy until the twenty-first century. Revivalists faced challenges of standardi</w:t>
      </w:r>
      <w:r w:rsidRPr="00FC6DE0">
        <w:rPr>
          <w:rFonts w:ascii="Calibri" w:hAnsi="Calibri" w:cs="Calibri"/>
        </w:rPr>
        <w:t>s</w:t>
      </w:r>
      <w:r w:rsidRPr="00DF48FB">
        <w:rPr>
          <w:rFonts w:ascii="Calibri" w:hAnsi="Calibri" w:cs="Calibri"/>
        </w:rPr>
        <w:t>ing orthography, developing learning materials, and convincing local populations of the relevance of revitali</w:t>
      </w:r>
      <w:r w:rsidRPr="00FC6DE0">
        <w:rPr>
          <w:rFonts w:ascii="Calibri" w:hAnsi="Calibri" w:cs="Calibri"/>
        </w:rPr>
        <w:t>s</w:t>
      </w:r>
      <w:r w:rsidRPr="00DF48FB">
        <w:rPr>
          <w:rFonts w:ascii="Calibri" w:hAnsi="Calibri" w:cs="Calibri"/>
        </w:rPr>
        <w:t>ation.</w:t>
      </w:r>
      <w:r w:rsidR="00FC6DE0" w:rsidRPr="00FC6DE0">
        <w:rPr>
          <w:rFonts w:ascii="Calibri" w:hAnsi="Calibri" w:cs="Calibri"/>
        </w:rPr>
        <w:t xml:space="preserve"> </w:t>
      </w:r>
      <w:r w:rsidR="00FC6DE0" w:rsidRPr="00DF48FB">
        <w:rPr>
          <w:rFonts w:ascii="Calibri" w:hAnsi="Calibri" w:cs="Calibri"/>
        </w:rPr>
        <w:t>Only in recent decades have immersion program</w:t>
      </w:r>
      <w:r w:rsidR="00FC6DE0" w:rsidRPr="00FC6DE0">
        <w:rPr>
          <w:rFonts w:ascii="Calibri" w:hAnsi="Calibri" w:cs="Calibri"/>
        </w:rPr>
        <w:t>me</w:t>
      </w:r>
      <w:r w:rsidR="00FC6DE0" w:rsidRPr="00DF48FB">
        <w:rPr>
          <w:rFonts w:ascii="Calibri" w:hAnsi="Calibri" w:cs="Calibri"/>
        </w:rPr>
        <w:t xml:space="preserve">s, such as </w:t>
      </w:r>
      <w:proofErr w:type="spellStart"/>
      <w:r w:rsidR="00FC6DE0" w:rsidRPr="00DF48FB">
        <w:rPr>
          <w:rFonts w:ascii="Calibri" w:hAnsi="Calibri" w:cs="Calibri"/>
        </w:rPr>
        <w:t>Bunscoill</w:t>
      </w:r>
      <w:proofErr w:type="spellEnd"/>
      <w:r w:rsidR="00FC6DE0" w:rsidRPr="00DF48FB">
        <w:rPr>
          <w:rFonts w:ascii="Calibri" w:hAnsi="Calibri" w:cs="Calibri"/>
        </w:rPr>
        <w:t xml:space="preserve"> </w:t>
      </w:r>
      <w:proofErr w:type="spellStart"/>
      <w:r w:rsidR="00FC6DE0" w:rsidRPr="00DF48FB">
        <w:rPr>
          <w:rFonts w:ascii="Calibri" w:hAnsi="Calibri" w:cs="Calibri"/>
        </w:rPr>
        <w:t>Ghaelgagh</w:t>
      </w:r>
      <w:proofErr w:type="spellEnd"/>
      <w:r w:rsidR="00FC6DE0" w:rsidRPr="00DF48FB">
        <w:rPr>
          <w:rFonts w:ascii="Calibri" w:hAnsi="Calibri" w:cs="Calibri"/>
        </w:rPr>
        <w:t xml:space="preserve"> for Manx and Cornish classes offered in selected primary schools, begun to reverse this trend. However, these remain voluntary and often under-resourced compared to mainstream education.</w:t>
      </w:r>
    </w:p>
    <w:p w14:paraId="742F6ED7" w14:textId="1A1133C6" w:rsidR="00FC6DE0" w:rsidRPr="00FC6DE0" w:rsidRDefault="00DF48FB" w:rsidP="00FC6DE0">
      <w:pPr>
        <w:spacing w:before="100" w:beforeAutospacing="1" w:after="100" w:afterAutospacing="1"/>
        <w:rPr>
          <w:rFonts w:ascii="Calibri" w:hAnsi="Calibri" w:cs="Calibri"/>
        </w:rPr>
      </w:pPr>
      <w:r w:rsidRPr="00DF48FB">
        <w:rPr>
          <w:rFonts w:ascii="Calibri" w:hAnsi="Calibri" w:cs="Calibri"/>
        </w:rPr>
        <w:t>The persistence of Welsh is closely tied to its role in cultural and national identity. Events such as the National Eisteddfod, a celebration of Welsh literature, music, and performance, have preserved and reimagined the language as a living tradition</w:t>
      </w:r>
      <w:r w:rsidR="00FC6DE0" w:rsidRPr="00FC6DE0">
        <w:rPr>
          <w:rFonts w:ascii="Calibri" w:hAnsi="Calibri" w:cs="Calibri"/>
        </w:rPr>
        <w:t>, that has surpassed the borders of Wales, and is now an internationally renowned gathering.</w:t>
      </w:r>
    </w:p>
    <w:p w14:paraId="5D6489F5" w14:textId="1F1E3859"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Manx and Cornish identities have experienced a cultural renaissance in recent years, but for much of the modern period, language loss was accompanied by a decline in regional identity</w:t>
      </w:r>
      <w:r w:rsidR="00FC6DE0" w:rsidRPr="00FC6DE0">
        <w:rPr>
          <w:rFonts w:ascii="Calibri" w:hAnsi="Calibri" w:cs="Calibri"/>
        </w:rPr>
        <w:t>, with</w:t>
      </w:r>
      <w:r w:rsidRPr="00DF48FB">
        <w:rPr>
          <w:rFonts w:ascii="Calibri" w:hAnsi="Calibri" w:cs="Calibri"/>
        </w:rPr>
        <w:t xml:space="preserve"> Dorian observ</w:t>
      </w:r>
      <w:r w:rsidR="00FC6DE0" w:rsidRPr="00FC6DE0">
        <w:rPr>
          <w:rFonts w:ascii="Calibri" w:hAnsi="Calibri" w:cs="Calibri"/>
        </w:rPr>
        <w:t>ing</w:t>
      </w:r>
      <w:r w:rsidRPr="00DF48FB">
        <w:rPr>
          <w:rFonts w:ascii="Calibri" w:hAnsi="Calibri" w:cs="Calibri"/>
        </w:rPr>
        <w:t xml:space="preserve"> that when a community views its language as obsolete or a source of shame, language death accelerates.</w:t>
      </w:r>
      <w:r w:rsidR="00FC6DE0" w:rsidRPr="00FC6DE0">
        <w:rPr>
          <w:rStyle w:val="FootnoteReference"/>
          <w:rFonts w:ascii="Calibri" w:hAnsi="Calibri" w:cs="Calibri"/>
        </w:rPr>
        <w:footnoteReference w:id="10"/>
      </w:r>
      <w:r w:rsidRPr="00DF48FB">
        <w:rPr>
          <w:rFonts w:ascii="Calibri" w:hAnsi="Calibri" w:cs="Calibri"/>
        </w:rPr>
        <w:t xml:space="preserve"> Revitali</w:t>
      </w:r>
      <w:r w:rsidRPr="00FC6DE0">
        <w:rPr>
          <w:rFonts w:ascii="Calibri" w:hAnsi="Calibri" w:cs="Calibri"/>
        </w:rPr>
        <w:t>s</w:t>
      </w:r>
      <w:r w:rsidRPr="00DF48FB">
        <w:rPr>
          <w:rFonts w:ascii="Calibri" w:hAnsi="Calibri" w:cs="Calibri"/>
        </w:rPr>
        <w:t xml:space="preserve">ation movements have worked to reverse these attitudes, but the process remains fragile. Nevertheless, cultural initiatives such as </w:t>
      </w:r>
      <w:proofErr w:type="spellStart"/>
      <w:r w:rsidRPr="00DF48FB">
        <w:rPr>
          <w:rFonts w:ascii="Calibri" w:hAnsi="Calibri" w:cs="Calibri"/>
        </w:rPr>
        <w:t>Lowender</w:t>
      </w:r>
      <w:proofErr w:type="spellEnd"/>
      <w:r w:rsidRPr="00DF48FB">
        <w:rPr>
          <w:rFonts w:ascii="Calibri" w:hAnsi="Calibri" w:cs="Calibri"/>
        </w:rPr>
        <w:t xml:space="preserve"> Peran (Cornish cultural festival) and Hop-tu-Naa (Manx celebration) have contributed to a resurgence in regional pride.</w:t>
      </w:r>
    </w:p>
    <w:p w14:paraId="20577AF5" w14:textId="1F6F4E26"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Welsh has</w:t>
      </w:r>
      <w:r w:rsidR="00FC6DE0" w:rsidRPr="00FC6DE0">
        <w:rPr>
          <w:rFonts w:ascii="Calibri" w:hAnsi="Calibri" w:cs="Calibri"/>
        </w:rPr>
        <w:t xml:space="preserve"> also</w:t>
      </w:r>
      <w:r w:rsidRPr="00DF48FB">
        <w:rPr>
          <w:rFonts w:ascii="Calibri" w:hAnsi="Calibri" w:cs="Calibri"/>
        </w:rPr>
        <w:t xml:space="preserve"> adapted to the digital age with remarkable success. The launch of the Welsh-language television channel S4C in 1982 provided a dedicated platform for Welsh media</w:t>
      </w:r>
      <w:r w:rsidR="00FC6DE0" w:rsidRPr="00FC6DE0">
        <w:rPr>
          <w:rFonts w:ascii="Calibri" w:hAnsi="Calibri" w:cs="Calibri"/>
        </w:rPr>
        <w:t>, and</w:t>
      </w:r>
      <w:r w:rsidRPr="00DF48FB">
        <w:rPr>
          <w:rFonts w:ascii="Calibri" w:hAnsi="Calibri" w:cs="Calibri"/>
        </w:rPr>
        <w:t xml:space="preserve"> </w:t>
      </w:r>
      <w:r w:rsidR="00FC6DE0" w:rsidRPr="00FC6DE0">
        <w:rPr>
          <w:rFonts w:ascii="Calibri" w:hAnsi="Calibri" w:cs="Calibri"/>
        </w:rPr>
        <w:t>g</w:t>
      </w:r>
      <w:r w:rsidRPr="00DF48FB">
        <w:rPr>
          <w:rFonts w:ascii="Calibri" w:hAnsi="Calibri" w:cs="Calibri"/>
        </w:rPr>
        <w:t>overnment-supported initiatives like the Welsh Language Technology Action Plan have further extended the language's reach into digital and AI applications. Universities such as Bangor have partnered with technology firms to develop Welsh speech recognition, translation tools, and online learning resources</w:t>
      </w:r>
      <w:r w:rsidR="00FC6DE0" w:rsidRPr="00FC6DE0">
        <w:rPr>
          <w:rFonts w:ascii="Calibri" w:hAnsi="Calibri" w:cs="Calibri"/>
        </w:rPr>
        <w:t xml:space="preserve"> further ensuring</w:t>
      </w:r>
      <w:r w:rsidRPr="00DF48FB">
        <w:rPr>
          <w:rFonts w:ascii="Calibri" w:hAnsi="Calibri" w:cs="Calibri"/>
        </w:rPr>
        <w:t xml:space="preserve"> </w:t>
      </w:r>
      <w:r w:rsidR="00FC6DE0" w:rsidRPr="00FC6DE0">
        <w:rPr>
          <w:rFonts w:ascii="Calibri" w:hAnsi="Calibri" w:cs="Calibri"/>
        </w:rPr>
        <w:t>t</w:t>
      </w:r>
      <w:r w:rsidRPr="00DF48FB">
        <w:rPr>
          <w:rFonts w:ascii="Calibri" w:hAnsi="Calibri" w:cs="Calibri"/>
        </w:rPr>
        <w:t xml:space="preserve">he availability of bilingual </w:t>
      </w:r>
      <w:r w:rsidRPr="00DF48FB">
        <w:rPr>
          <w:rFonts w:ascii="Calibri" w:hAnsi="Calibri" w:cs="Calibri"/>
        </w:rPr>
        <w:lastRenderedPageBreak/>
        <w:t xml:space="preserve">websites, mobile applications, and social media content </w:t>
      </w:r>
      <w:r w:rsidR="00FC6DE0" w:rsidRPr="00FC6DE0">
        <w:rPr>
          <w:rFonts w:ascii="Calibri" w:hAnsi="Calibri" w:cs="Calibri"/>
        </w:rPr>
        <w:t xml:space="preserve">which </w:t>
      </w:r>
      <w:r w:rsidRPr="00DF48FB">
        <w:rPr>
          <w:rFonts w:ascii="Calibri" w:hAnsi="Calibri" w:cs="Calibri"/>
        </w:rPr>
        <w:t>has normali</w:t>
      </w:r>
      <w:r w:rsidRPr="00FC6DE0">
        <w:rPr>
          <w:rFonts w:ascii="Calibri" w:hAnsi="Calibri" w:cs="Calibri"/>
        </w:rPr>
        <w:t>s</w:t>
      </w:r>
      <w:r w:rsidRPr="00DF48FB">
        <w:rPr>
          <w:rFonts w:ascii="Calibri" w:hAnsi="Calibri" w:cs="Calibri"/>
        </w:rPr>
        <w:t>ed Welsh use among younger generations.</w:t>
      </w:r>
    </w:p>
    <w:p w14:paraId="5714BBBB" w14:textId="32F804EA"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Cornish and Manx have also benefited from technology, with language apps, online dictionaries, and radio broadcasts. For example, the Say Something in Manx app and the Speak Cornish YouTube channel offer accessible entry points for learners</w:t>
      </w:r>
      <w:r w:rsidR="00FC6DE0" w:rsidRPr="00FC6DE0">
        <w:rPr>
          <w:rFonts w:ascii="Calibri" w:hAnsi="Calibri" w:cs="Calibri"/>
        </w:rPr>
        <w:t>,</w:t>
      </w:r>
      <w:r w:rsidRPr="00DF48FB">
        <w:rPr>
          <w:rFonts w:ascii="Calibri" w:hAnsi="Calibri" w:cs="Calibri"/>
        </w:rPr>
        <w:t xml:space="preserve"> </w:t>
      </w:r>
      <w:r w:rsidR="00FC6DE0" w:rsidRPr="00FC6DE0">
        <w:rPr>
          <w:rFonts w:ascii="Calibri" w:hAnsi="Calibri" w:cs="Calibri"/>
        </w:rPr>
        <w:t>h</w:t>
      </w:r>
      <w:r w:rsidRPr="00DF48FB">
        <w:rPr>
          <w:rFonts w:ascii="Calibri" w:hAnsi="Calibri" w:cs="Calibri"/>
        </w:rPr>
        <w:t>owever these efforts are often underfunded and lack the infrastructural scale necessary for widespread impact. Symbolically important though they are, they cannot yet match the reach and normali</w:t>
      </w:r>
      <w:r w:rsidRPr="00FC6DE0">
        <w:rPr>
          <w:rFonts w:ascii="Calibri" w:hAnsi="Calibri" w:cs="Calibri"/>
        </w:rPr>
        <w:t>s</w:t>
      </w:r>
      <w:r w:rsidRPr="00DF48FB">
        <w:rPr>
          <w:rFonts w:ascii="Calibri" w:hAnsi="Calibri" w:cs="Calibri"/>
        </w:rPr>
        <w:t>ation afforded by Welsh-language digital ecosystems</w:t>
      </w:r>
      <w:r w:rsidR="00FC6DE0" w:rsidRPr="00FC6DE0">
        <w:rPr>
          <w:rFonts w:ascii="Calibri" w:hAnsi="Calibri" w:cs="Calibri"/>
        </w:rPr>
        <w:t>, with</w:t>
      </w:r>
      <w:r w:rsidRPr="00DF48FB">
        <w:rPr>
          <w:rFonts w:ascii="Calibri" w:hAnsi="Calibri" w:cs="Calibri"/>
        </w:rPr>
        <w:t xml:space="preserve"> a lack of consistent government investment in language technology for these languages.</w:t>
      </w:r>
    </w:p>
    <w:p w14:paraId="393ADFFA" w14:textId="091A11E9"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A key theme in recent research is the concept of "linguistic ecology" — the broader environment in which languages exist. Welsh has benefited from a relatively rich linguistic ecology, encompassing education, law, media, and public signage. Manx and Cornish, meanwhile, are still in the process of rebuilding their linguistic habitats</w:t>
      </w:r>
      <w:r w:rsidR="00FC6DE0" w:rsidRPr="00FC6DE0">
        <w:rPr>
          <w:rFonts w:ascii="Calibri" w:hAnsi="Calibri" w:cs="Calibri"/>
        </w:rPr>
        <w:t xml:space="preserve"> and w</w:t>
      </w:r>
      <w:r w:rsidRPr="00DF48FB">
        <w:rPr>
          <w:rFonts w:ascii="Calibri" w:hAnsi="Calibri" w:cs="Calibri"/>
        </w:rPr>
        <w:t xml:space="preserve">ithout support across multiple domains, the revival of these </w:t>
      </w:r>
      <w:proofErr w:type="gramStart"/>
      <w:r w:rsidRPr="00DF48FB">
        <w:rPr>
          <w:rFonts w:ascii="Calibri" w:hAnsi="Calibri" w:cs="Calibri"/>
        </w:rPr>
        <w:t>languages</w:t>
      </w:r>
      <w:proofErr w:type="gramEnd"/>
      <w:r w:rsidRPr="00DF48FB">
        <w:rPr>
          <w:rFonts w:ascii="Calibri" w:hAnsi="Calibri" w:cs="Calibri"/>
        </w:rPr>
        <w:t xml:space="preserve"> risks remaining symbolic rather than functional.</w:t>
      </w:r>
    </w:p>
    <w:p w14:paraId="22AF426E" w14:textId="026442EB"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 xml:space="preserve">The scholarly consensus indicates that languages survive not only because of demographic accident but because they are actively preserved through conscious policy, cultural investment, and community will. Wales, through a unique combination of internal resilience and external support, created the conditions necessary for Welsh to persist. The absence of similar supports </w:t>
      </w:r>
      <w:r w:rsidR="00FC6DE0" w:rsidRPr="00FC6DE0">
        <w:rPr>
          <w:rFonts w:ascii="Calibri" w:hAnsi="Calibri" w:cs="Calibri"/>
        </w:rPr>
        <w:t xml:space="preserve">on the Isle of </w:t>
      </w:r>
      <w:r w:rsidRPr="00DF48FB">
        <w:rPr>
          <w:rFonts w:ascii="Calibri" w:hAnsi="Calibri" w:cs="Calibri"/>
        </w:rPr>
        <w:t>Man and Cornwall explains the different trajectories of their native languages.</w:t>
      </w:r>
    </w:p>
    <w:p w14:paraId="2714DEB7" w14:textId="0BD68A17"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The divergent paths of Manx, Cornish, and Welsh illuminate the multifactorial nature of language survival. Welsh endures because it was supported by education, legislation, civil society, and technological innovation. Its speakers maintained cultural pride and symbolic investment, while state structures eventually responded with robust policy frameworks. Manx and Cornish, though now subject to revitali</w:t>
      </w:r>
      <w:r w:rsidRPr="00FC6DE0">
        <w:rPr>
          <w:rFonts w:ascii="Calibri" w:hAnsi="Calibri" w:cs="Calibri"/>
        </w:rPr>
        <w:t>s</w:t>
      </w:r>
      <w:r w:rsidRPr="00DF48FB">
        <w:rPr>
          <w:rFonts w:ascii="Calibri" w:hAnsi="Calibri" w:cs="Calibri"/>
        </w:rPr>
        <w:t>ation, lacked this combination of demographic base, institutional infrastructure, and cultural continuity during their critical periods of decline.</w:t>
      </w:r>
    </w:p>
    <w:p w14:paraId="66B0D743" w14:textId="5E8D308E" w:rsidR="00DF48FB" w:rsidRPr="00DF48FB" w:rsidRDefault="00DF48FB" w:rsidP="00DF48FB">
      <w:pPr>
        <w:spacing w:before="100" w:beforeAutospacing="1" w:after="100" w:afterAutospacing="1"/>
        <w:rPr>
          <w:rFonts w:ascii="Calibri" w:hAnsi="Calibri" w:cs="Calibri"/>
        </w:rPr>
      </w:pPr>
      <w:r w:rsidRPr="00DF48FB">
        <w:rPr>
          <w:rFonts w:ascii="Calibri" w:hAnsi="Calibri" w:cs="Calibri"/>
        </w:rPr>
        <w:t>The case of Welsh demonstrates that language revitali</w:t>
      </w:r>
      <w:r w:rsidRPr="00FC6DE0">
        <w:rPr>
          <w:rFonts w:ascii="Calibri" w:hAnsi="Calibri" w:cs="Calibri"/>
        </w:rPr>
        <w:t>s</w:t>
      </w:r>
      <w:r w:rsidRPr="00DF48FB">
        <w:rPr>
          <w:rFonts w:ascii="Calibri" w:hAnsi="Calibri" w:cs="Calibri"/>
        </w:rPr>
        <w:t>ation is possible when linguistic pride aligns with state support and community commitment. Moreover, the Welsh example illustrates how a minority language can not only survive but flourish within a bilingual and globali</w:t>
      </w:r>
      <w:r w:rsidRPr="00FC6DE0">
        <w:rPr>
          <w:rFonts w:ascii="Calibri" w:hAnsi="Calibri" w:cs="Calibri"/>
        </w:rPr>
        <w:t>s</w:t>
      </w:r>
      <w:r w:rsidRPr="00DF48FB">
        <w:rPr>
          <w:rFonts w:ascii="Calibri" w:hAnsi="Calibri" w:cs="Calibri"/>
        </w:rPr>
        <w:t>ed society. As such, it offers hope and a model for other endangered languages worldwide, emphasi</w:t>
      </w:r>
      <w:r w:rsidRPr="00FC6DE0">
        <w:rPr>
          <w:rFonts w:ascii="Calibri" w:hAnsi="Calibri" w:cs="Calibri"/>
        </w:rPr>
        <w:t>s</w:t>
      </w:r>
      <w:r w:rsidRPr="00DF48FB">
        <w:rPr>
          <w:rFonts w:ascii="Calibri" w:hAnsi="Calibri" w:cs="Calibri"/>
        </w:rPr>
        <w:t>ing the necessity of integrating legal recognition, education, community pride, and digital innovation in any revitali</w:t>
      </w:r>
      <w:r w:rsidRPr="00FC6DE0">
        <w:rPr>
          <w:rFonts w:ascii="Calibri" w:hAnsi="Calibri" w:cs="Calibri"/>
        </w:rPr>
        <w:t>s</w:t>
      </w:r>
      <w:r w:rsidRPr="00DF48FB">
        <w:rPr>
          <w:rFonts w:ascii="Calibri" w:hAnsi="Calibri" w:cs="Calibri"/>
        </w:rPr>
        <w:t>ation strategy.</w:t>
      </w:r>
    </w:p>
    <w:p w14:paraId="44C65AA1" w14:textId="20FC01E8" w:rsidR="00DF48FB" w:rsidRPr="00DF48FB" w:rsidRDefault="00DF48FB" w:rsidP="00DF48FB">
      <w:pPr>
        <w:rPr>
          <w:rFonts w:ascii="Calibri" w:hAnsi="Calibri" w:cs="Calibri"/>
        </w:rPr>
      </w:pPr>
    </w:p>
    <w:p w14:paraId="59F0D43A" w14:textId="7EE1E5FD" w:rsidR="00FC6DE0" w:rsidRPr="00FC6DE0" w:rsidRDefault="00FC6DE0" w:rsidP="00FC6DE0">
      <w:pPr>
        <w:rPr>
          <w:rFonts w:ascii="Calibri" w:hAnsi="Calibri" w:cs="Calibri"/>
        </w:rPr>
      </w:pPr>
    </w:p>
    <w:p w14:paraId="070AA026" w14:textId="67502849" w:rsidR="00FC6DE0" w:rsidRPr="00FC6DE0" w:rsidRDefault="00FC6DE0" w:rsidP="00FC6DE0">
      <w:pPr>
        <w:spacing w:before="100" w:beforeAutospacing="1" w:after="100" w:afterAutospacing="1"/>
        <w:outlineLvl w:val="1"/>
        <w:rPr>
          <w:rFonts w:ascii="Calibri" w:hAnsi="Calibri" w:cs="Calibri"/>
          <w:b/>
          <w:bCs/>
          <w:sz w:val="36"/>
          <w:szCs w:val="36"/>
        </w:rPr>
      </w:pPr>
      <w:r w:rsidRPr="00FC6DE0">
        <w:rPr>
          <w:rFonts w:ascii="Calibri" w:hAnsi="Calibri" w:cs="Calibri"/>
          <w:b/>
          <w:bCs/>
          <w:sz w:val="36"/>
          <w:szCs w:val="36"/>
        </w:rPr>
        <w:t>Bibliography</w:t>
      </w:r>
    </w:p>
    <w:p w14:paraId="3DAE7492" w14:textId="5D6646A9" w:rsidR="00FC6DE0" w:rsidRPr="00FC6DE0" w:rsidRDefault="00FC6DE0" w:rsidP="00FC6DE0">
      <w:pPr>
        <w:spacing w:before="100" w:beforeAutospacing="1" w:after="100" w:afterAutospacing="1"/>
        <w:ind w:left="360"/>
        <w:rPr>
          <w:rFonts w:ascii="Calibri" w:hAnsi="Calibri" w:cs="Calibri"/>
        </w:rPr>
      </w:pPr>
      <w:r w:rsidRPr="00FC6DE0">
        <w:rPr>
          <w:rFonts w:ascii="Calibri" w:hAnsi="Calibri" w:cs="Calibri"/>
        </w:rPr>
        <w:t xml:space="preserve">Dorian, Nancy. </w:t>
      </w:r>
      <w:r w:rsidRPr="00FC6DE0">
        <w:rPr>
          <w:rFonts w:ascii="Calibri" w:hAnsi="Calibri" w:cs="Calibri"/>
          <w:i/>
          <w:iCs/>
        </w:rPr>
        <w:t>Language Death: The Life Cycle of a Scottish Gaelic Dialect</w:t>
      </w:r>
      <w:r w:rsidRPr="00FC6DE0">
        <w:rPr>
          <w:rFonts w:ascii="Calibri" w:hAnsi="Calibri" w:cs="Calibri"/>
        </w:rPr>
        <w:t xml:space="preserve">. </w:t>
      </w:r>
      <w:r w:rsidRPr="00FC6DE0">
        <w:rPr>
          <w:rFonts w:ascii="Calibri" w:hAnsi="Calibri" w:cs="Calibri"/>
        </w:rPr>
        <w:t>(</w:t>
      </w:r>
      <w:r w:rsidRPr="00FC6DE0">
        <w:rPr>
          <w:rFonts w:ascii="Calibri" w:hAnsi="Calibri" w:cs="Calibri"/>
        </w:rPr>
        <w:t>Philadelphia: University of Pennsylvania Press, 1981</w:t>
      </w:r>
      <w:r w:rsidRPr="00FC6DE0">
        <w:rPr>
          <w:rFonts w:ascii="Calibri" w:hAnsi="Calibri" w:cs="Calibri"/>
        </w:rPr>
        <w:t>)</w:t>
      </w:r>
    </w:p>
    <w:p w14:paraId="68BAE9AA" w14:textId="2F3047BA" w:rsidR="00FC6DE0" w:rsidRPr="00FC6DE0" w:rsidRDefault="00FC6DE0" w:rsidP="00FC6DE0">
      <w:pPr>
        <w:spacing w:before="100" w:beforeAutospacing="1" w:after="100" w:afterAutospacing="1"/>
        <w:ind w:left="360"/>
        <w:rPr>
          <w:rFonts w:ascii="Calibri" w:hAnsi="Calibri" w:cs="Calibri"/>
        </w:rPr>
      </w:pPr>
      <w:r w:rsidRPr="00FC6DE0">
        <w:rPr>
          <w:rFonts w:ascii="Calibri" w:hAnsi="Calibri" w:cs="Calibri"/>
        </w:rPr>
        <w:lastRenderedPageBreak/>
        <w:t xml:space="preserve">Jackson, Kenneth. </w:t>
      </w:r>
      <w:r w:rsidRPr="00FC6DE0">
        <w:rPr>
          <w:rFonts w:ascii="Calibri" w:hAnsi="Calibri" w:cs="Calibri"/>
          <w:i/>
          <w:iCs/>
        </w:rPr>
        <w:t>Language and History in Early Britain</w:t>
      </w:r>
      <w:r w:rsidRPr="00FC6DE0">
        <w:rPr>
          <w:rFonts w:ascii="Calibri" w:hAnsi="Calibri" w:cs="Calibri"/>
        </w:rPr>
        <w:t xml:space="preserve">. </w:t>
      </w:r>
      <w:r w:rsidRPr="00FC6DE0">
        <w:rPr>
          <w:rFonts w:ascii="Calibri" w:hAnsi="Calibri" w:cs="Calibri"/>
        </w:rPr>
        <w:t>(</w:t>
      </w:r>
      <w:r w:rsidRPr="00FC6DE0">
        <w:rPr>
          <w:rFonts w:ascii="Calibri" w:hAnsi="Calibri" w:cs="Calibri"/>
        </w:rPr>
        <w:t>Edinburgh: Edinburgh University Press, 1953</w:t>
      </w:r>
      <w:r w:rsidRPr="00FC6DE0">
        <w:rPr>
          <w:rFonts w:ascii="Calibri" w:hAnsi="Calibri" w:cs="Calibri"/>
        </w:rPr>
        <w:t>)</w:t>
      </w:r>
    </w:p>
    <w:p w14:paraId="7FBCC016" w14:textId="44B42991" w:rsidR="00FC6DE0" w:rsidRPr="00FC6DE0" w:rsidRDefault="00FC6DE0" w:rsidP="00FC6DE0">
      <w:pPr>
        <w:spacing w:before="100" w:beforeAutospacing="1" w:after="100" w:afterAutospacing="1"/>
        <w:ind w:left="360"/>
        <w:rPr>
          <w:rFonts w:ascii="Calibri" w:hAnsi="Calibri" w:cs="Calibri"/>
        </w:rPr>
      </w:pPr>
      <w:r w:rsidRPr="00FC6DE0">
        <w:rPr>
          <w:rFonts w:ascii="Calibri" w:hAnsi="Calibri" w:cs="Calibri"/>
        </w:rPr>
        <w:t xml:space="preserve">Jones, </w:t>
      </w:r>
      <w:r w:rsidRPr="00FC6DE0">
        <w:rPr>
          <w:rFonts w:ascii="Calibri" w:hAnsi="Calibri" w:cs="Calibri"/>
        </w:rPr>
        <w:t xml:space="preserve">Gareth Elwyn and </w:t>
      </w:r>
      <w:proofErr w:type="spellStart"/>
      <w:r w:rsidRPr="00FC6DE0">
        <w:rPr>
          <w:rFonts w:ascii="Calibri" w:hAnsi="Calibri" w:cs="Calibri"/>
        </w:rPr>
        <w:t>Ieuan</w:t>
      </w:r>
      <w:proofErr w:type="spellEnd"/>
      <w:r w:rsidRPr="00FC6DE0">
        <w:rPr>
          <w:rFonts w:ascii="Calibri" w:hAnsi="Calibri" w:cs="Calibri"/>
        </w:rPr>
        <w:t xml:space="preserve"> Gwynedd Jones, ed. Gwyn A. Williams,</w:t>
      </w:r>
      <w:r w:rsidRPr="00FC6DE0">
        <w:rPr>
          <w:rFonts w:ascii="Calibri" w:hAnsi="Calibri" w:cs="Calibri"/>
          <w:i/>
          <w:iCs/>
        </w:rPr>
        <w:t xml:space="preserve"> </w:t>
      </w:r>
      <w:r w:rsidRPr="00FC6DE0">
        <w:rPr>
          <w:rStyle w:val="Emphasis"/>
          <w:rFonts w:ascii="Calibri" w:eastAsiaTheme="majorEastAsia" w:hAnsi="Calibri" w:cs="Calibri"/>
        </w:rPr>
        <w:t>The Welsh in Their History</w:t>
      </w:r>
      <w:r w:rsidRPr="00FC6DE0">
        <w:rPr>
          <w:rFonts w:ascii="Calibri" w:hAnsi="Calibri" w:cs="Calibri"/>
        </w:rPr>
        <w:t xml:space="preserve"> (Cardiff: University of Wales Press, 1986)</w:t>
      </w:r>
    </w:p>
    <w:p w14:paraId="54C0CFF5" w14:textId="6DD71AF0" w:rsidR="00FC6DE0" w:rsidRPr="00FC6DE0" w:rsidRDefault="00FC6DE0" w:rsidP="00FC6DE0">
      <w:pPr>
        <w:spacing w:before="100" w:beforeAutospacing="1" w:after="100" w:afterAutospacing="1"/>
        <w:ind w:left="360"/>
        <w:rPr>
          <w:rFonts w:ascii="Calibri" w:hAnsi="Calibri" w:cs="Calibri"/>
        </w:rPr>
      </w:pPr>
      <w:r w:rsidRPr="00FC6DE0">
        <w:rPr>
          <w:rFonts w:ascii="Calibri" w:hAnsi="Calibri" w:cs="Calibri"/>
        </w:rPr>
        <w:t xml:space="preserve">Stowell, Brian. </w:t>
      </w:r>
      <w:r w:rsidRPr="00FC6DE0">
        <w:rPr>
          <w:rFonts w:ascii="Calibri" w:hAnsi="Calibri" w:cs="Calibri"/>
          <w:i/>
          <w:iCs/>
        </w:rPr>
        <w:t xml:space="preserve">Y </w:t>
      </w:r>
      <w:proofErr w:type="spellStart"/>
      <w:r w:rsidRPr="00FC6DE0">
        <w:rPr>
          <w:rFonts w:ascii="Calibri" w:hAnsi="Calibri" w:cs="Calibri"/>
          <w:i/>
          <w:iCs/>
        </w:rPr>
        <w:t>Vradjag</w:t>
      </w:r>
      <w:proofErr w:type="spellEnd"/>
      <w:r w:rsidRPr="00FC6DE0">
        <w:rPr>
          <w:rFonts w:ascii="Calibri" w:hAnsi="Calibri" w:cs="Calibri"/>
          <w:i/>
          <w:iCs/>
        </w:rPr>
        <w:t xml:space="preserve"> </w:t>
      </w:r>
      <w:proofErr w:type="spellStart"/>
      <w:r w:rsidRPr="00FC6DE0">
        <w:rPr>
          <w:rFonts w:ascii="Calibri" w:hAnsi="Calibri" w:cs="Calibri"/>
          <w:i/>
          <w:iCs/>
        </w:rPr>
        <w:t>Vanninagh</w:t>
      </w:r>
      <w:proofErr w:type="spellEnd"/>
      <w:r w:rsidRPr="00FC6DE0">
        <w:rPr>
          <w:rFonts w:ascii="Calibri" w:hAnsi="Calibri" w:cs="Calibri"/>
          <w:i/>
          <w:iCs/>
        </w:rPr>
        <w:t>: The Manx Language</w:t>
      </w:r>
      <w:r w:rsidRPr="00FC6DE0">
        <w:rPr>
          <w:rFonts w:ascii="Calibri" w:hAnsi="Calibri" w:cs="Calibri"/>
        </w:rPr>
        <w:t xml:space="preserve">. </w:t>
      </w:r>
      <w:r w:rsidRPr="00FC6DE0">
        <w:rPr>
          <w:rFonts w:ascii="Calibri" w:hAnsi="Calibri" w:cs="Calibri"/>
        </w:rPr>
        <w:t>(</w:t>
      </w:r>
      <w:r w:rsidRPr="00FC6DE0">
        <w:rPr>
          <w:rFonts w:ascii="Calibri" w:hAnsi="Calibri" w:cs="Calibri"/>
        </w:rPr>
        <w:t>Douglas: Culture Vannin, 2007</w:t>
      </w:r>
      <w:r w:rsidRPr="00FC6DE0">
        <w:rPr>
          <w:rFonts w:ascii="Calibri" w:hAnsi="Calibri" w:cs="Calibri"/>
        </w:rPr>
        <w:t>)</w:t>
      </w:r>
    </w:p>
    <w:p w14:paraId="65A31CC9" w14:textId="2811A4C2" w:rsidR="00FC6DE0" w:rsidRPr="00FC6DE0" w:rsidRDefault="00FC6DE0" w:rsidP="00FC6DE0">
      <w:pPr>
        <w:spacing w:before="100" w:beforeAutospacing="1" w:after="100" w:afterAutospacing="1"/>
        <w:ind w:left="360"/>
        <w:rPr>
          <w:rFonts w:ascii="Calibri" w:hAnsi="Calibri" w:cs="Calibri"/>
        </w:rPr>
      </w:pPr>
      <w:r w:rsidRPr="00FC6DE0">
        <w:rPr>
          <w:rFonts w:ascii="Calibri" w:hAnsi="Calibri" w:cs="Calibri"/>
        </w:rPr>
        <w:t xml:space="preserve">Williams, Colin H. </w:t>
      </w:r>
      <w:r w:rsidRPr="00FC6DE0">
        <w:rPr>
          <w:rFonts w:ascii="Calibri" w:hAnsi="Calibri" w:cs="Calibri"/>
          <w:i/>
          <w:iCs/>
        </w:rPr>
        <w:t xml:space="preserve">Called </w:t>
      </w:r>
      <w:proofErr w:type="gramStart"/>
      <w:r w:rsidRPr="00FC6DE0">
        <w:rPr>
          <w:rFonts w:ascii="Calibri" w:hAnsi="Calibri" w:cs="Calibri"/>
          <w:i/>
          <w:iCs/>
        </w:rPr>
        <w:t>Unto</w:t>
      </w:r>
      <w:proofErr w:type="gramEnd"/>
      <w:r w:rsidRPr="00FC6DE0">
        <w:rPr>
          <w:rFonts w:ascii="Calibri" w:hAnsi="Calibri" w:cs="Calibri"/>
          <w:i/>
          <w:iCs/>
        </w:rPr>
        <w:t xml:space="preserve"> Liberty: On Language and Nationalism</w:t>
      </w:r>
      <w:r w:rsidRPr="00FC6DE0">
        <w:rPr>
          <w:rFonts w:ascii="Calibri" w:hAnsi="Calibri" w:cs="Calibri"/>
        </w:rPr>
        <w:t xml:space="preserve">. </w:t>
      </w:r>
      <w:r w:rsidRPr="00FC6DE0">
        <w:rPr>
          <w:rFonts w:ascii="Calibri" w:hAnsi="Calibri" w:cs="Calibri"/>
        </w:rPr>
        <w:t>(</w:t>
      </w:r>
      <w:r w:rsidRPr="00FC6DE0">
        <w:rPr>
          <w:rFonts w:ascii="Calibri" w:hAnsi="Calibri" w:cs="Calibri"/>
        </w:rPr>
        <w:t>Cardiff: University of Wales Press, 2000</w:t>
      </w:r>
      <w:r w:rsidRPr="00FC6DE0">
        <w:rPr>
          <w:rFonts w:ascii="Calibri" w:hAnsi="Calibri" w:cs="Calibri"/>
        </w:rPr>
        <w:t>)</w:t>
      </w:r>
    </w:p>
    <w:p w14:paraId="3D9438CA" w14:textId="6FD5B048" w:rsidR="00FC6DE0" w:rsidRPr="00FC6DE0" w:rsidRDefault="00FC6DE0" w:rsidP="00FC6DE0">
      <w:pPr>
        <w:spacing w:before="100" w:beforeAutospacing="1" w:after="100" w:afterAutospacing="1"/>
        <w:ind w:left="360"/>
        <w:rPr>
          <w:rFonts w:ascii="Calibri" w:hAnsi="Calibri" w:cs="Calibri"/>
        </w:rPr>
      </w:pPr>
      <w:r w:rsidRPr="00FC6DE0">
        <w:rPr>
          <w:rFonts w:ascii="Calibri" w:hAnsi="Calibri" w:cs="Calibri"/>
        </w:rPr>
        <w:t xml:space="preserve">Parry, Gwynedd. “Cornish: A Case of Belated Policy.” In </w:t>
      </w:r>
      <w:r w:rsidRPr="00FC6DE0">
        <w:rPr>
          <w:rFonts w:ascii="Calibri" w:hAnsi="Calibri" w:cs="Calibri"/>
          <w:i/>
          <w:iCs/>
        </w:rPr>
        <w:t>Minority Language Promotion, Protection and Regulation</w:t>
      </w:r>
      <w:r w:rsidRPr="00FC6DE0">
        <w:rPr>
          <w:rFonts w:ascii="Calibri" w:hAnsi="Calibri" w:cs="Calibri"/>
        </w:rPr>
        <w:t xml:space="preserve">, edited by Colin H. Williams. </w:t>
      </w:r>
      <w:r w:rsidRPr="00FC6DE0">
        <w:rPr>
          <w:rFonts w:ascii="Calibri" w:hAnsi="Calibri" w:cs="Calibri"/>
        </w:rPr>
        <w:t>(</w:t>
      </w:r>
      <w:r w:rsidRPr="00FC6DE0">
        <w:rPr>
          <w:rFonts w:ascii="Calibri" w:hAnsi="Calibri" w:cs="Calibri"/>
        </w:rPr>
        <w:t>London: Palgrave Macmillan, 201</w:t>
      </w:r>
      <w:r w:rsidRPr="00FC6DE0">
        <w:rPr>
          <w:rFonts w:ascii="Calibri" w:hAnsi="Calibri" w:cs="Calibri"/>
        </w:rPr>
        <w:t>3)</w:t>
      </w:r>
    </w:p>
    <w:p w14:paraId="657D29E8" w14:textId="09266FA9" w:rsidR="00FC6DE0" w:rsidRPr="00FC6DE0" w:rsidRDefault="00FC6DE0" w:rsidP="00FC6DE0">
      <w:pPr>
        <w:rPr>
          <w:rFonts w:ascii="Calibri" w:hAnsi="Calibri" w:cs="Calibri"/>
        </w:rPr>
      </w:pPr>
    </w:p>
    <w:p w14:paraId="209B6071" w14:textId="77777777" w:rsidR="00FC6DE0" w:rsidRPr="00FC6DE0" w:rsidRDefault="00FC6DE0" w:rsidP="00DF48FB">
      <w:pPr>
        <w:rPr>
          <w:rFonts w:ascii="Calibri" w:hAnsi="Calibri" w:cs="Calibri"/>
        </w:rPr>
      </w:pPr>
    </w:p>
    <w:sectPr w:rsidR="00FC6DE0" w:rsidRPr="00FC6D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A6BEF" w14:textId="77777777" w:rsidR="00A81887" w:rsidRDefault="00A81887" w:rsidP="00FC6DE0">
      <w:r>
        <w:separator/>
      </w:r>
    </w:p>
  </w:endnote>
  <w:endnote w:type="continuationSeparator" w:id="0">
    <w:p w14:paraId="5586C9E8" w14:textId="77777777" w:rsidR="00A81887" w:rsidRDefault="00A81887" w:rsidP="00FC6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98095" w14:textId="77777777" w:rsidR="00A81887" w:rsidRDefault="00A81887" w:rsidP="00FC6DE0">
      <w:r>
        <w:separator/>
      </w:r>
    </w:p>
  </w:footnote>
  <w:footnote w:type="continuationSeparator" w:id="0">
    <w:p w14:paraId="59C90CB1" w14:textId="77777777" w:rsidR="00A81887" w:rsidRDefault="00A81887" w:rsidP="00FC6DE0">
      <w:r>
        <w:continuationSeparator/>
      </w:r>
    </w:p>
  </w:footnote>
  <w:footnote w:id="1">
    <w:p w14:paraId="475BA69B" w14:textId="203F4E95" w:rsidR="00FC6DE0" w:rsidRDefault="00FC6DE0">
      <w:pPr>
        <w:pStyle w:val="FootnoteText"/>
      </w:pPr>
      <w:r>
        <w:rPr>
          <w:rStyle w:val="FootnoteReference"/>
        </w:rPr>
        <w:footnoteRef/>
      </w:r>
      <w:r>
        <w:t xml:space="preserve"> </w:t>
      </w:r>
      <w:r w:rsidRPr="00DF48FB">
        <w:t xml:space="preserve">Kenneth Jackson, </w:t>
      </w:r>
      <w:r w:rsidRPr="00DF48FB">
        <w:rPr>
          <w:i/>
          <w:iCs/>
        </w:rPr>
        <w:t>Language and History in Early Britain</w:t>
      </w:r>
      <w:r w:rsidRPr="00DF48FB">
        <w:t xml:space="preserve"> (Edinburgh: Edinburgh University Press, 1953</w:t>
      </w:r>
      <w:r>
        <w:t>)</w:t>
      </w:r>
      <w:r w:rsidRPr="00DF48FB">
        <w:t>, p. 674</w:t>
      </w:r>
    </w:p>
  </w:footnote>
  <w:footnote w:id="2">
    <w:p w14:paraId="34516530" w14:textId="5B3A5644" w:rsidR="00FC6DE0" w:rsidRDefault="00FC6DE0">
      <w:pPr>
        <w:pStyle w:val="FootnoteText"/>
      </w:pPr>
      <w:r>
        <w:rPr>
          <w:rStyle w:val="FootnoteReference"/>
        </w:rPr>
        <w:footnoteRef/>
      </w:r>
      <w:r>
        <w:t xml:space="preserve"> </w:t>
      </w:r>
      <w:r w:rsidRPr="00DF48FB">
        <w:t xml:space="preserve">Nancy Dorian, </w:t>
      </w:r>
      <w:r w:rsidRPr="00DF48FB">
        <w:rPr>
          <w:i/>
          <w:iCs/>
        </w:rPr>
        <w:t>Language Death: The Life Cycle of a Scottish Gaelic Dialect</w:t>
      </w:r>
      <w:r w:rsidRPr="00DF48FB">
        <w:t xml:space="preserve"> (Philadelphia: University of Pennsylvania Press, 1981),</w:t>
      </w:r>
      <w:r>
        <w:t xml:space="preserve"> </w:t>
      </w:r>
      <w:r w:rsidRPr="00DF48FB">
        <w:t>p</w:t>
      </w:r>
      <w:r>
        <w:t>p</w:t>
      </w:r>
      <w:r w:rsidRPr="00DF48FB">
        <w:t>. 23</w:t>
      </w:r>
      <w:r>
        <w:t>-27</w:t>
      </w:r>
    </w:p>
  </w:footnote>
  <w:footnote w:id="3">
    <w:p w14:paraId="1C7A3BAD" w14:textId="67393334" w:rsidR="00FC6DE0" w:rsidRDefault="00FC6DE0">
      <w:pPr>
        <w:pStyle w:val="FootnoteText"/>
      </w:pPr>
      <w:r>
        <w:rPr>
          <w:rStyle w:val="FootnoteReference"/>
        </w:rPr>
        <w:footnoteRef/>
      </w:r>
      <w:r>
        <w:t xml:space="preserve"> </w:t>
      </w:r>
      <w:r w:rsidRPr="00FC6DE0">
        <w:t xml:space="preserve">Brian Stowell, </w:t>
      </w:r>
      <w:r w:rsidRPr="00FC6DE0">
        <w:rPr>
          <w:i/>
          <w:iCs/>
        </w:rPr>
        <w:t xml:space="preserve">Y </w:t>
      </w:r>
      <w:proofErr w:type="spellStart"/>
      <w:r w:rsidRPr="00FC6DE0">
        <w:rPr>
          <w:i/>
          <w:iCs/>
        </w:rPr>
        <w:t>Vradjag</w:t>
      </w:r>
      <w:proofErr w:type="spellEnd"/>
      <w:r w:rsidRPr="00FC6DE0">
        <w:rPr>
          <w:i/>
          <w:iCs/>
        </w:rPr>
        <w:t xml:space="preserve"> </w:t>
      </w:r>
      <w:proofErr w:type="spellStart"/>
      <w:r w:rsidRPr="00FC6DE0">
        <w:rPr>
          <w:i/>
          <w:iCs/>
        </w:rPr>
        <w:t>Vanninagh</w:t>
      </w:r>
      <w:proofErr w:type="spellEnd"/>
      <w:r w:rsidRPr="00FC6DE0">
        <w:rPr>
          <w:i/>
          <w:iCs/>
        </w:rPr>
        <w:t>: The Manx Language</w:t>
      </w:r>
      <w:r w:rsidRPr="00FC6DE0">
        <w:t xml:space="preserve"> (Douglas: Culture Vannin, 2007),</w:t>
      </w:r>
      <w:r>
        <w:t xml:space="preserve"> p. 142</w:t>
      </w:r>
    </w:p>
  </w:footnote>
  <w:footnote w:id="4">
    <w:p w14:paraId="290F462D" w14:textId="77777777" w:rsidR="00FC6DE0" w:rsidRPr="00FC6DE0" w:rsidRDefault="00FC6DE0" w:rsidP="00FC6DE0">
      <w:pPr>
        <w:pStyle w:val="FootnoteText"/>
      </w:pPr>
      <w:r>
        <w:rPr>
          <w:rStyle w:val="FootnoteReference"/>
        </w:rPr>
        <w:footnoteRef/>
      </w:r>
      <w:r>
        <w:t xml:space="preserve"> </w:t>
      </w:r>
      <w:r w:rsidRPr="00FC6DE0">
        <w:t xml:space="preserve">Irish Folklore Commission, </w:t>
      </w:r>
      <w:r w:rsidRPr="00FC6DE0">
        <w:rPr>
          <w:i/>
          <w:iCs/>
        </w:rPr>
        <w:t xml:space="preserve">Audio Recordings of Ned </w:t>
      </w:r>
      <w:proofErr w:type="spellStart"/>
      <w:r w:rsidRPr="00FC6DE0">
        <w:rPr>
          <w:i/>
          <w:iCs/>
        </w:rPr>
        <w:t>Maddrell</w:t>
      </w:r>
      <w:proofErr w:type="spellEnd"/>
      <w:r w:rsidRPr="00FC6DE0">
        <w:t>, National Folklore Collection, University College Dublin.</w:t>
      </w:r>
    </w:p>
    <w:p w14:paraId="3CD3EB4F" w14:textId="4A040450" w:rsidR="00FC6DE0" w:rsidRDefault="00FC6DE0">
      <w:pPr>
        <w:pStyle w:val="FootnoteText"/>
      </w:pPr>
    </w:p>
  </w:footnote>
  <w:footnote w:id="5">
    <w:p w14:paraId="32A5B372" w14:textId="27F86622" w:rsidR="00FC6DE0" w:rsidRDefault="00FC6DE0">
      <w:pPr>
        <w:pStyle w:val="FootnoteText"/>
      </w:pPr>
      <w:r>
        <w:rPr>
          <w:rStyle w:val="FootnoteReference"/>
        </w:rPr>
        <w:footnoteRef/>
      </w:r>
      <w:r>
        <w:t xml:space="preserve"> </w:t>
      </w:r>
      <w:r w:rsidRPr="00DF48FB">
        <w:t xml:space="preserve">Dorian, </w:t>
      </w:r>
      <w:r w:rsidRPr="00DF48FB">
        <w:rPr>
          <w:i/>
          <w:iCs/>
        </w:rPr>
        <w:t>Language Death</w:t>
      </w:r>
      <w:r w:rsidRPr="00DF48FB">
        <w:t xml:space="preserve">, </w:t>
      </w:r>
      <w:r>
        <w:t>p. 114</w:t>
      </w:r>
      <w:r w:rsidRPr="00DF48FB">
        <w:t>.</w:t>
      </w:r>
    </w:p>
  </w:footnote>
  <w:footnote w:id="6">
    <w:p w14:paraId="54C3DC9D" w14:textId="5F2CCAC2" w:rsidR="00FC6DE0" w:rsidRDefault="00FC6DE0">
      <w:pPr>
        <w:pStyle w:val="FootnoteText"/>
      </w:pPr>
      <w:r>
        <w:rPr>
          <w:rStyle w:val="FootnoteReference"/>
        </w:rPr>
        <w:footnoteRef/>
      </w:r>
      <w:r>
        <w:t xml:space="preserve"> </w:t>
      </w:r>
      <w:r>
        <w:t xml:space="preserve">Gwyn Thomas, cited in Gareth Elwyn Jones and </w:t>
      </w:r>
      <w:proofErr w:type="spellStart"/>
      <w:r>
        <w:t>Ieuan</w:t>
      </w:r>
      <w:proofErr w:type="spellEnd"/>
      <w:r>
        <w:t xml:space="preserve"> Gwynedd Jones, </w:t>
      </w:r>
      <w:r>
        <w:t xml:space="preserve">ed. </w:t>
      </w:r>
      <w:r w:rsidRPr="00FC6DE0">
        <w:t>Gwyn A. Williams</w:t>
      </w:r>
      <w:r>
        <w:t>,</w:t>
      </w:r>
      <w:r w:rsidRPr="00FC6DE0">
        <w:rPr>
          <w:i/>
          <w:iCs/>
        </w:rPr>
        <w:t xml:space="preserve"> </w:t>
      </w:r>
      <w:r>
        <w:rPr>
          <w:rStyle w:val="Emphasis"/>
          <w:rFonts w:eastAsiaTheme="majorEastAsia"/>
        </w:rPr>
        <w:t>The Welsh in Their History</w:t>
      </w:r>
      <w:r>
        <w:t xml:space="preserve"> (Cardiff: University of Wales Press, 1986), </w:t>
      </w:r>
      <w:r>
        <w:t xml:space="preserve">p. </w:t>
      </w:r>
      <w:proofErr w:type="gramStart"/>
      <w:r>
        <w:t>94</w:t>
      </w:r>
      <w:proofErr w:type="gramEnd"/>
    </w:p>
  </w:footnote>
  <w:footnote w:id="7">
    <w:p w14:paraId="7CB9B9C1" w14:textId="5A42008C" w:rsidR="00FC6DE0" w:rsidRDefault="00FC6DE0">
      <w:pPr>
        <w:pStyle w:val="FootnoteText"/>
      </w:pPr>
      <w:r>
        <w:rPr>
          <w:rStyle w:val="FootnoteReference"/>
        </w:rPr>
        <w:footnoteRef/>
      </w:r>
      <w:r>
        <w:t xml:space="preserve"> </w:t>
      </w:r>
      <w:r>
        <w:t xml:space="preserve">Brian Stowell, </w:t>
      </w:r>
      <w:r>
        <w:rPr>
          <w:rStyle w:val="Emphasis"/>
          <w:rFonts w:eastAsiaTheme="majorEastAsia"/>
        </w:rPr>
        <w:t xml:space="preserve">Y </w:t>
      </w:r>
      <w:proofErr w:type="spellStart"/>
      <w:r>
        <w:rPr>
          <w:rStyle w:val="Emphasis"/>
          <w:rFonts w:eastAsiaTheme="majorEastAsia"/>
        </w:rPr>
        <w:t>Vradjag</w:t>
      </w:r>
      <w:proofErr w:type="spellEnd"/>
      <w:r>
        <w:rPr>
          <w:rStyle w:val="Emphasis"/>
          <w:rFonts w:eastAsiaTheme="majorEastAsia"/>
        </w:rPr>
        <w:t xml:space="preserve"> </w:t>
      </w:r>
      <w:proofErr w:type="spellStart"/>
      <w:r>
        <w:rPr>
          <w:rStyle w:val="Emphasis"/>
          <w:rFonts w:eastAsiaTheme="majorEastAsia"/>
        </w:rPr>
        <w:t>Vanninagh</w:t>
      </w:r>
      <w:proofErr w:type="spellEnd"/>
      <w:r>
        <w:rPr>
          <w:rStyle w:val="Emphasis"/>
          <w:rFonts w:eastAsiaTheme="majorEastAsia"/>
        </w:rPr>
        <w:t>,</w:t>
      </w:r>
      <w:r>
        <w:t xml:space="preserve"> </w:t>
      </w:r>
      <w:r>
        <w:t xml:space="preserve">p. </w:t>
      </w:r>
      <w:r>
        <w:t>1</w:t>
      </w:r>
      <w:r>
        <w:t>1</w:t>
      </w:r>
      <w:r>
        <w:t>2</w:t>
      </w:r>
    </w:p>
  </w:footnote>
  <w:footnote w:id="8">
    <w:p w14:paraId="1C7CE38C" w14:textId="41EB4536" w:rsidR="00FC6DE0" w:rsidRDefault="00FC6DE0">
      <w:pPr>
        <w:pStyle w:val="FootnoteText"/>
      </w:pPr>
      <w:r>
        <w:rPr>
          <w:rStyle w:val="FootnoteReference"/>
        </w:rPr>
        <w:footnoteRef/>
      </w:r>
      <w:r>
        <w:t xml:space="preserve"> </w:t>
      </w:r>
      <w:r w:rsidRPr="00DF48FB">
        <w:t xml:space="preserve">Williams, Colin H. </w:t>
      </w:r>
      <w:r w:rsidRPr="00DF48FB">
        <w:rPr>
          <w:i/>
          <w:iCs/>
        </w:rPr>
        <w:t xml:space="preserve">Called </w:t>
      </w:r>
      <w:proofErr w:type="gramStart"/>
      <w:r w:rsidRPr="00DF48FB">
        <w:rPr>
          <w:i/>
          <w:iCs/>
        </w:rPr>
        <w:t>Unto</w:t>
      </w:r>
      <w:proofErr w:type="gramEnd"/>
      <w:r w:rsidRPr="00DF48FB">
        <w:rPr>
          <w:i/>
          <w:iCs/>
        </w:rPr>
        <w:t xml:space="preserve"> Liberty: On Language and Nationalism</w:t>
      </w:r>
      <w:r w:rsidRPr="00DF48FB">
        <w:t xml:space="preserve">. </w:t>
      </w:r>
      <w:r>
        <w:t>(</w:t>
      </w:r>
      <w:r w:rsidRPr="00DF48FB">
        <w:t>Cardiff: University of Wales Press, 2000</w:t>
      </w:r>
      <w:r>
        <w:t xml:space="preserve">) </w:t>
      </w:r>
      <w:r w:rsidRPr="00DF48FB">
        <w:t>p. 1</w:t>
      </w:r>
      <w:r>
        <w:t>67</w:t>
      </w:r>
    </w:p>
  </w:footnote>
  <w:footnote w:id="9">
    <w:p w14:paraId="42628E92" w14:textId="134056C1" w:rsidR="00FC6DE0" w:rsidRDefault="00FC6DE0">
      <w:pPr>
        <w:pStyle w:val="FootnoteText"/>
      </w:pPr>
      <w:r>
        <w:rPr>
          <w:rStyle w:val="FootnoteReference"/>
        </w:rPr>
        <w:footnoteRef/>
      </w:r>
      <w:r>
        <w:t xml:space="preserve"> </w:t>
      </w:r>
      <w:r w:rsidRPr="00DF48FB">
        <w:t xml:space="preserve">Williams, </w:t>
      </w:r>
      <w:r w:rsidRPr="00DF48FB">
        <w:rPr>
          <w:i/>
          <w:iCs/>
        </w:rPr>
        <w:t xml:space="preserve">Called </w:t>
      </w:r>
      <w:proofErr w:type="gramStart"/>
      <w:r w:rsidRPr="00DF48FB">
        <w:rPr>
          <w:i/>
          <w:iCs/>
        </w:rPr>
        <w:t>Unto</w:t>
      </w:r>
      <w:proofErr w:type="gramEnd"/>
      <w:r w:rsidRPr="00DF48FB">
        <w:rPr>
          <w:i/>
          <w:iCs/>
        </w:rPr>
        <w:t xml:space="preserve"> Liberty</w:t>
      </w:r>
      <w:r w:rsidRPr="00DF48FB">
        <w:t>, 2000, p. 1</w:t>
      </w:r>
      <w:r>
        <w:t>36</w:t>
      </w:r>
    </w:p>
  </w:footnote>
  <w:footnote w:id="10">
    <w:p w14:paraId="4129FE37" w14:textId="2CE9A583" w:rsidR="00FC6DE0" w:rsidRDefault="00FC6DE0">
      <w:pPr>
        <w:pStyle w:val="FootnoteText"/>
      </w:pPr>
      <w:r>
        <w:rPr>
          <w:rStyle w:val="FootnoteReference"/>
        </w:rPr>
        <w:footnoteRef/>
      </w:r>
      <w:r>
        <w:t xml:space="preserve"> </w:t>
      </w:r>
      <w:r w:rsidRPr="00DF48FB">
        <w:t xml:space="preserve">Dorian, </w:t>
      </w:r>
      <w:r w:rsidRPr="00DF48FB">
        <w:rPr>
          <w:i/>
          <w:iCs/>
        </w:rPr>
        <w:t>Language Death</w:t>
      </w:r>
      <w:r w:rsidRPr="00DF48FB">
        <w:t>, p. 4</w:t>
      </w:r>
      <w:r>
        <w:t>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90786"/>
    <w:multiLevelType w:val="multilevel"/>
    <w:tmpl w:val="9AE85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895A11"/>
    <w:multiLevelType w:val="multilevel"/>
    <w:tmpl w:val="EB7A4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7541BE"/>
    <w:multiLevelType w:val="multilevel"/>
    <w:tmpl w:val="CA5A5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D86EFA"/>
    <w:multiLevelType w:val="multilevel"/>
    <w:tmpl w:val="9DF07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700BFF"/>
    <w:multiLevelType w:val="multilevel"/>
    <w:tmpl w:val="DA82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E069CB"/>
    <w:multiLevelType w:val="multilevel"/>
    <w:tmpl w:val="D628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66E2055"/>
    <w:multiLevelType w:val="multilevel"/>
    <w:tmpl w:val="18B4F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9B2CEB"/>
    <w:multiLevelType w:val="multilevel"/>
    <w:tmpl w:val="F1AA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276361">
    <w:abstractNumId w:val="1"/>
  </w:num>
  <w:num w:numId="2" w16cid:durableId="501509294">
    <w:abstractNumId w:val="5"/>
  </w:num>
  <w:num w:numId="3" w16cid:durableId="1097481705">
    <w:abstractNumId w:val="2"/>
  </w:num>
  <w:num w:numId="4" w16cid:durableId="209851896">
    <w:abstractNumId w:val="6"/>
  </w:num>
  <w:num w:numId="5" w16cid:durableId="428889499">
    <w:abstractNumId w:val="0"/>
  </w:num>
  <w:num w:numId="6" w16cid:durableId="89550211">
    <w:abstractNumId w:val="4"/>
  </w:num>
  <w:num w:numId="7" w16cid:durableId="1992826239">
    <w:abstractNumId w:val="7"/>
  </w:num>
  <w:num w:numId="8" w16cid:durableId="17804915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8FB"/>
    <w:rsid w:val="004F7216"/>
    <w:rsid w:val="009116FB"/>
    <w:rsid w:val="00A81887"/>
    <w:rsid w:val="00DF48FB"/>
    <w:rsid w:val="00FA55EE"/>
    <w:rsid w:val="00FC6D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06F351"/>
  <w15:chartTrackingRefBased/>
  <w15:docId w15:val="{FB04BD18-5652-5A4C-928C-ACBD86673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DE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F48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48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48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8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8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8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8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8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8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48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F48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48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48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48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8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8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8FB"/>
    <w:rPr>
      <w:rFonts w:eastAsiaTheme="majorEastAsia" w:cstheme="majorBidi"/>
      <w:color w:val="272727" w:themeColor="text1" w:themeTint="D8"/>
    </w:rPr>
  </w:style>
  <w:style w:type="paragraph" w:styleId="Title">
    <w:name w:val="Title"/>
    <w:basedOn w:val="Normal"/>
    <w:next w:val="Normal"/>
    <w:link w:val="TitleChar"/>
    <w:uiPriority w:val="10"/>
    <w:qFormat/>
    <w:rsid w:val="00DF48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8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8F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8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8F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48FB"/>
    <w:rPr>
      <w:i/>
      <w:iCs/>
      <w:color w:val="404040" w:themeColor="text1" w:themeTint="BF"/>
    </w:rPr>
  </w:style>
  <w:style w:type="paragraph" w:styleId="ListParagraph">
    <w:name w:val="List Paragraph"/>
    <w:basedOn w:val="Normal"/>
    <w:uiPriority w:val="34"/>
    <w:qFormat/>
    <w:rsid w:val="00DF48FB"/>
    <w:pPr>
      <w:ind w:left="720"/>
      <w:contextualSpacing/>
    </w:pPr>
  </w:style>
  <w:style w:type="character" w:styleId="IntenseEmphasis">
    <w:name w:val="Intense Emphasis"/>
    <w:basedOn w:val="DefaultParagraphFont"/>
    <w:uiPriority w:val="21"/>
    <w:qFormat/>
    <w:rsid w:val="00DF48FB"/>
    <w:rPr>
      <w:i/>
      <w:iCs/>
      <w:color w:val="0F4761" w:themeColor="accent1" w:themeShade="BF"/>
    </w:rPr>
  </w:style>
  <w:style w:type="paragraph" w:styleId="IntenseQuote">
    <w:name w:val="Intense Quote"/>
    <w:basedOn w:val="Normal"/>
    <w:next w:val="Normal"/>
    <w:link w:val="IntenseQuoteChar"/>
    <w:uiPriority w:val="30"/>
    <w:qFormat/>
    <w:rsid w:val="00DF48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48FB"/>
    <w:rPr>
      <w:i/>
      <w:iCs/>
      <w:color w:val="0F4761" w:themeColor="accent1" w:themeShade="BF"/>
    </w:rPr>
  </w:style>
  <w:style w:type="character" w:styleId="IntenseReference">
    <w:name w:val="Intense Reference"/>
    <w:basedOn w:val="DefaultParagraphFont"/>
    <w:uiPriority w:val="32"/>
    <w:qFormat/>
    <w:rsid w:val="00DF48FB"/>
    <w:rPr>
      <w:b/>
      <w:bCs/>
      <w:smallCaps/>
      <w:color w:val="0F4761" w:themeColor="accent1" w:themeShade="BF"/>
      <w:spacing w:val="5"/>
    </w:rPr>
  </w:style>
  <w:style w:type="paragraph" w:styleId="NormalWeb">
    <w:name w:val="Normal (Web)"/>
    <w:basedOn w:val="Normal"/>
    <w:uiPriority w:val="99"/>
    <w:unhideWhenUsed/>
    <w:rsid w:val="00DF48FB"/>
    <w:pPr>
      <w:spacing w:before="100" w:beforeAutospacing="1" w:after="100" w:afterAutospacing="1"/>
    </w:pPr>
  </w:style>
  <w:style w:type="character" w:styleId="Strong">
    <w:name w:val="Strong"/>
    <w:basedOn w:val="DefaultParagraphFont"/>
    <w:uiPriority w:val="22"/>
    <w:qFormat/>
    <w:rsid w:val="00DF48FB"/>
    <w:rPr>
      <w:b/>
      <w:bCs/>
    </w:rPr>
  </w:style>
  <w:style w:type="character" w:styleId="Emphasis">
    <w:name w:val="Emphasis"/>
    <w:basedOn w:val="DefaultParagraphFont"/>
    <w:uiPriority w:val="20"/>
    <w:qFormat/>
    <w:rsid w:val="00DF48FB"/>
    <w:rPr>
      <w:i/>
      <w:iCs/>
    </w:rPr>
  </w:style>
  <w:style w:type="paragraph" w:styleId="FootnoteText">
    <w:name w:val="footnote text"/>
    <w:basedOn w:val="Normal"/>
    <w:link w:val="FootnoteTextChar"/>
    <w:uiPriority w:val="99"/>
    <w:semiHidden/>
    <w:unhideWhenUsed/>
    <w:rsid w:val="00FC6DE0"/>
    <w:rPr>
      <w:sz w:val="20"/>
      <w:szCs w:val="20"/>
    </w:rPr>
  </w:style>
  <w:style w:type="character" w:customStyle="1" w:styleId="FootnoteTextChar">
    <w:name w:val="Footnote Text Char"/>
    <w:basedOn w:val="DefaultParagraphFont"/>
    <w:link w:val="FootnoteText"/>
    <w:uiPriority w:val="99"/>
    <w:semiHidden/>
    <w:rsid w:val="00FC6DE0"/>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FC6D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118755">
      <w:bodyDiv w:val="1"/>
      <w:marLeft w:val="0"/>
      <w:marRight w:val="0"/>
      <w:marTop w:val="0"/>
      <w:marBottom w:val="0"/>
      <w:divBdr>
        <w:top w:val="none" w:sz="0" w:space="0" w:color="auto"/>
        <w:left w:val="none" w:sz="0" w:space="0" w:color="auto"/>
        <w:bottom w:val="none" w:sz="0" w:space="0" w:color="auto"/>
        <w:right w:val="none" w:sz="0" w:space="0" w:color="auto"/>
      </w:divBdr>
    </w:div>
    <w:div w:id="708576989">
      <w:bodyDiv w:val="1"/>
      <w:marLeft w:val="0"/>
      <w:marRight w:val="0"/>
      <w:marTop w:val="0"/>
      <w:marBottom w:val="0"/>
      <w:divBdr>
        <w:top w:val="none" w:sz="0" w:space="0" w:color="auto"/>
        <w:left w:val="none" w:sz="0" w:space="0" w:color="auto"/>
        <w:bottom w:val="none" w:sz="0" w:space="0" w:color="auto"/>
        <w:right w:val="none" w:sz="0" w:space="0" w:color="auto"/>
      </w:divBdr>
    </w:div>
    <w:div w:id="752509428">
      <w:bodyDiv w:val="1"/>
      <w:marLeft w:val="0"/>
      <w:marRight w:val="0"/>
      <w:marTop w:val="0"/>
      <w:marBottom w:val="0"/>
      <w:divBdr>
        <w:top w:val="none" w:sz="0" w:space="0" w:color="auto"/>
        <w:left w:val="none" w:sz="0" w:space="0" w:color="auto"/>
        <w:bottom w:val="none" w:sz="0" w:space="0" w:color="auto"/>
        <w:right w:val="none" w:sz="0" w:space="0" w:color="auto"/>
      </w:divBdr>
    </w:div>
    <w:div w:id="988243348">
      <w:bodyDiv w:val="1"/>
      <w:marLeft w:val="0"/>
      <w:marRight w:val="0"/>
      <w:marTop w:val="0"/>
      <w:marBottom w:val="0"/>
      <w:divBdr>
        <w:top w:val="none" w:sz="0" w:space="0" w:color="auto"/>
        <w:left w:val="none" w:sz="0" w:space="0" w:color="auto"/>
        <w:bottom w:val="none" w:sz="0" w:space="0" w:color="auto"/>
        <w:right w:val="none" w:sz="0" w:space="0" w:color="auto"/>
      </w:divBdr>
    </w:div>
    <w:div w:id="1338265222">
      <w:bodyDiv w:val="1"/>
      <w:marLeft w:val="0"/>
      <w:marRight w:val="0"/>
      <w:marTop w:val="0"/>
      <w:marBottom w:val="0"/>
      <w:divBdr>
        <w:top w:val="none" w:sz="0" w:space="0" w:color="auto"/>
        <w:left w:val="none" w:sz="0" w:space="0" w:color="auto"/>
        <w:bottom w:val="none" w:sz="0" w:space="0" w:color="auto"/>
        <w:right w:val="none" w:sz="0" w:space="0" w:color="auto"/>
      </w:divBdr>
      <w:divsChild>
        <w:div w:id="1137407289">
          <w:marLeft w:val="0"/>
          <w:marRight w:val="0"/>
          <w:marTop w:val="0"/>
          <w:marBottom w:val="0"/>
          <w:divBdr>
            <w:top w:val="none" w:sz="0" w:space="0" w:color="auto"/>
            <w:left w:val="none" w:sz="0" w:space="0" w:color="auto"/>
            <w:bottom w:val="none" w:sz="0" w:space="0" w:color="auto"/>
            <w:right w:val="none" w:sz="0" w:space="0" w:color="auto"/>
          </w:divBdr>
        </w:div>
      </w:divsChild>
    </w:div>
    <w:div w:id="2014600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217973-5DD9-D543-9179-ED0B1D8B9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6</Pages>
  <Words>2313</Words>
  <Characters>14226</Characters>
  <Application>Microsoft Office Word</Application>
  <DocSecurity>0</DocSecurity>
  <Lines>206</Lines>
  <Paragraphs>46</Paragraphs>
  <ScaleCrop>false</ScaleCrop>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Love (2321358)</dc:creator>
  <cp:keywords/>
  <dc:description/>
  <cp:lastModifiedBy>Kate Love (2321358)</cp:lastModifiedBy>
  <cp:revision>2</cp:revision>
  <dcterms:created xsi:type="dcterms:W3CDTF">2025-04-20T17:07:00Z</dcterms:created>
  <dcterms:modified xsi:type="dcterms:W3CDTF">2025-04-22T17:55:00Z</dcterms:modified>
</cp:coreProperties>
</file>