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764DCC" w14:textId="24982A70" w:rsidR="005B2660" w:rsidRPr="005B2660" w:rsidRDefault="00E44DE9" w:rsidP="00820F5F">
      <w:pPr>
        <w:spacing w:line="480" w:lineRule="auto"/>
        <w:jc w:val="center"/>
        <w:rPr>
          <w:u w:val="single"/>
        </w:rPr>
      </w:pPr>
      <w:r>
        <w:rPr>
          <w:u w:val="single"/>
        </w:rPr>
        <w:t xml:space="preserve"> </w:t>
      </w:r>
      <w:r w:rsidRPr="005B2660">
        <w:rPr>
          <w:u w:val="single"/>
        </w:rPr>
        <w:t>Essay on non-fatal offences</w:t>
      </w:r>
    </w:p>
    <w:p w14:paraId="41EE59FB" w14:textId="6FFEC833" w:rsidR="005B2660" w:rsidRDefault="005B2660" w:rsidP="00820F5F">
      <w:pPr>
        <w:spacing w:line="480" w:lineRule="auto"/>
      </w:pPr>
    </w:p>
    <w:p w14:paraId="11A37CF8" w14:textId="25E19BA5" w:rsidR="009A58C8" w:rsidRPr="00CF52B1" w:rsidRDefault="00E44DE9" w:rsidP="00CF52B1">
      <w:pPr>
        <w:spacing w:line="480" w:lineRule="auto"/>
        <w:rPr>
          <w:rFonts w:asciiTheme="majorHAnsi" w:hAnsiTheme="majorHAnsi" w:cstheme="majorHAnsi"/>
        </w:rPr>
      </w:pPr>
      <w:r>
        <w:rPr>
          <w:rFonts w:asciiTheme="majorHAnsi" w:hAnsiTheme="majorHAnsi" w:cstheme="majorHAnsi"/>
        </w:rPr>
        <w:t xml:space="preserve">A non-fatal offence would be considered under English law to be an attack directed at another person that did not result in the person's demise. </w:t>
      </w:r>
      <w:r w:rsidR="00E712DE" w:rsidRPr="00CF52B1">
        <w:rPr>
          <w:rFonts w:asciiTheme="majorHAnsi" w:hAnsiTheme="majorHAnsi" w:cstheme="majorHAnsi"/>
        </w:rPr>
        <w:t>Currently, the</w:t>
      </w:r>
      <w:r w:rsidR="00116960" w:rsidRPr="00CF52B1">
        <w:rPr>
          <w:rFonts w:asciiTheme="majorHAnsi" w:hAnsiTheme="majorHAnsi" w:cstheme="majorHAnsi"/>
        </w:rPr>
        <w:t xml:space="preserve"> basis for the</w:t>
      </w:r>
      <w:r w:rsidR="00E712DE" w:rsidRPr="00CF52B1">
        <w:rPr>
          <w:rFonts w:asciiTheme="majorHAnsi" w:hAnsiTheme="majorHAnsi" w:cstheme="majorHAnsi"/>
        </w:rPr>
        <w:t xml:space="preserve"> law surrounding non-fatal offences is </w:t>
      </w:r>
      <w:r w:rsidR="00116960" w:rsidRPr="00CF52B1">
        <w:rPr>
          <w:rFonts w:asciiTheme="majorHAnsi" w:hAnsiTheme="majorHAnsi" w:cstheme="majorHAnsi"/>
        </w:rPr>
        <w:t>set out in the Offences Against the Persons Act 1861</w:t>
      </w:r>
      <w:r w:rsidR="00726C44" w:rsidRPr="00CF52B1">
        <w:rPr>
          <w:rFonts w:asciiTheme="majorHAnsi" w:hAnsiTheme="majorHAnsi" w:cstheme="majorHAnsi"/>
        </w:rPr>
        <w:t xml:space="preserve"> </w:t>
      </w:r>
      <w:r w:rsidR="00116960" w:rsidRPr="00CF52B1">
        <w:rPr>
          <w:rFonts w:asciiTheme="majorHAnsi" w:hAnsiTheme="majorHAnsi" w:cstheme="majorHAnsi"/>
        </w:rPr>
        <w:t>(OAPA</w:t>
      </w:r>
      <w:r w:rsidR="007E7DE7" w:rsidRPr="00CF52B1">
        <w:rPr>
          <w:rFonts w:asciiTheme="majorHAnsi" w:hAnsiTheme="majorHAnsi" w:cstheme="majorHAnsi"/>
        </w:rPr>
        <w:t>,</w:t>
      </w:r>
      <w:r w:rsidR="00116960" w:rsidRPr="00CF52B1">
        <w:rPr>
          <w:rFonts w:asciiTheme="majorHAnsi" w:hAnsiTheme="majorHAnsi" w:cstheme="majorHAnsi"/>
        </w:rPr>
        <w:t xml:space="preserve">1861). </w:t>
      </w:r>
      <w:r w:rsidR="001A5672" w:rsidRPr="00CF52B1">
        <w:rPr>
          <w:rFonts w:asciiTheme="majorHAnsi" w:hAnsiTheme="majorHAnsi" w:cstheme="majorHAnsi"/>
        </w:rPr>
        <w:t>When the OAPA 1861</w:t>
      </w:r>
      <w:r w:rsidR="00BF1904" w:rsidRPr="00CF52B1">
        <w:rPr>
          <w:rFonts w:asciiTheme="majorHAnsi" w:hAnsiTheme="majorHAnsi" w:cstheme="majorHAnsi"/>
        </w:rPr>
        <w:t xml:space="preserve"> </w:t>
      </w:r>
      <w:r w:rsidR="001A5672" w:rsidRPr="00CF52B1">
        <w:rPr>
          <w:rFonts w:asciiTheme="majorHAnsi" w:hAnsiTheme="majorHAnsi" w:cstheme="majorHAnsi"/>
        </w:rPr>
        <w:t xml:space="preserve">was </w:t>
      </w:r>
      <w:r w:rsidR="00527560" w:rsidRPr="00CF52B1">
        <w:rPr>
          <w:rFonts w:asciiTheme="majorHAnsi" w:hAnsiTheme="majorHAnsi" w:cstheme="majorHAnsi"/>
        </w:rPr>
        <w:t xml:space="preserve">drafted </w:t>
      </w:r>
      <w:r w:rsidR="00E519F5" w:rsidRPr="00CF52B1">
        <w:rPr>
          <w:rFonts w:asciiTheme="majorHAnsi" w:hAnsiTheme="majorHAnsi" w:cstheme="majorHAnsi"/>
        </w:rPr>
        <w:t xml:space="preserve">it </w:t>
      </w:r>
      <w:r w:rsidR="00BF1904" w:rsidRPr="00CF52B1">
        <w:rPr>
          <w:rFonts w:asciiTheme="majorHAnsi" w:hAnsiTheme="majorHAnsi" w:cstheme="majorHAnsi"/>
        </w:rPr>
        <w:t>did not create any new offences but simply consolidated existing acts from other pieces of legislation</w:t>
      </w:r>
      <w:r w:rsidR="00527560" w:rsidRPr="00CF52B1">
        <w:rPr>
          <w:rFonts w:asciiTheme="majorHAnsi" w:hAnsiTheme="majorHAnsi" w:cstheme="majorHAnsi"/>
        </w:rPr>
        <w:t xml:space="preserve"> into one act</w:t>
      </w:r>
      <w:r w:rsidR="00023252" w:rsidRPr="00CF52B1">
        <w:rPr>
          <w:rFonts w:asciiTheme="majorHAnsi" w:hAnsiTheme="majorHAnsi" w:cstheme="majorHAnsi"/>
        </w:rPr>
        <w:t>.</w:t>
      </w:r>
      <w:r w:rsidR="00591246" w:rsidRPr="00CF52B1">
        <w:rPr>
          <w:rFonts w:asciiTheme="majorHAnsi" w:hAnsiTheme="majorHAnsi" w:cstheme="majorHAnsi"/>
        </w:rPr>
        <w:t xml:space="preserve"> The </w:t>
      </w:r>
      <w:r w:rsidR="00072D24" w:rsidRPr="00CF52B1">
        <w:rPr>
          <w:rFonts w:asciiTheme="majorHAnsi" w:hAnsiTheme="majorHAnsi" w:cstheme="majorHAnsi"/>
        </w:rPr>
        <w:t>criticisms from academics and professionals alike are that as a result, this has left the act in a state of confusion with one of but not limited to a complaint of there being no clear hierarchy of offences</w:t>
      </w:r>
      <w:r w:rsidR="00527560" w:rsidRPr="00CF52B1">
        <w:rPr>
          <w:rFonts w:asciiTheme="majorHAnsi" w:hAnsiTheme="majorHAnsi" w:cstheme="majorHAnsi"/>
        </w:rPr>
        <w:t>, archaic in nature, and lacking coherence</w:t>
      </w:r>
      <w:r w:rsidR="00072D24" w:rsidRPr="00CF52B1">
        <w:rPr>
          <w:rFonts w:asciiTheme="majorHAnsi" w:hAnsiTheme="majorHAnsi" w:cstheme="majorHAnsi"/>
        </w:rPr>
        <w:t>.</w:t>
      </w:r>
      <w:r w:rsidR="00B34D97" w:rsidRPr="00CF52B1">
        <w:rPr>
          <w:rFonts w:asciiTheme="majorHAnsi" w:hAnsiTheme="majorHAnsi" w:cstheme="majorHAnsi"/>
        </w:rPr>
        <w:t xml:space="preserve"> </w:t>
      </w:r>
    </w:p>
    <w:p w14:paraId="4EE5ACF0" w14:textId="77777777" w:rsidR="003247A0" w:rsidRPr="00CF52B1" w:rsidRDefault="003247A0" w:rsidP="00CF52B1">
      <w:pPr>
        <w:spacing w:line="480" w:lineRule="auto"/>
        <w:rPr>
          <w:rFonts w:asciiTheme="majorHAnsi" w:hAnsiTheme="majorHAnsi" w:cstheme="majorHAnsi"/>
        </w:rPr>
      </w:pPr>
    </w:p>
    <w:p w14:paraId="2A421643" w14:textId="7994999B" w:rsidR="00B63897" w:rsidRPr="00CF52B1" w:rsidRDefault="00E44DE9" w:rsidP="00CF52B1">
      <w:pPr>
        <w:spacing w:line="480" w:lineRule="auto"/>
        <w:rPr>
          <w:rFonts w:asciiTheme="majorHAnsi" w:hAnsiTheme="majorHAnsi" w:cstheme="majorHAnsi"/>
        </w:rPr>
      </w:pPr>
      <w:r w:rsidRPr="00CF52B1">
        <w:rPr>
          <w:rFonts w:asciiTheme="majorHAnsi" w:hAnsiTheme="majorHAnsi" w:cstheme="majorHAnsi"/>
        </w:rPr>
        <w:t>In 2015 the Law Commission published a scoping report critici</w:t>
      </w:r>
      <w:r w:rsidR="00450F5C">
        <w:rPr>
          <w:rFonts w:asciiTheme="majorHAnsi" w:hAnsiTheme="majorHAnsi" w:cstheme="majorHAnsi"/>
        </w:rPr>
        <w:t>s</w:t>
      </w:r>
      <w:r w:rsidRPr="00CF52B1">
        <w:rPr>
          <w:rFonts w:asciiTheme="majorHAnsi" w:hAnsiTheme="majorHAnsi" w:cstheme="majorHAnsi"/>
        </w:rPr>
        <w:t xml:space="preserve">ing the </w:t>
      </w:r>
      <w:r w:rsidRPr="00CF52B1">
        <w:rPr>
          <w:rFonts w:asciiTheme="majorHAnsi" w:hAnsiTheme="majorHAnsi" w:cstheme="majorHAnsi"/>
        </w:rPr>
        <w:t>archaic and confusing state of the current</w:t>
      </w:r>
      <w:r w:rsidR="00553430" w:rsidRPr="00CF52B1">
        <w:rPr>
          <w:rFonts w:asciiTheme="majorHAnsi" w:hAnsiTheme="majorHAnsi" w:cstheme="majorHAnsi"/>
        </w:rPr>
        <w:t xml:space="preserve"> legal framework on common law and</w:t>
      </w:r>
      <w:r w:rsidRPr="00CF52B1">
        <w:rPr>
          <w:rFonts w:asciiTheme="majorHAnsi" w:hAnsiTheme="majorHAnsi" w:cstheme="majorHAnsi"/>
        </w:rPr>
        <w:t xml:space="preserve"> </w:t>
      </w:r>
      <w:r w:rsidR="00553430" w:rsidRPr="00CF52B1">
        <w:rPr>
          <w:rFonts w:asciiTheme="majorHAnsi" w:hAnsiTheme="majorHAnsi" w:cstheme="majorHAnsi"/>
        </w:rPr>
        <w:t>legislation</w:t>
      </w:r>
      <w:r w:rsidR="00F42D1C" w:rsidRPr="00CF52B1">
        <w:rPr>
          <w:rFonts w:asciiTheme="majorHAnsi" w:hAnsiTheme="majorHAnsi" w:cstheme="majorHAnsi"/>
        </w:rPr>
        <w:t xml:space="preserve"> </w:t>
      </w:r>
      <w:r w:rsidR="00726C44" w:rsidRPr="00CF52B1">
        <w:rPr>
          <w:rFonts w:asciiTheme="majorHAnsi" w:hAnsiTheme="majorHAnsi" w:cstheme="majorHAnsi"/>
        </w:rPr>
        <w:t>to</w:t>
      </w:r>
      <w:r w:rsidRPr="00CF52B1">
        <w:rPr>
          <w:rFonts w:asciiTheme="majorHAnsi" w:hAnsiTheme="majorHAnsi" w:cstheme="majorHAnsi"/>
        </w:rPr>
        <w:t xml:space="preserve"> the</w:t>
      </w:r>
      <w:r w:rsidR="00726C44" w:rsidRPr="00CF52B1">
        <w:rPr>
          <w:rFonts w:asciiTheme="majorHAnsi" w:hAnsiTheme="majorHAnsi" w:cstheme="majorHAnsi"/>
        </w:rPr>
        <w:t xml:space="preserve"> </w:t>
      </w:r>
      <w:r w:rsidRPr="00CF52B1">
        <w:rPr>
          <w:rFonts w:asciiTheme="majorHAnsi" w:hAnsiTheme="majorHAnsi" w:cstheme="majorHAnsi"/>
        </w:rPr>
        <w:t>O</w:t>
      </w:r>
      <w:r w:rsidR="00726C44" w:rsidRPr="00CF52B1">
        <w:rPr>
          <w:rFonts w:asciiTheme="majorHAnsi" w:hAnsiTheme="majorHAnsi" w:cstheme="majorHAnsi"/>
        </w:rPr>
        <w:t xml:space="preserve">ffences </w:t>
      </w:r>
      <w:r w:rsidRPr="00CF52B1">
        <w:rPr>
          <w:rFonts w:asciiTheme="majorHAnsi" w:hAnsiTheme="majorHAnsi" w:cstheme="majorHAnsi"/>
        </w:rPr>
        <w:t>A</w:t>
      </w:r>
      <w:r w:rsidR="00726C44" w:rsidRPr="00CF52B1">
        <w:rPr>
          <w:rFonts w:asciiTheme="majorHAnsi" w:hAnsiTheme="majorHAnsi" w:cstheme="majorHAnsi"/>
        </w:rPr>
        <w:t xml:space="preserve">gainst the </w:t>
      </w:r>
      <w:r w:rsidRPr="00CF52B1">
        <w:rPr>
          <w:rFonts w:asciiTheme="majorHAnsi" w:hAnsiTheme="majorHAnsi" w:cstheme="majorHAnsi"/>
        </w:rPr>
        <w:t>P</w:t>
      </w:r>
      <w:r w:rsidR="00726C44" w:rsidRPr="00CF52B1">
        <w:rPr>
          <w:rFonts w:asciiTheme="majorHAnsi" w:hAnsiTheme="majorHAnsi" w:cstheme="majorHAnsi"/>
        </w:rPr>
        <w:t>erson</w:t>
      </w:r>
      <w:r w:rsidRPr="00CF52B1">
        <w:rPr>
          <w:rFonts w:asciiTheme="majorHAnsi" w:hAnsiTheme="majorHAnsi" w:cstheme="majorHAnsi"/>
        </w:rPr>
        <w:t xml:space="preserve">s Act 1861 </w:t>
      </w:r>
      <w:r w:rsidR="00662AC8" w:rsidRPr="00CF52B1">
        <w:rPr>
          <w:rFonts w:asciiTheme="majorHAnsi" w:hAnsiTheme="majorHAnsi" w:cstheme="majorHAnsi"/>
        </w:rPr>
        <w:t>arguably making this piece of legislation difficult to understan</w:t>
      </w:r>
      <w:r w:rsidR="002109DC" w:rsidRPr="00CF52B1">
        <w:rPr>
          <w:rFonts w:asciiTheme="majorHAnsi" w:hAnsiTheme="majorHAnsi" w:cstheme="majorHAnsi"/>
        </w:rPr>
        <w:t>d</w:t>
      </w:r>
      <w:r w:rsidR="00662AC8" w:rsidRPr="00CF52B1">
        <w:rPr>
          <w:rFonts w:asciiTheme="majorHAnsi" w:hAnsiTheme="majorHAnsi" w:cstheme="majorHAnsi"/>
        </w:rPr>
        <w:t>,</w:t>
      </w:r>
      <w:r w:rsidR="00553430" w:rsidRPr="00CF52B1">
        <w:rPr>
          <w:rFonts w:asciiTheme="majorHAnsi" w:hAnsiTheme="majorHAnsi" w:cstheme="majorHAnsi"/>
        </w:rPr>
        <w:t xml:space="preserve"> </w:t>
      </w:r>
      <w:r w:rsidRPr="00CF52B1">
        <w:rPr>
          <w:rFonts w:asciiTheme="majorHAnsi" w:hAnsiTheme="majorHAnsi" w:cstheme="majorHAnsi"/>
        </w:rPr>
        <w:t xml:space="preserve">suggesting that it requires reform. </w:t>
      </w:r>
    </w:p>
    <w:p w14:paraId="1316E16A" w14:textId="59F11488" w:rsidR="003D7ED3" w:rsidRDefault="00E44DE9" w:rsidP="00CF52B1">
      <w:pPr>
        <w:spacing w:line="480" w:lineRule="auto"/>
        <w:rPr>
          <w:rFonts w:asciiTheme="majorHAnsi" w:hAnsiTheme="majorHAnsi" w:cstheme="majorHAnsi"/>
        </w:rPr>
      </w:pPr>
      <w:r w:rsidRPr="00CF52B1">
        <w:rPr>
          <w:rFonts w:asciiTheme="majorHAnsi" w:hAnsiTheme="majorHAnsi" w:cstheme="majorHAnsi"/>
        </w:rPr>
        <w:t>Within this report</w:t>
      </w:r>
      <w:r w:rsidRPr="00CF52B1">
        <w:rPr>
          <w:rFonts w:asciiTheme="majorHAnsi" w:hAnsiTheme="majorHAnsi" w:cstheme="majorHAnsi"/>
        </w:rPr>
        <w:t xml:space="preserve">, the Law Commission have put forward their recommendations to the Government that could assist with making </w:t>
      </w:r>
      <w:r w:rsidR="00E519F5" w:rsidRPr="00CF52B1">
        <w:rPr>
          <w:rFonts w:asciiTheme="majorHAnsi" w:hAnsiTheme="majorHAnsi" w:cstheme="majorHAnsi"/>
        </w:rPr>
        <w:t xml:space="preserve">essential changes to </w:t>
      </w:r>
      <w:r w:rsidRPr="00CF52B1">
        <w:rPr>
          <w:rFonts w:asciiTheme="majorHAnsi" w:hAnsiTheme="majorHAnsi" w:cstheme="majorHAnsi"/>
        </w:rPr>
        <w:t>the law surrounding offences against the person</w:t>
      </w:r>
      <w:r w:rsidR="00E519F5" w:rsidRPr="00CF52B1">
        <w:rPr>
          <w:rFonts w:asciiTheme="majorHAnsi" w:hAnsiTheme="majorHAnsi" w:cstheme="majorHAnsi"/>
        </w:rPr>
        <w:t>,</w:t>
      </w:r>
      <w:r w:rsidR="005D2788" w:rsidRPr="00CF52B1">
        <w:rPr>
          <w:rFonts w:asciiTheme="majorHAnsi" w:hAnsiTheme="majorHAnsi" w:cstheme="majorHAnsi"/>
        </w:rPr>
        <w:t xml:space="preserve"> subsequently </w:t>
      </w:r>
      <w:r w:rsidR="004B0424" w:rsidRPr="00CF52B1">
        <w:rPr>
          <w:rFonts w:asciiTheme="majorHAnsi" w:hAnsiTheme="majorHAnsi" w:cstheme="majorHAnsi"/>
        </w:rPr>
        <w:t xml:space="preserve">adopting a similar version of the Home Offices draft bill 1998. </w:t>
      </w:r>
      <w:r w:rsidR="00C608BD" w:rsidRPr="00CF52B1">
        <w:rPr>
          <w:rFonts w:asciiTheme="majorHAnsi" w:hAnsiTheme="majorHAnsi" w:cstheme="majorHAnsi"/>
        </w:rPr>
        <w:t xml:space="preserve">Currently, there are no offences listed that fall between the threat to kill and a threat to assault, with a threat to kill carrying a maximum sentence of 10 years and a threat to assault carrying a maximum sentence of six months. If the recommended modifications </w:t>
      </w:r>
      <w:r w:rsidR="004719BE" w:rsidRPr="00CF52B1">
        <w:rPr>
          <w:rFonts w:asciiTheme="majorHAnsi" w:hAnsiTheme="majorHAnsi" w:cstheme="majorHAnsi"/>
        </w:rPr>
        <w:t>are</w:t>
      </w:r>
      <w:r w:rsidR="00C608BD" w:rsidRPr="00CF52B1">
        <w:rPr>
          <w:rFonts w:asciiTheme="majorHAnsi" w:hAnsiTheme="majorHAnsi" w:cstheme="majorHAnsi"/>
        </w:rPr>
        <w:t xml:space="preserve"> </w:t>
      </w:r>
      <w:r w:rsidR="004719BE" w:rsidRPr="00CF52B1">
        <w:rPr>
          <w:rFonts w:asciiTheme="majorHAnsi" w:hAnsiTheme="majorHAnsi" w:cstheme="majorHAnsi"/>
        </w:rPr>
        <w:t>implemented,</w:t>
      </w:r>
      <w:r w:rsidR="00C608BD" w:rsidRPr="00CF52B1">
        <w:rPr>
          <w:rFonts w:asciiTheme="majorHAnsi" w:hAnsiTheme="majorHAnsi" w:cstheme="majorHAnsi"/>
        </w:rPr>
        <w:t xml:space="preserve"> it would ensure that the true nature of the relevant violent behaviour is recognised for exactly what it is </w:t>
      </w:r>
      <w:r w:rsidR="005D2788" w:rsidRPr="00CF52B1">
        <w:rPr>
          <w:rFonts w:asciiTheme="majorHAnsi" w:hAnsiTheme="majorHAnsi" w:cstheme="majorHAnsi"/>
        </w:rPr>
        <w:t>(The Law Commission,2015)</w:t>
      </w:r>
      <w:r w:rsidRPr="00CF52B1">
        <w:rPr>
          <w:rFonts w:asciiTheme="majorHAnsi" w:hAnsiTheme="majorHAnsi" w:cstheme="majorHAnsi"/>
        </w:rPr>
        <w:t xml:space="preserve">. </w:t>
      </w:r>
    </w:p>
    <w:p w14:paraId="10AD8F0F" w14:textId="77777777" w:rsidR="007C35D6" w:rsidRPr="00CF52B1" w:rsidRDefault="007C35D6" w:rsidP="00CF52B1">
      <w:pPr>
        <w:spacing w:line="480" w:lineRule="auto"/>
        <w:rPr>
          <w:rFonts w:asciiTheme="majorHAnsi" w:hAnsiTheme="majorHAnsi" w:cstheme="majorHAnsi"/>
        </w:rPr>
      </w:pPr>
    </w:p>
    <w:p w14:paraId="6F6D5267" w14:textId="2F43C447" w:rsidR="00553430" w:rsidRDefault="00E44DE9" w:rsidP="00CF52B1">
      <w:pPr>
        <w:spacing w:line="480" w:lineRule="auto"/>
        <w:rPr>
          <w:rFonts w:asciiTheme="majorHAnsi" w:hAnsiTheme="majorHAnsi" w:cstheme="majorHAnsi"/>
        </w:rPr>
      </w:pPr>
      <w:r>
        <w:rPr>
          <w:rFonts w:asciiTheme="majorHAnsi" w:hAnsiTheme="majorHAnsi" w:cstheme="majorHAnsi"/>
        </w:rPr>
        <w:t>T</w:t>
      </w:r>
      <w:r w:rsidR="00E712DE" w:rsidRPr="00CF52B1">
        <w:rPr>
          <w:rFonts w:asciiTheme="majorHAnsi" w:hAnsiTheme="majorHAnsi" w:cstheme="majorHAnsi"/>
        </w:rPr>
        <w:t xml:space="preserve">he report, stated many criticisms towards the OAPA 1861 due to its incoherent and confusing state as it forms the basis for approximately </w:t>
      </w:r>
      <w:r w:rsidR="00C608BD" w:rsidRPr="00CF52B1">
        <w:rPr>
          <w:rFonts w:asciiTheme="majorHAnsi" w:hAnsiTheme="majorHAnsi" w:cstheme="majorHAnsi"/>
        </w:rPr>
        <w:t>200</w:t>
      </w:r>
      <w:r w:rsidR="00E712DE" w:rsidRPr="00CF52B1">
        <w:rPr>
          <w:rFonts w:asciiTheme="majorHAnsi" w:hAnsiTheme="majorHAnsi" w:cstheme="majorHAnsi"/>
        </w:rPr>
        <w:t>,000 prosecutions</w:t>
      </w:r>
      <w:r w:rsidR="00C608BD" w:rsidRPr="00CF52B1">
        <w:rPr>
          <w:rFonts w:asciiTheme="majorHAnsi" w:hAnsiTheme="majorHAnsi" w:cstheme="majorHAnsi"/>
        </w:rPr>
        <w:t xml:space="preserve"> for violent behaviour</w:t>
      </w:r>
      <w:r w:rsidR="00E712DE" w:rsidRPr="00CF52B1">
        <w:rPr>
          <w:rFonts w:asciiTheme="majorHAnsi" w:hAnsiTheme="majorHAnsi" w:cstheme="majorHAnsi"/>
        </w:rPr>
        <w:t xml:space="preserve"> every year</w:t>
      </w:r>
      <w:r w:rsidR="00BF1904" w:rsidRPr="00CF52B1">
        <w:rPr>
          <w:rFonts w:asciiTheme="majorHAnsi" w:hAnsiTheme="majorHAnsi" w:cstheme="majorHAnsi"/>
        </w:rPr>
        <w:t xml:space="preserve"> the emphasis on it requiring amendments is strong</w:t>
      </w:r>
      <w:r w:rsidR="002B51FF" w:rsidRPr="00CF52B1">
        <w:rPr>
          <w:rFonts w:asciiTheme="majorHAnsi" w:hAnsiTheme="majorHAnsi" w:cstheme="majorHAnsi"/>
        </w:rPr>
        <w:t xml:space="preserve">. The recommendations that have been put forward by the Law Commission are to modify the act </w:t>
      </w:r>
      <w:r w:rsidR="00E712DE" w:rsidRPr="00CF52B1">
        <w:rPr>
          <w:rFonts w:asciiTheme="majorHAnsi" w:hAnsiTheme="majorHAnsi" w:cstheme="majorHAnsi"/>
        </w:rPr>
        <w:t xml:space="preserve">to reflect the </w:t>
      </w:r>
      <w:r w:rsidR="00BF1904" w:rsidRPr="00CF52B1">
        <w:rPr>
          <w:rFonts w:asciiTheme="majorHAnsi" w:hAnsiTheme="majorHAnsi" w:cstheme="majorHAnsi"/>
        </w:rPr>
        <w:t xml:space="preserve">nature of the cases </w:t>
      </w:r>
      <w:r w:rsidR="00E712DE" w:rsidRPr="00CF52B1">
        <w:rPr>
          <w:rFonts w:asciiTheme="majorHAnsi" w:hAnsiTheme="majorHAnsi" w:cstheme="majorHAnsi"/>
        </w:rPr>
        <w:t xml:space="preserve">that are prosecuted under the OAPA 1861 in </w:t>
      </w:r>
      <w:r w:rsidR="0060121C" w:rsidRPr="00CF52B1">
        <w:rPr>
          <w:rFonts w:asciiTheme="majorHAnsi" w:hAnsiTheme="majorHAnsi" w:cstheme="majorHAnsi"/>
        </w:rPr>
        <w:t xml:space="preserve">todays’ </w:t>
      </w:r>
      <w:r w:rsidR="0060121C" w:rsidRPr="00CF52B1">
        <w:rPr>
          <w:rFonts w:asciiTheme="majorHAnsi" w:hAnsiTheme="majorHAnsi" w:cstheme="majorHAnsi"/>
        </w:rPr>
        <w:lastRenderedPageBreak/>
        <w:t>society</w:t>
      </w:r>
      <w:r w:rsidR="002540D4" w:rsidRPr="00CF52B1">
        <w:rPr>
          <w:rFonts w:asciiTheme="majorHAnsi" w:hAnsiTheme="majorHAnsi" w:cstheme="majorHAnsi"/>
        </w:rPr>
        <w:t xml:space="preserve"> and create much-needed efficiency as it has been argued that the out</w:t>
      </w:r>
      <w:r w:rsidR="008B719D" w:rsidRPr="00CF52B1">
        <w:rPr>
          <w:rFonts w:asciiTheme="majorHAnsi" w:hAnsiTheme="majorHAnsi" w:cstheme="majorHAnsi"/>
        </w:rPr>
        <w:t>-</w:t>
      </w:r>
      <w:r w:rsidR="002540D4" w:rsidRPr="00CF52B1">
        <w:rPr>
          <w:rFonts w:asciiTheme="majorHAnsi" w:hAnsiTheme="majorHAnsi" w:cstheme="majorHAnsi"/>
        </w:rPr>
        <w:t xml:space="preserve">dated language creates unnecessary </w:t>
      </w:r>
      <w:r w:rsidR="008B719D" w:rsidRPr="00CF52B1">
        <w:rPr>
          <w:rFonts w:asciiTheme="majorHAnsi" w:hAnsiTheme="majorHAnsi" w:cstheme="majorHAnsi"/>
        </w:rPr>
        <w:t>delays in interpreting the outdated legislation (Eugenicos, A. 2017)</w:t>
      </w:r>
      <w:r w:rsidR="0060121C" w:rsidRPr="00CF52B1">
        <w:rPr>
          <w:rFonts w:asciiTheme="majorHAnsi" w:hAnsiTheme="majorHAnsi" w:cstheme="majorHAnsi"/>
        </w:rPr>
        <w:t>.</w:t>
      </w:r>
      <w:r w:rsidR="00E712DE" w:rsidRPr="00CF52B1">
        <w:rPr>
          <w:rFonts w:asciiTheme="majorHAnsi" w:hAnsiTheme="majorHAnsi" w:cstheme="majorHAnsi"/>
        </w:rPr>
        <w:t xml:space="preserve"> </w:t>
      </w:r>
    </w:p>
    <w:p w14:paraId="48EEA142" w14:textId="77777777" w:rsidR="001B63BA" w:rsidRDefault="001B63BA" w:rsidP="00CF52B1">
      <w:pPr>
        <w:spacing w:line="480" w:lineRule="auto"/>
        <w:rPr>
          <w:rFonts w:asciiTheme="majorHAnsi" w:hAnsiTheme="majorHAnsi" w:cstheme="majorHAnsi"/>
        </w:rPr>
      </w:pPr>
    </w:p>
    <w:p w14:paraId="7D9258CE" w14:textId="77777777" w:rsidR="001B63BA" w:rsidRPr="00CF52B1" w:rsidRDefault="00E44DE9" w:rsidP="001B63BA">
      <w:pPr>
        <w:spacing w:line="480" w:lineRule="auto"/>
        <w:rPr>
          <w:rFonts w:asciiTheme="majorHAnsi" w:hAnsiTheme="majorHAnsi" w:cstheme="majorHAnsi"/>
        </w:rPr>
      </w:pPr>
      <w:r w:rsidRPr="00CF52B1">
        <w:rPr>
          <w:rFonts w:asciiTheme="majorHAnsi" w:hAnsiTheme="majorHAnsi" w:cstheme="majorHAnsi"/>
        </w:rPr>
        <w:t xml:space="preserve">Section 47 of the OAPA 1861 has been specified in the report of the Law commission as in need of reform, Section 47 contains the offence of assault occasioning actual bodily </w:t>
      </w:r>
      <w:r w:rsidRPr="00CF52B1">
        <w:rPr>
          <w:rFonts w:asciiTheme="majorHAnsi" w:hAnsiTheme="majorHAnsi" w:cstheme="majorHAnsi"/>
        </w:rPr>
        <w:t>harm, also known as ABH this is defined as an offence being committed ‘when a person intentionally or recklessly assaults another, thereby causing actual bodily harm’ also carries a maximum sentence of five years imprisonment (Crime Prosecution Service, 20</w:t>
      </w:r>
      <w:r w:rsidRPr="00CF52B1">
        <w:rPr>
          <w:rFonts w:asciiTheme="majorHAnsi" w:hAnsiTheme="majorHAnsi" w:cstheme="majorHAnsi"/>
        </w:rPr>
        <w:t xml:space="preserve">20). </w:t>
      </w:r>
    </w:p>
    <w:p w14:paraId="51492161" w14:textId="77777777" w:rsidR="001B63BA" w:rsidRPr="00CF52B1" w:rsidRDefault="001B63BA" w:rsidP="00CF52B1">
      <w:pPr>
        <w:spacing w:line="480" w:lineRule="auto"/>
        <w:rPr>
          <w:rFonts w:asciiTheme="majorHAnsi" w:hAnsiTheme="majorHAnsi" w:cstheme="majorHAnsi"/>
        </w:rPr>
      </w:pPr>
    </w:p>
    <w:p w14:paraId="0A44F57D" w14:textId="48BA7091" w:rsidR="001D205F" w:rsidRDefault="00E44DE9" w:rsidP="00CF52B1">
      <w:pPr>
        <w:spacing w:line="480" w:lineRule="auto"/>
        <w:rPr>
          <w:rFonts w:asciiTheme="majorHAnsi" w:hAnsiTheme="majorHAnsi" w:cstheme="majorHAnsi"/>
        </w:rPr>
      </w:pPr>
      <w:r>
        <w:rPr>
          <w:rFonts w:asciiTheme="majorHAnsi" w:hAnsiTheme="majorHAnsi" w:cstheme="majorHAnsi"/>
        </w:rPr>
        <w:t xml:space="preserve">Also </w:t>
      </w:r>
      <w:r w:rsidR="00E712DE">
        <w:rPr>
          <w:rFonts w:asciiTheme="majorHAnsi" w:hAnsiTheme="majorHAnsi" w:cstheme="majorHAnsi"/>
        </w:rPr>
        <w:t>argued</w:t>
      </w:r>
      <w:r>
        <w:rPr>
          <w:rFonts w:asciiTheme="majorHAnsi" w:hAnsiTheme="majorHAnsi" w:cstheme="majorHAnsi"/>
        </w:rPr>
        <w:t xml:space="preserve"> is</w:t>
      </w:r>
      <w:r w:rsidR="00E712DE">
        <w:rPr>
          <w:rFonts w:asciiTheme="majorHAnsi" w:hAnsiTheme="majorHAnsi" w:cstheme="majorHAnsi"/>
        </w:rPr>
        <w:t xml:space="preserve"> that the Law Commissions report despites its efforts in suggesting reform of the OAPA 1861, not enough has been addressed, there have been areas that have been omitted from the report possibly due to the controversial and complex issues for example the Law Commissions report did not fully explore the issues surrounding the reckless transmission of disease</w:t>
      </w:r>
      <w:r w:rsidR="00F61E51">
        <w:rPr>
          <w:rFonts w:asciiTheme="majorHAnsi" w:hAnsiTheme="majorHAnsi" w:cstheme="majorHAnsi"/>
        </w:rPr>
        <w:t xml:space="preserve">. it has been argued a more detailed review on this area could be needed, as various topics have not been included as the analysis of the practical element of the offence have not been addressed. More direction on how to address the practical considerations of this offence should be included within the report (Demetriou, S 2016). </w:t>
      </w:r>
    </w:p>
    <w:p w14:paraId="0DA3C089" w14:textId="337D40FF" w:rsidR="001B63BA" w:rsidRDefault="001B63BA" w:rsidP="001B63BA">
      <w:pPr>
        <w:spacing w:line="480" w:lineRule="auto"/>
        <w:rPr>
          <w:rFonts w:asciiTheme="majorHAnsi" w:hAnsiTheme="majorHAnsi" w:cstheme="majorHAnsi"/>
        </w:rPr>
      </w:pPr>
    </w:p>
    <w:p w14:paraId="505E9876" w14:textId="3D043DC2" w:rsidR="007E7DE7" w:rsidRPr="00CF52B1" w:rsidRDefault="00E44DE9" w:rsidP="00CF52B1">
      <w:pPr>
        <w:spacing w:line="480" w:lineRule="auto"/>
        <w:rPr>
          <w:rFonts w:asciiTheme="majorHAnsi" w:hAnsiTheme="majorHAnsi" w:cstheme="majorHAnsi"/>
        </w:rPr>
      </w:pPr>
      <w:r>
        <w:rPr>
          <w:rFonts w:asciiTheme="majorHAnsi" w:hAnsiTheme="majorHAnsi" w:cstheme="majorHAnsi"/>
        </w:rPr>
        <w:t>Currently, t</w:t>
      </w:r>
      <w:r w:rsidR="00E712DE" w:rsidRPr="00CF52B1">
        <w:rPr>
          <w:rFonts w:asciiTheme="majorHAnsi" w:hAnsiTheme="majorHAnsi" w:cstheme="majorHAnsi"/>
        </w:rPr>
        <w:t xml:space="preserve">he OAPA (1861) serves as the basis for </w:t>
      </w:r>
      <w:r w:rsidR="00553430" w:rsidRPr="00CF52B1">
        <w:rPr>
          <w:rFonts w:asciiTheme="majorHAnsi" w:hAnsiTheme="majorHAnsi" w:cstheme="majorHAnsi"/>
        </w:rPr>
        <w:t>a prosecution</w:t>
      </w:r>
      <w:r w:rsidR="00E712DE" w:rsidRPr="00CF52B1">
        <w:rPr>
          <w:rFonts w:asciiTheme="majorHAnsi" w:hAnsiTheme="majorHAnsi" w:cstheme="majorHAnsi"/>
        </w:rPr>
        <w:t xml:space="preserve"> of largely surrounding common law and legislation that is currently over 160 years old</w:t>
      </w:r>
      <w:r w:rsidR="003D29F9" w:rsidRPr="00CF52B1">
        <w:rPr>
          <w:rFonts w:asciiTheme="majorHAnsi" w:hAnsiTheme="majorHAnsi" w:cstheme="majorHAnsi"/>
        </w:rPr>
        <w:t xml:space="preserve">, </w:t>
      </w:r>
      <w:r w:rsidR="00D1003E" w:rsidRPr="00CF52B1">
        <w:rPr>
          <w:rFonts w:asciiTheme="majorHAnsi" w:hAnsiTheme="majorHAnsi" w:cstheme="majorHAnsi"/>
        </w:rPr>
        <w:t>which is much disparaged</w:t>
      </w:r>
      <w:r w:rsidR="00A55229" w:rsidRPr="00CF52B1">
        <w:rPr>
          <w:rFonts w:asciiTheme="majorHAnsi" w:hAnsiTheme="majorHAnsi" w:cstheme="majorHAnsi"/>
        </w:rPr>
        <w:t xml:space="preserve"> </w:t>
      </w:r>
      <w:r w:rsidR="00D1003E" w:rsidRPr="00CF52B1">
        <w:rPr>
          <w:rFonts w:asciiTheme="majorHAnsi" w:hAnsiTheme="majorHAnsi" w:cstheme="majorHAnsi"/>
        </w:rPr>
        <w:t>by</w:t>
      </w:r>
      <w:r w:rsidR="00A55229" w:rsidRPr="00CF52B1">
        <w:rPr>
          <w:rFonts w:asciiTheme="majorHAnsi" w:hAnsiTheme="majorHAnsi" w:cstheme="majorHAnsi"/>
        </w:rPr>
        <w:t xml:space="preserve"> today’s Criminal </w:t>
      </w:r>
      <w:r w:rsidR="001B63BA" w:rsidRPr="00CF52B1">
        <w:rPr>
          <w:rFonts w:asciiTheme="majorHAnsi" w:hAnsiTheme="majorHAnsi" w:cstheme="majorHAnsi"/>
        </w:rPr>
        <w:t>lawyers</w:t>
      </w:r>
      <w:r w:rsidR="00D1003E" w:rsidRPr="00CF52B1">
        <w:rPr>
          <w:rFonts w:asciiTheme="majorHAnsi" w:hAnsiTheme="majorHAnsi" w:cstheme="majorHAnsi"/>
        </w:rPr>
        <w:t xml:space="preserve"> </w:t>
      </w:r>
      <w:r w:rsidR="00A55229" w:rsidRPr="00CF52B1">
        <w:rPr>
          <w:rFonts w:asciiTheme="majorHAnsi" w:hAnsiTheme="majorHAnsi" w:cstheme="majorHAnsi"/>
        </w:rPr>
        <w:t xml:space="preserve">as </w:t>
      </w:r>
      <w:r w:rsidR="00D1003E" w:rsidRPr="00CF52B1">
        <w:rPr>
          <w:rFonts w:asciiTheme="majorHAnsi" w:hAnsiTheme="majorHAnsi" w:cstheme="majorHAnsi"/>
        </w:rPr>
        <w:t>stated</w:t>
      </w:r>
      <w:r w:rsidR="00A55229" w:rsidRPr="00CF52B1">
        <w:rPr>
          <w:rFonts w:asciiTheme="majorHAnsi" w:hAnsiTheme="majorHAnsi" w:cstheme="majorHAnsi"/>
        </w:rPr>
        <w:t xml:space="preserve"> by Gardner</w:t>
      </w:r>
      <w:r w:rsidR="00D43357" w:rsidRPr="00CF52B1">
        <w:rPr>
          <w:rFonts w:asciiTheme="majorHAnsi" w:hAnsiTheme="majorHAnsi" w:cstheme="majorHAnsi"/>
        </w:rPr>
        <w:t xml:space="preserve"> (1994, p. 502).</w:t>
      </w:r>
      <w:r w:rsidR="003D2D9C" w:rsidRPr="00CF52B1">
        <w:rPr>
          <w:rFonts w:asciiTheme="majorHAnsi" w:hAnsiTheme="majorHAnsi" w:cstheme="majorHAnsi"/>
        </w:rPr>
        <w:t xml:space="preserve"> </w:t>
      </w:r>
    </w:p>
    <w:p w14:paraId="350994A8" w14:textId="4B98BF42" w:rsidR="00E2258C" w:rsidRPr="00CF52B1" w:rsidRDefault="00E2258C" w:rsidP="00CF52B1">
      <w:pPr>
        <w:spacing w:line="480" w:lineRule="auto"/>
        <w:rPr>
          <w:rFonts w:asciiTheme="majorHAnsi" w:hAnsiTheme="majorHAnsi" w:cstheme="majorHAnsi"/>
        </w:rPr>
      </w:pPr>
    </w:p>
    <w:p w14:paraId="77E38D97" w14:textId="59BF7FE5" w:rsidR="003D7ED3" w:rsidRPr="00CF52B1" w:rsidRDefault="00E44DE9" w:rsidP="003D7ED3">
      <w:pPr>
        <w:spacing w:line="480" w:lineRule="auto"/>
        <w:rPr>
          <w:rFonts w:asciiTheme="majorHAnsi" w:hAnsiTheme="majorHAnsi" w:cstheme="majorHAnsi"/>
        </w:rPr>
      </w:pPr>
      <w:r w:rsidRPr="00CF52B1">
        <w:rPr>
          <w:rFonts w:asciiTheme="majorHAnsi" w:hAnsiTheme="majorHAnsi" w:cstheme="majorHAnsi"/>
        </w:rPr>
        <w:t xml:space="preserve">Gardner (1994, p. 503) continues his critique focusing largely on </w:t>
      </w:r>
      <w:r w:rsidR="00D1003E" w:rsidRPr="00CF52B1">
        <w:rPr>
          <w:rFonts w:asciiTheme="majorHAnsi" w:hAnsiTheme="majorHAnsi" w:cstheme="majorHAnsi"/>
        </w:rPr>
        <w:t xml:space="preserve">the offences under </w:t>
      </w:r>
      <w:r w:rsidRPr="00CF52B1">
        <w:rPr>
          <w:rFonts w:asciiTheme="majorHAnsi" w:hAnsiTheme="majorHAnsi" w:cstheme="majorHAnsi"/>
        </w:rPr>
        <w:t xml:space="preserve">sections </w:t>
      </w:r>
      <w:r w:rsidR="0028735A" w:rsidRPr="00CF52B1">
        <w:rPr>
          <w:rFonts w:asciiTheme="majorHAnsi" w:hAnsiTheme="majorHAnsi" w:cstheme="majorHAnsi"/>
        </w:rPr>
        <w:t xml:space="preserve">18, 20, and 47 arguing that they no longer serve as an adequate guide, therefore 'violating' the rule of law as it fails to define any rational explanation and due to this </w:t>
      </w:r>
      <w:r w:rsidR="00023252" w:rsidRPr="00CF52B1">
        <w:rPr>
          <w:rFonts w:asciiTheme="majorHAnsi" w:hAnsiTheme="majorHAnsi" w:cstheme="majorHAnsi"/>
        </w:rPr>
        <w:t>it neglects</w:t>
      </w:r>
      <w:r w:rsidR="0028735A" w:rsidRPr="00CF52B1">
        <w:rPr>
          <w:rFonts w:asciiTheme="majorHAnsi" w:hAnsiTheme="majorHAnsi" w:cstheme="majorHAnsi"/>
        </w:rPr>
        <w:t xml:space="preserve"> to provide adequate coverage of the fundamental offences that the law today should be concerned with</w:t>
      </w:r>
      <w:r w:rsidRPr="00CF52B1">
        <w:rPr>
          <w:rFonts w:asciiTheme="majorHAnsi" w:hAnsiTheme="majorHAnsi" w:cstheme="majorHAnsi"/>
        </w:rPr>
        <w:t xml:space="preserve">. </w:t>
      </w:r>
      <w:r w:rsidR="00820F5F" w:rsidRPr="00CF52B1">
        <w:rPr>
          <w:rFonts w:asciiTheme="majorHAnsi" w:hAnsiTheme="majorHAnsi" w:cstheme="majorHAnsi"/>
        </w:rPr>
        <w:t xml:space="preserve">With sections, 18, 20, and 47 forming the basis for prosecutions of the main offences concerned with the OAPA 1861 the act fails to provide sufficient </w:t>
      </w:r>
      <w:r w:rsidR="00820F5F" w:rsidRPr="00CF52B1">
        <w:rPr>
          <w:rFonts w:asciiTheme="majorHAnsi" w:hAnsiTheme="majorHAnsi" w:cstheme="majorHAnsi"/>
        </w:rPr>
        <w:lastRenderedPageBreak/>
        <w:t xml:space="preserve">definitions of the offences, making the law confusing and unclear. </w:t>
      </w:r>
      <w:r w:rsidRPr="00CF52B1">
        <w:rPr>
          <w:rFonts w:asciiTheme="majorHAnsi" w:hAnsiTheme="majorHAnsi" w:cstheme="majorHAnsi"/>
        </w:rPr>
        <w:t>Gardner</w:t>
      </w:r>
      <w:r>
        <w:rPr>
          <w:rFonts w:asciiTheme="majorHAnsi" w:hAnsiTheme="majorHAnsi" w:cstheme="majorHAnsi"/>
        </w:rPr>
        <w:t xml:space="preserve"> also argued</w:t>
      </w:r>
      <w:r w:rsidRPr="00CF52B1">
        <w:rPr>
          <w:rFonts w:asciiTheme="majorHAnsi" w:hAnsiTheme="majorHAnsi" w:cstheme="majorHAnsi"/>
        </w:rPr>
        <w:t xml:space="preserve"> that the offences listed within these sections 18, 20, and 47 have not been drafted in any logical orde</w:t>
      </w:r>
      <w:r>
        <w:rPr>
          <w:rFonts w:asciiTheme="majorHAnsi" w:hAnsiTheme="majorHAnsi" w:cstheme="majorHAnsi"/>
        </w:rPr>
        <w:t>r.</w:t>
      </w:r>
      <w:r w:rsidRPr="00CF52B1">
        <w:rPr>
          <w:rFonts w:asciiTheme="majorHAnsi" w:hAnsiTheme="majorHAnsi" w:cstheme="majorHAnsi"/>
        </w:rPr>
        <w:t xml:space="preserve"> </w:t>
      </w:r>
    </w:p>
    <w:p w14:paraId="7FAABA7B" w14:textId="6FBBD988" w:rsidR="00D43357" w:rsidRDefault="00D43357" w:rsidP="00CF52B1">
      <w:pPr>
        <w:spacing w:line="480" w:lineRule="auto"/>
        <w:rPr>
          <w:rFonts w:asciiTheme="majorHAnsi" w:hAnsiTheme="majorHAnsi" w:cstheme="majorHAnsi"/>
        </w:rPr>
      </w:pPr>
    </w:p>
    <w:p w14:paraId="2755D6C0" w14:textId="4B5817FC" w:rsidR="00645DA8" w:rsidRDefault="00E44DE9" w:rsidP="00645DA8">
      <w:pPr>
        <w:spacing w:line="480" w:lineRule="auto"/>
        <w:rPr>
          <w:rFonts w:asciiTheme="majorHAnsi" w:hAnsiTheme="majorHAnsi" w:cstheme="majorHAnsi"/>
        </w:rPr>
      </w:pPr>
      <w:r>
        <w:rPr>
          <w:rFonts w:asciiTheme="majorHAnsi" w:hAnsiTheme="majorHAnsi" w:cstheme="majorHAnsi"/>
        </w:rPr>
        <w:t>F</w:t>
      </w:r>
      <w:r w:rsidRPr="00CF52B1">
        <w:rPr>
          <w:rFonts w:asciiTheme="majorHAnsi" w:hAnsiTheme="majorHAnsi" w:cstheme="majorHAnsi"/>
        </w:rPr>
        <w:t xml:space="preserve">avouring the need for reform for the act </w:t>
      </w:r>
      <w:r w:rsidRPr="00CF52B1">
        <w:rPr>
          <w:rFonts w:asciiTheme="majorHAnsi" w:hAnsiTheme="majorHAnsi" w:cstheme="majorHAnsi"/>
        </w:rPr>
        <w:t>specifically focusing on sections 20 and 47 is due to the lack of distinction between the sentences for each offence, both of the offences within these sections of the act carry a maximum sentence of 5 years imprisonment, however, the actus reus elements o</w:t>
      </w:r>
      <w:r w:rsidRPr="00CF52B1">
        <w:rPr>
          <w:rFonts w:asciiTheme="majorHAnsi" w:hAnsiTheme="majorHAnsi" w:cstheme="majorHAnsi"/>
        </w:rPr>
        <w:t>f these offences have distinct differences. To convict under section 47 requires proof of actual bodily harm whereas in section 20 the prosecution would need to prove grievous bodily harm a higher degree of harm. Moreover, in the case of DPP v Smith (1961)</w:t>
      </w:r>
      <w:r w:rsidRPr="00CF52B1">
        <w:rPr>
          <w:rFonts w:asciiTheme="majorHAnsi" w:hAnsiTheme="majorHAnsi" w:cstheme="majorHAnsi"/>
        </w:rPr>
        <w:t>, it was determined whether the mens rea for murder was subjective or objective, whereas the defendant stated he did not have the mens rea for murder however it was determined that a reasonable person would have anticipated that as a result of their action</w:t>
      </w:r>
      <w:r w:rsidRPr="00CF52B1">
        <w:rPr>
          <w:rFonts w:asciiTheme="majorHAnsi" w:hAnsiTheme="majorHAnsi" w:cstheme="majorHAnsi"/>
        </w:rPr>
        <w:t>s it is likely that the victim could be harmed thus creating the subjective test</w:t>
      </w:r>
      <w:r w:rsidR="00D77BC9">
        <w:rPr>
          <w:rFonts w:asciiTheme="majorHAnsi" w:hAnsiTheme="majorHAnsi" w:cstheme="majorHAnsi"/>
        </w:rPr>
        <w:t xml:space="preserve"> (R v Cunningham, 1957).</w:t>
      </w:r>
    </w:p>
    <w:p w14:paraId="1EA302CA" w14:textId="77777777" w:rsidR="001B63BA" w:rsidRPr="00CF52B1" w:rsidRDefault="001B63BA" w:rsidP="00645DA8">
      <w:pPr>
        <w:spacing w:line="480" w:lineRule="auto"/>
        <w:rPr>
          <w:rFonts w:asciiTheme="majorHAnsi" w:hAnsiTheme="majorHAnsi" w:cstheme="majorHAnsi"/>
        </w:rPr>
      </w:pPr>
    </w:p>
    <w:p w14:paraId="231C4FF4" w14:textId="77777777" w:rsidR="00645DA8" w:rsidRPr="00CF52B1" w:rsidRDefault="00E44DE9" w:rsidP="00645DA8">
      <w:pPr>
        <w:spacing w:line="480" w:lineRule="auto"/>
        <w:rPr>
          <w:rFonts w:asciiTheme="majorHAnsi" w:hAnsiTheme="majorHAnsi" w:cstheme="majorHAnsi"/>
        </w:rPr>
      </w:pPr>
      <w:r w:rsidRPr="00CF52B1">
        <w:rPr>
          <w:rFonts w:asciiTheme="majorHAnsi" w:hAnsiTheme="majorHAnsi" w:cstheme="majorHAnsi"/>
        </w:rPr>
        <w:t xml:space="preserve">On the contrary, there have been cases where the defendant could not be found guilty of the alleged offence however was found guilty of actual bodily </w:t>
      </w:r>
      <w:r w:rsidRPr="00CF52B1">
        <w:rPr>
          <w:rFonts w:asciiTheme="majorHAnsi" w:hAnsiTheme="majorHAnsi" w:cstheme="majorHAnsi"/>
        </w:rPr>
        <w:t xml:space="preserve">harm under section 47 of OAPA 1861 (R v Miller, 1954). </w:t>
      </w:r>
    </w:p>
    <w:p w14:paraId="11027BD8" w14:textId="77777777" w:rsidR="00645DA8" w:rsidRDefault="00645DA8" w:rsidP="00CF52B1">
      <w:pPr>
        <w:spacing w:line="480" w:lineRule="auto"/>
        <w:rPr>
          <w:rFonts w:asciiTheme="majorHAnsi" w:hAnsiTheme="majorHAnsi" w:cstheme="majorHAnsi"/>
        </w:rPr>
      </w:pPr>
    </w:p>
    <w:p w14:paraId="656A6197" w14:textId="6078D5EB" w:rsidR="00820F5F" w:rsidRPr="00CF52B1" w:rsidRDefault="00E44DE9" w:rsidP="00CF52B1">
      <w:pPr>
        <w:spacing w:line="480" w:lineRule="auto"/>
        <w:rPr>
          <w:rFonts w:asciiTheme="majorHAnsi" w:hAnsiTheme="majorHAnsi" w:cstheme="majorHAnsi"/>
        </w:rPr>
      </w:pPr>
      <w:r w:rsidRPr="00CF52B1">
        <w:rPr>
          <w:rFonts w:asciiTheme="majorHAnsi" w:hAnsiTheme="majorHAnsi" w:cstheme="majorHAnsi"/>
        </w:rPr>
        <w:t xml:space="preserve">Under Section 18 of the OAPA, 1861 is the most serious </w:t>
      </w:r>
      <w:r w:rsidR="00B34D97" w:rsidRPr="00CF52B1">
        <w:rPr>
          <w:rFonts w:asciiTheme="majorHAnsi" w:hAnsiTheme="majorHAnsi" w:cstheme="majorHAnsi"/>
        </w:rPr>
        <w:t xml:space="preserve">of </w:t>
      </w:r>
      <w:r w:rsidRPr="00CF52B1">
        <w:rPr>
          <w:rFonts w:asciiTheme="majorHAnsi" w:hAnsiTheme="majorHAnsi" w:cstheme="majorHAnsi"/>
        </w:rPr>
        <w:t xml:space="preserve">offences which </w:t>
      </w:r>
      <w:r w:rsidR="00B34D97" w:rsidRPr="00CF52B1">
        <w:rPr>
          <w:rFonts w:asciiTheme="majorHAnsi" w:hAnsiTheme="majorHAnsi" w:cstheme="majorHAnsi"/>
        </w:rPr>
        <w:t>is</w:t>
      </w:r>
      <w:r w:rsidRPr="00CF52B1">
        <w:rPr>
          <w:rFonts w:asciiTheme="majorHAnsi" w:hAnsiTheme="majorHAnsi" w:cstheme="majorHAnsi"/>
        </w:rPr>
        <w:t xml:space="preserve"> grievous bodily harm and wounding with intent</w:t>
      </w:r>
      <w:r w:rsidR="0007414D" w:rsidRPr="00CF52B1">
        <w:rPr>
          <w:rFonts w:asciiTheme="majorHAnsi" w:hAnsiTheme="majorHAnsi" w:cstheme="majorHAnsi"/>
        </w:rPr>
        <w:t xml:space="preserve"> with a maximum sentence of life imprisonment</w:t>
      </w:r>
      <w:r w:rsidRPr="00CF52B1">
        <w:rPr>
          <w:rFonts w:asciiTheme="majorHAnsi" w:hAnsiTheme="majorHAnsi" w:cstheme="majorHAnsi"/>
        </w:rPr>
        <w:t>,</w:t>
      </w:r>
      <w:r w:rsidR="00987382" w:rsidRPr="00CF52B1">
        <w:rPr>
          <w:rFonts w:asciiTheme="majorHAnsi" w:hAnsiTheme="majorHAnsi" w:cstheme="majorHAnsi"/>
        </w:rPr>
        <w:t xml:space="preserve"> </w:t>
      </w:r>
      <w:r w:rsidR="00602991" w:rsidRPr="00CF52B1">
        <w:rPr>
          <w:rFonts w:asciiTheme="majorHAnsi" w:hAnsiTheme="majorHAnsi" w:cstheme="majorHAnsi"/>
        </w:rPr>
        <w:t>whereas under Section 20 of the OAPA 1861 fall</w:t>
      </w:r>
      <w:r w:rsidR="004719BE" w:rsidRPr="00CF52B1">
        <w:rPr>
          <w:rFonts w:asciiTheme="majorHAnsi" w:hAnsiTheme="majorHAnsi" w:cstheme="majorHAnsi"/>
        </w:rPr>
        <w:t>s</w:t>
      </w:r>
      <w:r w:rsidR="00602991" w:rsidRPr="00CF52B1">
        <w:rPr>
          <w:rFonts w:asciiTheme="majorHAnsi" w:hAnsiTheme="majorHAnsi" w:cstheme="majorHAnsi"/>
        </w:rPr>
        <w:t xml:space="preserve"> the less serious of the two crimes which are inflicting bodily injury with or without a weapon also known as actual bodily harm</w:t>
      </w:r>
      <w:r w:rsidR="0007414D" w:rsidRPr="00CF52B1">
        <w:rPr>
          <w:rFonts w:asciiTheme="majorHAnsi" w:hAnsiTheme="majorHAnsi" w:cstheme="majorHAnsi"/>
        </w:rPr>
        <w:t xml:space="preserve"> this carries a maximum sentence of five years imprisonment.</w:t>
      </w:r>
      <w:r w:rsidR="00602991" w:rsidRPr="00CF52B1">
        <w:rPr>
          <w:rFonts w:asciiTheme="majorHAnsi" w:hAnsiTheme="majorHAnsi" w:cstheme="majorHAnsi"/>
        </w:rPr>
        <w:t xml:space="preserve"> </w:t>
      </w:r>
      <w:r w:rsidR="0007414D" w:rsidRPr="00CF52B1">
        <w:rPr>
          <w:rFonts w:asciiTheme="majorHAnsi" w:hAnsiTheme="majorHAnsi" w:cstheme="majorHAnsi"/>
        </w:rPr>
        <w:t>B</w:t>
      </w:r>
      <w:r w:rsidR="00602991" w:rsidRPr="00CF52B1">
        <w:rPr>
          <w:rFonts w:asciiTheme="majorHAnsi" w:hAnsiTheme="majorHAnsi" w:cstheme="majorHAnsi"/>
        </w:rPr>
        <w:t xml:space="preserve">y definition, both of </w:t>
      </w:r>
      <w:r w:rsidRPr="00CF52B1">
        <w:rPr>
          <w:rFonts w:asciiTheme="majorHAnsi" w:hAnsiTheme="majorHAnsi" w:cstheme="majorHAnsi"/>
        </w:rPr>
        <w:t>the offences that fall un</w:t>
      </w:r>
      <w:r w:rsidRPr="00CF52B1">
        <w:rPr>
          <w:rFonts w:asciiTheme="majorHAnsi" w:hAnsiTheme="majorHAnsi" w:cstheme="majorHAnsi"/>
        </w:rPr>
        <w:t>der sections 18</w:t>
      </w:r>
      <w:r w:rsidR="00602991" w:rsidRPr="00CF52B1">
        <w:rPr>
          <w:rFonts w:asciiTheme="majorHAnsi" w:hAnsiTheme="majorHAnsi" w:cstheme="majorHAnsi"/>
        </w:rPr>
        <w:t xml:space="preserve"> and 20</w:t>
      </w:r>
      <w:r w:rsidRPr="00CF52B1">
        <w:rPr>
          <w:rFonts w:asciiTheme="majorHAnsi" w:hAnsiTheme="majorHAnsi" w:cstheme="majorHAnsi"/>
        </w:rPr>
        <w:t xml:space="preserve"> must be unlawful and malicious. </w:t>
      </w:r>
      <w:r w:rsidR="0007414D" w:rsidRPr="00CF52B1">
        <w:rPr>
          <w:rFonts w:asciiTheme="majorHAnsi" w:hAnsiTheme="majorHAnsi" w:cstheme="majorHAnsi"/>
        </w:rPr>
        <w:t>However, the</w:t>
      </w:r>
      <w:r w:rsidRPr="00CF52B1">
        <w:rPr>
          <w:rFonts w:asciiTheme="majorHAnsi" w:hAnsiTheme="majorHAnsi" w:cstheme="majorHAnsi"/>
        </w:rPr>
        <w:t xml:space="preserve"> use of the term malicious within </w:t>
      </w:r>
      <w:r w:rsidR="00602991" w:rsidRPr="00CF52B1">
        <w:rPr>
          <w:rFonts w:asciiTheme="majorHAnsi" w:hAnsiTheme="majorHAnsi" w:cstheme="majorHAnsi"/>
        </w:rPr>
        <w:t xml:space="preserve">Section 18 </w:t>
      </w:r>
      <w:r w:rsidR="00A50468" w:rsidRPr="00CF52B1">
        <w:rPr>
          <w:rFonts w:asciiTheme="majorHAnsi" w:hAnsiTheme="majorHAnsi" w:cstheme="majorHAnsi"/>
        </w:rPr>
        <w:t xml:space="preserve">specifically has proved problematic in application in some cases which could often require clarity from the courts and in some cases have been advised to be ignored as it serves of no relevance as can be seen in the case of R v Mowatt (1968). </w:t>
      </w:r>
      <w:r w:rsidR="0007414D" w:rsidRPr="00CF52B1">
        <w:rPr>
          <w:rFonts w:asciiTheme="majorHAnsi" w:hAnsiTheme="majorHAnsi" w:cstheme="majorHAnsi"/>
        </w:rPr>
        <w:t>Moreover,</w:t>
      </w:r>
      <w:r w:rsidR="00A50468" w:rsidRPr="00CF52B1">
        <w:rPr>
          <w:rFonts w:asciiTheme="majorHAnsi" w:hAnsiTheme="majorHAnsi" w:cstheme="majorHAnsi"/>
        </w:rPr>
        <w:t xml:space="preserve"> it </w:t>
      </w:r>
      <w:r w:rsidR="0007414D" w:rsidRPr="00CF52B1">
        <w:rPr>
          <w:rFonts w:asciiTheme="majorHAnsi" w:hAnsiTheme="majorHAnsi" w:cstheme="majorHAnsi"/>
        </w:rPr>
        <w:t>can prove</w:t>
      </w:r>
      <w:r w:rsidR="00A50468" w:rsidRPr="00CF52B1">
        <w:rPr>
          <w:rFonts w:asciiTheme="majorHAnsi" w:hAnsiTheme="majorHAnsi" w:cstheme="majorHAnsi"/>
        </w:rPr>
        <w:t xml:space="preserve"> relevant if the </w:t>
      </w:r>
      <w:r w:rsidR="0007414D" w:rsidRPr="00CF52B1">
        <w:rPr>
          <w:rFonts w:asciiTheme="majorHAnsi" w:hAnsiTheme="majorHAnsi" w:cstheme="majorHAnsi"/>
        </w:rPr>
        <w:t xml:space="preserve">defendant resists or evades arrest and is subsequently </w:t>
      </w:r>
      <w:r w:rsidR="00A50468" w:rsidRPr="00CF52B1">
        <w:rPr>
          <w:rFonts w:asciiTheme="majorHAnsi" w:hAnsiTheme="majorHAnsi" w:cstheme="majorHAnsi"/>
        </w:rPr>
        <w:t>charge</w:t>
      </w:r>
      <w:r w:rsidR="0007414D" w:rsidRPr="00CF52B1">
        <w:rPr>
          <w:rFonts w:asciiTheme="majorHAnsi" w:hAnsiTheme="majorHAnsi" w:cstheme="majorHAnsi"/>
        </w:rPr>
        <w:t xml:space="preserve">d under section 18 of OAPA 1861. </w:t>
      </w:r>
      <w:r w:rsidR="00A50468" w:rsidRPr="00CF52B1">
        <w:rPr>
          <w:rFonts w:asciiTheme="majorHAnsi" w:hAnsiTheme="majorHAnsi" w:cstheme="majorHAnsi"/>
        </w:rPr>
        <w:t xml:space="preserve"> </w:t>
      </w:r>
    </w:p>
    <w:p w14:paraId="11990CE9" w14:textId="77777777" w:rsidR="0007414D" w:rsidRPr="00CF52B1" w:rsidRDefault="0007414D" w:rsidP="00CF52B1">
      <w:pPr>
        <w:spacing w:line="480" w:lineRule="auto"/>
        <w:rPr>
          <w:rFonts w:asciiTheme="majorHAnsi" w:hAnsiTheme="majorHAnsi" w:cstheme="majorHAnsi"/>
        </w:rPr>
      </w:pPr>
    </w:p>
    <w:p w14:paraId="2EC9D67E" w14:textId="792BA76B" w:rsidR="0007414D" w:rsidRPr="00CF52B1" w:rsidRDefault="00E44DE9" w:rsidP="00CF52B1">
      <w:pPr>
        <w:spacing w:line="480" w:lineRule="auto"/>
        <w:rPr>
          <w:rFonts w:asciiTheme="majorHAnsi" w:hAnsiTheme="majorHAnsi" w:cstheme="majorHAnsi"/>
        </w:rPr>
      </w:pPr>
      <w:r w:rsidRPr="00CF52B1">
        <w:rPr>
          <w:rFonts w:asciiTheme="majorHAnsi" w:hAnsiTheme="majorHAnsi" w:cstheme="majorHAnsi"/>
        </w:rPr>
        <w:lastRenderedPageBreak/>
        <w:t>The Cr</w:t>
      </w:r>
      <w:r w:rsidR="004719BE" w:rsidRPr="00CF52B1">
        <w:rPr>
          <w:rFonts w:asciiTheme="majorHAnsi" w:hAnsiTheme="majorHAnsi" w:cstheme="majorHAnsi"/>
        </w:rPr>
        <w:t xml:space="preserve">own </w:t>
      </w:r>
      <w:r w:rsidRPr="00CF52B1">
        <w:rPr>
          <w:rFonts w:asciiTheme="majorHAnsi" w:hAnsiTheme="majorHAnsi" w:cstheme="majorHAnsi"/>
        </w:rPr>
        <w:t>Prosecution Service state</w:t>
      </w:r>
      <w:r w:rsidR="004719BE" w:rsidRPr="00CF52B1">
        <w:rPr>
          <w:rFonts w:asciiTheme="majorHAnsi" w:hAnsiTheme="majorHAnsi" w:cstheme="majorHAnsi"/>
        </w:rPr>
        <w:t>s</w:t>
      </w:r>
      <w:r w:rsidRPr="00CF52B1">
        <w:rPr>
          <w:rFonts w:asciiTheme="majorHAnsi" w:hAnsiTheme="majorHAnsi" w:cstheme="majorHAnsi"/>
        </w:rPr>
        <w:t xml:space="preserve"> that the key distinction between section 18 and 20 is</w:t>
      </w:r>
      <w:r w:rsidR="00827939" w:rsidRPr="00CF52B1">
        <w:rPr>
          <w:rFonts w:asciiTheme="majorHAnsi" w:hAnsiTheme="majorHAnsi" w:cstheme="majorHAnsi"/>
        </w:rPr>
        <w:t xml:space="preserve"> one</w:t>
      </w:r>
      <w:r w:rsidRPr="00CF52B1">
        <w:rPr>
          <w:rFonts w:asciiTheme="majorHAnsi" w:hAnsiTheme="majorHAnsi" w:cstheme="majorHAnsi"/>
        </w:rPr>
        <w:t xml:space="preserve"> of mens rea, within the offences under section 18 the prosecution must prove that the defendant had intended to wound or cause grievous bodily harm acting in such a way to</w:t>
      </w:r>
      <w:r w:rsidRPr="00CF52B1">
        <w:rPr>
          <w:rFonts w:asciiTheme="majorHAnsi" w:hAnsiTheme="majorHAnsi" w:cstheme="majorHAnsi"/>
        </w:rPr>
        <w:t xml:space="preserve"> bring this about, a key indicator of intent would be repetitive actions or a planned attack, selection of an object such as a weapon to assist with the offence would show clear intent</w:t>
      </w:r>
      <w:r w:rsidR="008B60AF" w:rsidRPr="00CF52B1">
        <w:rPr>
          <w:rFonts w:asciiTheme="majorHAnsi" w:hAnsiTheme="majorHAnsi" w:cstheme="majorHAnsi"/>
        </w:rPr>
        <w:t xml:space="preserve"> (R v Bollom, 2004)</w:t>
      </w:r>
      <w:r w:rsidRPr="00CF52B1">
        <w:rPr>
          <w:rFonts w:asciiTheme="majorHAnsi" w:hAnsiTheme="majorHAnsi" w:cstheme="majorHAnsi"/>
        </w:rPr>
        <w:t xml:space="preserve">. </w:t>
      </w:r>
    </w:p>
    <w:p w14:paraId="62E667EE" w14:textId="535A187F" w:rsidR="004B0424" w:rsidRDefault="00E44DE9" w:rsidP="00CF52B1">
      <w:pPr>
        <w:spacing w:line="480" w:lineRule="auto"/>
        <w:rPr>
          <w:rFonts w:asciiTheme="majorHAnsi" w:hAnsiTheme="majorHAnsi" w:cstheme="majorHAnsi"/>
        </w:rPr>
      </w:pPr>
      <w:r w:rsidRPr="00CF52B1">
        <w:rPr>
          <w:rFonts w:asciiTheme="majorHAnsi" w:hAnsiTheme="majorHAnsi" w:cstheme="majorHAnsi"/>
        </w:rPr>
        <w:t>Whereas under section 20 it must be proved that th</w:t>
      </w:r>
      <w:r w:rsidRPr="00CF52B1">
        <w:rPr>
          <w:rFonts w:asciiTheme="majorHAnsi" w:hAnsiTheme="majorHAnsi" w:cstheme="majorHAnsi"/>
        </w:rPr>
        <w:t>e defendant intended or foresaw that their actions would have resulted in physical harm to a person and was aware of this at the time</w:t>
      </w:r>
      <w:r w:rsidR="0091296A" w:rsidRPr="00CF52B1">
        <w:rPr>
          <w:rFonts w:asciiTheme="majorHAnsi" w:hAnsiTheme="majorHAnsi" w:cstheme="majorHAnsi"/>
        </w:rPr>
        <w:t>, this offence consists of two offences one of grievous bodily harm and secondly malicious wounding, therefore the defendant actions are not limited to physical harm, psychiatric harm is also considered</w:t>
      </w:r>
      <w:r w:rsidR="000F33AD">
        <w:rPr>
          <w:rFonts w:asciiTheme="majorHAnsi" w:hAnsiTheme="majorHAnsi" w:cstheme="majorHAnsi"/>
        </w:rPr>
        <w:t>. Due to psychiatric har</w:t>
      </w:r>
      <w:r w:rsidR="00FB08B8">
        <w:rPr>
          <w:rFonts w:asciiTheme="majorHAnsi" w:hAnsiTheme="majorHAnsi" w:cstheme="majorHAnsi"/>
        </w:rPr>
        <w:t>m now</w:t>
      </w:r>
      <w:r w:rsidR="000F33AD">
        <w:rPr>
          <w:rFonts w:asciiTheme="majorHAnsi" w:hAnsiTheme="majorHAnsi" w:cstheme="majorHAnsi"/>
        </w:rPr>
        <w:t xml:space="preserve"> </w:t>
      </w:r>
      <w:r w:rsidR="00FB08B8">
        <w:rPr>
          <w:rFonts w:asciiTheme="majorHAnsi" w:hAnsiTheme="majorHAnsi" w:cstheme="majorHAnsi"/>
        </w:rPr>
        <w:t>being</w:t>
      </w:r>
      <w:r w:rsidR="000F33AD">
        <w:rPr>
          <w:rFonts w:asciiTheme="majorHAnsi" w:hAnsiTheme="majorHAnsi" w:cstheme="majorHAnsi"/>
        </w:rPr>
        <w:t xml:space="preserve"> considered is</w:t>
      </w:r>
      <w:r w:rsidR="00FB08B8">
        <w:rPr>
          <w:rFonts w:asciiTheme="majorHAnsi" w:hAnsiTheme="majorHAnsi" w:cstheme="majorHAnsi"/>
        </w:rPr>
        <w:t xml:space="preserve"> a form of Actual Bodily Harm and has now been determined that physical elements don’t always have to be present to constitute actual bodily harm it is important to note</w:t>
      </w:r>
      <w:r w:rsidR="000F33AD">
        <w:rPr>
          <w:rFonts w:asciiTheme="majorHAnsi" w:hAnsiTheme="majorHAnsi" w:cstheme="majorHAnsi"/>
        </w:rPr>
        <w:t xml:space="preserve"> that</w:t>
      </w:r>
      <w:r w:rsidR="00FB08B8">
        <w:rPr>
          <w:rFonts w:asciiTheme="majorHAnsi" w:hAnsiTheme="majorHAnsi" w:cstheme="majorHAnsi"/>
        </w:rPr>
        <w:t xml:space="preserve"> this</w:t>
      </w:r>
      <w:r w:rsidR="000F33AD">
        <w:rPr>
          <w:rFonts w:asciiTheme="majorHAnsi" w:hAnsiTheme="majorHAnsi" w:cstheme="majorHAnsi"/>
        </w:rPr>
        <w:t xml:space="preserve"> is not currently included within the OAPA 1861 showing that the need for reform to include areas that wouldn’t have been considered in 1861 but need to be considered </w:t>
      </w:r>
      <w:r w:rsidR="00645DA8">
        <w:rPr>
          <w:rFonts w:asciiTheme="majorHAnsi" w:hAnsiTheme="majorHAnsi" w:cstheme="majorHAnsi"/>
        </w:rPr>
        <w:t>today</w:t>
      </w:r>
      <w:r w:rsidR="000027FB">
        <w:rPr>
          <w:rFonts w:asciiTheme="majorHAnsi" w:hAnsiTheme="majorHAnsi" w:cstheme="majorHAnsi"/>
        </w:rPr>
        <w:t xml:space="preserve">, </w:t>
      </w:r>
      <w:r w:rsidR="000027FB" w:rsidRPr="00CF52B1">
        <w:rPr>
          <w:rFonts w:asciiTheme="majorHAnsi" w:hAnsiTheme="majorHAnsi" w:cstheme="majorHAnsi"/>
        </w:rPr>
        <w:t>making it unclear as it does not state clearly what the mens rea of the offences are, therefore making the law heavily reliant on past cases to establish the mens rea an example of this can be seen in the case of R v Ireland and Burstow (1997).</w:t>
      </w:r>
    </w:p>
    <w:p w14:paraId="76344638" w14:textId="77777777" w:rsidR="001B63BA" w:rsidRDefault="001B63BA" w:rsidP="00CF52B1">
      <w:pPr>
        <w:spacing w:line="480" w:lineRule="auto"/>
        <w:rPr>
          <w:rFonts w:asciiTheme="majorHAnsi" w:hAnsiTheme="majorHAnsi" w:cstheme="majorHAnsi"/>
        </w:rPr>
      </w:pPr>
    </w:p>
    <w:p w14:paraId="35416B71" w14:textId="2E0039B4" w:rsidR="000027FB" w:rsidRDefault="00E44DE9" w:rsidP="00CF52B1">
      <w:pPr>
        <w:spacing w:line="480" w:lineRule="auto"/>
        <w:rPr>
          <w:rFonts w:asciiTheme="majorHAnsi" w:hAnsiTheme="majorHAnsi" w:cstheme="majorHAnsi"/>
        </w:rPr>
      </w:pPr>
      <w:r>
        <w:rPr>
          <w:rFonts w:asciiTheme="majorHAnsi" w:hAnsiTheme="majorHAnsi" w:cstheme="majorHAnsi"/>
        </w:rPr>
        <w:t>T</w:t>
      </w:r>
      <w:r w:rsidRPr="00CF52B1">
        <w:rPr>
          <w:rFonts w:asciiTheme="majorHAnsi" w:hAnsiTheme="majorHAnsi" w:cstheme="majorHAnsi"/>
        </w:rPr>
        <w:t>he House of Lords extended a judgment on a previous case to determine that psychiatric inju</w:t>
      </w:r>
      <w:r w:rsidRPr="00CF52B1">
        <w:rPr>
          <w:rFonts w:asciiTheme="majorHAnsi" w:hAnsiTheme="majorHAnsi" w:cstheme="majorHAnsi"/>
        </w:rPr>
        <w:t>ry could result in or be classified as actual bodily harm, as the court determined that it did not require the application of physical force</w:t>
      </w:r>
      <w:r>
        <w:rPr>
          <w:rFonts w:asciiTheme="majorHAnsi" w:hAnsiTheme="majorHAnsi" w:cstheme="majorHAnsi"/>
        </w:rPr>
        <w:t>, currently, the law is heavily reliant on past cases to assist in</w:t>
      </w:r>
      <w:r w:rsidRPr="00CF52B1">
        <w:rPr>
          <w:rFonts w:asciiTheme="majorHAnsi" w:hAnsiTheme="majorHAnsi" w:cstheme="majorHAnsi"/>
        </w:rPr>
        <w:t xml:space="preserve"> </w:t>
      </w:r>
      <w:r>
        <w:rPr>
          <w:rFonts w:asciiTheme="majorHAnsi" w:hAnsiTheme="majorHAnsi" w:cstheme="majorHAnsi"/>
        </w:rPr>
        <w:t>determining case outcomes due to the confusing st</w:t>
      </w:r>
      <w:r>
        <w:rPr>
          <w:rFonts w:asciiTheme="majorHAnsi" w:hAnsiTheme="majorHAnsi" w:cstheme="majorHAnsi"/>
        </w:rPr>
        <w:t xml:space="preserve">ate of the OAPA 1861 as there have been many criticisms on the lack of definition for each offence </w:t>
      </w:r>
      <w:r w:rsidRPr="00CF52B1">
        <w:rPr>
          <w:rFonts w:asciiTheme="majorHAnsi" w:hAnsiTheme="majorHAnsi" w:cstheme="majorHAnsi"/>
        </w:rPr>
        <w:t>(R v Chan Hook (1994)).</w:t>
      </w:r>
    </w:p>
    <w:p w14:paraId="59B26FA7" w14:textId="2D723B87" w:rsidR="003D7ED3" w:rsidRDefault="003D7ED3" w:rsidP="00CF52B1">
      <w:pPr>
        <w:spacing w:line="480" w:lineRule="auto"/>
        <w:rPr>
          <w:rFonts w:asciiTheme="majorHAnsi" w:hAnsiTheme="majorHAnsi" w:cstheme="majorHAnsi"/>
        </w:rPr>
      </w:pPr>
    </w:p>
    <w:p w14:paraId="12626610" w14:textId="6B36349A" w:rsidR="003D7ED3" w:rsidRPr="00CF52B1" w:rsidRDefault="00E44DE9" w:rsidP="00CF52B1">
      <w:pPr>
        <w:spacing w:line="480" w:lineRule="auto"/>
        <w:rPr>
          <w:rFonts w:asciiTheme="majorHAnsi" w:hAnsiTheme="majorHAnsi" w:cstheme="majorHAnsi"/>
        </w:rPr>
      </w:pPr>
      <w:r>
        <w:rPr>
          <w:rFonts w:asciiTheme="majorHAnsi" w:hAnsiTheme="majorHAnsi" w:cstheme="majorHAnsi"/>
        </w:rPr>
        <w:t>It could be argued that the need to consistently rely on case law creates inconsistencies and uncertainty in the law as it is stated</w:t>
      </w:r>
      <w:r>
        <w:rPr>
          <w:rFonts w:asciiTheme="majorHAnsi" w:hAnsiTheme="majorHAnsi" w:cstheme="majorHAnsi"/>
        </w:rPr>
        <w:t xml:space="preserve"> within the Law Commission report that Judges have complained that the law is not clear (The Law Commission, 2015 pp 39).</w:t>
      </w:r>
    </w:p>
    <w:p w14:paraId="211E2137" w14:textId="77777777" w:rsidR="004B0424" w:rsidRPr="00CF52B1" w:rsidRDefault="004B0424" w:rsidP="00CF52B1">
      <w:pPr>
        <w:spacing w:line="480" w:lineRule="auto"/>
        <w:rPr>
          <w:rFonts w:asciiTheme="majorHAnsi" w:hAnsiTheme="majorHAnsi" w:cstheme="majorHAnsi"/>
        </w:rPr>
      </w:pPr>
    </w:p>
    <w:p w14:paraId="69DC56BB" w14:textId="77777777" w:rsidR="00E56661" w:rsidRPr="00CF52B1" w:rsidRDefault="00E56661" w:rsidP="00CF52B1">
      <w:pPr>
        <w:spacing w:line="480" w:lineRule="auto"/>
        <w:rPr>
          <w:rFonts w:asciiTheme="majorHAnsi" w:hAnsiTheme="majorHAnsi" w:cstheme="majorHAnsi"/>
        </w:rPr>
      </w:pPr>
    </w:p>
    <w:p w14:paraId="6DCE36F0" w14:textId="16C2E644" w:rsidR="00672A8D" w:rsidRPr="00CF52B1" w:rsidRDefault="00E44DE9" w:rsidP="00CF52B1">
      <w:pPr>
        <w:spacing w:line="480" w:lineRule="auto"/>
        <w:rPr>
          <w:rFonts w:asciiTheme="majorHAnsi" w:hAnsiTheme="majorHAnsi" w:cstheme="majorHAnsi"/>
        </w:rPr>
      </w:pPr>
      <w:r w:rsidRPr="00CF52B1">
        <w:rPr>
          <w:rFonts w:asciiTheme="majorHAnsi" w:hAnsiTheme="majorHAnsi" w:cstheme="majorHAnsi"/>
        </w:rPr>
        <w:t>From the application of these cases, Lord Steyn stated that it needs to be examined whether the current law provides adequate sancti</w:t>
      </w:r>
      <w:r w:rsidRPr="00CF52B1">
        <w:rPr>
          <w:rFonts w:asciiTheme="majorHAnsi" w:hAnsiTheme="majorHAnsi" w:cstheme="majorHAnsi"/>
        </w:rPr>
        <w:t xml:space="preserve">ons for these types of cases, stating that a stalker may intend to terrify a woman and succeed, 'is he beyond the reach of the trilogy of sanctions in the Act of 1861'? (Lord Steyn, 1997). </w:t>
      </w:r>
    </w:p>
    <w:p w14:paraId="4E087314" w14:textId="0C1024B3" w:rsidR="00672A8D" w:rsidRDefault="00E44DE9" w:rsidP="00CF52B1">
      <w:pPr>
        <w:spacing w:line="480" w:lineRule="auto"/>
        <w:rPr>
          <w:rFonts w:asciiTheme="majorHAnsi" w:hAnsiTheme="majorHAnsi" w:cstheme="majorHAnsi"/>
        </w:rPr>
      </w:pPr>
      <w:r w:rsidRPr="00CF52B1">
        <w:rPr>
          <w:rFonts w:asciiTheme="majorHAnsi" w:hAnsiTheme="majorHAnsi" w:cstheme="majorHAnsi"/>
        </w:rPr>
        <w:t>Another example of this would be a case in which the courts had de</w:t>
      </w:r>
      <w:r w:rsidRPr="00CF52B1">
        <w:rPr>
          <w:rFonts w:asciiTheme="majorHAnsi" w:hAnsiTheme="majorHAnsi" w:cstheme="majorHAnsi"/>
        </w:rPr>
        <w:t xml:space="preserve">termined that words alone can constitute an assault, where no physical activity had been present however, due to the fear that the intended victim had of immediate violence, it was determined </w:t>
      </w:r>
      <w:r w:rsidR="00E56661" w:rsidRPr="00CF52B1">
        <w:rPr>
          <w:rFonts w:asciiTheme="majorHAnsi" w:hAnsiTheme="majorHAnsi" w:cstheme="majorHAnsi"/>
        </w:rPr>
        <w:t>that this constituted a reason to convict for assault occasioning in actual bodily harm caused solely by words</w:t>
      </w:r>
      <w:r w:rsidR="00D77BC9">
        <w:rPr>
          <w:rFonts w:asciiTheme="majorHAnsi" w:hAnsiTheme="majorHAnsi" w:cstheme="majorHAnsi"/>
        </w:rPr>
        <w:t xml:space="preserve"> </w:t>
      </w:r>
      <w:r w:rsidR="00E56661" w:rsidRPr="00CF52B1">
        <w:rPr>
          <w:rFonts w:asciiTheme="majorHAnsi" w:hAnsiTheme="majorHAnsi" w:cstheme="majorHAnsi"/>
        </w:rPr>
        <w:t xml:space="preserve">(R v Constanza 1997). </w:t>
      </w:r>
    </w:p>
    <w:p w14:paraId="3FFA8CE6" w14:textId="77777777" w:rsidR="007C35D6" w:rsidRDefault="007C35D6" w:rsidP="00CF52B1">
      <w:pPr>
        <w:spacing w:line="480" w:lineRule="auto"/>
        <w:rPr>
          <w:rFonts w:asciiTheme="majorHAnsi" w:hAnsiTheme="majorHAnsi" w:cstheme="majorHAnsi"/>
        </w:rPr>
      </w:pPr>
    </w:p>
    <w:p w14:paraId="2E504003" w14:textId="3BA6FCCF" w:rsidR="007C35D6" w:rsidRDefault="00E44DE9" w:rsidP="007C35D6">
      <w:pPr>
        <w:spacing w:line="480" w:lineRule="auto"/>
        <w:rPr>
          <w:rFonts w:asciiTheme="majorHAnsi" w:hAnsiTheme="majorHAnsi" w:cstheme="majorHAnsi"/>
        </w:rPr>
      </w:pPr>
      <w:r w:rsidRPr="00CF52B1">
        <w:rPr>
          <w:rFonts w:asciiTheme="majorHAnsi" w:hAnsiTheme="majorHAnsi" w:cstheme="majorHAnsi"/>
        </w:rPr>
        <w:t>In recent years the archaic nature of the OAPA 1861 and the outdated language within the act has faced some criticism from the media stating it is notoriously difficult to understand an</w:t>
      </w:r>
      <w:r w:rsidRPr="00CF52B1">
        <w:rPr>
          <w:rFonts w:asciiTheme="majorHAnsi" w:hAnsiTheme="majorHAnsi" w:cstheme="majorHAnsi"/>
        </w:rPr>
        <w:t xml:space="preserve">d obscure as it refers to terminology no longer used or recognised in law today, with the news article in favour of reform it goes on to say that there is a need to abolish the terminology of grievous and actual bodily harm and should be replaced with the </w:t>
      </w:r>
      <w:r w:rsidRPr="00CF52B1">
        <w:rPr>
          <w:rFonts w:asciiTheme="majorHAnsi" w:hAnsiTheme="majorHAnsi" w:cstheme="majorHAnsi"/>
        </w:rPr>
        <w:t xml:space="preserve">more appropriate and clearer term of ‘intentionally causing injury’ claiming that reform of the act would reinstate the use of the courts valuable time (Barrett, D 2015). </w:t>
      </w:r>
    </w:p>
    <w:p w14:paraId="7A3A6C0E" w14:textId="77777777" w:rsidR="007C35D6" w:rsidRPr="00CF52B1" w:rsidRDefault="007C35D6" w:rsidP="00CF52B1">
      <w:pPr>
        <w:spacing w:line="480" w:lineRule="auto"/>
        <w:rPr>
          <w:rFonts w:asciiTheme="majorHAnsi" w:hAnsiTheme="majorHAnsi" w:cstheme="majorHAnsi"/>
        </w:rPr>
      </w:pPr>
    </w:p>
    <w:p w14:paraId="38CC3B55" w14:textId="77777777" w:rsidR="00645DA8" w:rsidRDefault="00645DA8" w:rsidP="00645DA8">
      <w:pPr>
        <w:spacing w:line="480" w:lineRule="auto"/>
        <w:rPr>
          <w:rFonts w:asciiTheme="majorHAnsi" w:hAnsiTheme="majorHAnsi" w:cstheme="majorHAnsi"/>
        </w:rPr>
      </w:pPr>
    </w:p>
    <w:p w14:paraId="5BBB99B4" w14:textId="078188A3" w:rsidR="00645DA8" w:rsidRDefault="00E44DE9" w:rsidP="00645DA8">
      <w:pPr>
        <w:spacing w:line="480" w:lineRule="auto"/>
        <w:rPr>
          <w:rFonts w:asciiTheme="majorHAnsi" w:hAnsiTheme="majorHAnsi" w:cstheme="majorHAnsi"/>
        </w:rPr>
      </w:pPr>
      <w:r w:rsidRPr="00CF52B1">
        <w:rPr>
          <w:rFonts w:asciiTheme="majorHAnsi" w:hAnsiTheme="majorHAnsi" w:cstheme="majorHAnsi"/>
        </w:rPr>
        <w:t xml:space="preserve">On the contrary, while acknowledging that there is a need for reform it has </w:t>
      </w:r>
      <w:r w:rsidRPr="00CF52B1">
        <w:rPr>
          <w:rFonts w:asciiTheme="majorHAnsi" w:hAnsiTheme="majorHAnsi" w:cstheme="majorHAnsi"/>
        </w:rPr>
        <w:t>also been argued that despite the outdated language and confusing state of the OAPA (1861) it does still somewhat work as it is still being used every day to prosecute in England and Wales despite the criticism the act has faced over the recent years (Love</w:t>
      </w:r>
      <w:r w:rsidRPr="00CF52B1">
        <w:rPr>
          <w:rFonts w:asciiTheme="majorHAnsi" w:hAnsiTheme="majorHAnsi" w:cstheme="majorHAnsi"/>
        </w:rPr>
        <w:t>, 2021).</w:t>
      </w:r>
      <w:r w:rsidR="007C35D6">
        <w:rPr>
          <w:rFonts w:asciiTheme="majorHAnsi" w:hAnsiTheme="majorHAnsi" w:cstheme="majorHAnsi"/>
        </w:rPr>
        <w:t xml:space="preserve"> </w:t>
      </w:r>
    </w:p>
    <w:p w14:paraId="242B5AD2" w14:textId="77777777" w:rsidR="00645DA8" w:rsidRDefault="00645DA8" w:rsidP="00CF52B1">
      <w:pPr>
        <w:spacing w:line="480" w:lineRule="auto"/>
        <w:rPr>
          <w:rFonts w:asciiTheme="majorHAnsi" w:hAnsiTheme="majorHAnsi" w:cstheme="majorHAnsi"/>
        </w:rPr>
      </w:pPr>
    </w:p>
    <w:p w14:paraId="0418DD59" w14:textId="7A6EA2DE" w:rsidR="004B0424" w:rsidRPr="00CF52B1" w:rsidRDefault="00E44DE9" w:rsidP="00CF52B1">
      <w:pPr>
        <w:spacing w:line="480" w:lineRule="auto"/>
        <w:rPr>
          <w:rFonts w:asciiTheme="majorHAnsi" w:hAnsiTheme="majorHAnsi" w:cstheme="majorHAnsi"/>
        </w:rPr>
      </w:pPr>
      <w:r w:rsidRPr="00CF52B1">
        <w:rPr>
          <w:rFonts w:asciiTheme="majorHAnsi" w:hAnsiTheme="majorHAnsi" w:cstheme="majorHAnsi"/>
        </w:rPr>
        <w:t>In conclusion, the Law Commission seemingly have reasonable cause for wanting some clarity on the outdate</w:t>
      </w:r>
      <w:r w:rsidR="00C608BD" w:rsidRPr="00CF52B1">
        <w:rPr>
          <w:rFonts w:asciiTheme="majorHAnsi" w:hAnsiTheme="majorHAnsi" w:cstheme="majorHAnsi"/>
        </w:rPr>
        <w:t xml:space="preserve">d </w:t>
      </w:r>
      <w:r w:rsidRPr="00CF52B1">
        <w:rPr>
          <w:rFonts w:asciiTheme="majorHAnsi" w:hAnsiTheme="majorHAnsi" w:cstheme="majorHAnsi"/>
        </w:rPr>
        <w:t>Offence</w:t>
      </w:r>
      <w:r w:rsidR="00C608BD" w:rsidRPr="00CF52B1">
        <w:rPr>
          <w:rFonts w:asciiTheme="majorHAnsi" w:hAnsiTheme="majorHAnsi" w:cstheme="majorHAnsi"/>
        </w:rPr>
        <w:t>s</w:t>
      </w:r>
      <w:r w:rsidRPr="00CF52B1">
        <w:rPr>
          <w:rFonts w:asciiTheme="majorHAnsi" w:hAnsiTheme="majorHAnsi" w:cstheme="majorHAnsi"/>
        </w:rPr>
        <w:t xml:space="preserve"> </w:t>
      </w:r>
      <w:r w:rsidR="00C608BD" w:rsidRPr="00CF52B1">
        <w:rPr>
          <w:rFonts w:asciiTheme="majorHAnsi" w:hAnsiTheme="majorHAnsi" w:cstheme="majorHAnsi"/>
        </w:rPr>
        <w:t>A</w:t>
      </w:r>
      <w:r w:rsidRPr="00CF52B1">
        <w:rPr>
          <w:rFonts w:asciiTheme="majorHAnsi" w:hAnsiTheme="majorHAnsi" w:cstheme="majorHAnsi"/>
        </w:rPr>
        <w:t xml:space="preserve">gainst the </w:t>
      </w:r>
      <w:r w:rsidR="00C608BD" w:rsidRPr="00CF52B1">
        <w:rPr>
          <w:rFonts w:asciiTheme="majorHAnsi" w:hAnsiTheme="majorHAnsi" w:cstheme="majorHAnsi"/>
        </w:rPr>
        <w:t>P</w:t>
      </w:r>
      <w:r w:rsidRPr="00CF52B1">
        <w:rPr>
          <w:rFonts w:asciiTheme="majorHAnsi" w:hAnsiTheme="majorHAnsi" w:cstheme="majorHAnsi"/>
        </w:rPr>
        <w:t>erson</w:t>
      </w:r>
      <w:r w:rsidR="00C608BD" w:rsidRPr="00CF52B1">
        <w:rPr>
          <w:rFonts w:asciiTheme="majorHAnsi" w:hAnsiTheme="majorHAnsi" w:cstheme="majorHAnsi"/>
        </w:rPr>
        <w:t>s</w:t>
      </w:r>
      <w:r w:rsidRPr="00CF52B1">
        <w:rPr>
          <w:rFonts w:asciiTheme="majorHAnsi" w:hAnsiTheme="majorHAnsi" w:cstheme="majorHAnsi"/>
        </w:rPr>
        <w:t xml:space="preserve"> Act 1861 opting for a more logical approach, with a clear hierarchy of</w:t>
      </w:r>
      <w:r w:rsidR="00DF5C7C" w:rsidRPr="00CF52B1">
        <w:rPr>
          <w:rFonts w:asciiTheme="majorHAnsi" w:hAnsiTheme="majorHAnsi" w:cstheme="majorHAnsi"/>
        </w:rPr>
        <w:t xml:space="preserve"> offences</w:t>
      </w:r>
      <w:r w:rsidRPr="00CF52B1">
        <w:rPr>
          <w:rFonts w:asciiTheme="majorHAnsi" w:hAnsiTheme="majorHAnsi" w:cstheme="majorHAnsi"/>
        </w:rPr>
        <w:t xml:space="preserve"> and </w:t>
      </w:r>
      <w:r w:rsidR="00DF5C7C" w:rsidRPr="00CF52B1">
        <w:rPr>
          <w:rFonts w:asciiTheme="majorHAnsi" w:hAnsiTheme="majorHAnsi" w:cstheme="majorHAnsi"/>
        </w:rPr>
        <w:t>leaving behind</w:t>
      </w:r>
      <w:r w:rsidRPr="00CF52B1">
        <w:rPr>
          <w:rFonts w:asciiTheme="majorHAnsi" w:hAnsiTheme="majorHAnsi" w:cstheme="majorHAnsi"/>
        </w:rPr>
        <w:t xml:space="preserve"> the outdat</w:t>
      </w:r>
      <w:r w:rsidRPr="00CF52B1">
        <w:rPr>
          <w:rFonts w:asciiTheme="majorHAnsi" w:hAnsiTheme="majorHAnsi" w:cstheme="majorHAnsi"/>
        </w:rPr>
        <w:t xml:space="preserve">ed language </w:t>
      </w:r>
      <w:r w:rsidR="00DF5C7C" w:rsidRPr="00CF52B1">
        <w:rPr>
          <w:rFonts w:asciiTheme="majorHAnsi" w:hAnsiTheme="majorHAnsi" w:cstheme="majorHAnsi"/>
        </w:rPr>
        <w:t>and undefined offences</w:t>
      </w:r>
      <w:r w:rsidR="00C608BD" w:rsidRPr="00CF52B1">
        <w:rPr>
          <w:rFonts w:asciiTheme="majorHAnsi" w:hAnsiTheme="majorHAnsi" w:cstheme="majorHAnsi"/>
        </w:rPr>
        <w:t xml:space="preserve"> and by doing that freeing up vital resources and costly court time</w:t>
      </w:r>
      <w:r w:rsidR="00DF5C7C" w:rsidRPr="00CF52B1">
        <w:rPr>
          <w:rFonts w:asciiTheme="majorHAnsi" w:hAnsiTheme="majorHAnsi" w:cstheme="majorHAnsi"/>
        </w:rPr>
        <w:t xml:space="preserve">. </w:t>
      </w:r>
      <w:r w:rsidR="001D205F">
        <w:rPr>
          <w:rFonts w:asciiTheme="majorHAnsi" w:hAnsiTheme="majorHAnsi" w:cstheme="majorHAnsi"/>
        </w:rPr>
        <w:t xml:space="preserve">Moreover, it is important to address the issues raised in whether </w:t>
      </w:r>
      <w:r w:rsidR="001D205F">
        <w:rPr>
          <w:rFonts w:asciiTheme="majorHAnsi" w:hAnsiTheme="majorHAnsi" w:cstheme="majorHAnsi"/>
        </w:rPr>
        <w:lastRenderedPageBreak/>
        <w:t xml:space="preserve">enough reform has been projected, by not addressing the more complex and controversial issues suggests that the reform of the OAPA 1861 would be left incomplete. </w:t>
      </w:r>
      <w:r w:rsidR="00C608BD" w:rsidRPr="00CF52B1">
        <w:rPr>
          <w:rFonts w:asciiTheme="majorHAnsi" w:hAnsiTheme="majorHAnsi" w:cstheme="majorHAnsi"/>
        </w:rPr>
        <w:t xml:space="preserve">As the OAPA 1861 currently serves as the basis for a large </w:t>
      </w:r>
      <w:r w:rsidR="001D205F" w:rsidRPr="00CF52B1">
        <w:rPr>
          <w:rFonts w:asciiTheme="majorHAnsi" w:hAnsiTheme="majorHAnsi" w:cstheme="majorHAnsi"/>
        </w:rPr>
        <w:t>number</w:t>
      </w:r>
      <w:r w:rsidR="00C608BD" w:rsidRPr="00CF52B1">
        <w:rPr>
          <w:rFonts w:asciiTheme="majorHAnsi" w:hAnsiTheme="majorHAnsi" w:cstheme="majorHAnsi"/>
        </w:rPr>
        <w:t xml:space="preserve"> of prosecutions each year m</w:t>
      </w:r>
      <w:r w:rsidR="00DF5C7C" w:rsidRPr="00CF52B1">
        <w:rPr>
          <w:rFonts w:asciiTheme="majorHAnsi" w:hAnsiTheme="majorHAnsi" w:cstheme="majorHAnsi"/>
        </w:rPr>
        <w:t xml:space="preserve">odification of the OAPA 1861 could potentially be </w:t>
      </w:r>
      <w:r w:rsidR="00827939" w:rsidRPr="00CF52B1">
        <w:rPr>
          <w:rFonts w:asciiTheme="majorHAnsi" w:hAnsiTheme="majorHAnsi" w:cstheme="majorHAnsi"/>
        </w:rPr>
        <w:t>imperative for</w:t>
      </w:r>
      <w:r w:rsidR="00DF5C7C" w:rsidRPr="00CF52B1">
        <w:rPr>
          <w:rFonts w:asciiTheme="majorHAnsi" w:hAnsiTheme="majorHAnsi" w:cstheme="majorHAnsi"/>
        </w:rPr>
        <w:t xml:space="preserve"> the future of common law</w:t>
      </w:r>
      <w:r w:rsidR="007E00D4" w:rsidRPr="00CF52B1">
        <w:rPr>
          <w:rFonts w:asciiTheme="majorHAnsi" w:hAnsiTheme="majorHAnsi" w:cstheme="majorHAnsi"/>
        </w:rPr>
        <w:t xml:space="preserve"> ensuring that the prosecution can clearly define the large </w:t>
      </w:r>
      <w:r w:rsidR="00B811DC" w:rsidRPr="00CF52B1">
        <w:rPr>
          <w:rFonts w:asciiTheme="majorHAnsi" w:hAnsiTheme="majorHAnsi" w:cstheme="majorHAnsi"/>
        </w:rPr>
        <w:t>volume of</w:t>
      </w:r>
      <w:r w:rsidR="007E00D4" w:rsidRPr="00CF52B1">
        <w:rPr>
          <w:rFonts w:asciiTheme="majorHAnsi" w:hAnsiTheme="majorHAnsi" w:cstheme="majorHAnsi"/>
        </w:rPr>
        <w:t xml:space="preserve"> violent behaviour crimes that are prosecuted each year.</w:t>
      </w:r>
      <w:r w:rsidR="00827939" w:rsidRPr="00CF52B1">
        <w:rPr>
          <w:rFonts w:asciiTheme="majorHAnsi" w:hAnsiTheme="majorHAnsi" w:cstheme="majorHAnsi"/>
        </w:rPr>
        <w:t xml:space="preserve"> </w:t>
      </w:r>
      <w:r w:rsidR="007E00D4" w:rsidRPr="00CF52B1">
        <w:rPr>
          <w:rFonts w:asciiTheme="majorHAnsi" w:hAnsiTheme="majorHAnsi" w:cstheme="majorHAnsi"/>
        </w:rPr>
        <w:t>A</w:t>
      </w:r>
      <w:r w:rsidR="00827939" w:rsidRPr="00CF52B1">
        <w:rPr>
          <w:rFonts w:asciiTheme="majorHAnsi" w:hAnsiTheme="majorHAnsi" w:cstheme="majorHAnsi"/>
        </w:rPr>
        <w:t xml:space="preserve">s many of the case examples show the resolution for the judgment issued in </w:t>
      </w:r>
      <w:r w:rsidR="007E00D4" w:rsidRPr="00CF52B1">
        <w:rPr>
          <w:rFonts w:asciiTheme="majorHAnsi" w:hAnsiTheme="majorHAnsi" w:cstheme="majorHAnsi"/>
        </w:rPr>
        <w:t>some</w:t>
      </w:r>
      <w:r w:rsidR="00827939" w:rsidRPr="00CF52B1">
        <w:rPr>
          <w:rFonts w:asciiTheme="majorHAnsi" w:hAnsiTheme="majorHAnsi" w:cstheme="majorHAnsi"/>
        </w:rPr>
        <w:t xml:space="preserve"> cases did not come from the act itself however came from past case law</w:t>
      </w:r>
      <w:r w:rsidR="007E00D4" w:rsidRPr="00CF52B1">
        <w:rPr>
          <w:rFonts w:asciiTheme="majorHAnsi" w:hAnsiTheme="majorHAnsi" w:cstheme="majorHAnsi"/>
        </w:rPr>
        <w:t xml:space="preserve"> thus proving the need for modification</w:t>
      </w:r>
      <w:r w:rsidR="00827939" w:rsidRPr="00CF52B1">
        <w:rPr>
          <w:rFonts w:asciiTheme="majorHAnsi" w:hAnsiTheme="majorHAnsi" w:cstheme="majorHAnsi"/>
        </w:rPr>
        <w:t xml:space="preserve">. The lack of definition specifically for the mens rea of the offences has been </w:t>
      </w:r>
      <w:r w:rsidR="007E00D4" w:rsidRPr="00CF52B1">
        <w:rPr>
          <w:rFonts w:asciiTheme="majorHAnsi" w:hAnsiTheme="majorHAnsi" w:cstheme="majorHAnsi"/>
        </w:rPr>
        <w:t>proven</w:t>
      </w:r>
      <w:r w:rsidR="00827939" w:rsidRPr="00CF52B1">
        <w:rPr>
          <w:rFonts w:asciiTheme="majorHAnsi" w:hAnsiTheme="majorHAnsi" w:cstheme="majorHAnsi"/>
        </w:rPr>
        <w:t xml:space="preserve"> to lack </w:t>
      </w:r>
      <w:r w:rsidR="00055FF7" w:rsidRPr="00CF52B1">
        <w:rPr>
          <w:rFonts w:asciiTheme="majorHAnsi" w:hAnsiTheme="majorHAnsi" w:cstheme="majorHAnsi"/>
        </w:rPr>
        <w:t>cons</w:t>
      </w:r>
      <w:r w:rsidR="00055FF7">
        <w:rPr>
          <w:rFonts w:asciiTheme="majorHAnsi" w:hAnsiTheme="majorHAnsi" w:cstheme="majorHAnsi"/>
        </w:rPr>
        <w:t>is</w:t>
      </w:r>
      <w:r w:rsidR="00055FF7" w:rsidRPr="00CF52B1">
        <w:rPr>
          <w:rFonts w:asciiTheme="majorHAnsi" w:hAnsiTheme="majorHAnsi" w:cstheme="majorHAnsi"/>
        </w:rPr>
        <w:t>tency</w:t>
      </w:r>
      <w:r w:rsidR="007E00D4" w:rsidRPr="00CF52B1">
        <w:rPr>
          <w:rFonts w:asciiTheme="majorHAnsi" w:hAnsiTheme="majorHAnsi" w:cstheme="majorHAnsi"/>
        </w:rPr>
        <w:t xml:space="preserve">, which is why the recommendation for reform has been suggested to create a cohesive, consistent and reliable act. </w:t>
      </w:r>
    </w:p>
    <w:p w14:paraId="0163BB06" w14:textId="6A0A807C" w:rsidR="00E56661" w:rsidRDefault="00E56661" w:rsidP="0007414D">
      <w:pPr>
        <w:spacing w:line="480" w:lineRule="auto"/>
        <w:jc w:val="both"/>
      </w:pPr>
    </w:p>
    <w:p w14:paraId="2FF014CD" w14:textId="77777777" w:rsidR="00E56661" w:rsidRDefault="00E56661" w:rsidP="0007414D">
      <w:pPr>
        <w:spacing w:line="480" w:lineRule="auto"/>
        <w:jc w:val="both"/>
      </w:pPr>
    </w:p>
    <w:p w14:paraId="4076F60B" w14:textId="77777777" w:rsidR="0007414D" w:rsidRPr="0007414D" w:rsidRDefault="0007414D" w:rsidP="00820F5F">
      <w:pPr>
        <w:spacing w:line="480" w:lineRule="auto"/>
        <w:jc w:val="both"/>
      </w:pPr>
    </w:p>
    <w:p w14:paraId="30040FBC" w14:textId="77777777" w:rsidR="0076311C" w:rsidRDefault="0076311C" w:rsidP="00D43357">
      <w:pPr>
        <w:jc w:val="both"/>
      </w:pPr>
    </w:p>
    <w:p w14:paraId="53C0F7D2" w14:textId="77777777" w:rsidR="00D43357" w:rsidRDefault="00D43357" w:rsidP="00D43357">
      <w:pPr>
        <w:jc w:val="both"/>
      </w:pPr>
    </w:p>
    <w:p w14:paraId="3DEE12BB" w14:textId="2CF005F0" w:rsidR="00E2258C" w:rsidRDefault="00E2258C" w:rsidP="007E7DE7">
      <w:pPr>
        <w:jc w:val="both"/>
      </w:pPr>
    </w:p>
    <w:p w14:paraId="22CE5040" w14:textId="5FE95B8C" w:rsidR="003D2D9C" w:rsidRDefault="003D2D9C" w:rsidP="007E7DE7">
      <w:pPr>
        <w:jc w:val="both"/>
      </w:pPr>
    </w:p>
    <w:p w14:paraId="5CAF5B74" w14:textId="4090DBF4" w:rsidR="00116960" w:rsidRDefault="00116960" w:rsidP="00116960"/>
    <w:p w14:paraId="1052FA75" w14:textId="0C829E08" w:rsidR="00A55229" w:rsidRDefault="00A55229" w:rsidP="00116960"/>
    <w:p w14:paraId="74E7A156" w14:textId="28CFFB5C" w:rsidR="009A58C8" w:rsidRDefault="009A58C8" w:rsidP="009A58C8">
      <w:pPr>
        <w:jc w:val="center"/>
      </w:pPr>
    </w:p>
    <w:p w14:paraId="4DEACD51" w14:textId="43D36E8C" w:rsidR="00116960" w:rsidRDefault="00116960" w:rsidP="009A58C8">
      <w:pPr>
        <w:jc w:val="center"/>
      </w:pPr>
    </w:p>
    <w:p w14:paraId="2144CDB3" w14:textId="67940186" w:rsidR="00116960" w:rsidRDefault="00116960" w:rsidP="009A58C8">
      <w:pPr>
        <w:jc w:val="center"/>
      </w:pPr>
    </w:p>
    <w:p w14:paraId="340B660B" w14:textId="34569135" w:rsidR="00116960" w:rsidRDefault="00116960" w:rsidP="009A58C8">
      <w:pPr>
        <w:jc w:val="center"/>
      </w:pPr>
    </w:p>
    <w:p w14:paraId="780D7697" w14:textId="378B84FA" w:rsidR="00116960" w:rsidRDefault="00116960" w:rsidP="009A58C8">
      <w:pPr>
        <w:jc w:val="center"/>
      </w:pPr>
    </w:p>
    <w:p w14:paraId="7E794A0D" w14:textId="0E1ACFC2" w:rsidR="00116960" w:rsidRDefault="00116960" w:rsidP="009A58C8">
      <w:pPr>
        <w:jc w:val="center"/>
      </w:pPr>
    </w:p>
    <w:p w14:paraId="35A102D8" w14:textId="7CF6E93D" w:rsidR="00116960" w:rsidRDefault="00116960" w:rsidP="009A58C8">
      <w:pPr>
        <w:jc w:val="center"/>
      </w:pPr>
    </w:p>
    <w:p w14:paraId="275EC205" w14:textId="79461334" w:rsidR="00116960" w:rsidRDefault="00116960" w:rsidP="009A58C8">
      <w:pPr>
        <w:jc w:val="center"/>
      </w:pPr>
    </w:p>
    <w:p w14:paraId="105BA67B" w14:textId="270E8870" w:rsidR="00116960" w:rsidRDefault="00116960" w:rsidP="009A58C8">
      <w:pPr>
        <w:jc w:val="center"/>
      </w:pPr>
    </w:p>
    <w:p w14:paraId="7394FCA9" w14:textId="35ADE6A4" w:rsidR="00116960" w:rsidRDefault="00116960" w:rsidP="009A58C8">
      <w:pPr>
        <w:jc w:val="center"/>
      </w:pPr>
    </w:p>
    <w:p w14:paraId="6B75F62B" w14:textId="2771D299" w:rsidR="00116960" w:rsidRDefault="00116960" w:rsidP="009A58C8">
      <w:pPr>
        <w:jc w:val="center"/>
      </w:pPr>
    </w:p>
    <w:p w14:paraId="4DB39798" w14:textId="77777777" w:rsidR="00110D7F" w:rsidRDefault="00110D7F" w:rsidP="00116960">
      <w:pPr>
        <w:rPr>
          <w:b/>
          <w:bCs/>
          <w:u w:val="single"/>
        </w:rPr>
      </w:pPr>
    </w:p>
    <w:p w14:paraId="00609446" w14:textId="77777777" w:rsidR="00110D7F" w:rsidRDefault="00110D7F" w:rsidP="00116960">
      <w:pPr>
        <w:rPr>
          <w:b/>
          <w:bCs/>
          <w:u w:val="single"/>
        </w:rPr>
      </w:pPr>
    </w:p>
    <w:p w14:paraId="6A162B78" w14:textId="66C21CBB" w:rsidR="00110D7F" w:rsidRDefault="00110D7F" w:rsidP="00116960">
      <w:pPr>
        <w:rPr>
          <w:b/>
          <w:bCs/>
          <w:u w:val="single"/>
        </w:rPr>
      </w:pPr>
    </w:p>
    <w:p w14:paraId="3FD5294B" w14:textId="6F9E09A5" w:rsidR="003D7ED3" w:rsidRDefault="003D7ED3" w:rsidP="00116960">
      <w:pPr>
        <w:rPr>
          <w:b/>
          <w:bCs/>
          <w:u w:val="single"/>
        </w:rPr>
      </w:pPr>
    </w:p>
    <w:p w14:paraId="1CE4F242" w14:textId="162E966F" w:rsidR="003D7ED3" w:rsidRDefault="003D7ED3" w:rsidP="00116960">
      <w:pPr>
        <w:rPr>
          <w:b/>
          <w:bCs/>
          <w:u w:val="single"/>
        </w:rPr>
      </w:pPr>
    </w:p>
    <w:p w14:paraId="144DEC9B" w14:textId="0C7AA657" w:rsidR="003D7ED3" w:rsidRDefault="003D7ED3" w:rsidP="00116960">
      <w:pPr>
        <w:rPr>
          <w:b/>
          <w:bCs/>
          <w:u w:val="single"/>
        </w:rPr>
      </w:pPr>
    </w:p>
    <w:p w14:paraId="584C1BA4" w14:textId="7ACD39B7" w:rsidR="003D7ED3" w:rsidRDefault="003D7ED3" w:rsidP="00116960">
      <w:pPr>
        <w:rPr>
          <w:b/>
          <w:bCs/>
          <w:u w:val="single"/>
        </w:rPr>
      </w:pPr>
    </w:p>
    <w:p w14:paraId="2E2C2B33" w14:textId="6F8217F8" w:rsidR="003D7ED3" w:rsidRDefault="003D7ED3" w:rsidP="00116960">
      <w:pPr>
        <w:rPr>
          <w:b/>
          <w:bCs/>
          <w:u w:val="single"/>
        </w:rPr>
      </w:pPr>
    </w:p>
    <w:p w14:paraId="6CDE7A21" w14:textId="77777777" w:rsidR="003D7ED3" w:rsidRDefault="003D7ED3" w:rsidP="00116960">
      <w:pPr>
        <w:rPr>
          <w:b/>
          <w:bCs/>
          <w:u w:val="single"/>
        </w:rPr>
      </w:pPr>
    </w:p>
    <w:p w14:paraId="4FF07C57" w14:textId="77777777" w:rsidR="007C35D6" w:rsidRDefault="007C35D6" w:rsidP="00116960">
      <w:pPr>
        <w:rPr>
          <w:b/>
          <w:bCs/>
          <w:u w:val="single"/>
        </w:rPr>
      </w:pPr>
    </w:p>
    <w:p w14:paraId="20A8822A" w14:textId="77777777" w:rsidR="007C35D6" w:rsidRDefault="007C35D6" w:rsidP="00116960">
      <w:pPr>
        <w:rPr>
          <w:b/>
          <w:bCs/>
          <w:u w:val="single"/>
        </w:rPr>
      </w:pPr>
    </w:p>
    <w:p w14:paraId="4DB4EE57" w14:textId="77777777" w:rsidR="007C35D6" w:rsidRDefault="007C35D6" w:rsidP="00116960">
      <w:pPr>
        <w:rPr>
          <w:b/>
          <w:bCs/>
          <w:u w:val="single"/>
        </w:rPr>
      </w:pPr>
    </w:p>
    <w:p w14:paraId="71FC931A" w14:textId="77777777" w:rsidR="007C35D6" w:rsidRDefault="007C35D6" w:rsidP="00116960">
      <w:pPr>
        <w:rPr>
          <w:b/>
          <w:bCs/>
          <w:u w:val="single"/>
        </w:rPr>
      </w:pPr>
    </w:p>
    <w:p w14:paraId="17BE46D0" w14:textId="77777777" w:rsidR="007C35D6" w:rsidRDefault="007C35D6" w:rsidP="00116960">
      <w:pPr>
        <w:rPr>
          <w:b/>
          <w:bCs/>
          <w:u w:val="single"/>
        </w:rPr>
      </w:pPr>
    </w:p>
    <w:p w14:paraId="560E6B97" w14:textId="77777777" w:rsidR="007C35D6" w:rsidRDefault="007C35D6" w:rsidP="00116960">
      <w:pPr>
        <w:rPr>
          <w:b/>
          <w:bCs/>
          <w:u w:val="single"/>
        </w:rPr>
      </w:pPr>
    </w:p>
    <w:p w14:paraId="45D11AD6" w14:textId="77777777" w:rsidR="007C35D6" w:rsidRDefault="007C35D6" w:rsidP="00116960">
      <w:pPr>
        <w:rPr>
          <w:b/>
          <w:bCs/>
          <w:u w:val="single"/>
        </w:rPr>
      </w:pPr>
    </w:p>
    <w:p w14:paraId="3DF7F752" w14:textId="77777777" w:rsidR="007C35D6" w:rsidRDefault="007C35D6" w:rsidP="00116960">
      <w:pPr>
        <w:rPr>
          <w:b/>
          <w:bCs/>
          <w:u w:val="single"/>
        </w:rPr>
      </w:pPr>
    </w:p>
    <w:p w14:paraId="2EE9A1A8" w14:textId="77777777" w:rsidR="007C35D6" w:rsidRDefault="007C35D6" w:rsidP="00116960">
      <w:pPr>
        <w:rPr>
          <w:b/>
          <w:bCs/>
          <w:u w:val="single"/>
        </w:rPr>
      </w:pPr>
    </w:p>
    <w:p w14:paraId="0DDB4BED" w14:textId="77777777" w:rsidR="007C35D6" w:rsidRDefault="007C35D6" w:rsidP="00116960">
      <w:pPr>
        <w:rPr>
          <w:b/>
          <w:bCs/>
          <w:u w:val="single"/>
        </w:rPr>
      </w:pPr>
    </w:p>
    <w:p w14:paraId="637CD31F" w14:textId="77777777" w:rsidR="007C35D6" w:rsidRDefault="007C35D6" w:rsidP="00116960">
      <w:pPr>
        <w:rPr>
          <w:b/>
          <w:bCs/>
          <w:u w:val="single"/>
        </w:rPr>
      </w:pPr>
    </w:p>
    <w:p w14:paraId="3BC67CD7" w14:textId="77777777" w:rsidR="007C35D6" w:rsidRDefault="007C35D6" w:rsidP="00116960">
      <w:pPr>
        <w:rPr>
          <w:b/>
          <w:bCs/>
          <w:u w:val="single"/>
        </w:rPr>
      </w:pPr>
    </w:p>
    <w:p w14:paraId="28205716" w14:textId="77777777" w:rsidR="007C35D6" w:rsidRDefault="007C35D6" w:rsidP="00116960">
      <w:pPr>
        <w:rPr>
          <w:b/>
          <w:bCs/>
          <w:u w:val="single"/>
        </w:rPr>
      </w:pPr>
    </w:p>
    <w:p w14:paraId="1EC30D17" w14:textId="77777777" w:rsidR="007C35D6" w:rsidRDefault="007C35D6" w:rsidP="00116960">
      <w:pPr>
        <w:rPr>
          <w:b/>
          <w:bCs/>
          <w:u w:val="single"/>
        </w:rPr>
      </w:pPr>
    </w:p>
    <w:p w14:paraId="32124E5C" w14:textId="77777777" w:rsidR="007C35D6" w:rsidRDefault="007C35D6" w:rsidP="00116960">
      <w:pPr>
        <w:rPr>
          <w:b/>
          <w:bCs/>
          <w:u w:val="single"/>
        </w:rPr>
      </w:pPr>
    </w:p>
    <w:p w14:paraId="6CC61E33" w14:textId="77777777" w:rsidR="007C35D6" w:rsidRDefault="007C35D6" w:rsidP="00116960">
      <w:pPr>
        <w:rPr>
          <w:b/>
          <w:bCs/>
          <w:u w:val="single"/>
        </w:rPr>
      </w:pPr>
    </w:p>
    <w:p w14:paraId="54A8FE8A" w14:textId="0354F19F" w:rsidR="00116960" w:rsidRDefault="00E44DE9" w:rsidP="00116960">
      <w:pPr>
        <w:rPr>
          <w:b/>
          <w:bCs/>
          <w:u w:val="single"/>
        </w:rPr>
      </w:pPr>
      <w:r w:rsidRPr="00116960">
        <w:rPr>
          <w:b/>
          <w:bCs/>
          <w:u w:val="single"/>
        </w:rPr>
        <w:t xml:space="preserve">REFERENCE LIST </w:t>
      </w:r>
    </w:p>
    <w:p w14:paraId="1C581906" w14:textId="7AC4CE92" w:rsidR="00426F08" w:rsidRDefault="00426F08" w:rsidP="00116960">
      <w:pPr>
        <w:rPr>
          <w:b/>
          <w:bCs/>
          <w:u w:val="single"/>
        </w:rPr>
      </w:pPr>
    </w:p>
    <w:p w14:paraId="6B35BD9C" w14:textId="0859C232" w:rsidR="00426F08" w:rsidRPr="00426F08" w:rsidRDefault="00E44DE9" w:rsidP="00116960">
      <w:r w:rsidRPr="00426F08">
        <w:t xml:space="preserve">Barrett, D. </w:t>
      </w:r>
      <w:r>
        <w:t xml:space="preserve">(2015) ‘Reform violent crime laws and re-name GBH and ABH offences, says experts’, </w:t>
      </w:r>
      <w:r>
        <w:rPr>
          <w:i/>
          <w:iCs/>
        </w:rPr>
        <w:t xml:space="preserve">The Telegraph. </w:t>
      </w:r>
      <w:r>
        <w:t xml:space="preserve">3 November. Available at: </w:t>
      </w:r>
      <w:hyperlink r:id="rId5" w:history="1">
        <w:r w:rsidRPr="009772A5">
          <w:rPr>
            <w:rStyle w:val="Hyperlink"/>
          </w:rPr>
          <w:t>https://www.telegraph.co.uk/news/uknews/crime/11970872/Reform-violent-crime-laws-and-re-name-GBH-and-ABH-offences-say-experts.html</w:t>
        </w:r>
      </w:hyperlink>
      <w:r>
        <w:t xml:space="preserve"> (Accessed: 13</w:t>
      </w:r>
      <w:r>
        <w:rPr>
          <w:vertAlign w:val="superscript"/>
        </w:rPr>
        <w:t xml:space="preserve"> </w:t>
      </w:r>
      <w:r>
        <w:t xml:space="preserve">February 2021). </w:t>
      </w:r>
    </w:p>
    <w:p w14:paraId="5F9E8FCD" w14:textId="24D14B9B" w:rsidR="008B719D" w:rsidRDefault="008B719D" w:rsidP="00116960">
      <w:pPr>
        <w:rPr>
          <w:b/>
          <w:bCs/>
          <w:u w:val="single"/>
        </w:rPr>
      </w:pPr>
    </w:p>
    <w:p w14:paraId="0C4E48BC" w14:textId="1897E1EB" w:rsidR="00080E53" w:rsidRDefault="00E44DE9" w:rsidP="00116960">
      <w:r w:rsidRPr="00D00F2E">
        <w:t>Crime Prosecution service</w:t>
      </w:r>
      <w:r>
        <w:t xml:space="preserve"> (202</w:t>
      </w:r>
      <w:r w:rsidR="00D00F2E">
        <w:t>0</w:t>
      </w:r>
      <w:r>
        <w:t xml:space="preserve">) </w:t>
      </w:r>
      <w:r w:rsidR="00D00F2E">
        <w:rPr>
          <w:i/>
          <w:iCs/>
        </w:rPr>
        <w:t xml:space="preserve">Offences Against the Person, Incorporating the Charging Standard. </w:t>
      </w:r>
      <w:r w:rsidR="00D00F2E">
        <w:t xml:space="preserve">Available at: </w:t>
      </w:r>
      <w:hyperlink r:id="rId6" w:history="1">
        <w:r w:rsidR="00D00F2E" w:rsidRPr="009772A5">
          <w:rPr>
            <w:rStyle w:val="Hyperlink"/>
          </w:rPr>
          <w:t>https://www.cps.gov.uk/legal-guidance/offences-against-person-incorporating-charging-standard</w:t>
        </w:r>
      </w:hyperlink>
      <w:r w:rsidR="00D00F2E">
        <w:t xml:space="preserve"> (Accessed: 10 February 2021).</w:t>
      </w:r>
    </w:p>
    <w:p w14:paraId="15C2BC61" w14:textId="6AC19E11" w:rsidR="00F61E51" w:rsidRDefault="00F61E51" w:rsidP="00116960"/>
    <w:p w14:paraId="20D9E14C" w14:textId="02FB735A" w:rsidR="00F61E51" w:rsidRPr="00F61E51" w:rsidRDefault="00E44DE9" w:rsidP="00116960">
      <w:r>
        <w:t xml:space="preserve">Demetriou, S. (2016) ‘Not Giving Up the fight: A Review of the Law Commission’s Scoping Report on Non-Fatal Offences Against the Person’ </w:t>
      </w:r>
      <w:r>
        <w:rPr>
          <w:i/>
          <w:iCs/>
        </w:rPr>
        <w:t xml:space="preserve">The Journal of Criminal Law, </w:t>
      </w:r>
      <w:r>
        <w:t xml:space="preserve">80(3) pp 188-200. </w:t>
      </w:r>
    </w:p>
    <w:p w14:paraId="7595CF7D" w14:textId="0F45E360" w:rsidR="00080E53" w:rsidRDefault="00080E53" w:rsidP="00116960"/>
    <w:p w14:paraId="69B6FE69" w14:textId="57B65222" w:rsidR="008B719D" w:rsidRDefault="00E44DE9" w:rsidP="00116960">
      <w:r w:rsidRPr="008B719D">
        <w:t xml:space="preserve">Eugenicos, </w:t>
      </w:r>
      <w:r w:rsidRPr="008B719D">
        <w:t>A. (2017)</w:t>
      </w:r>
      <w:r>
        <w:t xml:space="preserve"> ‘Should we Reform the Offences Against the Person Act 1861?’ </w:t>
      </w:r>
      <w:r>
        <w:rPr>
          <w:i/>
          <w:iCs/>
        </w:rPr>
        <w:t xml:space="preserve">The Journal of Criminal Law, </w:t>
      </w:r>
      <w:r>
        <w:t xml:space="preserve">81(1), pp 28 – 32. Available at: </w:t>
      </w:r>
      <w:hyperlink r:id="rId7" w:history="1">
        <w:r w:rsidRPr="009772A5">
          <w:rPr>
            <w:rStyle w:val="Hyperlink"/>
          </w:rPr>
          <w:t>https://journals.sagepub.com/doi/pdf/10.1177/</w:t>
        </w:r>
        <w:r w:rsidRPr="009772A5">
          <w:rPr>
            <w:rStyle w:val="Hyperlink"/>
          </w:rPr>
          <w:t>0022018316685478</w:t>
        </w:r>
      </w:hyperlink>
      <w:r>
        <w:t xml:space="preserve"> (Accessed: 9 February 2021).  </w:t>
      </w:r>
    </w:p>
    <w:p w14:paraId="0879C7A9" w14:textId="42ED41B0" w:rsidR="00A55229" w:rsidRDefault="00A55229" w:rsidP="00116960"/>
    <w:p w14:paraId="22FDC59F" w14:textId="25D7E288" w:rsidR="00A55229" w:rsidRDefault="00E44DE9" w:rsidP="00116960">
      <w:r>
        <w:t>Gardner, J.</w:t>
      </w:r>
      <w:r w:rsidR="00D43357">
        <w:t xml:space="preserve"> (1994) ‘</w:t>
      </w:r>
      <w:r w:rsidR="003D29F9">
        <w:t>Rationality and the Rule of Law on Offences Against the Person</w:t>
      </w:r>
      <w:r w:rsidR="00D43357">
        <w:t>’, in</w:t>
      </w:r>
      <w:r w:rsidR="003D29F9">
        <w:t xml:space="preserve"> </w:t>
      </w:r>
      <w:r w:rsidR="003D29F9">
        <w:rPr>
          <w:i/>
          <w:iCs/>
        </w:rPr>
        <w:t xml:space="preserve">Cambridge Law </w:t>
      </w:r>
      <w:r w:rsidR="00110D7F">
        <w:rPr>
          <w:i/>
          <w:iCs/>
        </w:rPr>
        <w:t xml:space="preserve">Journal </w:t>
      </w:r>
      <w:r w:rsidR="00110D7F">
        <w:t>53</w:t>
      </w:r>
      <w:r w:rsidR="003D29F9">
        <w:t>(3)</w:t>
      </w:r>
      <w:r>
        <w:t xml:space="preserve"> </w:t>
      </w:r>
      <w:r w:rsidR="003D29F9">
        <w:t xml:space="preserve">502-523. </w:t>
      </w:r>
      <w:r>
        <w:t xml:space="preserve"> </w:t>
      </w:r>
    </w:p>
    <w:p w14:paraId="7E2DA59E" w14:textId="383792B0" w:rsidR="00116960" w:rsidRDefault="00116960" w:rsidP="00116960">
      <w:pPr>
        <w:rPr>
          <w:b/>
          <w:bCs/>
          <w:u w:val="single"/>
        </w:rPr>
      </w:pPr>
    </w:p>
    <w:p w14:paraId="64F127C5" w14:textId="128F97AC" w:rsidR="00672A8D" w:rsidRDefault="00672A8D" w:rsidP="00116960"/>
    <w:p w14:paraId="29BA5290" w14:textId="7962E68B" w:rsidR="00672A8D" w:rsidRDefault="00E44DE9" w:rsidP="00116960">
      <w:r>
        <w:t xml:space="preserve">Steyn, L. (1997) ‘Judgements – Regina v. Burstow Regina v. Ireland’, </w:t>
      </w:r>
      <w:r>
        <w:rPr>
          <w:i/>
          <w:iCs/>
        </w:rPr>
        <w:t xml:space="preserve">House of </w:t>
      </w:r>
      <w:r>
        <w:rPr>
          <w:i/>
          <w:iCs/>
        </w:rPr>
        <w:t xml:space="preserve">Lords, </w:t>
      </w:r>
      <w:r>
        <w:t xml:space="preserve">24 July. Available at: </w:t>
      </w:r>
      <w:hyperlink r:id="rId8" w:history="1">
        <w:r w:rsidRPr="009772A5">
          <w:rPr>
            <w:rStyle w:val="Hyperlink"/>
          </w:rPr>
          <w:t>https://publications.parliament.uk/pa/ld199798/ldjudgmt/jd970724/irland01.htm</w:t>
        </w:r>
      </w:hyperlink>
      <w:r>
        <w:t xml:space="preserve"> (accessed: 12 February 2021). </w:t>
      </w:r>
      <w:r>
        <w:rPr>
          <w:i/>
          <w:iCs/>
        </w:rPr>
        <w:t xml:space="preserve"> </w:t>
      </w:r>
      <w:r>
        <w:t xml:space="preserve"> </w:t>
      </w:r>
    </w:p>
    <w:p w14:paraId="71713194" w14:textId="3B918BD0" w:rsidR="007E7DE7" w:rsidRDefault="007E7DE7" w:rsidP="00116960"/>
    <w:p w14:paraId="59AD8C45" w14:textId="5E8B8507" w:rsidR="007E7DE7" w:rsidRPr="003247A0" w:rsidRDefault="00E44DE9" w:rsidP="00975CD7">
      <w:pPr>
        <w:pStyle w:val="ListParagraph"/>
        <w:numPr>
          <w:ilvl w:val="0"/>
          <w:numId w:val="3"/>
        </w:numPr>
      </w:pPr>
      <w:r>
        <w:t xml:space="preserve">The Law Commission (2015), </w:t>
      </w:r>
      <w:r w:rsidRPr="00975CD7">
        <w:rPr>
          <w:i/>
          <w:iCs/>
        </w:rPr>
        <w:t xml:space="preserve">Reform of Offences Against the Person. </w:t>
      </w:r>
      <w:r>
        <w:t xml:space="preserve">Available at: </w:t>
      </w:r>
      <w:hyperlink r:id="rId9" w:history="1">
        <w:r w:rsidRPr="009772A5">
          <w:rPr>
            <w:rStyle w:val="Hyperlink"/>
          </w:rPr>
          <w:t>https://s3-eu-west-2.amazonaws.com/lawcom-prod-storage-11jsxou24uy7q/uploads/2015/11/51950-LC-HC555_Web.pdf</w:t>
        </w:r>
      </w:hyperlink>
      <w:r>
        <w:t xml:space="preserve"> (Accessed: 8 February 2021</w:t>
      </w:r>
      <w:r>
        <w:t xml:space="preserve">). </w:t>
      </w:r>
    </w:p>
    <w:p w14:paraId="609A1A83" w14:textId="098AAE07" w:rsidR="007E7DE7" w:rsidRDefault="007E7DE7" w:rsidP="00116960"/>
    <w:p w14:paraId="2D0D022B" w14:textId="11E9673B" w:rsidR="00975CD7" w:rsidRPr="00975CD7" w:rsidRDefault="00E44DE9" w:rsidP="00975CD7">
      <w:pPr>
        <w:pStyle w:val="ListParagraph"/>
        <w:numPr>
          <w:ilvl w:val="0"/>
          <w:numId w:val="3"/>
        </w:numPr>
        <w:rPr>
          <w:i/>
          <w:iCs/>
        </w:rPr>
      </w:pPr>
      <w:r>
        <w:t xml:space="preserve">The Law Commission (2015), </w:t>
      </w:r>
      <w:r w:rsidRPr="00975CD7">
        <w:rPr>
          <w:i/>
          <w:iCs/>
        </w:rPr>
        <w:t xml:space="preserve">Reform of Offences Against the Person, Pp39. </w:t>
      </w:r>
      <w:r>
        <w:t xml:space="preserve">Available at: </w:t>
      </w:r>
      <w:hyperlink r:id="rId10" w:history="1">
        <w:r w:rsidRPr="009772A5">
          <w:rPr>
            <w:rStyle w:val="Hyperlink"/>
          </w:rPr>
          <w:t>https://s3-eu-west-2.amazonaws.com/lawcom</w:t>
        </w:r>
        <w:r w:rsidRPr="009772A5">
          <w:rPr>
            <w:rStyle w:val="Hyperlink"/>
          </w:rPr>
          <w:t>-prod-storage-11jsxou24uy7q/uploads/2015/11/51950-LC-HC555_Web.pdf</w:t>
        </w:r>
      </w:hyperlink>
      <w:r>
        <w:t xml:space="preserve"> (Accessed: 8 February 2021). </w:t>
      </w:r>
    </w:p>
    <w:p w14:paraId="2842FDBD" w14:textId="77777777" w:rsidR="00975CD7" w:rsidRDefault="00975CD7" w:rsidP="00116960"/>
    <w:p w14:paraId="74CD19CA" w14:textId="0086EE34" w:rsidR="00662AC8" w:rsidRDefault="00E44DE9" w:rsidP="00116960">
      <w:r>
        <w:t xml:space="preserve">Love, S. (2021) ‘The Massively Outdated Offences Against the persons Act 1861 Shows How Well the Common Law System works’ </w:t>
      </w:r>
      <w:r>
        <w:rPr>
          <w:i/>
          <w:iCs/>
        </w:rPr>
        <w:t>Oxford Royal Academy</w:t>
      </w:r>
      <w:r w:rsidR="005240D8">
        <w:rPr>
          <w:i/>
          <w:iCs/>
        </w:rPr>
        <w:t xml:space="preserve">. </w:t>
      </w:r>
      <w:r w:rsidR="005240D8">
        <w:t xml:space="preserve">Available at: </w:t>
      </w:r>
      <w:hyperlink r:id="rId11" w:history="1">
        <w:r w:rsidR="005240D8" w:rsidRPr="009772A5">
          <w:rPr>
            <w:rStyle w:val="Hyperlink"/>
          </w:rPr>
          <w:t>https://www.oxford-royale.com/articles/offences-against-the-person-act-1861-needs-reform/</w:t>
        </w:r>
      </w:hyperlink>
      <w:r w:rsidR="005240D8">
        <w:t xml:space="preserve"> (Accessed: 9</w:t>
      </w:r>
      <w:r w:rsidR="005240D8">
        <w:rPr>
          <w:vertAlign w:val="superscript"/>
        </w:rPr>
        <w:t xml:space="preserve"> </w:t>
      </w:r>
      <w:r w:rsidR="005240D8">
        <w:t xml:space="preserve">February 2021). </w:t>
      </w:r>
    </w:p>
    <w:p w14:paraId="536CEE55" w14:textId="1500263C" w:rsidR="00A50468" w:rsidRDefault="00A50468" w:rsidP="00116960"/>
    <w:p w14:paraId="5EB72D51" w14:textId="77777777" w:rsidR="00A50468" w:rsidRDefault="00A50468" w:rsidP="00116960">
      <w:pPr>
        <w:rPr>
          <w:b/>
          <w:bCs/>
          <w:u w:val="single"/>
        </w:rPr>
      </w:pPr>
    </w:p>
    <w:p w14:paraId="5A8149CC" w14:textId="77777777" w:rsidR="00A50468" w:rsidRDefault="00A50468" w:rsidP="00116960">
      <w:pPr>
        <w:rPr>
          <w:b/>
          <w:bCs/>
          <w:u w:val="single"/>
        </w:rPr>
      </w:pPr>
    </w:p>
    <w:p w14:paraId="41C78FFB" w14:textId="345275E3" w:rsidR="00A50468" w:rsidRDefault="00E44DE9" w:rsidP="00116960">
      <w:pPr>
        <w:rPr>
          <w:b/>
          <w:bCs/>
          <w:u w:val="single"/>
        </w:rPr>
      </w:pPr>
      <w:r w:rsidRPr="00A50468">
        <w:rPr>
          <w:b/>
          <w:bCs/>
          <w:u w:val="single"/>
        </w:rPr>
        <w:t>Case List</w:t>
      </w:r>
    </w:p>
    <w:p w14:paraId="59CF5F83" w14:textId="038FFF08" w:rsidR="00A50468" w:rsidRDefault="00A50468" w:rsidP="00116960">
      <w:pPr>
        <w:rPr>
          <w:b/>
          <w:bCs/>
          <w:u w:val="single"/>
        </w:rPr>
      </w:pPr>
    </w:p>
    <w:p w14:paraId="63DDE3BD" w14:textId="48111120" w:rsidR="007E50C6" w:rsidRDefault="00E44DE9" w:rsidP="00116960">
      <w:r>
        <w:t>DPP v Smith (196</w:t>
      </w:r>
      <w:r>
        <w:t xml:space="preserve">1) AC 290 </w:t>
      </w:r>
    </w:p>
    <w:p w14:paraId="51CAC114" w14:textId="6A5E0EE7" w:rsidR="008B60AF" w:rsidRDefault="008B60AF" w:rsidP="00116960"/>
    <w:p w14:paraId="356EB0AD" w14:textId="0A82D5E2" w:rsidR="008B60AF" w:rsidRDefault="00E44DE9" w:rsidP="00116960">
      <w:r>
        <w:t>R v Bollom (2004) 2 Cr App R 6</w:t>
      </w:r>
    </w:p>
    <w:p w14:paraId="31589685" w14:textId="77777777" w:rsidR="00413B07" w:rsidRDefault="00413B07" w:rsidP="00116960"/>
    <w:p w14:paraId="6E507CC0" w14:textId="04DC8AFD" w:rsidR="002E2F43" w:rsidRDefault="00E44DE9" w:rsidP="00116960">
      <w:r>
        <w:t>R v Chan Hook (1997) 1 WLR 689</w:t>
      </w:r>
    </w:p>
    <w:p w14:paraId="1BCCB067" w14:textId="16982481" w:rsidR="00E56661" w:rsidRDefault="00E56661" w:rsidP="00116960"/>
    <w:p w14:paraId="65BD2E78" w14:textId="27F272D8" w:rsidR="00E56661" w:rsidRDefault="00E44DE9" w:rsidP="00116960">
      <w:r>
        <w:t>R v Constanza (1997) Crim LR 576</w:t>
      </w:r>
    </w:p>
    <w:p w14:paraId="1B2C9379" w14:textId="18225BFB" w:rsidR="0098201D" w:rsidRDefault="0098201D" w:rsidP="00116960"/>
    <w:p w14:paraId="792F698C" w14:textId="760A9C89" w:rsidR="0098201D" w:rsidRDefault="00E44DE9" w:rsidP="00116960">
      <w:r>
        <w:t>R v Cunningham (1957) 2 QB 396</w:t>
      </w:r>
    </w:p>
    <w:p w14:paraId="11C23922" w14:textId="63167CA1" w:rsidR="00E56661" w:rsidRDefault="00E56661" w:rsidP="00116960"/>
    <w:p w14:paraId="70B81DED" w14:textId="325EFDF4" w:rsidR="00E56661" w:rsidRDefault="00E44DE9" w:rsidP="00116960">
      <w:r>
        <w:t>R v Ireland and Burstow (1997) UKHL 34</w:t>
      </w:r>
    </w:p>
    <w:p w14:paraId="014151FC" w14:textId="41F2E9F1" w:rsidR="006D2885" w:rsidRDefault="006D2885" w:rsidP="00116960"/>
    <w:p w14:paraId="1F05A1A3" w14:textId="1100FC26" w:rsidR="006D2885" w:rsidRDefault="00E44DE9" w:rsidP="00116960">
      <w:r>
        <w:t>R v Miller (1954) 2 Q.B. 282</w:t>
      </w:r>
    </w:p>
    <w:p w14:paraId="38DD5CA5" w14:textId="1F37E87B" w:rsidR="00E56661" w:rsidRDefault="00E56661" w:rsidP="00116960"/>
    <w:p w14:paraId="775064E8" w14:textId="198CF082" w:rsidR="00E56661" w:rsidRDefault="00E44DE9" w:rsidP="00E56661">
      <w:r>
        <w:t xml:space="preserve">R v Mowatt (1968) 1 QB 421 </w:t>
      </w:r>
    </w:p>
    <w:p w14:paraId="4EF368BE" w14:textId="6B061FBB" w:rsidR="00975CD7" w:rsidRDefault="00975CD7" w:rsidP="00E56661"/>
    <w:p w14:paraId="64FC398D" w14:textId="53D5441F" w:rsidR="00975CD7" w:rsidRPr="00975CD7" w:rsidRDefault="00E44DE9" w:rsidP="00E56661">
      <w:pPr>
        <w:rPr>
          <w:b/>
          <w:bCs/>
          <w:u w:val="single"/>
        </w:rPr>
      </w:pPr>
      <w:r w:rsidRPr="00975CD7">
        <w:rPr>
          <w:b/>
          <w:bCs/>
          <w:u w:val="single"/>
        </w:rPr>
        <w:t xml:space="preserve">Legislation </w:t>
      </w:r>
    </w:p>
    <w:p w14:paraId="3EDE758D" w14:textId="547D5B8B" w:rsidR="00E56661" w:rsidRDefault="00E56661" w:rsidP="00116960"/>
    <w:p w14:paraId="3F520C11" w14:textId="77777777" w:rsidR="00450F5C" w:rsidRDefault="00E44DE9" w:rsidP="00450F5C">
      <w:r>
        <w:t>Offence against the Persons Act 1861</w:t>
      </w:r>
    </w:p>
    <w:p w14:paraId="682DC7AC" w14:textId="77777777" w:rsidR="00450F5C" w:rsidRPr="00A50468" w:rsidRDefault="00450F5C" w:rsidP="00116960"/>
    <w:sectPr w:rsidR="00450F5C" w:rsidRPr="00A50468" w:rsidSect="00BD7923">
      <w:pgSz w:w="11900" w:h="16820"/>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7A783B"/>
    <w:multiLevelType w:val="hybridMultilevel"/>
    <w:tmpl w:val="475C14E8"/>
    <w:lvl w:ilvl="0" w:tplc="F66E6336">
      <w:start w:val="1"/>
      <w:numFmt w:val="lowerLetter"/>
      <w:lvlText w:val="%1)"/>
      <w:lvlJc w:val="left"/>
      <w:pPr>
        <w:ind w:left="720" w:hanging="360"/>
      </w:pPr>
      <w:rPr>
        <w:rFonts w:hint="default"/>
      </w:rPr>
    </w:lvl>
    <w:lvl w:ilvl="1" w:tplc="73003AC4" w:tentative="1">
      <w:start w:val="1"/>
      <w:numFmt w:val="lowerLetter"/>
      <w:lvlText w:val="%2."/>
      <w:lvlJc w:val="left"/>
      <w:pPr>
        <w:ind w:left="1440" w:hanging="360"/>
      </w:pPr>
    </w:lvl>
    <w:lvl w:ilvl="2" w:tplc="EE98017A" w:tentative="1">
      <w:start w:val="1"/>
      <w:numFmt w:val="lowerRoman"/>
      <w:lvlText w:val="%3."/>
      <w:lvlJc w:val="right"/>
      <w:pPr>
        <w:ind w:left="2160" w:hanging="180"/>
      </w:pPr>
    </w:lvl>
    <w:lvl w:ilvl="3" w:tplc="24E4A4D2" w:tentative="1">
      <w:start w:val="1"/>
      <w:numFmt w:val="decimal"/>
      <w:lvlText w:val="%4."/>
      <w:lvlJc w:val="left"/>
      <w:pPr>
        <w:ind w:left="2880" w:hanging="360"/>
      </w:pPr>
    </w:lvl>
    <w:lvl w:ilvl="4" w:tplc="A43E4CA6" w:tentative="1">
      <w:start w:val="1"/>
      <w:numFmt w:val="lowerLetter"/>
      <w:lvlText w:val="%5."/>
      <w:lvlJc w:val="left"/>
      <w:pPr>
        <w:ind w:left="3600" w:hanging="360"/>
      </w:pPr>
    </w:lvl>
    <w:lvl w:ilvl="5" w:tplc="CB40CAFC" w:tentative="1">
      <w:start w:val="1"/>
      <w:numFmt w:val="lowerRoman"/>
      <w:lvlText w:val="%6."/>
      <w:lvlJc w:val="right"/>
      <w:pPr>
        <w:ind w:left="4320" w:hanging="180"/>
      </w:pPr>
    </w:lvl>
    <w:lvl w:ilvl="6" w:tplc="D1B0E514" w:tentative="1">
      <w:start w:val="1"/>
      <w:numFmt w:val="decimal"/>
      <w:lvlText w:val="%7."/>
      <w:lvlJc w:val="left"/>
      <w:pPr>
        <w:ind w:left="5040" w:hanging="360"/>
      </w:pPr>
    </w:lvl>
    <w:lvl w:ilvl="7" w:tplc="BA4CA544" w:tentative="1">
      <w:start w:val="1"/>
      <w:numFmt w:val="lowerLetter"/>
      <w:lvlText w:val="%8."/>
      <w:lvlJc w:val="left"/>
      <w:pPr>
        <w:ind w:left="5760" w:hanging="360"/>
      </w:pPr>
    </w:lvl>
    <w:lvl w:ilvl="8" w:tplc="A55C4574" w:tentative="1">
      <w:start w:val="1"/>
      <w:numFmt w:val="lowerRoman"/>
      <w:lvlText w:val="%9."/>
      <w:lvlJc w:val="right"/>
      <w:pPr>
        <w:ind w:left="6480" w:hanging="180"/>
      </w:pPr>
    </w:lvl>
  </w:abstractNum>
  <w:abstractNum w:abstractNumId="1" w15:restartNumberingAfterBreak="0">
    <w:nsid w:val="38E14FCD"/>
    <w:multiLevelType w:val="hybridMultilevel"/>
    <w:tmpl w:val="52141C22"/>
    <w:lvl w:ilvl="0" w:tplc="E5BE4E6E">
      <w:start w:val="1"/>
      <w:numFmt w:val="lowerLetter"/>
      <w:lvlText w:val="%1)"/>
      <w:lvlJc w:val="left"/>
      <w:pPr>
        <w:ind w:left="720" w:hanging="360"/>
      </w:pPr>
      <w:rPr>
        <w:rFonts w:hint="default"/>
      </w:rPr>
    </w:lvl>
    <w:lvl w:ilvl="1" w:tplc="3D2877C8" w:tentative="1">
      <w:start w:val="1"/>
      <w:numFmt w:val="lowerLetter"/>
      <w:lvlText w:val="%2."/>
      <w:lvlJc w:val="left"/>
      <w:pPr>
        <w:ind w:left="1440" w:hanging="360"/>
      </w:pPr>
    </w:lvl>
    <w:lvl w:ilvl="2" w:tplc="AF980432" w:tentative="1">
      <w:start w:val="1"/>
      <w:numFmt w:val="lowerRoman"/>
      <w:lvlText w:val="%3."/>
      <w:lvlJc w:val="right"/>
      <w:pPr>
        <w:ind w:left="2160" w:hanging="180"/>
      </w:pPr>
    </w:lvl>
    <w:lvl w:ilvl="3" w:tplc="683EAF1E" w:tentative="1">
      <w:start w:val="1"/>
      <w:numFmt w:val="decimal"/>
      <w:lvlText w:val="%4."/>
      <w:lvlJc w:val="left"/>
      <w:pPr>
        <w:ind w:left="2880" w:hanging="360"/>
      </w:pPr>
    </w:lvl>
    <w:lvl w:ilvl="4" w:tplc="B1FC88B2" w:tentative="1">
      <w:start w:val="1"/>
      <w:numFmt w:val="lowerLetter"/>
      <w:lvlText w:val="%5."/>
      <w:lvlJc w:val="left"/>
      <w:pPr>
        <w:ind w:left="3600" w:hanging="360"/>
      </w:pPr>
    </w:lvl>
    <w:lvl w:ilvl="5" w:tplc="8FC6349E" w:tentative="1">
      <w:start w:val="1"/>
      <w:numFmt w:val="lowerRoman"/>
      <w:lvlText w:val="%6."/>
      <w:lvlJc w:val="right"/>
      <w:pPr>
        <w:ind w:left="4320" w:hanging="180"/>
      </w:pPr>
    </w:lvl>
    <w:lvl w:ilvl="6" w:tplc="1D7ED0DE" w:tentative="1">
      <w:start w:val="1"/>
      <w:numFmt w:val="decimal"/>
      <w:lvlText w:val="%7."/>
      <w:lvlJc w:val="left"/>
      <w:pPr>
        <w:ind w:left="5040" w:hanging="360"/>
      </w:pPr>
    </w:lvl>
    <w:lvl w:ilvl="7" w:tplc="879E4F84" w:tentative="1">
      <w:start w:val="1"/>
      <w:numFmt w:val="lowerLetter"/>
      <w:lvlText w:val="%8."/>
      <w:lvlJc w:val="left"/>
      <w:pPr>
        <w:ind w:left="5760" w:hanging="360"/>
      </w:pPr>
    </w:lvl>
    <w:lvl w:ilvl="8" w:tplc="E876765A" w:tentative="1">
      <w:start w:val="1"/>
      <w:numFmt w:val="lowerRoman"/>
      <w:lvlText w:val="%9."/>
      <w:lvlJc w:val="right"/>
      <w:pPr>
        <w:ind w:left="6480" w:hanging="180"/>
      </w:pPr>
    </w:lvl>
  </w:abstractNum>
  <w:abstractNum w:abstractNumId="2" w15:restartNumberingAfterBreak="0">
    <w:nsid w:val="4B7B7260"/>
    <w:multiLevelType w:val="hybridMultilevel"/>
    <w:tmpl w:val="C5723DE0"/>
    <w:lvl w:ilvl="0" w:tplc="B22264C2">
      <w:start w:val="1"/>
      <w:numFmt w:val="decimal"/>
      <w:lvlText w:val="(%1)"/>
      <w:lvlJc w:val="left"/>
      <w:pPr>
        <w:ind w:left="720" w:hanging="360"/>
      </w:pPr>
      <w:rPr>
        <w:rFonts w:hint="default"/>
      </w:rPr>
    </w:lvl>
    <w:lvl w:ilvl="1" w:tplc="C73CFFC8" w:tentative="1">
      <w:start w:val="1"/>
      <w:numFmt w:val="lowerLetter"/>
      <w:lvlText w:val="%2."/>
      <w:lvlJc w:val="left"/>
      <w:pPr>
        <w:ind w:left="1440" w:hanging="360"/>
      </w:pPr>
    </w:lvl>
    <w:lvl w:ilvl="2" w:tplc="63D431F4" w:tentative="1">
      <w:start w:val="1"/>
      <w:numFmt w:val="lowerRoman"/>
      <w:lvlText w:val="%3."/>
      <w:lvlJc w:val="right"/>
      <w:pPr>
        <w:ind w:left="2160" w:hanging="180"/>
      </w:pPr>
    </w:lvl>
    <w:lvl w:ilvl="3" w:tplc="E974B636" w:tentative="1">
      <w:start w:val="1"/>
      <w:numFmt w:val="decimal"/>
      <w:lvlText w:val="%4."/>
      <w:lvlJc w:val="left"/>
      <w:pPr>
        <w:ind w:left="2880" w:hanging="360"/>
      </w:pPr>
    </w:lvl>
    <w:lvl w:ilvl="4" w:tplc="E8244348" w:tentative="1">
      <w:start w:val="1"/>
      <w:numFmt w:val="lowerLetter"/>
      <w:lvlText w:val="%5."/>
      <w:lvlJc w:val="left"/>
      <w:pPr>
        <w:ind w:left="3600" w:hanging="360"/>
      </w:pPr>
    </w:lvl>
    <w:lvl w:ilvl="5" w:tplc="7D9425A8" w:tentative="1">
      <w:start w:val="1"/>
      <w:numFmt w:val="lowerRoman"/>
      <w:lvlText w:val="%6."/>
      <w:lvlJc w:val="right"/>
      <w:pPr>
        <w:ind w:left="4320" w:hanging="180"/>
      </w:pPr>
    </w:lvl>
    <w:lvl w:ilvl="6" w:tplc="02D02EEA" w:tentative="1">
      <w:start w:val="1"/>
      <w:numFmt w:val="decimal"/>
      <w:lvlText w:val="%7."/>
      <w:lvlJc w:val="left"/>
      <w:pPr>
        <w:ind w:left="5040" w:hanging="360"/>
      </w:pPr>
    </w:lvl>
    <w:lvl w:ilvl="7" w:tplc="5216A9F8" w:tentative="1">
      <w:start w:val="1"/>
      <w:numFmt w:val="lowerLetter"/>
      <w:lvlText w:val="%8."/>
      <w:lvlJc w:val="left"/>
      <w:pPr>
        <w:ind w:left="5760" w:hanging="360"/>
      </w:pPr>
    </w:lvl>
    <w:lvl w:ilvl="8" w:tplc="3034C41A"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8C8"/>
    <w:rsid w:val="000027FB"/>
    <w:rsid w:val="00023252"/>
    <w:rsid w:val="00046B6D"/>
    <w:rsid w:val="00055FF7"/>
    <w:rsid w:val="00072D24"/>
    <w:rsid w:val="0007414D"/>
    <w:rsid w:val="00080E53"/>
    <w:rsid w:val="000C5908"/>
    <w:rsid w:val="000F33AD"/>
    <w:rsid w:val="00110D7F"/>
    <w:rsid w:val="00116960"/>
    <w:rsid w:val="00134EF0"/>
    <w:rsid w:val="001A5672"/>
    <w:rsid w:val="001B63BA"/>
    <w:rsid w:val="001D205F"/>
    <w:rsid w:val="001E3627"/>
    <w:rsid w:val="002109DC"/>
    <w:rsid w:val="00250999"/>
    <w:rsid w:val="00252AE2"/>
    <w:rsid w:val="002540D4"/>
    <w:rsid w:val="0028735A"/>
    <w:rsid w:val="002A6670"/>
    <w:rsid w:val="002A6690"/>
    <w:rsid w:val="002B51FF"/>
    <w:rsid w:val="002C3DB4"/>
    <w:rsid w:val="002E2F43"/>
    <w:rsid w:val="003247A0"/>
    <w:rsid w:val="003D12CF"/>
    <w:rsid w:val="003D24BA"/>
    <w:rsid w:val="003D29F9"/>
    <w:rsid w:val="003D2D9C"/>
    <w:rsid w:val="003D7ED3"/>
    <w:rsid w:val="003E4E63"/>
    <w:rsid w:val="003E6EBD"/>
    <w:rsid w:val="00413B07"/>
    <w:rsid w:val="00426F08"/>
    <w:rsid w:val="00450F5C"/>
    <w:rsid w:val="004719BE"/>
    <w:rsid w:val="004A235A"/>
    <w:rsid w:val="004B0424"/>
    <w:rsid w:val="004D5FE1"/>
    <w:rsid w:val="005240D8"/>
    <w:rsid w:val="00527560"/>
    <w:rsid w:val="00553430"/>
    <w:rsid w:val="00591246"/>
    <w:rsid w:val="005B2660"/>
    <w:rsid w:val="005D2788"/>
    <w:rsid w:val="0060121C"/>
    <w:rsid w:val="00602991"/>
    <w:rsid w:val="00645DA8"/>
    <w:rsid w:val="00661E47"/>
    <w:rsid w:val="00662AC8"/>
    <w:rsid w:val="00672A8D"/>
    <w:rsid w:val="006C0F19"/>
    <w:rsid w:val="006D2885"/>
    <w:rsid w:val="00726C44"/>
    <w:rsid w:val="0076311C"/>
    <w:rsid w:val="00781220"/>
    <w:rsid w:val="007C35D6"/>
    <w:rsid w:val="007E00D4"/>
    <w:rsid w:val="007E50C6"/>
    <w:rsid w:val="007E7DE7"/>
    <w:rsid w:val="00820F5F"/>
    <w:rsid w:val="00827939"/>
    <w:rsid w:val="008B60AF"/>
    <w:rsid w:val="008B719D"/>
    <w:rsid w:val="0091296A"/>
    <w:rsid w:val="00975CD7"/>
    <w:rsid w:val="009772A5"/>
    <w:rsid w:val="0098201D"/>
    <w:rsid w:val="00987382"/>
    <w:rsid w:val="009A58C8"/>
    <w:rsid w:val="009B1580"/>
    <w:rsid w:val="009C0449"/>
    <w:rsid w:val="00A50468"/>
    <w:rsid w:val="00A55229"/>
    <w:rsid w:val="00B34D97"/>
    <w:rsid w:val="00B63897"/>
    <w:rsid w:val="00B66F65"/>
    <w:rsid w:val="00B80C5F"/>
    <w:rsid w:val="00B811DC"/>
    <w:rsid w:val="00B923B9"/>
    <w:rsid w:val="00BC18DF"/>
    <w:rsid w:val="00BD7923"/>
    <w:rsid w:val="00BF1904"/>
    <w:rsid w:val="00C608BD"/>
    <w:rsid w:val="00CF3F21"/>
    <w:rsid w:val="00CF52B1"/>
    <w:rsid w:val="00D00F2E"/>
    <w:rsid w:val="00D1003E"/>
    <w:rsid w:val="00D2383B"/>
    <w:rsid w:val="00D43357"/>
    <w:rsid w:val="00D77BC9"/>
    <w:rsid w:val="00D95DF4"/>
    <w:rsid w:val="00DF5C7C"/>
    <w:rsid w:val="00E2258C"/>
    <w:rsid w:val="00E44DE9"/>
    <w:rsid w:val="00E519F5"/>
    <w:rsid w:val="00E56661"/>
    <w:rsid w:val="00E712DE"/>
    <w:rsid w:val="00F011F3"/>
    <w:rsid w:val="00F120D3"/>
    <w:rsid w:val="00F42D1C"/>
    <w:rsid w:val="00F61E51"/>
    <w:rsid w:val="00FB08B8"/>
    <w:rsid w:val="00FC4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61542C"/>
  <w15:chartTrackingRefBased/>
  <w15:docId w15:val="{2F1543C5-FD6D-A04F-A573-6A2A07A7C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58C8"/>
    <w:rPr>
      <w:color w:val="0563C1" w:themeColor="hyperlink"/>
      <w:u w:val="single"/>
    </w:rPr>
  </w:style>
  <w:style w:type="character" w:customStyle="1" w:styleId="UnresolvedMention1">
    <w:name w:val="Unresolved Mention1"/>
    <w:basedOn w:val="DefaultParagraphFont"/>
    <w:uiPriority w:val="99"/>
    <w:semiHidden/>
    <w:unhideWhenUsed/>
    <w:rsid w:val="009A58C8"/>
    <w:rPr>
      <w:color w:val="605E5C"/>
      <w:shd w:val="clear" w:color="auto" w:fill="E1DFDD"/>
    </w:rPr>
  </w:style>
  <w:style w:type="character" w:styleId="FollowedHyperlink">
    <w:name w:val="FollowedHyperlink"/>
    <w:basedOn w:val="DefaultParagraphFont"/>
    <w:uiPriority w:val="99"/>
    <w:semiHidden/>
    <w:unhideWhenUsed/>
    <w:rsid w:val="009A58C8"/>
    <w:rPr>
      <w:color w:val="954F72" w:themeColor="followedHyperlink"/>
      <w:u w:val="single"/>
    </w:rPr>
  </w:style>
  <w:style w:type="paragraph" w:styleId="ListParagraph">
    <w:name w:val="List Paragraph"/>
    <w:basedOn w:val="Normal"/>
    <w:uiPriority w:val="34"/>
    <w:qFormat/>
    <w:rsid w:val="009A58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ld199798/ldjudgmt/jd970724/irland01.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journals.sagepub.com/doi/pdf/10.1177/0022018316685478"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ps.gov.uk/legal-guidance/offences-against-person-incorporating-charging-standard" TargetMode="External"/><Relationship Id="rId11" Type="http://schemas.openxmlformats.org/officeDocument/2006/relationships/hyperlink" Target="https://www.oxford-royale.com/articles/offences-against-the-person-act-1861-needs-reform/" TargetMode="External"/><Relationship Id="rId5" Type="http://schemas.openxmlformats.org/officeDocument/2006/relationships/hyperlink" Target="https://www.telegraph.co.uk/news/uknews/crime/11970872/Reform-violent-crime-laws-and-re-name-GBH-and-ABH-offences-say-experts.html" TargetMode="External"/><Relationship Id="rId10" Type="http://schemas.openxmlformats.org/officeDocument/2006/relationships/hyperlink" Target="https://s3-eu-west-2.amazonaws.com/lawcom-prod-storage-11jsxou24uy7q/uploads/2015/11/51950-LC-HC555_Web.pdf" TargetMode="External"/><Relationship Id="rId4" Type="http://schemas.openxmlformats.org/officeDocument/2006/relationships/webSettings" Target="webSettings.xml"/><Relationship Id="rId9" Type="http://schemas.openxmlformats.org/officeDocument/2006/relationships/hyperlink" Target="https://s3-eu-west-2.amazonaws.com/lawcom-prod-storage-11jsxou24uy7q/uploads/2015/11/51950-LC-HC555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2224</Words>
  <Characters>12677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Teresa Anne Kan (2017444)</dc:creator>
  <cp:lastModifiedBy>Teresa Anne Kan (2017444)</cp:lastModifiedBy>
  <cp:revision>2</cp:revision>
  <cp:lastPrinted>2021-02-07T11:46:00Z</cp:lastPrinted>
  <dcterms:created xsi:type="dcterms:W3CDTF">2021-03-04T09:17:00Z</dcterms:created>
  <dcterms:modified xsi:type="dcterms:W3CDTF">2021-03-04T09:17:00Z</dcterms:modified>
</cp:coreProperties>
</file>