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5E89E" w14:textId="6D3ABFDA" w:rsidR="00230F35" w:rsidRDefault="00A209E1" w:rsidP="00230F35">
      <w:pPr>
        <w:pStyle w:val="NormalWeb"/>
        <w:spacing w:before="0" w:beforeAutospacing="0" w:after="0" w:afterAutospacing="0"/>
        <w:ind w:left="-180" w:right="-334"/>
      </w:pPr>
      <w:r>
        <w:rPr>
          <w:noProof/>
        </w:rPr>
        <w:drawing>
          <wp:inline distT="0" distB="0" distL="0" distR="0" wp14:anchorId="75488C04" wp14:editId="6DB8FFD0">
            <wp:extent cx="1905000" cy="63500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829C413" w14:textId="77777777" w:rsidR="00230F35" w:rsidRDefault="00230F35" w:rsidP="00230F35">
      <w:pPr>
        <w:pStyle w:val="NormalWeb"/>
        <w:spacing w:before="0" w:beforeAutospacing="0" w:after="0" w:afterAutospacing="0"/>
        <w:ind w:left="-180" w:right="-334"/>
      </w:pPr>
    </w:p>
    <w:p w14:paraId="3553DC1A" w14:textId="77777777" w:rsidR="00A745B6" w:rsidRDefault="00A745B6" w:rsidP="00230F35">
      <w:pPr>
        <w:pStyle w:val="NormalWeb"/>
        <w:spacing w:before="0" w:beforeAutospacing="0" w:after="0" w:afterAutospacing="0"/>
        <w:ind w:left="-180" w:right="-334"/>
      </w:pPr>
    </w:p>
    <w:p w14:paraId="6D2FAB0F"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000000">
        <w:rPr>
          <w:rFonts w:ascii="Arial" w:hAnsi="Arial" w:cs="Arial"/>
          <w:b/>
          <w:sz w:val="28"/>
          <w:szCs w:val="28"/>
          <w:lang w:val="cy-GB"/>
        </w:rPr>
        <w:t xml:space="preserve">/Distance Learning </w:t>
      </w:r>
    </w:p>
    <w:p w14:paraId="58C2419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000000" w:rsidRPr="00230F35">
        <w:rPr>
          <w:rFonts w:ascii="Arial" w:hAnsi="Arial" w:cs="Arial"/>
          <w:b/>
          <w:sz w:val="28"/>
          <w:szCs w:val="28"/>
          <w:lang w:val="cy-GB"/>
        </w:rPr>
        <w:t>ssignment coversheet &amp; feedback form</w:t>
      </w:r>
    </w:p>
    <w:p w14:paraId="2F5AB098" w14:textId="77777777" w:rsidR="002E67CE" w:rsidRPr="00230F35" w:rsidRDefault="002E67CE" w:rsidP="002E67CE">
      <w:pPr>
        <w:rPr>
          <w:rFonts w:ascii="Arial" w:hAnsi="Arial" w:cs="Arial"/>
          <w:sz w:val="28"/>
          <w:szCs w:val="28"/>
          <w:lang w:val="cy-GB"/>
        </w:rPr>
      </w:pPr>
    </w:p>
    <w:p w14:paraId="45358B4A" w14:textId="77777777" w:rsidR="002E67CE" w:rsidRDefault="00000000" w:rsidP="002E67CE">
      <w:pPr>
        <w:pStyle w:val="Heading3"/>
        <w:jc w:val="center"/>
        <w:rPr>
          <w:lang w:val="cy-GB"/>
        </w:rPr>
      </w:pPr>
      <w:r>
        <w:rPr>
          <w:lang w:val="cy-GB"/>
        </w:rPr>
        <w:t>THIS SHEET MUST BE THE FIRST PAGE OF THE ASSIGNMENT YOU ARE SUBMITTING  (DO NOT SEND AS A SEPARATE FILE)</w:t>
      </w:r>
    </w:p>
    <w:p w14:paraId="322D6815"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9"/>
        <w:gridCol w:w="417"/>
        <w:gridCol w:w="1514"/>
        <w:gridCol w:w="279"/>
        <w:gridCol w:w="1787"/>
      </w:tblGrid>
      <w:tr w:rsidR="009F7560" w14:paraId="4EF5A948" w14:textId="77777777" w:rsidTr="00A745B6">
        <w:trPr>
          <w:trHeight w:val="614"/>
        </w:trPr>
        <w:tc>
          <w:tcPr>
            <w:tcW w:w="8856" w:type="dxa"/>
            <w:gridSpan w:val="5"/>
          </w:tcPr>
          <w:p w14:paraId="12FEAB13"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9F7560" w14:paraId="69E1B18E" w14:textId="77777777" w:rsidTr="00A745B6">
        <w:trPr>
          <w:trHeight w:val="718"/>
        </w:trPr>
        <w:tc>
          <w:tcPr>
            <w:tcW w:w="8856" w:type="dxa"/>
            <w:gridSpan w:val="5"/>
          </w:tcPr>
          <w:p w14:paraId="416BFD88" w14:textId="77777777" w:rsidR="0065654E"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E253AC">
              <w:rPr>
                <w:rFonts w:ascii="Arial" w:hAnsi="Arial" w:cs="Arial"/>
                <w:sz w:val="22"/>
                <w:szCs w:val="22"/>
              </w:rPr>
              <w:t xml:space="preserve"> FRANCESCA CABRAL</w:t>
            </w:r>
          </w:p>
          <w:p w14:paraId="66EA2418"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3F7796D1" w14:textId="77777777" w:rsidR="00FA2A4C"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253AC" w:rsidRPr="00E253AC">
              <w:rPr>
                <w:rFonts w:ascii="Arial" w:hAnsi="Arial" w:cs="Arial"/>
                <w:sz w:val="22"/>
                <w:szCs w:val="22"/>
              </w:rPr>
              <w:t>2317218@student.uwtsd.ac.uk</w:t>
            </w:r>
          </w:p>
        </w:tc>
      </w:tr>
      <w:tr w:rsidR="009F7560" w14:paraId="539600BC" w14:textId="77777777" w:rsidTr="00A745B6">
        <w:trPr>
          <w:trHeight w:val="849"/>
        </w:trPr>
        <w:tc>
          <w:tcPr>
            <w:tcW w:w="4788" w:type="dxa"/>
          </w:tcPr>
          <w:p w14:paraId="1265886E"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E253AC">
              <w:rPr>
                <w:rFonts w:ascii="Arial" w:hAnsi="Arial" w:cs="Arial"/>
                <w:sz w:val="22"/>
                <w:szCs w:val="22"/>
              </w:rPr>
              <w:t xml:space="preserve"> HPCA7014</w:t>
            </w:r>
          </w:p>
          <w:p w14:paraId="5C2F9064"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7C34185" w14:textId="77777777" w:rsidR="00CE3B79"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253AC">
              <w:rPr>
                <w:rFonts w:ascii="Arial" w:hAnsi="Arial" w:cs="Arial"/>
                <w:sz w:val="22"/>
                <w:szCs w:val="22"/>
              </w:rPr>
              <w:t xml:space="preserve"> Sacred Geography</w:t>
            </w:r>
          </w:p>
          <w:p w14:paraId="08B54218" w14:textId="77777777" w:rsidR="00A745B6" w:rsidRDefault="00A745B6" w:rsidP="002F467C">
            <w:pPr>
              <w:pStyle w:val="NormalWeb"/>
              <w:spacing w:before="0" w:beforeAutospacing="0" w:after="0" w:afterAutospacing="0"/>
              <w:ind w:right="34"/>
              <w:rPr>
                <w:rFonts w:ascii="Arial" w:hAnsi="Arial" w:cs="Arial"/>
                <w:sz w:val="22"/>
                <w:szCs w:val="22"/>
              </w:rPr>
            </w:pPr>
          </w:p>
          <w:p w14:paraId="2CB53DBB"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400DEC73" w14:textId="77777777" w:rsidR="00CE3B79"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134D67C" w14:textId="77777777" w:rsidR="00E253AC" w:rsidRPr="00230F35" w:rsidRDefault="00000000" w:rsidP="002F467C">
            <w:pPr>
              <w:pStyle w:val="NormalWeb"/>
              <w:spacing w:before="0" w:beforeAutospacing="0" w:after="0" w:afterAutospacing="0"/>
              <w:ind w:right="34"/>
              <w:rPr>
                <w:rFonts w:ascii="Arial" w:hAnsi="Arial" w:cs="Arial"/>
                <w:sz w:val="22"/>
                <w:szCs w:val="22"/>
              </w:rPr>
            </w:pPr>
            <w:r w:rsidRPr="00E253AC">
              <w:rPr>
                <w:rFonts w:ascii="Arial" w:hAnsi="Arial" w:cs="Arial"/>
                <w:sz w:val="22"/>
                <w:szCs w:val="22"/>
              </w:rPr>
              <w:t>2317218</w:t>
            </w:r>
          </w:p>
        </w:tc>
        <w:tc>
          <w:tcPr>
            <w:tcW w:w="1802" w:type="dxa"/>
          </w:tcPr>
          <w:p w14:paraId="131543AB"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1D1AAE6"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E253AC">
              <w:rPr>
                <w:rFonts w:ascii="Arial" w:hAnsi="Arial" w:cs="Arial"/>
                <w:strike/>
                <w:sz w:val="22"/>
                <w:szCs w:val="22"/>
              </w:rPr>
              <w:t>Yes</w:t>
            </w:r>
            <w:r w:rsidRPr="00230F35">
              <w:rPr>
                <w:rFonts w:ascii="Arial" w:hAnsi="Arial" w:cs="Arial"/>
                <w:sz w:val="22"/>
                <w:szCs w:val="22"/>
              </w:rPr>
              <w:t>/No</w:t>
            </w:r>
          </w:p>
        </w:tc>
      </w:tr>
      <w:tr w:rsidR="009F7560" w14:paraId="5DBBE1AD" w14:textId="77777777" w:rsidTr="00A745B6">
        <w:trPr>
          <w:trHeight w:val="1139"/>
        </w:trPr>
        <w:tc>
          <w:tcPr>
            <w:tcW w:w="8856" w:type="dxa"/>
            <w:gridSpan w:val="5"/>
          </w:tcPr>
          <w:p w14:paraId="3CA71B91"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E253AC">
              <w:rPr>
                <w:rFonts w:ascii="Arial" w:hAnsi="Arial" w:cs="Arial"/>
                <w:sz w:val="22"/>
                <w:szCs w:val="22"/>
              </w:rPr>
              <w:t xml:space="preserve"> A Critical Comparison of Two Secondary Sources</w:t>
            </w:r>
          </w:p>
          <w:p w14:paraId="71D95966"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3A478216" w14:textId="77777777" w:rsidR="00230F35" w:rsidRDefault="00230F35" w:rsidP="002F467C">
            <w:pPr>
              <w:pStyle w:val="NormalWeb"/>
              <w:spacing w:before="0" w:beforeAutospacing="0" w:after="0" w:afterAutospacing="0"/>
              <w:ind w:right="34"/>
              <w:rPr>
                <w:rFonts w:ascii="Arial" w:hAnsi="Arial" w:cs="Arial"/>
                <w:sz w:val="22"/>
                <w:szCs w:val="22"/>
              </w:rPr>
            </w:pPr>
          </w:p>
          <w:p w14:paraId="64564C59" w14:textId="77777777"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E253AC">
              <w:rPr>
                <w:rFonts w:ascii="Arial" w:hAnsi="Arial" w:cs="Arial"/>
                <w:sz w:val="22"/>
                <w:szCs w:val="22"/>
              </w:rPr>
              <w:t xml:space="preserve"> 14 November 2024</w:t>
            </w:r>
          </w:p>
        </w:tc>
      </w:tr>
      <w:tr w:rsidR="009F7560" w14:paraId="65C90E0A" w14:textId="77777777" w:rsidTr="00A745B6">
        <w:trPr>
          <w:trHeight w:val="978"/>
        </w:trPr>
        <w:tc>
          <w:tcPr>
            <w:tcW w:w="8856" w:type="dxa"/>
            <w:gridSpan w:val="5"/>
            <w:tcBorders>
              <w:bottom w:val="single" w:sz="4" w:space="0" w:color="000000"/>
            </w:tcBorders>
          </w:tcPr>
          <w:p w14:paraId="0BCD808B" w14:textId="77777777" w:rsidR="00230F35" w:rsidRPr="00230F35" w:rsidRDefault="00000000"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CC3067">
              <w:rPr>
                <w:rFonts w:ascii="Arial" w:hAnsi="Arial" w:cs="Arial"/>
                <w:sz w:val="22"/>
                <w:szCs w:val="22"/>
              </w:rPr>
              <w:fldChar w:fldCharType="begin">
                <w:ffData>
                  <w:name w:val="Check15"/>
                  <w:enabled/>
                  <w:calcOnExit w:val="0"/>
                  <w:checkBox>
                    <w:sizeAuto/>
                    <w:default w:val="1"/>
                  </w:checkBox>
                </w:ffData>
              </w:fldChar>
            </w:r>
            <w:bookmarkStart w:id="2" w:name="Check15"/>
            <w:r w:rsidR="00CC3067">
              <w:rPr>
                <w:rFonts w:ascii="Arial" w:hAnsi="Arial" w:cs="Arial"/>
                <w:sz w:val="22"/>
                <w:szCs w:val="22"/>
              </w:rPr>
              <w:instrText xml:space="preserve"> FORMCHECKBOX </w:instrText>
            </w:r>
            <w:r w:rsidR="00CC3067">
              <w:rPr>
                <w:rFonts w:ascii="Arial" w:hAnsi="Arial" w:cs="Arial"/>
                <w:sz w:val="22"/>
                <w:szCs w:val="22"/>
              </w:rPr>
            </w:r>
            <w:r w:rsidR="00CC3067">
              <w:rPr>
                <w:rFonts w:ascii="Arial" w:hAnsi="Arial" w:cs="Arial"/>
                <w:sz w:val="22"/>
                <w:szCs w:val="22"/>
              </w:rPr>
              <w:fldChar w:fldCharType="separate"/>
            </w:r>
            <w:r w:rsidR="00CC3067">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F7560" w14:paraId="237931BB" w14:textId="77777777" w:rsidTr="00A745B6">
        <w:trPr>
          <w:trHeight w:val="978"/>
        </w:trPr>
        <w:tc>
          <w:tcPr>
            <w:tcW w:w="8856" w:type="dxa"/>
            <w:gridSpan w:val="5"/>
            <w:shd w:val="clear" w:color="auto" w:fill="D9D9D9"/>
          </w:tcPr>
          <w:p w14:paraId="6D2C82A7" w14:textId="77777777" w:rsidR="00901157"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F9D2585" w14:textId="77777777" w:rsidR="00901157"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CC3067">
              <w:rPr>
                <w:rFonts w:ascii="Arial" w:hAnsi="Arial" w:cs="Arial"/>
                <w:sz w:val="22"/>
                <w:szCs w:val="22"/>
              </w:rPr>
              <w:t>F.M. CABRAL……</w:t>
            </w:r>
          </w:p>
          <w:p w14:paraId="2AB54C0A" w14:textId="77777777" w:rsidR="00B462B1" w:rsidRDefault="00000000"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r w:rsidR="00CC3067" w:rsidRPr="005979EE">
              <w:rPr>
                <w:rFonts w:ascii="Calibri" w:hAnsi="Calibri" w:cs="Tahoma"/>
                <w:b/>
                <w:sz w:val="24"/>
                <w:szCs w:val="24"/>
              </w:rPr>
              <w:t>submission:</w:t>
            </w:r>
            <w:r w:rsidR="00CC3067">
              <w:rPr>
                <w:rFonts w:ascii="Calibri" w:hAnsi="Calibri" w:cs="Tahoma"/>
                <w:b/>
                <w:sz w:val="24"/>
                <w:szCs w:val="24"/>
              </w:rPr>
              <w:t xml:space="preserve"> if</w:t>
            </w:r>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0832E49E" w14:textId="77777777" w:rsidR="00B462B1" w:rsidRPr="00230F35" w:rsidRDefault="00000000"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F7560" w14:paraId="44A4B32D" w14:textId="77777777" w:rsidTr="00A745B6">
        <w:trPr>
          <w:trHeight w:val="3972"/>
        </w:trPr>
        <w:tc>
          <w:tcPr>
            <w:tcW w:w="8856" w:type="dxa"/>
            <w:gridSpan w:val="5"/>
          </w:tcPr>
          <w:p w14:paraId="7B758C7A" w14:textId="77777777" w:rsidR="00A745B6" w:rsidRDefault="00A745B6" w:rsidP="00A745B6">
            <w:pPr>
              <w:rPr>
                <w:rFonts w:ascii="Arial" w:hAnsi="Arial"/>
                <w:b/>
              </w:rPr>
            </w:pPr>
          </w:p>
          <w:p w14:paraId="679B1157" w14:textId="77777777" w:rsidR="00A745B6" w:rsidRPr="00116CE6" w:rsidRDefault="00000000"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9F7560" w14:paraId="67E3FBD6" w14:textId="77777777" w:rsidTr="00022345">
              <w:tc>
                <w:tcPr>
                  <w:tcW w:w="6970" w:type="dxa"/>
                </w:tcPr>
                <w:p w14:paraId="42F51B89" w14:textId="77777777" w:rsidR="00A745B6" w:rsidRPr="00116CE6" w:rsidRDefault="00A745B6" w:rsidP="009C1A08">
                  <w:pPr>
                    <w:rPr>
                      <w:rFonts w:ascii="Arial" w:hAnsi="Arial"/>
                      <w:sz w:val="20"/>
                      <w:szCs w:val="20"/>
                    </w:rPr>
                  </w:pPr>
                </w:p>
                <w:p w14:paraId="502E23F2" w14:textId="77777777" w:rsidR="00A745B6" w:rsidRPr="00116CE6" w:rsidRDefault="00000000"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525D834" w14:textId="77777777" w:rsidR="00A745B6" w:rsidRPr="00116CE6" w:rsidRDefault="00A745B6" w:rsidP="009C1A08">
                  <w:pPr>
                    <w:rPr>
                      <w:rFonts w:ascii="Arial" w:hAnsi="Arial"/>
                      <w:sz w:val="20"/>
                      <w:szCs w:val="20"/>
                    </w:rPr>
                  </w:pPr>
                </w:p>
              </w:tc>
            </w:tr>
            <w:tr w:rsidR="009F7560" w14:paraId="582DAD60" w14:textId="77777777" w:rsidTr="00022345">
              <w:tc>
                <w:tcPr>
                  <w:tcW w:w="6970" w:type="dxa"/>
                </w:tcPr>
                <w:p w14:paraId="30411C61" w14:textId="77777777" w:rsidR="00A745B6" w:rsidRPr="00116CE6" w:rsidRDefault="00A745B6" w:rsidP="009C1A08">
                  <w:pPr>
                    <w:rPr>
                      <w:rFonts w:ascii="Arial" w:hAnsi="Arial"/>
                      <w:sz w:val="20"/>
                      <w:szCs w:val="20"/>
                    </w:rPr>
                  </w:pPr>
                </w:p>
                <w:p w14:paraId="4CEA94B2" w14:textId="77777777" w:rsidR="00A745B6" w:rsidRPr="00116CE6" w:rsidRDefault="00000000"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5E575A3D" w14:textId="77777777" w:rsidR="00A745B6" w:rsidRPr="00116CE6" w:rsidRDefault="00A745B6" w:rsidP="009C1A08">
                  <w:pPr>
                    <w:rPr>
                      <w:rFonts w:ascii="Arial" w:hAnsi="Arial"/>
                      <w:sz w:val="20"/>
                      <w:szCs w:val="20"/>
                    </w:rPr>
                  </w:pPr>
                </w:p>
              </w:tc>
            </w:tr>
            <w:tr w:rsidR="009F7560" w14:paraId="17794C87" w14:textId="77777777" w:rsidTr="00022345">
              <w:tc>
                <w:tcPr>
                  <w:tcW w:w="6970" w:type="dxa"/>
                </w:tcPr>
                <w:p w14:paraId="6B612632" w14:textId="77777777" w:rsidR="00A745B6" w:rsidRPr="00116CE6" w:rsidRDefault="00A745B6" w:rsidP="009C1A08">
                  <w:pPr>
                    <w:rPr>
                      <w:rFonts w:ascii="Arial" w:hAnsi="Arial"/>
                      <w:sz w:val="20"/>
                      <w:szCs w:val="20"/>
                    </w:rPr>
                  </w:pPr>
                </w:p>
                <w:p w14:paraId="090342B4" w14:textId="77777777" w:rsidR="00A745B6" w:rsidRPr="00116CE6" w:rsidRDefault="00000000"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22B4A7" w14:textId="77777777" w:rsidR="00A745B6" w:rsidRPr="00116CE6" w:rsidRDefault="00A745B6" w:rsidP="009C1A08">
                  <w:pPr>
                    <w:rPr>
                      <w:rFonts w:ascii="Arial" w:hAnsi="Arial"/>
                      <w:sz w:val="20"/>
                      <w:szCs w:val="20"/>
                    </w:rPr>
                  </w:pPr>
                </w:p>
              </w:tc>
            </w:tr>
            <w:tr w:rsidR="009F7560" w14:paraId="7C09D07E" w14:textId="77777777" w:rsidTr="00022345">
              <w:tc>
                <w:tcPr>
                  <w:tcW w:w="6970" w:type="dxa"/>
                </w:tcPr>
                <w:p w14:paraId="23799310" w14:textId="77777777" w:rsidR="00A745B6" w:rsidRDefault="00A745B6" w:rsidP="009C1A08">
                  <w:pPr>
                    <w:rPr>
                      <w:rFonts w:ascii="Arial" w:hAnsi="Arial"/>
                      <w:sz w:val="20"/>
                      <w:szCs w:val="20"/>
                    </w:rPr>
                  </w:pPr>
                </w:p>
                <w:p w14:paraId="0A0B9340" w14:textId="77777777" w:rsidR="00A745B6" w:rsidRPr="00022345" w:rsidRDefault="00000000" w:rsidP="009C1A08">
                  <w:pPr>
                    <w:rPr>
                      <w:rFonts w:ascii="Arial" w:hAnsi="Arial"/>
                      <w:b/>
                      <w:sz w:val="20"/>
                      <w:szCs w:val="20"/>
                    </w:rPr>
                  </w:pPr>
                  <w:r w:rsidRPr="00022345">
                    <w:rPr>
                      <w:rFonts w:ascii="Arial" w:hAnsi="Arial"/>
                      <w:b/>
                      <w:sz w:val="20"/>
                      <w:szCs w:val="20"/>
                    </w:rPr>
                    <w:t>Final Mark</w:t>
                  </w:r>
                </w:p>
                <w:p w14:paraId="791CA7D5" w14:textId="77777777" w:rsidR="00A745B6" w:rsidRPr="00116CE6" w:rsidRDefault="00A745B6" w:rsidP="009C1A08">
                  <w:pPr>
                    <w:rPr>
                      <w:rFonts w:ascii="Arial" w:hAnsi="Arial"/>
                      <w:sz w:val="20"/>
                      <w:szCs w:val="20"/>
                    </w:rPr>
                  </w:pPr>
                </w:p>
              </w:tc>
              <w:tc>
                <w:tcPr>
                  <w:tcW w:w="1660" w:type="dxa"/>
                </w:tcPr>
                <w:p w14:paraId="5B5F8F50" w14:textId="77777777" w:rsidR="00A745B6" w:rsidRPr="00116CE6" w:rsidRDefault="00A745B6" w:rsidP="009C1A08">
                  <w:pPr>
                    <w:rPr>
                      <w:rFonts w:ascii="Arial" w:hAnsi="Arial"/>
                      <w:sz w:val="20"/>
                      <w:szCs w:val="20"/>
                    </w:rPr>
                  </w:pPr>
                </w:p>
              </w:tc>
            </w:tr>
          </w:tbl>
          <w:p w14:paraId="1F9069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022104C7" w14:textId="77777777" w:rsidR="00A745B6" w:rsidRPr="00230F35" w:rsidRDefault="00000000"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7C0F6B2" w14:textId="77777777" w:rsidR="00A745B6" w:rsidRDefault="00A745B6" w:rsidP="002F467C">
            <w:pPr>
              <w:pStyle w:val="NormalWeb"/>
              <w:spacing w:before="0" w:beforeAutospacing="0" w:after="0" w:afterAutospacing="0"/>
              <w:rPr>
                <w:rFonts w:ascii="Arial" w:hAnsi="Arial" w:cs="Arial"/>
                <w:b/>
                <w:sz w:val="22"/>
                <w:szCs w:val="22"/>
              </w:rPr>
            </w:pPr>
          </w:p>
          <w:p w14:paraId="50C4F18B" w14:textId="77777777" w:rsidR="00B462B1" w:rsidRDefault="00B462B1" w:rsidP="002F467C">
            <w:pPr>
              <w:pStyle w:val="NormalWeb"/>
              <w:spacing w:before="0" w:beforeAutospacing="0" w:after="0" w:afterAutospacing="0"/>
              <w:rPr>
                <w:rFonts w:ascii="Arial" w:hAnsi="Arial" w:cs="Arial"/>
                <w:b/>
                <w:sz w:val="22"/>
                <w:szCs w:val="22"/>
              </w:rPr>
            </w:pPr>
          </w:p>
          <w:p w14:paraId="2E733B09" w14:textId="77777777" w:rsidR="00B462B1" w:rsidRDefault="00B462B1" w:rsidP="002F467C">
            <w:pPr>
              <w:pStyle w:val="NormalWeb"/>
              <w:spacing w:before="0" w:beforeAutospacing="0" w:after="0" w:afterAutospacing="0"/>
              <w:rPr>
                <w:rFonts w:ascii="Arial" w:hAnsi="Arial" w:cs="Arial"/>
                <w:b/>
                <w:sz w:val="22"/>
                <w:szCs w:val="22"/>
              </w:rPr>
            </w:pPr>
          </w:p>
          <w:p w14:paraId="15ACA46F" w14:textId="77777777" w:rsidR="00B462B1" w:rsidRDefault="00B462B1" w:rsidP="002F467C">
            <w:pPr>
              <w:pStyle w:val="NormalWeb"/>
              <w:spacing w:before="0" w:beforeAutospacing="0" w:after="0" w:afterAutospacing="0"/>
              <w:rPr>
                <w:rFonts w:ascii="Arial" w:hAnsi="Arial" w:cs="Arial"/>
                <w:b/>
                <w:sz w:val="22"/>
                <w:szCs w:val="22"/>
              </w:rPr>
            </w:pPr>
          </w:p>
          <w:p w14:paraId="1B2CF9D6" w14:textId="77777777" w:rsidR="00B462B1" w:rsidRDefault="00B462B1" w:rsidP="002F467C">
            <w:pPr>
              <w:pStyle w:val="NormalWeb"/>
              <w:spacing w:before="0" w:beforeAutospacing="0" w:after="0" w:afterAutospacing="0"/>
              <w:rPr>
                <w:rFonts w:ascii="Arial" w:hAnsi="Arial" w:cs="Arial"/>
                <w:b/>
                <w:sz w:val="22"/>
                <w:szCs w:val="22"/>
              </w:rPr>
            </w:pPr>
          </w:p>
          <w:p w14:paraId="27795378"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000000" w:rsidRPr="00230F35">
              <w:rPr>
                <w:rFonts w:ascii="Arial" w:hAnsi="Arial" w:cs="Arial"/>
                <w:b/>
                <w:sz w:val="22"/>
                <w:szCs w:val="22"/>
              </w:rPr>
              <w:t>arker</w:t>
            </w:r>
            <w:r w:rsidR="00D67BF8" w:rsidRPr="00230F35">
              <w:rPr>
                <w:rFonts w:ascii="Arial" w:hAnsi="Arial" w:cs="Arial"/>
                <w:b/>
                <w:sz w:val="22"/>
                <w:szCs w:val="22"/>
              </w:rPr>
              <w:t xml:space="preserve"> 1 </w:t>
            </w:r>
            <w:r w:rsidR="00000000" w:rsidRPr="00230F35">
              <w:rPr>
                <w:rFonts w:ascii="Arial" w:hAnsi="Arial" w:cs="Arial"/>
                <w:b/>
                <w:sz w:val="22"/>
                <w:szCs w:val="22"/>
              </w:rPr>
              <w:t>:</w:t>
            </w:r>
          </w:p>
          <w:p w14:paraId="7483FC6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06780000" w14:textId="77777777" w:rsidR="00B56E7B" w:rsidRPr="00001C3B" w:rsidRDefault="00B56E7B" w:rsidP="00043549">
            <w:pPr>
              <w:pStyle w:val="NormalWeb"/>
              <w:rPr>
                <w:rFonts w:ascii="Arial" w:hAnsi="Arial" w:cs="Arial"/>
                <w:sz w:val="22"/>
                <w:szCs w:val="22"/>
              </w:rPr>
            </w:pPr>
          </w:p>
        </w:tc>
      </w:tr>
      <w:tr w:rsidR="009F7560" w14:paraId="71F8CC3E" w14:textId="77777777" w:rsidTr="00A745B6">
        <w:trPr>
          <w:trHeight w:val="492"/>
        </w:trPr>
        <w:tc>
          <w:tcPr>
            <w:tcW w:w="6768" w:type="dxa"/>
            <w:gridSpan w:val="3"/>
          </w:tcPr>
          <w:p w14:paraId="7D7AA182"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000000">
              <w:rPr>
                <w:rFonts w:ascii="Arial" w:hAnsi="Arial" w:cs="Arial"/>
                <w:sz w:val="22"/>
                <w:szCs w:val="22"/>
              </w:rPr>
              <w:t>e:</w:t>
            </w:r>
          </w:p>
        </w:tc>
        <w:tc>
          <w:tcPr>
            <w:tcW w:w="2088" w:type="dxa"/>
            <w:gridSpan w:val="2"/>
          </w:tcPr>
          <w:p w14:paraId="6492E219"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000000" w:rsidRPr="00230F35">
              <w:rPr>
                <w:rFonts w:ascii="Arial" w:hAnsi="Arial" w:cs="Arial"/>
                <w:sz w:val="22"/>
                <w:szCs w:val="22"/>
              </w:rPr>
              <w:t>ate</w:t>
            </w:r>
            <w:r w:rsidRPr="00230F35">
              <w:rPr>
                <w:rFonts w:ascii="Arial" w:hAnsi="Arial" w:cs="Arial"/>
                <w:sz w:val="22"/>
                <w:szCs w:val="22"/>
              </w:rPr>
              <w:t>:</w:t>
            </w:r>
          </w:p>
        </w:tc>
      </w:tr>
      <w:tr w:rsidR="009F7560" w14:paraId="584DBCAD" w14:textId="77777777" w:rsidTr="002F467C">
        <w:tc>
          <w:tcPr>
            <w:tcW w:w="8856" w:type="dxa"/>
            <w:gridSpan w:val="5"/>
          </w:tcPr>
          <w:p w14:paraId="70C06DB1"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213D1338"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000000"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000000" w:rsidRPr="00230F35">
              <w:rPr>
                <w:rFonts w:ascii="Arial" w:hAnsi="Arial" w:cs="Arial"/>
                <w:b/>
                <w:bCs/>
                <w:sz w:val="22"/>
                <w:szCs w:val="22"/>
              </w:rPr>
              <w:t>:</w:t>
            </w:r>
          </w:p>
          <w:p w14:paraId="3F16FED2"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703A8FF5" w14:textId="77777777" w:rsidR="00D67BF8" w:rsidRPr="00230F35" w:rsidRDefault="00000000"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1B1A9C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7CA45C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5E3B60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BCA7F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282DAF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116BA0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FEA796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140315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6B2D1E4" w14:textId="77777777" w:rsidR="00D67BF8" w:rsidRDefault="00D67BF8" w:rsidP="002F467C">
            <w:pPr>
              <w:pStyle w:val="NormalWeb"/>
              <w:spacing w:before="0" w:beforeAutospacing="0" w:after="0" w:afterAutospacing="0"/>
              <w:ind w:right="-334"/>
              <w:rPr>
                <w:rFonts w:ascii="Arial" w:hAnsi="Arial" w:cs="Arial"/>
                <w:bCs/>
                <w:sz w:val="22"/>
                <w:szCs w:val="22"/>
              </w:rPr>
            </w:pPr>
          </w:p>
          <w:p w14:paraId="552B03A6"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6E37DFC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8FD0E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9F7560" w14:paraId="083D711D" w14:textId="77777777" w:rsidTr="008D674F">
        <w:trPr>
          <w:trHeight w:val="720"/>
        </w:trPr>
        <w:tc>
          <w:tcPr>
            <w:tcW w:w="5211" w:type="dxa"/>
            <w:gridSpan w:val="2"/>
          </w:tcPr>
          <w:p w14:paraId="394C30CF"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000000">
              <w:rPr>
                <w:rFonts w:ascii="Arial" w:hAnsi="Arial" w:cs="Arial"/>
                <w:bCs/>
                <w:sz w:val="22"/>
                <w:szCs w:val="22"/>
              </w:rPr>
              <w:t>:</w:t>
            </w:r>
          </w:p>
        </w:tc>
        <w:tc>
          <w:tcPr>
            <w:tcW w:w="3645" w:type="dxa"/>
            <w:gridSpan w:val="3"/>
          </w:tcPr>
          <w:p w14:paraId="3AF9479F" w14:textId="77777777" w:rsidR="00D67BF8" w:rsidRPr="00230F35" w:rsidRDefault="00000000"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F7560" w14:paraId="448E00E8" w14:textId="77777777" w:rsidTr="009C1A08">
        <w:trPr>
          <w:trHeight w:val="720"/>
        </w:trPr>
        <w:tc>
          <w:tcPr>
            <w:tcW w:w="8856" w:type="dxa"/>
            <w:gridSpan w:val="5"/>
          </w:tcPr>
          <w:p w14:paraId="38290A8D" w14:textId="77777777" w:rsidR="00230F35" w:rsidRPr="00B34964" w:rsidRDefault="00000000" w:rsidP="00230F35">
            <w:pPr>
              <w:rPr>
                <w:rFonts w:ascii="Arial" w:hAnsi="Arial" w:cs="Arial"/>
                <w:b/>
                <w:sz w:val="22"/>
                <w:szCs w:val="22"/>
              </w:rPr>
            </w:pPr>
            <w:r w:rsidRPr="00B34964">
              <w:rPr>
                <w:rFonts w:ascii="Arial" w:hAnsi="Arial" w:cs="Arial"/>
                <w:b/>
                <w:sz w:val="22"/>
                <w:szCs w:val="22"/>
              </w:rPr>
              <w:t>External Examiner’s comments (if relevant)</w:t>
            </w:r>
          </w:p>
          <w:p w14:paraId="198692B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AB7925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F75998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D8F90E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7B7DFD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4130BC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9B8A95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C46323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C017B96" w14:textId="77777777" w:rsidR="00230F35" w:rsidRDefault="00230F35" w:rsidP="002F467C">
            <w:pPr>
              <w:pStyle w:val="NormalWeb"/>
              <w:spacing w:before="0" w:beforeAutospacing="0" w:after="0" w:afterAutospacing="0"/>
              <w:ind w:right="-334"/>
              <w:rPr>
                <w:rFonts w:ascii="Arial" w:hAnsi="Arial" w:cs="Arial"/>
                <w:bCs/>
                <w:sz w:val="22"/>
                <w:szCs w:val="22"/>
              </w:rPr>
            </w:pPr>
          </w:p>
          <w:p w14:paraId="5FEF2340"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74282E8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9F7560" w14:paraId="0DA6A436" w14:textId="77777777" w:rsidTr="00230F35">
        <w:trPr>
          <w:trHeight w:val="720"/>
        </w:trPr>
        <w:tc>
          <w:tcPr>
            <w:tcW w:w="5211" w:type="dxa"/>
            <w:gridSpan w:val="2"/>
          </w:tcPr>
          <w:p w14:paraId="16C59488" w14:textId="77777777" w:rsidR="00230F35" w:rsidRPr="00230F35" w:rsidRDefault="00000000"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4DFED7D" w14:textId="77777777" w:rsidR="00230F35" w:rsidRPr="00230F35" w:rsidRDefault="00000000" w:rsidP="00230F35">
            <w:pPr>
              <w:rPr>
                <w:rFonts w:ascii="Arial" w:hAnsi="Arial" w:cs="Arial"/>
                <w:sz w:val="22"/>
                <w:szCs w:val="22"/>
              </w:rPr>
            </w:pPr>
            <w:r w:rsidRPr="00230F35">
              <w:rPr>
                <w:rFonts w:ascii="Arial" w:hAnsi="Arial" w:cs="Arial"/>
                <w:sz w:val="22"/>
                <w:szCs w:val="22"/>
              </w:rPr>
              <w:t>Date:</w:t>
            </w:r>
          </w:p>
        </w:tc>
      </w:tr>
    </w:tbl>
    <w:p w14:paraId="4CF67040" w14:textId="77777777" w:rsidR="00EC7546" w:rsidRPr="00D67BF8" w:rsidRDefault="00EC7546" w:rsidP="00FA07E9">
      <w:pPr>
        <w:pStyle w:val="NormalWeb"/>
        <w:spacing w:before="0" w:beforeAutospacing="0" w:after="0" w:afterAutospacing="0"/>
        <w:ind w:right="-334"/>
        <w:rPr>
          <w:rFonts w:ascii="Trebuchet MS" w:hAnsi="Trebuchet MS" w:cs="Tahoma"/>
          <w:bCs/>
          <w:sz w:val="24"/>
          <w:szCs w:val="24"/>
        </w:rPr>
        <w:sectPr w:rsidR="00EC7546" w:rsidRPr="00D67BF8" w:rsidSect="00B462B1">
          <w:footerReference w:type="default" r:id="rId9"/>
          <w:pgSz w:w="12240" w:h="15840"/>
          <w:pgMar w:top="567" w:right="1797" w:bottom="567" w:left="1797" w:header="567" w:footer="720" w:gutter="0"/>
          <w:pgNumType w:start="1"/>
          <w:cols w:space="720"/>
        </w:sectPr>
      </w:pPr>
    </w:p>
    <w:p w14:paraId="253D2FC7" w14:textId="77777777" w:rsidR="00414BD8" w:rsidRDefault="00000000" w:rsidP="0048251D">
      <w:pPr>
        <w:pStyle w:val="Heading1"/>
        <w:keepLines/>
        <w:spacing w:before="360" w:after="80" w:line="278" w:lineRule="auto"/>
        <w:rPr>
          <w:rFonts w:ascii="Times New Roman" w:eastAsia="Times New Roman" w:hAnsi="Times New Roman" w:cs="Times New Roman"/>
          <w:b w:val="0"/>
          <w:bCs w:val="0"/>
          <w:kern w:val="2"/>
          <w:sz w:val="40"/>
          <w:szCs w:val="40"/>
          <w:lang w:val="" w:eastAsia="en-US"/>
        </w:rPr>
      </w:pPr>
      <w:r w:rsidRPr="00AB590F">
        <w:rPr>
          <w:rFonts w:ascii="Times New Roman" w:eastAsia="Times New Roman" w:hAnsi="Times New Roman" w:cs="Times New Roman"/>
          <w:b w:val="0"/>
          <w:bCs w:val="0"/>
          <w:kern w:val="2"/>
          <w:sz w:val="40"/>
          <w:szCs w:val="40"/>
          <w:lang w:val="" w:eastAsia="en-US"/>
        </w:rPr>
        <w:lastRenderedPageBreak/>
        <w:t xml:space="preserve">Sacred Space: A Comparative Analysis of Durkheim and Eliade’s Theories </w:t>
      </w:r>
    </w:p>
    <w:p w14:paraId="375EA7AE" w14:textId="77777777" w:rsidR="0048251D" w:rsidRPr="0048251D" w:rsidRDefault="0048251D" w:rsidP="0048251D">
      <w:pPr>
        <w:spacing w:after="160" w:line="278" w:lineRule="auto"/>
        <w:rPr>
          <w:rFonts w:ascii="Aptos" w:eastAsia="Aptos" w:hAnsi="Aptos"/>
          <w:kern w:val="2"/>
          <w:lang w:val="" w:eastAsia="en-US"/>
        </w:rPr>
      </w:pPr>
    </w:p>
    <w:p w14:paraId="45539581" w14:textId="77777777" w:rsidR="009B4667" w:rsidRPr="002C6C10" w:rsidRDefault="00000000" w:rsidP="002C6C10">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t>Introduction</w:t>
      </w:r>
    </w:p>
    <w:p w14:paraId="329B40CB" w14:textId="77777777" w:rsidR="009B4667" w:rsidRPr="00CD1505" w:rsidRDefault="00000000" w:rsidP="009B4667">
      <w:pPr>
        <w:spacing w:after="160" w:line="278" w:lineRule="auto"/>
        <w:rPr>
          <w:rFonts w:eastAsia="Aptos"/>
          <w:kern w:val="2"/>
          <w:lang w:val="" w:eastAsia="en-US"/>
        </w:rPr>
      </w:pPr>
      <w:r w:rsidRPr="00CD1505">
        <w:rPr>
          <w:rFonts w:eastAsia="Aptos"/>
          <w:kern w:val="2"/>
          <w:lang w:val="" w:eastAsia="en-US"/>
        </w:rPr>
        <w:t xml:space="preserve">The notion of sacred space </w:t>
      </w:r>
      <w:r w:rsidR="00407A85" w:rsidRPr="00CD1505">
        <w:rPr>
          <w:rFonts w:eastAsia="Aptos"/>
          <w:kern w:val="2"/>
          <w:lang w:val="" w:eastAsia="en-US"/>
        </w:rPr>
        <w:t>serves as a conceptual building block across</w:t>
      </w:r>
      <w:r w:rsidRPr="00CD1505">
        <w:rPr>
          <w:rFonts w:eastAsia="Aptos"/>
          <w:kern w:val="2"/>
          <w:lang w:val="" w:eastAsia="en-US"/>
        </w:rPr>
        <w:t xml:space="preserve"> disciplines that examine spirituality and </w:t>
      </w:r>
      <w:r w:rsidR="007311C8" w:rsidRPr="00CD1505">
        <w:rPr>
          <w:rFonts w:eastAsia="Aptos"/>
          <w:kern w:val="2"/>
          <w:lang w:val="" w:eastAsia="en-US"/>
        </w:rPr>
        <w:t>ecology</w:t>
      </w:r>
      <w:r w:rsidRPr="00CD1505">
        <w:rPr>
          <w:rFonts w:eastAsia="Aptos"/>
          <w:kern w:val="2"/>
          <w:lang w:val="" w:eastAsia="en-US"/>
        </w:rPr>
        <w:t xml:space="preserve">. </w:t>
      </w:r>
      <w:r w:rsidR="00434AB2" w:rsidRPr="00CD1505">
        <w:rPr>
          <w:rFonts w:eastAsia="Aptos"/>
          <w:kern w:val="2"/>
          <w:lang w:val="" w:eastAsia="en-US"/>
        </w:rPr>
        <w:t>Studying</w:t>
      </w:r>
      <w:r w:rsidRPr="00CD1505">
        <w:rPr>
          <w:rFonts w:eastAsia="Aptos"/>
          <w:kern w:val="2"/>
          <w:lang w:val="" w:eastAsia="en-US"/>
        </w:rPr>
        <w:t xml:space="preserve"> sacred </w:t>
      </w:r>
      <w:r w:rsidR="00D510F9" w:rsidRPr="00CD1505">
        <w:rPr>
          <w:rFonts w:eastAsia="Aptos"/>
          <w:kern w:val="2"/>
          <w:lang w:val="" w:eastAsia="en-US"/>
        </w:rPr>
        <w:t>spaces</w:t>
      </w:r>
      <w:r w:rsidRPr="00CD1505">
        <w:rPr>
          <w:rFonts w:eastAsia="Aptos"/>
          <w:kern w:val="2"/>
          <w:lang w:val="" w:eastAsia="en-US"/>
        </w:rPr>
        <w:t xml:space="preserve"> provides </w:t>
      </w:r>
      <w:r w:rsidR="008F2A43" w:rsidRPr="00CD1505">
        <w:rPr>
          <w:rFonts w:eastAsia="Aptos"/>
          <w:kern w:val="2"/>
          <w:lang w:val="" w:eastAsia="en-US"/>
        </w:rPr>
        <w:t xml:space="preserve">key </w:t>
      </w:r>
      <w:r w:rsidRPr="00CD1505">
        <w:rPr>
          <w:rFonts w:eastAsia="Aptos"/>
          <w:kern w:val="2"/>
          <w:lang w:val="" w:eastAsia="en-US"/>
        </w:rPr>
        <w:t xml:space="preserve">insights into the cosmologies of communities </w:t>
      </w:r>
      <w:r w:rsidR="008F2A43" w:rsidRPr="00CD1505">
        <w:rPr>
          <w:rFonts w:eastAsia="Aptos"/>
          <w:kern w:val="2"/>
          <w:lang w:val="" w:eastAsia="en-US"/>
        </w:rPr>
        <w:t>—</w:t>
      </w:r>
      <w:r w:rsidRPr="00CD1505">
        <w:rPr>
          <w:rFonts w:eastAsia="Aptos"/>
          <w:kern w:val="2"/>
          <w:lang w:val="" w:eastAsia="en-US"/>
        </w:rPr>
        <w:t xml:space="preserve"> their worldview,</w:t>
      </w:r>
      <w:r w:rsidR="008F2A43" w:rsidRPr="00CD1505">
        <w:rPr>
          <w:rFonts w:eastAsia="Aptos"/>
          <w:kern w:val="2"/>
          <w:lang w:val="" w:eastAsia="en-US"/>
        </w:rPr>
        <w:t xml:space="preserve"> and thus</w:t>
      </w:r>
      <w:r w:rsidRPr="00CD1505">
        <w:rPr>
          <w:rFonts w:eastAsia="Aptos"/>
          <w:kern w:val="2"/>
          <w:lang w:val="" w:eastAsia="en-US"/>
        </w:rPr>
        <w:t xml:space="preserve"> reveal</w:t>
      </w:r>
      <w:r w:rsidR="008F2A43" w:rsidRPr="00CD1505">
        <w:rPr>
          <w:rFonts w:eastAsia="Aptos"/>
          <w:kern w:val="2"/>
          <w:lang w:val="" w:eastAsia="en-US"/>
        </w:rPr>
        <w:t>s</w:t>
      </w:r>
      <w:r w:rsidRPr="00CD1505">
        <w:rPr>
          <w:rFonts w:eastAsia="Aptos"/>
          <w:kern w:val="2"/>
          <w:lang w:val="" w:eastAsia="en-US"/>
        </w:rPr>
        <w:t xml:space="preserve"> </w:t>
      </w:r>
      <w:r w:rsidR="008F2A43" w:rsidRPr="00CD1505">
        <w:rPr>
          <w:rFonts w:eastAsia="Aptos"/>
          <w:kern w:val="2"/>
          <w:lang w:val="" w:eastAsia="en-US"/>
        </w:rPr>
        <w:t>a</w:t>
      </w:r>
      <w:r w:rsidRPr="00CD1505">
        <w:rPr>
          <w:rFonts w:eastAsia="Aptos"/>
          <w:kern w:val="2"/>
          <w:lang w:val="" w:eastAsia="en-US"/>
        </w:rPr>
        <w:t xml:space="preserve"> framework </w:t>
      </w:r>
      <w:r w:rsidR="00FE5C33" w:rsidRPr="00CD1505">
        <w:rPr>
          <w:rFonts w:eastAsia="Aptos"/>
          <w:kern w:val="2"/>
          <w:lang w:val="" w:eastAsia="en-US"/>
        </w:rPr>
        <w:t xml:space="preserve">for understanding </w:t>
      </w:r>
      <w:r w:rsidRPr="00CD1505">
        <w:rPr>
          <w:rFonts w:eastAsia="Aptos"/>
          <w:kern w:val="2"/>
          <w:lang w:val="" w:eastAsia="en-US"/>
        </w:rPr>
        <w:t>social values and beliefs. Th</w:t>
      </w:r>
      <w:r w:rsidR="008B5C14" w:rsidRPr="00CD1505">
        <w:rPr>
          <w:rFonts w:eastAsia="Aptos"/>
          <w:kern w:val="2"/>
          <w:lang w:val="" w:eastAsia="en-US"/>
        </w:rPr>
        <w:t>e study of sacred spaces</w:t>
      </w:r>
      <w:r w:rsidRPr="00CD1505">
        <w:rPr>
          <w:rFonts w:eastAsia="Aptos"/>
          <w:kern w:val="2"/>
          <w:lang w:val="" w:eastAsia="en-US"/>
        </w:rPr>
        <w:t xml:space="preserve"> frequently depends on a dichotomous separation between the sacred and the profane. Émile Durkheim and Mircea Eliade are two major figures</w:t>
      </w:r>
      <w:r w:rsidR="008B5C14" w:rsidRPr="00CD1505">
        <w:rPr>
          <w:rFonts w:eastAsia="Aptos"/>
          <w:kern w:val="2"/>
          <w:lang w:val="" w:eastAsia="en-US"/>
        </w:rPr>
        <w:t xml:space="preserve"> often cited</w:t>
      </w:r>
      <w:r w:rsidRPr="00CD1505">
        <w:rPr>
          <w:rFonts w:eastAsia="Aptos"/>
          <w:kern w:val="2"/>
          <w:lang w:val="" w:eastAsia="en-US"/>
        </w:rPr>
        <w:t xml:space="preserve"> in this discussion. </w:t>
      </w:r>
    </w:p>
    <w:p w14:paraId="091177CD" w14:textId="77777777" w:rsidR="009728CA" w:rsidRPr="00CD1505" w:rsidRDefault="00000000" w:rsidP="009728CA">
      <w:pPr>
        <w:spacing w:after="160" w:line="278" w:lineRule="auto"/>
        <w:rPr>
          <w:rFonts w:eastAsia="Aptos"/>
          <w:kern w:val="2"/>
          <w:lang w:val="" w:eastAsia="en-US"/>
        </w:rPr>
      </w:pPr>
      <w:r w:rsidRPr="00CD1505">
        <w:rPr>
          <w:rFonts w:eastAsia="Aptos"/>
          <w:kern w:val="2"/>
          <w:lang w:val="" w:eastAsia="en-US"/>
        </w:rPr>
        <w:t>This paper aims to discuss and critically contrast Mircea Eliade's and Émile Durkheim's views on sacred space</w:t>
      </w:r>
      <w:r w:rsidR="00956997" w:rsidRPr="00CD1505">
        <w:rPr>
          <w:rFonts w:eastAsia="Aptos"/>
          <w:kern w:val="2"/>
          <w:lang w:val="" w:eastAsia="en-US"/>
        </w:rPr>
        <w:t>.</w:t>
      </w:r>
      <w:r w:rsidRPr="00CD1505">
        <w:rPr>
          <w:rFonts w:eastAsia="Aptos"/>
          <w:kern w:val="2"/>
          <w:lang w:val="" w:eastAsia="en-US"/>
        </w:rPr>
        <w:t xml:space="preserve"> It seeks to </w:t>
      </w:r>
      <w:r w:rsidR="00EB7CFB" w:rsidRPr="00CD1505">
        <w:rPr>
          <w:rFonts w:eastAsia="Aptos"/>
          <w:kern w:val="2"/>
          <w:lang w:val="" w:eastAsia="en-US"/>
        </w:rPr>
        <w:t>unpack</w:t>
      </w:r>
      <w:r w:rsidRPr="00CD1505">
        <w:rPr>
          <w:rFonts w:eastAsia="Aptos"/>
          <w:kern w:val="2"/>
          <w:lang w:val="" w:eastAsia="en-US"/>
        </w:rPr>
        <w:t xml:space="preserve"> how the theories of Durkheim and Eliade, both separately and collectively, provide insights into the nature of sacred places across various cultures, while also acknowledging the significant constraints both epistemologies face.</w:t>
      </w:r>
    </w:p>
    <w:p w14:paraId="7E2DB4F5" w14:textId="77777777" w:rsidR="009B4667" w:rsidRPr="00CD1505" w:rsidRDefault="00000000" w:rsidP="009B4667">
      <w:pPr>
        <w:spacing w:after="160" w:line="278" w:lineRule="auto"/>
        <w:rPr>
          <w:rFonts w:eastAsia="Aptos"/>
          <w:kern w:val="2"/>
          <w:lang w:val="" w:eastAsia="en-US"/>
        </w:rPr>
      </w:pPr>
      <w:r w:rsidRPr="00CD1505">
        <w:rPr>
          <w:rFonts w:eastAsia="Aptos"/>
          <w:kern w:val="2"/>
          <w:lang w:val="" w:eastAsia="en-US"/>
        </w:rPr>
        <w:t xml:space="preserve"> It is divided into five sections, beginning by examining Durkheim's theory</w:t>
      </w:r>
      <w:r w:rsidR="003E65ED" w:rsidRPr="00CD1505">
        <w:rPr>
          <w:rFonts w:eastAsia="Aptos"/>
          <w:kern w:val="2"/>
          <w:lang w:val="" w:eastAsia="en-US"/>
        </w:rPr>
        <w:t xml:space="preserve"> of the subject</w:t>
      </w:r>
      <w:r w:rsidRPr="00CD1505">
        <w:rPr>
          <w:rFonts w:eastAsia="Aptos"/>
          <w:kern w:val="2"/>
          <w:lang w:val="" w:eastAsia="en-US"/>
        </w:rPr>
        <w:t xml:space="preserve">, </w:t>
      </w:r>
      <w:r w:rsidR="003E65ED" w:rsidRPr="00CD1505">
        <w:rPr>
          <w:rFonts w:eastAsia="Aptos"/>
          <w:kern w:val="2"/>
          <w:lang w:val="" w:eastAsia="en-US"/>
        </w:rPr>
        <w:t>briefly exploring</w:t>
      </w:r>
      <w:r w:rsidRPr="00CD1505">
        <w:rPr>
          <w:rFonts w:eastAsia="Aptos"/>
          <w:kern w:val="2"/>
          <w:lang w:val="" w:eastAsia="en-US"/>
        </w:rPr>
        <w:t xml:space="preserve"> its </w:t>
      </w:r>
      <w:r w:rsidR="007615D7" w:rsidRPr="00CD1505">
        <w:rPr>
          <w:rFonts w:eastAsia="Aptos"/>
          <w:kern w:val="2"/>
          <w:lang w:val="" w:eastAsia="en-US"/>
        </w:rPr>
        <w:t xml:space="preserve">implications </w:t>
      </w:r>
      <w:r w:rsidRPr="00CD1505">
        <w:rPr>
          <w:rFonts w:eastAsia="Aptos"/>
          <w:kern w:val="2"/>
          <w:lang w:val="" w:eastAsia="en-US"/>
        </w:rPr>
        <w:t xml:space="preserve">for collective identity and ritualistic actions. </w:t>
      </w:r>
      <w:r w:rsidR="007615D7" w:rsidRPr="00CD1505">
        <w:rPr>
          <w:rFonts w:eastAsia="Aptos"/>
          <w:kern w:val="2"/>
          <w:lang w:val="" w:eastAsia="en-US"/>
        </w:rPr>
        <w:t>The second section,</w:t>
      </w:r>
      <w:r w:rsidRPr="00CD1505">
        <w:rPr>
          <w:rFonts w:eastAsia="Aptos"/>
          <w:kern w:val="2"/>
          <w:lang w:val="" w:eastAsia="en-US"/>
        </w:rPr>
        <w:t xml:space="preserve"> examines Eliade's ontological perspective, highlighting his critique of Durkheim and the importance he ascribes to the cosmic essence of the sacred. </w:t>
      </w:r>
      <w:r w:rsidR="00630FC2" w:rsidRPr="00CD1505">
        <w:rPr>
          <w:rFonts w:eastAsia="Aptos"/>
          <w:kern w:val="2"/>
          <w:lang w:val="" w:eastAsia="en-US"/>
        </w:rPr>
        <w:t>Following this, a</w:t>
      </w:r>
      <w:r w:rsidRPr="00CD1505">
        <w:rPr>
          <w:rFonts w:eastAsia="Aptos"/>
          <w:kern w:val="2"/>
          <w:lang w:val="" w:eastAsia="en-US"/>
        </w:rPr>
        <w:t xml:space="preserve"> comparative </w:t>
      </w:r>
      <w:r w:rsidR="00E07425" w:rsidRPr="00CD1505">
        <w:rPr>
          <w:rFonts w:eastAsia="Aptos"/>
          <w:kern w:val="2"/>
          <w:lang w:val="" w:eastAsia="en-US"/>
        </w:rPr>
        <w:t>critique</w:t>
      </w:r>
      <w:r w:rsidRPr="00CD1505">
        <w:rPr>
          <w:rFonts w:eastAsia="Aptos"/>
          <w:kern w:val="2"/>
          <w:lang w:val="" w:eastAsia="en-US"/>
        </w:rPr>
        <w:t xml:space="preserve"> will </w:t>
      </w:r>
      <w:r w:rsidR="00E07425" w:rsidRPr="00CD1505">
        <w:rPr>
          <w:rFonts w:eastAsia="Aptos"/>
          <w:kern w:val="2"/>
          <w:lang w:val="" w:eastAsia="en-US"/>
        </w:rPr>
        <w:t>explore</w:t>
      </w:r>
      <w:r w:rsidRPr="00CD1505">
        <w:rPr>
          <w:rFonts w:eastAsia="Aptos"/>
          <w:kern w:val="2"/>
          <w:lang w:val="" w:eastAsia="en-US"/>
        </w:rPr>
        <w:t xml:space="preserve"> the relationship between Durkheim’s and Eliade</w:t>
      </w:r>
      <w:bookmarkStart w:id="6" w:name="_Hlk182231056"/>
      <w:r w:rsidRPr="00CD1505">
        <w:rPr>
          <w:rFonts w:eastAsia="Aptos"/>
          <w:kern w:val="2"/>
          <w:lang w:val="" w:eastAsia="en-US"/>
        </w:rPr>
        <w:t>’</w:t>
      </w:r>
      <w:bookmarkEnd w:id="6"/>
      <w:r w:rsidRPr="00CD1505">
        <w:rPr>
          <w:rFonts w:eastAsia="Aptos"/>
          <w:kern w:val="2"/>
          <w:lang w:val="" w:eastAsia="en-US"/>
        </w:rPr>
        <w:t xml:space="preserve">s </w:t>
      </w:r>
      <w:r w:rsidR="005E19F5" w:rsidRPr="00CD1505">
        <w:rPr>
          <w:rFonts w:eastAsia="Aptos"/>
          <w:kern w:val="2"/>
          <w:lang w:val="" w:eastAsia="en-US"/>
        </w:rPr>
        <w:t>understandings</w:t>
      </w:r>
      <w:r w:rsidRPr="00CD1505">
        <w:rPr>
          <w:rFonts w:eastAsia="Aptos"/>
          <w:kern w:val="2"/>
          <w:lang w:val="" w:eastAsia="en-US"/>
        </w:rPr>
        <w:t>, emphasising their differences a</w:t>
      </w:r>
      <w:r w:rsidR="005E19F5" w:rsidRPr="00CD1505">
        <w:rPr>
          <w:rFonts w:eastAsia="Aptos"/>
          <w:kern w:val="2"/>
          <w:lang w:val="" w:eastAsia="en-US"/>
        </w:rPr>
        <w:t>s well as</w:t>
      </w:r>
      <w:r w:rsidRPr="00CD1505">
        <w:rPr>
          <w:rFonts w:eastAsia="Aptos"/>
          <w:kern w:val="2"/>
          <w:lang w:val="" w:eastAsia="en-US"/>
        </w:rPr>
        <w:t xml:space="preserve"> points of theoretical convergence. </w:t>
      </w:r>
      <w:r w:rsidR="002E78C8" w:rsidRPr="00CD1505">
        <w:rPr>
          <w:rFonts w:eastAsia="Aptos"/>
          <w:kern w:val="2"/>
          <w:lang w:val="" w:eastAsia="en-US"/>
        </w:rPr>
        <w:t>In the final section, a</w:t>
      </w:r>
      <w:r w:rsidRPr="00CD1505">
        <w:rPr>
          <w:rFonts w:eastAsia="Aptos"/>
          <w:kern w:val="2"/>
          <w:lang w:val="" w:eastAsia="en-US"/>
        </w:rPr>
        <w:t xml:space="preserve"> decolonial </w:t>
      </w:r>
      <w:r w:rsidR="002E78C8" w:rsidRPr="00CD1505">
        <w:rPr>
          <w:rFonts w:eastAsia="Aptos"/>
          <w:kern w:val="2"/>
          <w:lang w:val="" w:eastAsia="en-US"/>
        </w:rPr>
        <w:t xml:space="preserve">lens will be applied to </w:t>
      </w:r>
      <w:r w:rsidR="003E29D7" w:rsidRPr="00CD1505">
        <w:rPr>
          <w:rFonts w:eastAsia="Aptos"/>
          <w:kern w:val="2"/>
          <w:lang w:val="" w:eastAsia="en-US"/>
        </w:rPr>
        <w:t xml:space="preserve">illuminate </w:t>
      </w:r>
      <w:r w:rsidR="00340F28" w:rsidRPr="00CD1505">
        <w:rPr>
          <w:rFonts w:eastAsia="Aptos"/>
          <w:kern w:val="2"/>
          <w:lang w:val="" w:eastAsia="en-US"/>
        </w:rPr>
        <w:t xml:space="preserve">a key potential </w:t>
      </w:r>
      <w:r w:rsidRPr="00CD1505">
        <w:rPr>
          <w:rFonts w:eastAsia="Aptos"/>
          <w:kern w:val="2"/>
          <w:lang w:val="" w:eastAsia="en-US"/>
        </w:rPr>
        <w:t>shortcoming</w:t>
      </w:r>
      <w:r w:rsidR="003E29D7" w:rsidRPr="00CD1505">
        <w:rPr>
          <w:rFonts w:eastAsia="Aptos"/>
          <w:kern w:val="2"/>
          <w:lang w:val="" w:eastAsia="en-US"/>
        </w:rPr>
        <w:t xml:space="preserve"> </w:t>
      </w:r>
      <w:r w:rsidRPr="00CD1505">
        <w:rPr>
          <w:rFonts w:eastAsia="Aptos"/>
          <w:kern w:val="2"/>
          <w:lang w:val="" w:eastAsia="en-US"/>
        </w:rPr>
        <w:t xml:space="preserve">of </w:t>
      </w:r>
      <w:r w:rsidR="00340F28" w:rsidRPr="00CD1505">
        <w:rPr>
          <w:rFonts w:eastAsia="Aptos"/>
          <w:kern w:val="2"/>
          <w:lang w:val="" w:eastAsia="en-US"/>
        </w:rPr>
        <w:t>both Eliade and Durkheim</w:t>
      </w:r>
      <w:r w:rsidR="00CD1505" w:rsidRPr="00CD1505">
        <w:rPr>
          <w:rFonts w:eastAsia="Aptos"/>
          <w:color w:val="1F1F1F"/>
          <w:kern w:val="2"/>
          <w:sz w:val="21"/>
          <w:szCs w:val="21"/>
          <w:shd w:val="clear" w:color="auto" w:fill="FFFFFF"/>
          <w:lang w:val="" w:eastAsia="en-US"/>
        </w:rPr>
        <w:t>'</w:t>
      </w:r>
      <w:r w:rsidR="00340F28" w:rsidRPr="00CD1505">
        <w:rPr>
          <w:rFonts w:eastAsia="Aptos"/>
          <w:kern w:val="2"/>
          <w:lang w:val="" w:eastAsia="en-US"/>
        </w:rPr>
        <w:t xml:space="preserve">s </w:t>
      </w:r>
      <w:r w:rsidRPr="00CD1505">
        <w:rPr>
          <w:rFonts w:eastAsia="Aptos"/>
          <w:kern w:val="2"/>
          <w:lang w:val="" w:eastAsia="en-US"/>
        </w:rPr>
        <w:t>frameworks</w:t>
      </w:r>
      <w:r w:rsidR="00AD53C0" w:rsidRPr="00CD1505">
        <w:rPr>
          <w:rFonts w:eastAsia="Aptos"/>
          <w:kern w:val="2"/>
          <w:lang w:val="" w:eastAsia="en-US"/>
        </w:rPr>
        <w:t xml:space="preserve">, particularly when applied to communities </w:t>
      </w:r>
      <w:r w:rsidR="00693942" w:rsidRPr="00CD1505">
        <w:rPr>
          <w:rFonts w:eastAsia="Aptos"/>
          <w:kern w:val="2"/>
          <w:lang w:val="" w:eastAsia="en-US"/>
        </w:rPr>
        <w:t>across southern Africa.</w:t>
      </w:r>
    </w:p>
    <w:p w14:paraId="3A8411C4" w14:textId="77777777" w:rsidR="009B4667" w:rsidRDefault="009B4667" w:rsidP="009B4667">
      <w:pPr>
        <w:spacing w:after="160" w:line="278" w:lineRule="auto"/>
        <w:rPr>
          <w:rFonts w:ascii="Aptos" w:eastAsia="Aptos" w:hAnsi="Aptos"/>
          <w:kern w:val="2"/>
          <w:lang w:val="" w:eastAsia="en-US"/>
        </w:rPr>
      </w:pPr>
    </w:p>
    <w:p w14:paraId="77AA624B" w14:textId="77777777" w:rsidR="009B4667" w:rsidRPr="002C6C10" w:rsidRDefault="00000000" w:rsidP="002C6C10">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t>Durkheim's Sacred Space as a Social Construct</w:t>
      </w:r>
    </w:p>
    <w:p w14:paraId="5E89CC22" w14:textId="77777777" w:rsidR="009B4667" w:rsidRPr="001B3DB3" w:rsidRDefault="00000000" w:rsidP="009B4667">
      <w:pPr>
        <w:spacing w:after="160" w:line="278" w:lineRule="auto"/>
        <w:rPr>
          <w:rFonts w:eastAsia="Aptos"/>
          <w:kern w:val="2"/>
          <w:lang w:val="" w:eastAsia="en-US"/>
        </w:rPr>
      </w:pPr>
      <w:r w:rsidRPr="001B3DB3">
        <w:rPr>
          <w:rFonts w:eastAsia="Aptos"/>
          <w:kern w:val="2"/>
          <w:lang w:val="" w:eastAsia="en-US"/>
        </w:rPr>
        <w:t xml:space="preserve">Émile Durkheim's notion of sacred space is grounded in his perception of religion as an essentially social institution, wherein the distinction between the sacred and the profane is a major attribute of religious existence, </w:t>
      </w:r>
      <w:r w:rsidR="002C6C10" w:rsidRPr="001B3DB3">
        <w:rPr>
          <w:rFonts w:eastAsia="Aptos"/>
          <w:kern w:val="2"/>
          <w:lang w:val="" w:eastAsia="en-US"/>
        </w:rPr>
        <w:t xml:space="preserve">that is </w:t>
      </w:r>
      <w:r w:rsidRPr="001B3DB3">
        <w:rPr>
          <w:rFonts w:eastAsia="Aptos"/>
          <w:kern w:val="2"/>
          <w:lang w:val="" w:eastAsia="en-US"/>
        </w:rPr>
        <w:t>crucial for preserving social cohesiveness</w:t>
      </w:r>
      <w:r>
        <w:rPr>
          <w:rFonts w:eastAsia="Aptos"/>
          <w:kern w:val="2"/>
          <w:vertAlign w:val="superscript"/>
          <w:lang w:val="" w:eastAsia="en-US"/>
        </w:rPr>
        <w:footnoteReference w:id="1"/>
      </w:r>
      <w:r w:rsidRPr="001B3DB3">
        <w:rPr>
          <w:rFonts w:eastAsia="Aptos"/>
          <w:kern w:val="2"/>
          <w:lang w:val="" w:eastAsia="en-US"/>
        </w:rPr>
        <w:t xml:space="preserve">. Durkheim posits that religion is fundamentally a social construct, with the sacred-profane divide produced by </w:t>
      </w:r>
      <w:r w:rsidR="007D47C3" w:rsidRPr="001B3DB3">
        <w:rPr>
          <w:rFonts w:eastAsia="Aptos"/>
          <w:kern w:val="2"/>
          <w:lang w:val="" w:eastAsia="en-US"/>
        </w:rPr>
        <w:t>communities to</w:t>
      </w:r>
      <w:r w:rsidRPr="001B3DB3">
        <w:rPr>
          <w:rFonts w:eastAsia="Aptos"/>
          <w:kern w:val="2"/>
          <w:lang w:val="" w:eastAsia="en-US"/>
        </w:rPr>
        <w:t xml:space="preserve"> unite individuals into a moral society. </w:t>
      </w:r>
      <w:r w:rsidR="007D47C3" w:rsidRPr="001B3DB3">
        <w:rPr>
          <w:rFonts w:eastAsia="Aptos"/>
          <w:kern w:val="2"/>
          <w:lang w:val="" w:eastAsia="en-US"/>
        </w:rPr>
        <w:t>In his work, he</w:t>
      </w:r>
      <w:r w:rsidRPr="001B3DB3">
        <w:rPr>
          <w:rFonts w:eastAsia="Aptos"/>
          <w:kern w:val="2"/>
          <w:lang w:val="" w:eastAsia="en-US"/>
        </w:rPr>
        <w:t xml:space="preserve"> employs the example of Australian Aboriginal societies</w:t>
      </w:r>
      <w:r w:rsidR="00131281" w:rsidRPr="001B3DB3">
        <w:rPr>
          <w:rFonts w:eastAsia="Aptos"/>
          <w:kern w:val="2"/>
          <w:lang w:val="" w:eastAsia="en-US"/>
        </w:rPr>
        <w:t xml:space="preserve"> to illustrate his point.</w:t>
      </w:r>
      <w:r w:rsidR="00A42097" w:rsidRPr="001B3DB3">
        <w:rPr>
          <w:rFonts w:eastAsia="Aptos"/>
          <w:kern w:val="2"/>
          <w:lang w:val="" w:eastAsia="en-US"/>
        </w:rPr>
        <w:t xml:space="preserve"> </w:t>
      </w:r>
      <w:r w:rsidR="00042CEA" w:rsidRPr="001B3DB3">
        <w:rPr>
          <w:rFonts w:eastAsia="Aptos"/>
          <w:kern w:val="2"/>
          <w:lang w:val="" w:eastAsia="en-US"/>
        </w:rPr>
        <w:t>He presents the</w:t>
      </w:r>
      <w:r w:rsidRPr="001B3DB3">
        <w:rPr>
          <w:rFonts w:eastAsia="Aptos"/>
          <w:kern w:val="2"/>
          <w:lang w:val="" w:eastAsia="en-US"/>
        </w:rPr>
        <w:t xml:space="preserve"> profane as encompassing all that exists beyond the sacred realm—mundane, quotidian activities and objects that lack the collective, symbolic importance of the </w:t>
      </w:r>
      <w:r w:rsidR="00F84DEB" w:rsidRPr="001B3DB3">
        <w:rPr>
          <w:rFonts w:eastAsia="Aptos"/>
          <w:kern w:val="2"/>
          <w:lang w:val="" w:eastAsia="en-US"/>
        </w:rPr>
        <w:t xml:space="preserve">Aboriginal’s </w:t>
      </w:r>
      <w:r w:rsidRPr="001B3DB3">
        <w:rPr>
          <w:rFonts w:eastAsia="Aptos"/>
          <w:kern w:val="2"/>
          <w:lang w:val="" w:eastAsia="en-US"/>
        </w:rPr>
        <w:t>totem</w:t>
      </w:r>
      <w:r w:rsidR="00F84DEB" w:rsidRPr="001B3DB3">
        <w:rPr>
          <w:rFonts w:eastAsia="Aptos"/>
          <w:kern w:val="2"/>
          <w:lang w:val="" w:eastAsia="en-US"/>
        </w:rPr>
        <w:t>s</w:t>
      </w:r>
      <w:r w:rsidR="00105C93" w:rsidRPr="001B3DB3">
        <w:rPr>
          <w:rFonts w:eastAsia="Aptos"/>
          <w:kern w:val="2"/>
          <w:lang w:val="" w:eastAsia="en-US"/>
        </w:rPr>
        <w:t xml:space="preserve">. These include </w:t>
      </w:r>
      <w:r w:rsidRPr="001B3DB3">
        <w:rPr>
          <w:rFonts w:eastAsia="Aptos"/>
          <w:kern w:val="2"/>
          <w:lang w:val="" w:eastAsia="en-US"/>
        </w:rPr>
        <w:t>hunting, eating, or domestic tasks</w:t>
      </w:r>
      <w:r>
        <w:rPr>
          <w:rFonts w:eastAsia="Aptos"/>
          <w:kern w:val="2"/>
          <w:vertAlign w:val="superscript"/>
          <w:lang w:val="" w:eastAsia="en-US"/>
        </w:rPr>
        <w:footnoteReference w:id="2"/>
      </w:r>
      <w:r w:rsidRPr="001B3DB3">
        <w:rPr>
          <w:rFonts w:eastAsia="Aptos"/>
          <w:kern w:val="2"/>
          <w:lang w:val="" w:eastAsia="en-US"/>
        </w:rPr>
        <w:t>.</w:t>
      </w:r>
      <w:r w:rsidR="001E547A" w:rsidRPr="001B3DB3">
        <w:rPr>
          <w:rFonts w:eastAsia="Aptos"/>
          <w:kern w:val="2"/>
          <w:lang w:val="" w:eastAsia="en-US"/>
        </w:rPr>
        <w:t xml:space="preserve"> However, for Durkheim there is </w:t>
      </w:r>
      <w:r w:rsidR="00F82C9C" w:rsidRPr="001B3DB3">
        <w:rPr>
          <w:rFonts w:eastAsia="Aptos"/>
          <w:kern w:val="2"/>
          <w:lang w:val="" w:eastAsia="en-US"/>
        </w:rPr>
        <w:t xml:space="preserve">room for </w:t>
      </w:r>
      <w:r w:rsidR="00F82C9C" w:rsidRPr="001B3DB3">
        <w:rPr>
          <w:rFonts w:eastAsia="Aptos"/>
          <w:kern w:val="2"/>
          <w:lang w:val="" w:eastAsia="en-US"/>
        </w:rPr>
        <w:lastRenderedPageBreak/>
        <w:t>the profane to become sacred and vice versa. For example,</w:t>
      </w:r>
      <w:r w:rsidRPr="001B3DB3">
        <w:rPr>
          <w:rFonts w:eastAsia="Aptos"/>
          <w:kern w:val="2"/>
          <w:lang w:val="" w:eastAsia="en-US"/>
        </w:rPr>
        <w:t xml:space="preserve"> </w:t>
      </w:r>
      <w:r w:rsidR="00F82C9C" w:rsidRPr="001B3DB3">
        <w:rPr>
          <w:rFonts w:eastAsia="Aptos"/>
          <w:kern w:val="2"/>
          <w:lang w:val="" w:eastAsia="en-US"/>
        </w:rPr>
        <w:t>a</w:t>
      </w:r>
      <w:r w:rsidRPr="001B3DB3">
        <w:rPr>
          <w:rFonts w:eastAsia="Aptos"/>
          <w:kern w:val="2"/>
          <w:lang w:val="" w:eastAsia="en-US"/>
        </w:rPr>
        <w:t xml:space="preserve"> hunting spear utilised in a ceremonial context may be regarded as sacred during the ritual; nevertheless, after the ritual concludes and the spear is employed for conventional hunting, it transforms into a profane object, devoid of its transient sacred nature</w:t>
      </w:r>
      <w:r>
        <w:rPr>
          <w:rFonts w:eastAsia="Aptos"/>
          <w:kern w:val="2"/>
          <w:vertAlign w:val="superscript"/>
          <w:lang w:val="" w:eastAsia="en-US"/>
        </w:rPr>
        <w:footnoteReference w:id="3"/>
      </w:r>
      <w:r w:rsidRPr="001B3DB3">
        <w:rPr>
          <w:rFonts w:eastAsia="Aptos"/>
          <w:kern w:val="2"/>
          <w:lang w:val="" w:eastAsia="en-US"/>
        </w:rPr>
        <w:t>.</w:t>
      </w:r>
    </w:p>
    <w:p w14:paraId="67691BFA" w14:textId="77777777" w:rsidR="009B4667" w:rsidRPr="001B3DB3" w:rsidRDefault="00000000" w:rsidP="009B4667">
      <w:pPr>
        <w:spacing w:after="160" w:line="278" w:lineRule="auto"/>
        <w:rPr>
          <w:rFonts w:eastAsia="Aptos"/>
          <w:kern w:val="2"/>
          <w:lang w:val="" w:eastAsia="en-US"/>
        </w:rPr>
      </w:pPr>
      <w:r w:rsidRPr="001B3DB3">
        <w:rPr>
          <w:rFonts w:eastAsia="Aptos"/>
          <w:kern w:val="2"/>
          <w:lang w:val="" w:eastAsia="en-US"/>
        </w:rPr>
        <w:t xml:space="preserve">Meanwhile, the sacred represents a social classification that communities collectively attribute to specific locations, items, or rituals, distinct from the profane. </w:t>
      </w:r>
      <w:r w:rsidR="00F4234A" w:rsidRPr="001B3DB3">
        <w:rPr>
          <w:rFonts w:eastAsia="Aptos"/>
          <w:kern w:val="2"/>
          <w:lang w:val="" w:eastAsia="en-US"/>
        </w:rPr>
        <w:t>U</w:t>
      </w:r>
      <w:r w:rsidRPr="001B3DB3">
        <w:rPr>
          <w:rFonts w:eastAsia="Aptos"/>
          <w:kern w:val="2"/>
          <w:lang w:val="" w:eastAsia="en-US"/>
        </w:rPr>
        <w:t>tilis</w:t>
      </w:r>
      <w:r w:rsidR="00F4234A" w:rsidRPr="001B3DB3">
        <w:rPr>
          <w:rFonts w:eastAsia="Aptos"/>
          <w:kern w:val="2"/>
          <w:lang w:val="" w:eastAsia="en-US"/>
        </w:rPr>
        <w:t>ing once more</w:t>
      </w:r>
      <w:r w:rsidRPr="001B3DB3">
        <w:rPr>
          <w:rFonts w:eastAsia="Aptos"/>
          <w:kern w:val="2"/>
          <w:lang w:val="" w:eastAsia="en-US"/>
        </w:rPr>
        <w:t xml:space="preserve"> the example of totems as sacred symbols,</w:t>
      </w:r>
      <w:r w:rsidR="00F4234A" w:rsidRPr="001B3DB3">
        <w:rPr>
          <w:rFonts w:eastAsia="Aptos"/>
          <w:kern w:val="2"/>
          <w:lang w:val="" w:eastAsia="en-US"/>
        </w:rPr>
        <w:t xml:space="preserve"> he posits that they are sacred</w:t>
      </w:r>
      <w:r w:rsidRPr="001B3DB3">
        <w:rPr>
          <w:rFonts w:eastAsia="Aptos"/>
          <w:kern w:val="2"/>
          <w:lang w:val="" w:eastAsia="en-US"/>
        </w:rPr>
        <w:t xml:space="preserve"> not due to any inherent power, but because they represent the collective identity and values of the </w:t>
      </w:r>
      <w:r w:rsidR="00F4234A" w:rsidRPr="001B3DB3">
        <w:rPr>
          <w:rFonts w:eastAsia="Aptos"/>
          <w:kern w:val="2"/>
          <w:lang w:val="" w:eastAsia="en-US"/>
        </w:rPr>
        <w:t>Australian Aboriginal community</w:t>
      </w:r>
      <w:r>
        <w:rPr>
          <w:rFonts w:eastAsia="Aptos"/>
          <w:kern w:val="2"/>
          <w:vertAlign w:val="superscript"/>
          <w:lang w:val="" w:eastAsia="en-US"/>
        </w:rPr>
        <w:footnoteReference w:id="4"/>
      </w:r>
      <w:r w:rsidRPr="001B3DB3">
        <w:rPr>
          <w:rFonts w:eastAsia="Aptos"/>
          <w:kern w:val="2"/>
          <w:lang w:val="" w:eastAsia="en-US"/>
        </w:rPr>
        <w:t>. He contends that totems are revered in rituals that strengthen the clan</w:t>
      </w:r>
      <w:bookmarkStart w:id="10" w:name="_Hlk182231649"/>
      <w:r w:rsidRPr="001B3DB3">
        <w:rPr>
          <w:rFonts w:eastAsia="Aptos"/>
          <w:kern w:val="2"/>
          <w:lang w:val="" w:eastAsia="en-US"/>
        </w:rPr>
        <w:t>'</w:t>
      </w:r>
      <w:bookmarkEnd w:id="10"/>
      <w:r w:rsidRPr="001B3DB3">
        <w:rPr>
          <w:rFonts w:eastAsia="Aptos"/>
          <w:kern w:val="2"/>
          <w:lang w:val="" w:eastAsia="en-US"/>
        </w:rPr>
        <w:t xml:space="preserve">s social cohesion, exemplified by the Arunta community's </w:t>
      </w:r>
      <w:r w:rsidR="008C4969" w:rsidRPr="001B3DB3">
        <w:rPr>
          <w:rFonts w:eastAsia="Aptos"/>
          <w:kern w:val="2"/>
          <w:lang w:val="" w:eastAsia="en-US"/>
        </w:rPr>
        <w:t>'</w:t>
      </w:r>
      <w:r w:rsidRPr="001B3DB3">
        <w:rPr>
          <w:rFonts w:eastAsia="Aptos"/>
          <w:kern w:val="2"/>
          <w:lang w:val="" w:eastAsia="en-US"/>
        </w:rPr>
        <w:t>Intichiuma</w:t>
      </w:r>
      <w:r w:rsidR="008C4969" w:rsidRPr="001B3DB3">
        <w:rPr>
          <w:rFonts w:eastAsia="Aptos"/>
          <w:kern w:val="2"/>
          <w:lang w:val="" w:eastAsia="en-US"/>
        </w:rPr>
        <w:t>'</w:t>
      </w:r>
      <w:r w:rsidRPr="001B3DB3">
        <w:rPr>
          <w:rFonts w:eastAsia="Aptos"/>
          <w:kern w:val="2"/>
          <w:lang w:val="" w:eastAsia="en-US"/>
        </w:rPr>
        <w:t xml:space="preserve"> ceremonies, during which sacred rites are conducted to guarantee the reproduction of totemic animals and plants</w:t>
      </w:r>
      <w:r>
        <w:rPr>
          <w:rFonts w:eastAsia="Aptos"/>
          <w:kern w:val="2"/>
          <w:vertAlign w:val="superscript"/>
          <w:lang w:val="" w:eastAsia="en-US"/>
        </w:rPr>
        <w:footnoteReference w:id="5"/>
      </w:r>
      <w:r w:rsidRPr="001B3DB3">
        <w:rPr>
          <w:rFonts w:eastAsia="Aptos"/>
          <w:kern w:val="2"/>
          <w:lang w:val="" w:eastAsia="en-US"/>
        </w:rPr>
        <w:t>. For Durkheim, an Intichiuma ceremony is a socially constructed instrument of worship that transforms plants and animals into totems</w:t>
      </w:r>
      <w:bookmarkStart w:id="11" w:name="_Hlk182233163"/>
      <w:r w:rsidRPr="001B3DB3">
        <w:rPr>
          <w:rFonts w:eastAsia="Aptos"/>
          <w:kern w:val="2"/>
          <w:lang w:val="" w:eastAsia="en-US"/>
        </w:rPr>
        <w:t>—</w:t>
      </w:r>
      <w:bookmarkEnd w:id="11"/>
      <w:r w:rsidRPr="001B3DB3">
        <w:rPr>
          <w:rFonts w:eastAsia="Aptos"/>
          <w:kern w:val="2"/>
          <w:lang w:val="" w:eastAsia="en-US"/>
        </w:rPr>
        <w:t>sacred symbols that enhance collective meaning</w:t>
      </w:r>
      <w:r>
        <w:rPr>
          <w:rFonts w:eastAsia="Aptos"/>
          <w:kern w:val="2"/>
          <w:vertAlign w:val="superscript"/>
          <w:lang w:val="" w:eastAsia="en-US"/>
        </w:rPr>
        <w:footnoteReference w:id="6"/>
      </w:r>
      <w:r w:rsidR="00C11F59" w:rsidRPr="001B3DB3">
        <w:rPr>
          <w:rFonts w:eastAsia="Aptos"/>
          <w:kern w:val="2"/>
          <w:lang w:val="" w:eastAsia="en-US"/>
        </w:rPr>
        <w:t>.</w:t>
      </w:r>
    </w:p>
    <w:p w14:paraId="466327AD" w14:textId="77777777" w:rsidR="009B4667" w:rsidRPr="001B3DB3" w:rsidRDefault="00000000" w:rsidP="009B4667">
      <w:pPr>
        <w:spacing w:after="160" w:line="278" w:lineRule="auto"/>
        <w:rPr>
          <w:rFonts w:eastAsia="Aptos"/>
          <w:kern w:val="2"/>
          <w:lang w:val="" w:eastAsia="en-US"/>
        </w:rPr>
      </w:pPr>
      <w:r w:rsidRPr="001B3DB3">
        <w:rPr>
          <w:rFonts w:eastAsia="Aptos"/>
          <w:kern w:val="2"/>
          <w:lang w:val="" w:eastAsia="en-US"/>
        </w:rPr>
        <w:t xml:space="preserve">This binary opposition provides a framework for the moral and symbolic order of a community, designating sacred spaces as areas of intensified social </w:t>
      </w:r>
      <w:r w:rsidR="00772445" w:rsidRPr="001B3DB3">
        <w:rPr>
          <w:rFonts w:eastAsia="Aptos"/>
          <w:kern w:val="2"/>
          <w:lang w:val="" w:eastAsia="en-US"/>
        </w:rPr>
        <w:t>importance</w:t>
      </w:r>
      <w:r w:rsidRPr="001B3DB3">
        <w:rPr>
          <w:rFonts w:eastAsia="Aptos"/>
          <w:kern w:val="2"/>
          <w:lang w:val="" w:eastAsia="en-US"/>
        </w:rPr>
        <w:t>. Durkheim contends that sanctity is not based on an ontological distinction but is socially produced, serving as a cohesive force within society</w:t>
      </w:r>
      <w:r w:rsidR="00F520B4" w:rsidRPr="001B3DB3">
        <w:rPr>
          <w:rFonts w:eastAsia="Aptos"/>
          <w:kern w:val="2"/>
          <w:lang w:val="" w:eastAsia="en-US"/>
        </w:rPr>
        <w:t xml:space="preserve">. </w:t>
      </w:r>
      <w:r w:rsidR="009874EB" w:rsidRPr="001B3DB3">
        <w:rPr>
          <w:rFonts w:eastAsia="Aptos"/>
          <w:kern w:val="2"/>
          <w:lang w:val="" w:eastAsia="en-US"/>
        </w:rPr>
        <w:t xml:space="preserve">In other words, </w:t>
      </w:r>
      <w:r w:rsidR="00507FA9" w:rsidRPr="001B3DB3">
        <w:rPr>
          <w:rFonts w:eastAsia="Aptos"/>
          <w:kern w:val="2"/>
          <w:lang w:val="" w:eastAsia="en-US"/>
        </w:rPr>
        <w:t xml:space="preserve">communities create </w:t>
      </w:r>
      <w:r w:rsidR="009874EB" w:rsidRPr="001B3DB3">
        <w:rPr>
          <w:rFonts w:eastAsia="Aptos"/>
          <w:kern w:val="2"/>
          <w:lang w:val="" w:eastAsia="en-US"/>
        </w:rPr>
        <w:t>s</w:t>
      </w:r>
      <w:r w:rsidRPr="001B3DB3">
        <w:rPr>
          <w:rFonts w:eastAsia="Aptos"/>
          <w:kern w:val="2"/>
          <w:lang w:val="" w:eastAsia="en-US"/>
        </w:rPr>
        <w:t>paces</w:t>
      </w:r>
      <w:r w:rsidR="00507FA9" w:rsidRPr="001B3DB3">
        <w:rPr>
          <w:rFonts w:eastAsia="Aptos"/>
          <w:kern w:val="2"/>
          <w:lang w:val="" w:eastAsia="en-US"/>
        </w:rPr>
        <w:t xml:space="preserve"> that</w:t>
      </w:r>
      <w:r w:rsidRPr="001B3DB3">
        <w:rPr>
          <w:rFonts w:eastAsia="Aptos"/>
          <w:kern w:val="2"/>
          <w:lang w:val="" w:eastAsia="en-US"/>
        </w:rPr>
        <w:t xml:space="preserve"> are </w:t>
      </w:r>
      <w:r w:rsidR="00507FA9" w:rsidRPr="001B3DB3">
        <w:rPr>
          <w:rFonts w:eastAsia="Aptos"/>
          <w:kern w:val="2"/>
          <w:lang w:val="" w:eastAsia="en-US"/>
        </w:rPr>
        <w:t xml:space="preserve">sanctified or </w:t>
      </w:r>
      <w:r w:rsidRPr="001B3DB3">
        <w:rPr>
          <w:rFonts w:eastAsia="Aptos"/>
          <w:kern w:val="2"/>
          <w:lang w:val="" w:eastAsia="en-US"/>
        </w:rPr>
        <w:t>endowed with the capacity to influence and mould group identity</w:t>
      </w:r>
      <w:r w:rsidR="00DA7D18" w:rsidRPr="001B3DB3">
        <w:rPr>
          <w:rFonts w:eastAsia="Aptos"/>
          <w:kern w:val="2"/>
          <w:lang w:val="" w:eastAsia="en-US"/>
        </w:rPr>
        <w:t xml:space="preserve"> — </w:t>
      </w:r>
      <w:r w:rsidRPr="001B3DB3">
        <w:rPr>
          <w:rFonts w:eastAsia="Aptos"/>
          <w:kern w:val="2"/>
          <w:lang w:val="" w:eastAsia="en-US"/>
        </w:rPr>
        <w:t>areas designated for rituals are deemed sacred solely during the ceremonies; outside these occasions, they revert to being profane, akin to other spaces utilised in daily life.</w:t>
      </w:r>
      <w:r w:rsidR="001B3DB3">
        <w:rPr>
          <w:rFonts w:eastAsia="Aptos"/>
          <w:kern w:val="2"/>
          <w:lang w:val="" w:eastAsia="en-US"/>
        </w:rPr>
        <w:t xml:space="preserve"> </w:t>
      </w:r>
      <w:r w:rsidR="00396540" w:rsidRPr="001B3DB3">
        <w:rPr>
          <w:rFonts w:eastAsia="Aptos"/>
          <w:kern w:val="2"/>
          <w:lang w:val="" w:eastAsia="en-US"/>
        </w:rPr>
        <w:t>H</w:t>
      </w:r>
      <w:r w:rsidR="0041184E" w:rsidRPr="001B3DB3">
        <w:rPr>
          <w:rFonts w:eastAsia="Aptos"/>
          <w:kern w:val="2"/>
          <w:lang w:val="" w:eastAsia="en-US"/>
        </w:rPr>
        <w:t>is</w:t>
      </w:r>
      <w:r w:rsidRPr="001B3DB3">
        <w:rPr>
          <w:rFonts w:eastAsia="Aptos"/>
          <w:kern w:val="2"/>
          <w:lang w:val="" w:eastAsia="en-US"/>
        </w:rPr>
        <w:t xml:space="preserve"> theory</w:t>
      </w:r>
      <w:r w:rsidR="00396540" w:rsidRPr="001B3DB3">
        <w:rPr>
          <w:rFonts w:eastAsia="Aptos"/>
          <w:kern w:val="2"/>
          <w:lang w:val="" w:eastAsia="en-US"/>
        </w:rPr>
        <w:t xml:space="preserve"> is </w:t>
      </w:r>
      <w:r w:rsidRPr="001B3DB3">
        <w:rPr>
          <w:rFonts w:eastAsia="Aptos"/>
          <w:kern w:val="2"/>
          <w:lang w:val="" w:eastAsia="en-US"/>
        </w:rPr>
        <w:t xml:space="preserve">grounded in the dichotomy of the sacred and the profane, </w:t>
      </w:r>
      <w:r w:rsidR="0041184E" w:rsidRPr="001B3DB3">
        <w:rPr>
          <w:rFonts w:eastAsia="Aptos"/>
          <w:kern w:val="2"/>
          <w:lang w:val="" w:eastAsia="en-US"/>
        </w:rPr>
        <w:t xml:space="preserve">Durkheim </w:t>
      </w:r>
      <w:r w:rsidRPr="001B3DB3">
        <w:rPr>
          <w:rFonts w:eastAsia="Aptos"/>
          <w:kern w:val="2"/>
          <w:lang w:val="" w:eastAsia="en-US"/>
        </w:rPr>
        <w:t xml:space="preserve">demonstrates how societies establish boundaries that separate the </w:t>
      </w:r>
      <w:r w:rsidR="0041184E" w:rsidRPr="001B3DB3">
        <w:rPr>
          <w:rFonts w:eastAsia="Aptos"/>
          <w:kern w:val="2"/>
          <w:lang w:val="" w:eastAsia="en-US"/>
        </w:rPr>
        <w:t>profane</w:t>
      </w:r>
      <w:r w:rsidRPr="001B3DB3">
        <w:rPr>
          <w:rFonts w:eastAsia="Aptos"/>
          <w:kern w:val="2"/>
          <w:lang w:val="" w:eastAsia="en-US"/>
        </w:rPr>
        <w:t xml:space="preserve"> realms of work, routine, and pragmatism from the extraordinary, venerated domain of the sacred</w:t>
      </w:r>
      <w:r w:rsidR="00396540" w:rsidRPr="001B3DB3">
        <w:rPr>
          <w:rFonts w:eastAsia="Aptos"/>
          <w:kern w:val="2"/>
          <w:lang w:val="" w:eastAsia="en-US"/>
        </w:rPr>
        <w:t>.</w:t>
      </w:r>
    </w:p>
    <w:p w14:paraId="64F5FA3A" w14:textId="77777777" w:rsidR="009B4667" w:rsidRPr="006A0287" w:rsidRDefault="009B4667" w:rsidP="009B4667">
      <w:pPr>
        <w:spacing w:after="160" w:line="278" w:lineRule="auto"/>
        <w:rPr>
          <w:rFonts w:eastAsia="Aptos"/>
          <w:kern w:val="2"/>
          <w:lang w:val="" w:eastAsia="en-US"/>
        </w:rPr>
      </w:pPr>
    </w:p>
    <w:p w14:paraId="4B8D6FDE" w14:textId="77777777" w:rsidR="009B4667" w:rsidRPr="006A0287" w:rsidRDefault="00000000" w:rsidP="005C2FFD">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t xml:space="preserve">Eliade's Ontological Sacred Space and </w:t>
      </w:r>
      <w:r w:rsidR="005C2FFD" w:rsidRPr="00AB590F">
        <w:rPr>
          <w:rFonts w:ascii="Times New Roman" w:eastAsia="Times New Roman" w:hAnsi="Times New Roman" w:cs="Times New Roman"/>
          <w:b w:val="0"/>
          <w:bCs w:val="0"/>
          <w:i w:val="0"/>
          <w:iCs w:val="0"/>
          <w:kern w:val="2"/>
          <w:sz w:val="32"/>
          <w:szCs w:val="32"/>
          <w:lang w:val="" w:eastAsia="en-US"/>
        </w:rPr>
        <w:t xml:space="preserve">His </w:t>
      </w:r>
      <w:r w:rsidRPr="00AB590F">
        <w:rPr>
          <w:rFonts w:ascii="Times New Roman" w:eastAsia="Times New Roman" w:hAnsi="Times New Roman" w:cs="Times New Roman"/>
          <w:b w:val="0"/>
          <w:bCs w:val="0"/>
          <w:i w:val="0"/>
          <w:iCs w:val="0"/>
          <w:kern w:val="2"/>
          <w:sz w:val="32"/>
          <w:szCs w:val="32"/>
          <w:lang w:val="" w:eastAsia="en-US"/>
        </w:rPr>
        <w:t>Critique of Durkheim</w:t>
      </w:r>
    </w:p>
    <w:p w14:paraId="0C09679A" w14:textId="77777777" w:rsidR="009B4667" w:rsidRPr="006A0287" w:rsidRDefault="00000000" w:rsidP="009B4667">
      <w:pPr>
        <w:spacing w:after="160" w:line="278" w:lineRule="auto"/>
        <w:rPr>
          <w:rFonts w:eastAsia="Aptos"/>
          <w:kern w:val="2"/>
          <w:lang w:val="" w:eastAsia="en-US"/>
        </w:rPr>
      </w:pPr>
      <w:r w:rsidRPr="006A0287">
        <w:rPr>
          <w:rFonts w:eastAsia="Aptos"/>
          <w:kern w:val="2"/>
          <w:lang w:val="" w:eastAsia="en-US"/>
        </w:rPr>
        <w:t>Mircea Eliade's notion of sacred space is a notable divergence from Durkheim</w:t>
      </w:r>
      <w:bookmarkStart w:id="12" w:name="_Hlk182235892"/>
      <w:r w:rsidRPr="006A0287">
        <w:rPr>
          <w:rFonts w:eastAsia="Aptos"/>
          <w:kern w:val="2"/>
          <w:lang w:val="" w:eastAsia="en-US"/>
        </w:rPr>
        <w:t>'</w:t>
      </w:r>
      <w:bookmarkEnd w:id="12"/>
      <w:r w:rsidRPr="006A0287">
        <w:rPr>
          <w:rFonts w:eastAsia="Aptos"/>
          <w:kern w:val="2"/>
          <w:lang w:val="" w:eastAsia="en-US"/>
        </w:rPr>
        <w:t xml:space="preserve">s analysis. In </w:t>
      </w:r>
      <w:r w:rsidR="007D6166" w:rsidRPr="006A0287">
        <w:rPr>
          <w:rFonts w:eastAsia="Aptos"/>
          <w:kern w:val="2"/>
          <w:lang w:val="" w:eastAsia="en-US"/>
        </w:rPr>
        <w:t>'</w:t>
      </w:r>
      <w:r w:rsidRPr="006A0287">
        <w:rPr>
          <w:rFonts w:eastAsia="Aptos"/>
          <w:kern w:val="2"/>
          <w:lang w:val="" w:eastAsia="en-US"/>
        </w:rPr>
        <w:t>The Sacred and the Profane</w:t>
      </w:r>
      <w:r>
        <w:rPr>
          <w:rFonts w:eastAsia="Aptos"/>
          <w:kern w:val="2"/>
          <w:vertAlign w:val="superscript"/>
          <w:lang w:val="" w:eastAsia="en-US"/>
        </w:rPr>
        <w:footnoteReference w:id="7"/>
      </w:r>
      <w:r w:rsidRPr="006A0287">
        <w:rPr>
          <w:rFonts w:eastAsia="Aptos"/>
          <w:kern w:val="2"/>
          <w:lang w:val="" w:eastAsia="en-US"/>
        </w:rPr>
        <w:t>,</w:t>
      </w:r>
      <w:bookmarkStart w:id="14" w:name="_Hlk182236755"/>
      <w:r w:rsidR="007D6166" w:rsidRPr="006A0287">
        <w:rPr>
          <w:rFonts w:eastAsia="Aptos"/>
          <w:kern w:val="2"/>
          <w:lang w:val="" w:eastAsia="en-US"/>
        </w:rPr>
        <w:t xml:space="preserve">' </w:t>
      </w:r>
      <w:bookmarkEnd w:id="14"/>
      <w:r w:rsidRPr="006A0287">
        <w:rPr>
          <w:rFonts w:eastAsia="Aptos"/>
          <w:kern w:val="2"/>
          <w:lang w:val="" w:eastAsia="en-US"/>
        </w:rPr>
        <w:t>Eliade posits that sacred space is grounded in the ontological framework of the cosmos, rather than in social conceptions</w:t>
      </w:r>
      <w:r>
        <w:rPr>
          <w:rFonts w:eastAsia="Aptos"/>
          <w:kern w:val="2"/>
          <w:vertAlign w:val="superscript"/>
          <w:lang w:val="" w:eastAsia="en-US"/>
        </w:rPr>
        <w:footnoteReference w:id="8"/>
      </w:r>
      <w:r w:rsidRPr="006A0287">
        <w:rPr>
          <w:rFonts w:eastAsia="Aptos"/>
          <w:kern w:val="2"/>
          <w:lang w:val="" w:eastAsia="en-US"/>
        </w:rPr>
        <w:t xml:space="preserve">. He </w:t>
      </w:r>
      <w:r w:rsidR="00BF0EB4" w:rsidRPr="006A0287">
        <w:rPr>
          <w:rFonts w:eastAsia="Aptos"/>
          <w:kern w:val="2"/>
          <w:lang w:val="" w:eastAsia="en-US"/>
        </w:rPr>
        <w:t xml:space="preserve">explains </w:t>
      </w:r>
      <w:r w:rsidR="0049644C" w:rsidRPr="006A0287">
        <w:rPr>
          <w:rFonts w:eastAsia="Aptos"/>
          <w:kern w:val="2"/>
          <w:lang w:val="" w:eastAsia="en-US"/>
        </w:rPr>
        <w:t>that,</w:t>
      </w:r>
      <w:r w:rsidRPr="006A0287">
        <w:rPr>
          <w:rFonts w:eastAsia="Aptos"/>
          <w:kern w:val="2"/>
          <w:lang w:val="" w:eastAsia="en-US"/>
        </w:rPr>
        <w:t xml:space="preserve"> </w:t>
      </w:r>
      <w:r w:rsidR="00A256C9" w:rsidRPr="006A0287">
        <w:rPr>
          <w:rFonts w:eastAsia="Aptos"/>
          <w:kern w:val="2"/>
          <w:lang w:val="" w:eastAsia="en-US"/>
        </w:rPr>
        <w:t>f</w:t>
      </w:r>
      <w:r w:rsidRPr="006A0287">
        <w:rPr>
          <w:rFonts w:eastAsia="Aptos"/>
          <w:kern w:val="2"/>
          <w:lang w:val="" w:eastAsia="en-US"/>
        </w:rPr>
        <w:t xml:space="preserve">or </w:t>
      </w:r>
      <w:r w:rsidR="00A256C9" w:rsidRPr="006A0287">
        <w:rPr>
          <w:rFonts w:eastAsia="Aptos"/>
          <w:kern w:val="2"/>
          <w:lang w:val="" w:eastAsia="en-US"/>
        </w:rPr>
        <w:t>one who is religious, the concept of space is not uniform</w:t>
      </w:r>
      <w:r w:rsidR="0049644C" w:rsidRPr="006A0287">
        <w:rPr>
          <w:rFonts w:eastAsia="Aptos"/>
          <w:kern w:val="2"/>
          <w:lang w:val="" w:eastAsia="en-US"/>
        </w:rPr>
        <w:t xml:space="preserve">, and there exists a </w:t>
      </w:r>
      <w:r w:rsidR="00A256C9" w:rsidRPr="006A0287">
        <w:rPr>
          <w:rFonts w:eastAsia="Aptos"/>
          <w:kern w:val="2"/>
          <w:lang w:val="" w:eastAsia="en-US"/>
        </w:rPr>
        <w:t xml:space="preserve">fixed point </w:t>
      </w:r>
      <w:r w:rsidR="0049644C" w:rsidRPr="006A0287">
        <w:rPr>
          <w:rFonts w:eastAsia="Aptos"/>
          <w:kern w:val="2"/>
          <w:lang w:val="" w:eastAsia="en-US"/>
        </w:rPr>
        <w:t xml:space="preserve">— or a </w:t>
      </w:r>
      <w:r w:rsidR="00A256C9" w:rsidRPr="006A0287">
        <w:rPr>
          <w:rFonts w:eastAsia="Aptos"/>
          <w:kern w:val="2"/>
          <w:lang w:val="" w:eastAsia="en-US"/>
        </w:rPr>
        <w:t>centre</w:t>
      </w:r>
      <w:r>
        <w:rPr>
          <w:rFonts w:eastAsia="Aptos"/>
          <w:kern w:val="2"/>
          <w:vertAlign w:val="superscript"/>
          <w:lang w:val="" w:eastAsia="en-US"/>
        </w:rPr>
        <w:footnoteReference w:id="9"/>
      </w:r>
      <w:r w:rsidR="0049644C" w:rsidRPr="006A0287">
        <w:rPr>
          <w:rFonts w:eastAsia="Aptos"/>
          <w:kern w:val="2"/>
          <w:lang w:val="" w:eastAsia="en-US"/>
        </w:rPr>
        <w:t xml:space="preserve">. </w:t>
      </w:r>
      <w:r w:rsidR="00EB0D63" w:rsidRPr="006A0287">
        <w:rPr>
          <w:rFonts w:eastAsia="Aptos"/>
          <w:kern w:val="2"/>
          <w:lang w:val="" w:eastAsia="en-US"/>
        </w:rPr>
        <w:t>Furthermore, t</w:t>
      </w:r>
      <w:r w:rsidRPr="006A0287">
        <w:rPr>
          <w:rFonts w:eastAsia="Aptos"/>
          <w:kern w:val="2"/>
          <w:lang w:val="" w:eastAsia="en-US"/>
        </w:rPr>
        <w:t xml:space="preserve">his </w:t>
      </w:r>
      <w:r w:rsidR="00EB0D63" w:rsidRPr="006A0287">
        <w:rPr>
          <w:rFonts w:eastAsia="Aptos"/>
          <w:kern w:val="2"/>
          <w:lang w:val="" w:eastAsia="en-US"/>
        </w:rPr>
        <w:t xml:space="preserve">' </w:t>
      </w:r>
      <w:r w:rsidRPr="006A0287">
        <w:rPr>
          <w:rFonts w:eastAsia="Aptos"/>
          <w:kern w:val="2"/>
          <w:lang w:val="" w:eastAsia="en-US"/>
        </w:rPr>
        <w:t>centre</w:t>
      </w:r>
      <w:r w:rsidR="00EB0D63" w:rsidRPr="006A0287">
        <w:rPr>
          <w:rFonts w:eastAsia="Aptos"/>
          <w:kern w:val="2"/>
          <w:lang w:val="" w:eastAsia="en-US"/>
        </w:rPr>
        <w:t>’ is</w:t>
      </w:r>
      <w:r w:rsidRPr="006A0287">
        <w:rPr>
          <w:rFonts w:eastAsia="Aptos"/>
          <w:kern w:val="2"/>
          <w:lang w:val="" w:eastAsia="en-US"/>
        </w:rPr>
        <w:t xml:space="preserve"> not a social designation, as Durkheim suggests, but rather an </w:t>
      </w:r>
      <w:r w:rsidR="00EB0D63" w:rsidRPr="006A0287">
        <w:rPr>
          <w:rFonts w:eastAsia="Aptos"/>
          <w:kern w:val="2"/>
          <w:lang w:val="" w:eastAsia="en-US"/>
        </w:rPr>
        <w:t xml:space="preserve">' </w:t>
      </w:r>
      <w:r w:rsidRPr="006A0287">
        <w:rPr>
          <w:rFonts w:eastAsia="Aptos"/>
          <w:kern w:val="2"/>
          <w:lang w:val="" w:eastAsia="en-US"/>
        </w:rPr>
        <w:t>axis mundi</w:t>
      </w:r>
      <w:r w:rsidR="00EB0D63" w:rsidRPr="006A0287">
        <w:rPr>
          <w:rFonts w:eastAsia="Aptos"/>
          <w:kern w:val="2"/>
          <w:lang w:val="" w:eastAsia="en-US"/>
        </w:rPr>
        <w:t xml:space="preserve">' </w:t>
      </w:r>
      <w:r w:rsidRPr="006A0287">
        <w:rPr>
          <w:rFonts w:eastAsia="Aptos"/>
          <w:kern w:val="2"/>
          <w:lang w:val="" w:eastAsia="en-US"/>
        </w:rPr>
        <w:t>—a metaphysical point that anchors existence and offers orientation for human activity</w:t>
      </w:r>
      <w:r>
        <w:rPr>
          <w:rFonts w:eastAsia="Aptos"/>
          <w:kern w:val="2"/>
          <w:vertAlign w:val="superscript"/>
          <w:lang w:val="" w:eastAsia="en-US"/>
        </w:rPr>
        <w:footnoteReference w:id="10"/>
      </w:r>
      <w:r w:rsidRPr="006A0287">
        <w:rPr>
          <w:rFonts w:eastAsia="Aptos"/>
          <w:kern w:val="2"/>
          <w:lang w:val="" w:eastAsia="en-US"/>
        </w:rPr>
        <w:t>.</w:t>
      </w:r>
    </w:p>
    <w:p w14:paraId="5FD82B27" w14:textId="77777777" w:rsidR="009237A7" w:rsidRPr="006A0287" w:rsidRDefault="00000000" w:rsidP="009B4667">
      <w:pPr>
        <w:spacing w:after="160" w:line="278" w:lineRule="auto"/>
        <w:rPr>
          <w:rFonts w:eastAsia="Aptos"/>
          <w:kern w:val="2"/>
          <w:lang w:val="" w:eastAsia="en-US"/>
        </w:rPr>
      </w:pPr>
      <w:r w:rsidRPr="006A0287">
        <w:rPr>
          <w:rFonts w:eastAsia="Aptos"/>
          <w:kern w:val="2"/>
          <w:lang w:val="" w:eastAsia="en-US"/>
        </w:rPr>
        <w:lastRenderedPageBreak/>
        <w:t xml:space="preserve">Eliade's concept of the axis mundi delineates a symbolic centre that links the </w:t>
      </w:r>
      <w:r w:rsidR="00026985" w:rsidRPr="006A0287">
        <w:rPr>
          <w:rFonts w:eastAsia="Aptos"/>
          <w:kern w:val="2"/>
          <w:lang w:val="" w:eastAsia="en-US"/>
        </w:rPr>
        <w:t>sacred and the profane</w:t>
      </w:r>
      <w:r w:rsidRPr="006A0287">
        <w:rPr>
          <w:rFonts w:eastAsia="Aptos"/>
          <w:kern w:val="2"/>
          <w:lang w:val="" w:eastAsia="en-US"/>
        </w:rPr>
        <w:t xml:space="preserve">, </w:t>
      </w:r>
      <w:r w:rsidR="00026985" w:rsidRPr="006A0287">
        <w:rPr>
          <w:rFonts w:eastAsia="Aptos"/>
          <w:kern w:val="2"/>
          <w:lang w:val="" w:eastAsia="en-US"/>
        </w:rPr>
        <w:t>almost as a portal</w:t>
      </w:r>
      <w:r w:rsidRPr="006A0287">
        <w:rPr>
          <w:rFonts w:eastAsia="Aptos"/>
          <w:kern w:val="2"/>
          <w:lang w:val="" w:eastAsia="en-US"/>
        </w:rPr>
        <w:t>, enabling interaction between the divine and human domains. Mount Meru in Hindu cosmology</w:t>
      </w:r>
      <w:r w:rsidR="00063A39" w:rsidRPr="006A0287">
        <w:rPr>
          <w:rFonts w:eastAsia="Aptos"/>
          <w:kern w:val="2"/>
          <w:lang w:val="" w:eastAsia="en-US"/>
        </w:rPr>
        <w:t xml:space="preserve"> for example</w:t>
      </w:r>
      <w:r w:rsidRPr="006A0287">
        <w:rPr>
          <w:rFonts w:eastAsia="Aptos"/>
          <w:kern w:val="2"/>
          <w:lang w:val="" w:eastAsia="en-US"/>
        </w:rPr>
        <w:t xml:space="preserve"> and Mount Sinai in Judeo-Christian faiths exhibit this concept, functioning as pivotal sites for spiritual engagement</w:t>
      </w:r>
      <w:r>
        <w:rPr>
          <w:rFonts w:eastAsia="Aptos"/>
          <w:kern w:val="2"/>
          <w:vertAlign w:val="superscript"/>
          <w:lang w:val="" w:eastAsia="en-US"/>
        </w:rPr>
        <w:footnoteReference w:id="11"/>
      </w:r>
      <w:r w:rsidRPr="006A0287">
        <w:rPr>
          <w:rFonts w:eastAsia="Aptos"/>
          <w:kern w:val="2"/>
          <w:lang w:val="" w:eastAsia="en-US"/>
        </w:rPr>
        <w:t>. According to Eliade, such locations are regarded as intrinsically sacred</w:t>
      </w:r>
      <w:r w:rsidR="00482F05" w:rsidRPr="006A0287">
        <w:rPr>
          <w:rFonts w:eastAsia="Aptos"/>
          <w:kern w:val="2"/>
          <w:lang w:val="" w:eastAsia="en-US"/>
        </w:rPr>
        <w:t xml:space="preserve"> as they</w:t>
      </w:r>
      <w:r w:rsidRPr="006A0287">
        <w:rPr>
          <w:rFonts w:eastAsia="Aptos"/>
          <w:kern w:val="2"/>
          <w:lang w:val="" w:eastAsia="en-US"/>
        </w:rPr>
        <w:t xml:space="preserve"> offe</w:t>
      </w:r>
      <w:r w:rsidR="00482F05" w:rsidRPr="006A0287">
        <w:rPr>
          <w:rFonts w:eastAsia="Aptos"/>
          <w:kern w:val="2"/>
          <w:lang w:val="" w:eastAsia="en-US"/>
        </w:rPr>
        <w:t>r</w:t>
      </w:r>
      <w:r w:rsidRPr="006A0287">
        <w:rPr>
          <w:rFonts w:eastAsia="Aptos"/>
          <w:kern w:val="2"/>
          <w:lang w:val="" w:eastAsia="en-US"/>
        </w:rPr>
        <w:t xml:space="preserve"> a direct link to the divine and embody a cosmic order that </w:t>
      </w:r>
      <w:r w:rsidR="00CA5F87" w:rsidRPr="006A0287">
        <w:rPr>
          <w:rFonts w:eastAsia="Aptos"/>
          <w:kern w:val="2"/>
          <w:lang w:val="" w:eastAsia="en-US"/>
        </w:rPr>
        <w:t xml:space="preserve">is </w:t>
      </w:r>
      <w:r w:rsidRPr="006A0287">
        <w:rPr>
          <w:rFonts w:eastAsia="Aptos"/>
          <w:kern w:val="2"/>
          <w:lang w:val="" w:eastAsia="en-US"/>
        </w:rPr>
        <w:t xml:space="preserve">beyond human social frameworks. </w:t>
      </w:r>
    </w:p>
    <w:p w14:paraId="02FC5774" w14:textId="77777777" w:rsidR="009B4667" w:rsidRPr="006A0287" w:rsidRDefault="00000000" w:rsidP="009B4667">
      <w:pPr>
        <w:spacing w:after="160" w:line="278" w:lineRule="auto"/>
        <w:rPr>
          <w:rFonts w:eastAsia="Aptos"/>
          <w:kern w:val="2"/>
          <w:lang w:val="" w:eastAsia="en-US"/>
        </w:rPr>
      </w:pPr>
      <w:r w:rsidRPr="006A0287">
        <w:rPr>
          <w:rFonts w:eastAsia="Aptos"/>
          <w:kern w:val="2"/>
          <w:lang w:val="" w:eastAsia="en-US"/>
        </w:rPr>
        <w:t xml:space="preserve">Through his holy-profane dichotomy, Eliade </w:t>
      </w:r>
      <w:r w:rsidR="009237A7" w:rsidRPr="006A0287">
        <w:rPr>
          <w:rFonts w:eastAsia="Aptos"/>
          <w:kern w:val="2"/>
          <w:lang w:val="" w:eastAsia="en-US"/>
        </w:rPr>
        <w:t xml:space="preserve">offers </w:t>
      </w:r>
      <w:r w:rsidRPr="006A0287">
        <w:rPr>
          <w:rFonts w:eastAsia="Aptos"/>
          <w:kern w:val="2"/>
          <w:lang w:val="" w:eastAsia="en-US"/>
        </w:rPr>
        <w:t xml:space="preserve">sacred </w:t>
      </w:r>
      <w:r w:rsidR="009237A7" w:rsidRPr="006A0287">
        <w:rPr>
          <w:rFonts w:eastAsia="Aptos"/>
          <w:kern w:val="2"/>
          <w:lang w:val="" w:eastAsia="en-US"/>
        </w:rPr>
        <w:t xml:space="preserve">space as </w:t>
      </w:r>
      <w:r w:rsidRPr="006A0287">
        <w:rPr>
          <w:rFonts w:eastAsia="Aptos"/>
          <w:kern w:val="2"/>
          <w:lang w:val="" w:eastAsia="en-US"/>
        </w:rPr>
        <w:t xml:space="preserve">an incursion of </w:t>
      </w:r>
      <w:r w:rsidR="009237A7" w:rsidRPr="006A0287">
        <w:rPr>
          <w:rFonts w:eastAsia="Aptos"/>
          <w:kern w:val="2"/>
          <w:lang w:val="" w:eastAsia="en-US"/>
        </w:rPr>
        <w:t>divine</w:t>
      </w:r>
      <w:r w:rsidRPr="006A0287">
        <w:rPr>
          <w:rFonts w:eastAsia="Aptos"/>
          <w:kern w:val="2"/>
          <w:lang w:val="" w:eastAsia="en-US"/>
        </w:rPr>
        <w:t xml:space="preserve"> reality into the profane, realm. He </w:t>
      </w:r>
      <w:r w:rsidR="006A4749" w:rsidRPr="006A0287">
        <w:rPr>
          <w:rFonts w:eastAsia="Aptos"/>
          <w:kern w:val="2"/>
          <w:lang w:val="" w:eastAsia="en-US"/>
        </w:rPr>
        <w:t>identifies</w:t>
      </w:r>
      <w:r w:rsidRPr="006A0287">
        <w:rPr>
          <w:rFonts w:eastAsia="Aptos"/>
          <w:kern w:val="2"/>
          <w:lang w:val="" w:eastAsia="en-US"/>
        </w:rPr>
        <w:t xml:space="preserve"> sacred space as a</w:t>
      </w:r>
      <w:r w:rsidR="006A4749" w:rsidRPr="006A0287">
        <w:rPr>
          <w:rFonts w:eastAsia="Aptos"/>
          <w:kern w:val="2"/>
          <w:lang w:val="" w:eastAsia="en-US"/>
        </w:rPr>
        <w:t xml:space="preserve"> '</w:t>
      </w:r>
      <w:r w:rsidRPr="006A0287">
        <w:rPr>
          <w:rFonts w:eastAsia="Aptos"/>
          <w:kern w:val="2"/>
          <w:lang w:val="" w:eastAsia="en-US"/>
        </w:rPr>
        <w:t>hierophany</w:t>
      </w:r>
      <w:r w:rsidR="002116D5" w:rsidRPr="006A0287">
        <w:rPr>
          <w:rFonts w:eastAsia="Aptos"/>
          <w:kern w:val="2"/>
          <w:lang w:val="" w:eastAsia="en-US"/>
        </w:rPr>
        <w:t>’ or</w:t>
      </w:r>
      <w:r w:rsidRPr="006A0287">
        <w:rPr>
          <w:rFonts w:eastAsia="Aptos"/>
          <w:kern w:val="2"/>
          <w:lang w:val="" w:eastAsia="en-US"/>
        </w:rPr>
        <w:t xml:space="preserve"> </w:t>
      </w:r>
      <w:r w:rsidR="00312EBA" w:rsidRPr="006A0287">
        <w:rPr>
          <w:rFonts w:eastAsia="Aptos"/>
          <w:kern w:val="2"/>
          <w:lang w:val="" w:eastAsia="en-US"/>
        </w:rPr>
        <w:t xml:space="preserve">a </w:t>
      </w:r>
      <w:r w:rsidR="007F06A4" w:rsidRPr="006A0287">
        <w:rPr>
          <w:rFonts w:eastAsia="Aptos"/>
          <w:kern w:val="2"/>
          <w:lang w:val="" w:eastAsia="en-US"/>
        </w:rPr>
        <w:t>'</w:t>
      </w:r>
      <w:r w:rsidRPr="006A0287">
        <w:rPr>
          <w:rFonts w:eastAsia="Aptos"/>
          <w:kern w:val="2"/>
          <w:lang w:val="" w:eastAsia="en-US"/>
        </w:rPr>
        <w:t>manifestation of the sacred,</w:t>
      </w:r>
      <w:r w:rsidR="00312EBA" w:rsidRPr="006A0287">
        <w:rPr>
          <w:rFonts w:eastAsia="Aptos"/>
          <w:kern w:val="2"/>
          <w:lang w:val="" w:eastAsia="en-US"/>
        </w:rPr>
        <w:t>'</w:t>
      </w:r>
      <w:r w:rsidR="006E44D3" w:rsidRPr="006A0287">
        <w:rPr>
          <w:rFonts w:eastAsia="Aptos"/>
          <w:kern w:val="2"/>
          <w:lang w:val="" w:eastAsia="en-US"/>
        </w:rPr>
        <w:t xml:space="preserve"> </w:t>
      </w:r>
      <w:r w:rsidR="00312EBA" w:rsidRPr="006A0287">
        <w:rPr>
          <w:rFonts w:eastAsia="Aptos"/>
          <w:kern w:val="2"/>
          <w:lang w:val="" w:eastAsia="en-US"/>
        </w:rPr>
        <w:t xml:space="preserve">by </w:t>
      </w:r>
      <w:r w:rsidRPr="006A0287">
        <w:rPr>
          <w:rFonts w:eastAsia="Aptos"/>
          <w:kern w:val="2"/>
          <w:lang w:val="" w:eastAsia="en-US"/>
        </w:rPr>
        <w:t>challeng</w:t>
      </w:r>
      <w:r w:rsidR="00312EBA" w:rsidRPr="006A0287">
        <w:rPr>
          <w:rFonts w:eastAsia="Aptos"/>
          <w:kern w:val="2"/>
          <w:lang w:val="" w:eastAsia="en-US"/>
        </w:rPr>
        <w:t xml:space="preserve">ing </w:t>
      </w:r>
      <w:r w:rsidRPr="006A0287">
        <w:rPr>
          <w:rFonts w:eastAsia="Aptos"/>
          <w:kern w:val="2"/>
          <w:lang w:val="" w:eastAsia="en-US"/>
        </w:rPr>
        <w:t>Durkheim's perspective of holiness as a simple social construct by anchoring it in the ontological framework of the cosmos</w:t>
      </w:r>
      <w:r>
        <w:rPr>
          <w:rFonts w:eastAsia="Aptos"/>
          <w:kern w:val="2"/>
          <w:vertAlign w:val="superscript"/>
          <w:lang w:val="" w:eastAsia="en-US"/>
        </w:rPr>
        <w:footnoteReference w:id="12"/>
      </w:r>
      <w:r w:rsidRPr="006A0287">
        <w:rPr>
          <w:rFonts w:eastAsia="Aptos"/>
          <w:kern w:val="2"/>
          <w:lang w:val="" w:eastAsia="en-US"/>
        </w:rPr>
        <w:t xml:space="preserve">. Eliade references Rudolf Otto's concept of the sacred as the mysterium tremendum—the </w:t>
      </w:r>
      <w:r w:rsidR="00826712" w:rsidRPr="006A0287">
        <w:rPr>
          <w:rFonts w:eastAsia="Aptos"/>
          <w:kern w:val="2"/>
          <w:lang w:val="" w:eastAsia="en-US"/>
        </w:rPr>
        <w:t xml:space="preserve">' </w:t>
      </w:r>
      <w:r w:rsidRPr="006A0287">
        <w:rPr>
          <w:rFonts w:eastAsia="Aptos"/>
          <w:kern w:val="2"/>
          <w:lang w:val="" w:eastAsia="en-US"/>
        </w:rPr>
        <w:t>wholly other,</w:t>
      </w:r>
      <w:r w:rsidR="0016012F" w:rsidRPr="006A0287">
        <w:rPr>
          <w:rFonts w:eastAsia="Aptos"/>
          <w:kern w:val="2"/>
          <w:lang w:val="" w:eastAsia="en-US"/>
        </w:rPr>
        <w:t>’ a</w:t>
      </w:r>
      <w:r w:rsidRPr="006A0287">
        <w:rPr>
          <w:rFonts w:eastAsia="Aptos"/>
          <w:kern w:val="2"/>
          <w:lang w:val="" w:eastAsia="en-US"/>
        </w:rPr>
        <w:t xml:space="preserve"> transcendent power beyond human rationalisation and irreducible to social purpose</w:t>
      </w:r>
      <w:r>
        <w:rPr>
          <w:rFonts w:eastAsia="Aptos"/>
          <w:kern w:val="2"/>
          <w:vertAlign w:val="superscript"/>
          <w:lang w:val="" w:eastAsia="en-US"/>
        </w:rPr>
        <w:footnoteReference w:id="13"/>
      </w:r>
      <w:r w:rsidRPr="006A0287">
        <w:rPr>
          <w:rFonts w:eastAsia="Aptos"/>
          <w:kern w:val="2"/>
          <w:lang w:val="" w:eastAsia="en-US"/>
        </w:rPr>
        <w:t>.</w:t>
      </w:r>
    </w:p>
    <w:p w14:paraId="25B3C047" w14:textId="77777777" w:rsidR="009B4667" w:rsidRDefault="00000000" w:rsidP="009B4667">
      <w:pPr>
        <w:spacing w:after="160" w:line="278" w:lineRule="auto"/>
        <w:rPr>
          <w:rFonts w:eastAsia="Aptos"/>
          <w:kern w:val="2"/>
          <w:lang w:val="" w:eastAsia="en-US"/>
        </w:rPr>
      </w:pPr>
      <w:r w:rsidRPr="006A0287">
        <w:rPr>
          <w:rFonts w:eastAsia="Aptos"/>
          <w:kern w:val="2"/>
          <w:lang w:val="" w:eastAsia="en-US"/>
        </w:rPr>
        <w:t>Eliade underscores the significance of rituals that replicate mythical occurrences, enabling p</w:t>
      </w:r>
      <w:r w:rsidR="0016012F" w:rsidRPr="006A0287">
        <w:rPr>
          <w:rFonts w:eastAsia="Aptos"/>
          <w:kern w:val="2"/>
          <w:lang w:val="" w:eastAsia="en-US"/>
        </w:rPr>
        <w:t>eople</w:t>
      </w:r>
      <w:r w:rsidRPr="006A0287">
        <w:rPr>
          <w:rFonts w:eastAsia="Aptos"/>
          <w:kern w:val="2"/>
          <w:lang w:val="" w:eastAsia="en-US"/>
        </w:rPr>
        <w:t xml:space="preserve"> to connect with the divine. The Hindu celebration of Diwali exemplifies the victory of light over darkness, similar to the manner in which other cultures globally engage in symbolic rituals to seek divine guidance for their communities. Eliade critiques Durkheim by rejecting the sociological reductionism that limits sacredness to its social purpose. He reinterprets sacred space as ontologically authentic and cosmically grounded.</w:t>
      </w:r>
    </w:p>
    <w:p w14:paraId="7BE4340A" w14:textId="77777777" w:rsidR="006A0287" w:rsidRPr="006A0287" w:rsidRDefault="006A0287" w:rsidP="009B4667">
      <w:pPr>
        <w:spacing w:after="160" w:line="278" w:lineRule="auto"/>
        <w:rPr>
          <w:rFonts w:eastAsia="Aptos"/>
          <w:kern w:val="2"/>
          <w:lang w:val="" w:eastAsia="en-US"/>
        </w:rPr>
      </w:pPr>
    </w:p>
    <w:p w14:paraId="7CAD6914" w14:textId="77777777" w:rsidR="009B4667" w:rsidRPr="006A0287" w:rsidRDefault="00000000" w:rsidP="006A0287">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t>A Comparative Analysis of Durkheim and Eliade on Sacred Space</w:t>
      </w:r>
    </w:p>
    <w:p w14:paraId="23A51170" w14:textId="77777777" w:rsidR="00BB4F5F" w:rsidRPr="00CB18E6" w:rsidRDefault="00000000" w:rsidP="009B4667">
      <w:pPr>
        <w:spacing w:after="160" w:line="278" w:lineRule="auto"/>
        <w:rPr>
          <w:rFonts w:eastAsia="Aptos"/>
          <w:kern w:val="2"/>
          <w:lang w:val="" w:eastAsia="en-US"/>
        </w:rPr>
      </w:pPr>
      <w:r w:rsidRPr="00CB18E6">
        <w:rPr>
          <w:rFonts w:eastAsia="Aptos"/>
          <w:kern w:val="2"/>
          <w:lang w:val="" w:eastAsia="en-US"/>
        </w:rPr>
        <w:t>The perspectives</w:t>
      </w:r>
      <w:r w:rsidR="009B4667" w:rsidRPr="00CB18E6">
        <w:rPr>
          <w:rFonts w:eastAsia="Aptos"/>
          <w:kern w:val="2"/>
          <w:lang w:val="" w:eastAsia="en-US"/>
        </w:rPr>
        <w:t xml:space="preserve"> of Émile Durkheim and Mircea Eliade on sacred space initially reveal differing epistemological and methodological frameworks for comprehending religious events. Durkheim locates the sacred inside the collective social </w:t>
      </w:r>
      <w:r w:rsidRPr="00CB18E6">
        <w:rPr>
          <w:rFonts w:eastAsia="Aptos"/>
          <w:kern w:val="2"/>
          <w:lang w:val="" w:eastAsia="en-US"/>
        </w:rPr>
        <w:t>manifestation</w:t>
      </w:r>
      <w:r w:rsidR="009B4667" w:rsidRPr="00CB18E6">
        <w:rPr>
          <w:rFonts w:eastAsia="Aptos"/>
          <w:kern w:val="2"/>
          <w:lang w:val="" w:eastAsia="en-US"/>
        </w:rPr>
        <w:t xml:space="preserve">, whereas Eliade establishes it in an ontological reality that surpasses the human domain. </w:t>
      </w:r>
      <w:r w:rsidRPr="00CB18E6">
        <w:rPr>
          <w:rFonts w:eastAsia="Aptos"/>
          <w:kern w:val="2"/>
          <w:lang w:val="" w:eastAsia="en-US"/>
        </w:rPr>
        <w:t xml:space="preserve">The </w:t>
      </w:r>
      <w:r w:rsidR="009B4667" w:rsidRPr="00CB18E6">
        <w:rPr>
          <w:rFonts w:eastAsia="Aptos"/>
          <w:kern w:val="2"/>
          <w:lang w:val="" w:eastAsia="en-US"/>
        </w:rPr>
        <w:t>fundamental difference between Durkheim</w:t>
      </w:r>
      <w:bookmarkStart w:id="16" w:name="_Hlk182304209"/>
      <w:r w:rsidR="009B4667" w:rsidRPr="00CB18E6">
        <w:rPr>
          <w:rFonts w:eastAsia="Aptos"/>
          <w:kern w:val="2"/>
          <w:lang w:val="" w:eastAsia="en-US"/>
        </w:rPr>
        <w:t>'</w:t>
      </w:r>
      <w:bookmarkEnd w:id="16"/>
      <w:r w:rsidR="009B4667" w:rsidRPr="00CB18E6">
        <w:rPr>
          <w:rFonts w:eastAsia="Aptos"/>
          <w:kern w:val="2"/>
          <w:lang w:val="" w:eastAsia="en-US"/>
        </w:rPr>
        <w:t>s and Eliade's ideas is in their interpretation of sacred space as either socially constructed or ontologically independent.</w:t>
      </w:r>
    </w:p>
    <w:p w14:paraId="0E9AC231" w14:textId="77777777" w:rsidR="009B4667" w:rsidRPr="00CB18E6" w:rsidRDefault="00000000" w:rsidP="009B4667">
      <w:pPr>
        <w:spacing w:after="160" w:line="278" w:lineRule="auto"/>
        <w:rPr>
          <w:rFonts w:eastAsia="Aptos"/>
          <w:kern w:val="2"/>
          <w:lang w:val="" w:eastAsia="en-US"/>
        </w:rPr>
      </w:pPr>
      <w:r w:rsidRPr="00CB18E6">
        <w:rPr>
          <w:rFonts w:eastAsia="Aptos"/>
          <w:kern w:val="2"/>
          <w:lang w:val="" w:eastAsia="en-US"/>
        </w:rPr>
        <w:t xml:space="preserve">Durkheim's approach is based on sociological reductionism, which perceives the sacred </w:t>
      </w:r>
      <w:r w:rsidR="00BB4F5F" w:rsidRPr="00CB18E6">
        <w:rPr>
          <w:rFonts w:eastAsia="Aptos"/>
          <w:kern w:val="2"/>
          <w:lang w:val="" w:eastAsia="en-US"/>
        </w:rPr>
        <w:t>because of</w:t>
      </w:r>
      <w:r w:rsidRPr="00CB18E6">
        <w:rPr>
          <w:rFonts w:eastAsia="Aptos"/>
          <w:kern w:val="2"/>
          <w:lang w:val="" w:eastAsia="en-US"/>
        </w:rPr>
        <w:t xml:space="preserve"> human society, lacking existence beyond the context of social behaviours. Should the social processes terminate, the sacrality of the area would likewise dissipate.  Durkheim’s example of Australian totemic clans demonstrates that </w:t>
      </w:r>
      <w:r w:rsidR="00BB4F5F" w:rsidRPr="00CB18E6">
        <w:rPr>
          <w:rFonts w:eastAsia="Aptos"/>
          <w:kern w:val="2"/>
          <w:lang w:val="" w:eastAsia="en-US"/>
        </w:rPr>
        <w:t xml:space="preserve">these </w:t>
      </w:r>
      <w:r w:rsidRPr="00CB18E6">
        <w:rPr>
          <w:rFonts w:eastAsia="Aptos"/>
          <w:kern w:val="2"/>
          <w:lang w:val="" w:eastAsia="en-US"/>
        </w:rPr>
        <w:t>spaces—designated sites for clan rituals—serve a unifying purpose, enhancing the collective consciousness of the clan</w:t>
      </w:r>
      <w:r>
        <w:rPr>
          <w:rFonts w:eastAsia="Aptos"/>
          <w:kern w:val="2"/>
          <w:vertAlign w:val="superscript"/>
          <w:lang w:val="" w:eastAsia="en-US"/>
        </w:rPr>
        <w:footnoteReference w:id="14"/>
      </w:r>
      <w:r w:rsidRPr="00CB18E6">
        <w:rPr>
          <w:rFonts w:eastAsia="Aptos"/>
          <w:kern w:val="2"/>
          <w:lang w:val="" w:eastAsia="en-US"/>
        </w:rPr>
        <w:t>. Sacred spaces possess significance solely within the framework of their social function; they lack inherent value independent of the social acts that sanctify them.</w:t>
      </w:r>
    </w:p>
    <w:p w14:paraId="621896BC" w14:textId="77777777" w:rsidR="009B4667" w:rsidRPr="00CB18E6" w:rsidRDefault="00000000" w:rsidP="009B4667">
      <w:pPr>
        <w:spacing w:after="160" w:line="278" w:lineRule="auto"/>
        <w:rPr>
          <w:rFonts w:eastAsia="Aptos"/>
          <w:kern w:val="2"/>
          <w:lang w:val="" w:eastAsia="en-US"/>
        </w:rPr>
      </w:pPr>
      <w:r w:rsidRPr="00CB18E6">
        <w:rPr>
          <w:rFonts w:eastAsia="Aptos"/>
          <w:kern w:val="2"/>
          <w:lang w:val="" w:eastAsia="en-US"/>
        </w:rPr>
        <w:lastRenderedPageBreak/>
        <w:t xml:space="preserve">Eliade's phenomenological perspective </w:t>
      </w:r>
      <w:r w:rsidR="007F3810" w:rsidRPr="00CB18E6">
        <w:rPr>
          <w:rFonts w:eastAsia="Aptos"/>
          <w:kern w:val="2"/>
          <w:lang w:val="" w:eastAsia="en-US"/>
        </w:rPr>
        <w:t>interprets</w:t>
      </w:r>
      <w:r w:rsidRPr="00CB18E6">
        <w:rPr>
          <w:rFonts w:eastAsia="Aptos"/>
          <w:kern w:val="2"/>
          <w:lang w:val="" w:eastAsia="en-US"/>
        </w:rPr>
        <w:t xml:space="preserve"> sacred space as an a priori reality that asserts itself onto human experience</w:t>
      </w:r>
      <w:r w:rsidR="007F3810" w:rsidRPr="00CB18E6">
        <w:rPr>
          <w:rFonts w:eastAsia="Aptos"/>
          <w:kern w:val="2"/>
          <w:lang w:val="" w:eastAsia="en-US"/>
        </w:rPr>
        <w:t>, not the other way around</w:t>
      </w:r>
      <w:r>
        <w:rPr>
          <w:rFonts w:eastAsia="Aptos"/>
          <w:kern w:val="2"/>
          <w:vertAlign w:val="superscript"/>
          <w:lang w:val="" w:eastAsia="en-US"/>
        </w:rPr>
        <w:footnoteReference w:id="15"/>
      </w:r>
      <w:r w:rsidRPr="00CB18E6">
        <w:rPr>
          <w:rFonts w:eastAsia="Aptos"/>
          <w:kern w:val="2"/>
          <w:lang w:val="" w:eastAsia="en-US"/>
        </w:rPr>
        <w:t>. Eliade maintains that the sacred is not contingent upon common agreement; it exists autonomously and manifests through hierophanies</w:t>
      </w:r>
      <w:r>
        <w:rPr>
          <w:rFonts w:eastAsia="Aptos"/>
          <w:kern w:val="2"/>
          <w:vertAlign w:val="superscript"/>
          <w:lang w:val="" w:eastAsia="en-US"/>
        </w:rPr>
        <w:footnoteReference w:id="16"/>
      </w:r>
      <w:r w:rsidRPr="00CB18E6">
        <w:rPr>
          <w:rFonts w:eastAsia="Aptos"/>
          <w:kern w:val="2"/>
          <w:lang w:val="" w:eastAsia="en-US"/>
        </w:rPr>
        <w:t xml:space="preserve">. This perspective permits the interpretation of sacred spaces as sites of phenomenological disruption, where the </w:t>
      </w:r>
      <w:r w:rsidR="00EF5CE9" w:rsidRPr="00CB18E6">
        <w:rPr>
          <w:rFonts w:eastAsia="Aptos"/>
          <w:kern w:val="2"/>
          <w:lang w:val="" w:eastAsia="en-US"/>
        </w:rPr>
        <w:t>sacred and</w:t>
      </w:r>
      <w:r w:rsidRPr="00CB18E6">
        <w:rPr>
          <w:rFonts w:eastAsia="Aptos"/>
          <w:kern w:val="2"/>
          <w:lang w:val="" w:eastAsia="en-US"/>
        </w:rPr>
        <w:t xml:space="preserve"> the </w:t>
      </w:r>
      <w:r w:rsidR="007F3810" w:rsidRPr="00CB18E6">
        <w:rPr>
          <w:rFonts w:eastAsia="Aptos"/>
          <w:kern w:val="2"/>
          <w:lang w:val="" w:eastAsia="en-US"/>
        </w:rPr>
        <w:t>profane</w:t>
      </w:r>
      <w:r w:rsidRPr="00CB18E6">
        <w:rPr>
          <w:rFonts w:eastAsia="Aptos"/>
          <w:kern w:val="2"/>
          <w:lang w:val="" w:eastAsia="en-US"/>
        </w:rPr>
        <w:t xml:space="preserve"> realm</w:t>
      </w:r>
      <w:r w:rsidR="00EF5CE9" w:rsidRPr="00CB18E6">
        <w:rPr>
          <w:rFonts w:eastAsia="Aptos"/>
          <w:kern w:val="2"/>
          <w:lang w:val="" w:eastAsia="en-US"/>
        </w:rPr>
        <w:t xml:space="preserve"> meet</w:t>
      </w:r>
      <w:r w:rsidRPr="00CB18E6">
        <w:rPr>
          <w:rFonts w:eastAsia="Aptos"/>
          <w:kern w:val="2"/>
          <w:lang w:val="" w:eastAsia="en-US"/>
        </w:rPr>
        <w:t>, establishing a connection between human</w:t>
      </w:r>
      <w:r w:rsidR="00EF5CE9" w:rsidRPr="00CB18E6">
        <w:rPr>
          <w:rFonts w:eastAsia="Aptos"/>
          <w:kern w:val="2"/>
          <w:lang w:val="" w:eastAsia="en-US"/>
        </w:rPr>
        <w:t xml:space="preserve"> spiritual</w:t>
      </w:r>
      <w:r w:rsidRPr="00CB18E6">
        <w:rPr>
          <w:rFonts w:eastAsia="Aptos"/>
          <w:kern w:val="2"/>
          <w:lang w:val="" w:eastAsia="en-US"/>
        </w:rPr>
        <w:t xml:space="preserve"> existence and cosmic order. In contrast to Durkheim's totemic locations, which acquire significance solely inside the clan's social structure, Eliade's sacred spaces are perceived as universally significant, providing existential guidance and a connection to the </w:t>
      </w:r>
      <w:r w:rsidR="005E7432" w:rsidRPr="00CB18E6">
        <w:rPr>
          <w:rFonts w:eastAsia="Aptos"/>
          <w:kern w:val="2"/>
          <w:lang w:val="" w:eastAsia="en-US"/>
        </w:rPr>
        <w:t>divine</w:t>
      </w:r>
      <w:r w:rsidRPr="00CB18E6">
        <w:rPr>
          <w:rFonts w:eastAsia="Aptos"/>
          <w:kern w:val="2"/>
          <w:lang w:val="" w:eastAsia="en-US"/>
        </w:rPr>
        <w:t xml:space="preserve">. Eliade posits that the perception of the sacred </w:t>
      </w:r>
      <w:r w:rsidR="005E7432" w:rsidRPr="00CB18E6">
        <w:rPr>
          <w:rFonts w:eastAsia="Aptos"/>
          <w:kern w:val="2"/>
          <w:lang w:val="" w:eastAsia="en-US"/>
        </w:rPr>
        <w:t>space</w:t>
      </w:r>
      <w:r w:rsidR="007F6CD2" w:rsidRPr="00CB18E6">
        <w:rPr>
          <w:rFonts w:eastAsia="Aptos"/>
          <w:kern w:val="2"/>
          <w:lang w:val="" w:eastAsia="en-US"/>
        </w:rPr>
        <w:t xml:space="preserve"> — the hierophanies</w:t>
      </w:r>
      <w:r w:rsidR="00FE7428" w:rsidRPr="00CB18E6">
        <w:rPr>
          <w:rFonts w:eastAsia="Aptos"/>
          <w:kern w:val="2"/>
          <w:lang w:val="" w:eastAsia="en-US"/>
        </w:rPr>
        <w:t>,</w:t>
      </w:r>
      <w:r w:rsidR="007F6CD2" w:rsidRPr="00CB18E6">
        <w:rPr>
          <w:rFonts w:eastAsia="Aptos"/>
          <w:kern w:val="2"/>
          <w:lang w:val="" w:eastAsia="en-US"/>
        </w:rPr>
        <w:t xml:space="preserve"> are</w:t>
      </w:r>
      <w:r w:rsidRPr="00CB18E6">
        <w:rPr>
          <w:rFonts w:eastAsia="Aptos"/>
          <w:kern w:val="2"/>
          <w:lang w:val="" w:eastAsia="en-US"/>
        </w:rPr>
        <w:t xml:space="preserve"> a fundamental element of human consciousness, </w:t>
      </w:r>
      <w:r w:rsidR="007F6CD2" w:rsidRPr="00CB18E6">
        <w:rPr>
          <w:rFonts w:eastAsia="Aptos"/>
          <w:kern w:val="2"/>
          <w:lang w:val="" w:eastAsia="en-US"/>
        </w:rPr>
        <w:t xml:space="preserve">which </w:t>
      </w:r>
      <w:r w:rsidR="00AE4350" w:rsidRPr="00CB18E6">
        <w:rPr>
          <w:rFonts w:eastAsia="Aptos"/>
          <w:kern w:val="2"/>
          <w:lang w:val="" w:eastAsia="en-US"/>
        </w:rPr>
        <w:t>exist</w:t>
      </w:r>
      <w:r w:rsidRPr="00CB18E6">
        <w:rPr>
          <w:rFonts w:eastAsia="Aptos"/>
          <w:kern w:val="2"/>
          <w:lang w:val="" w:eastAsia="en-US"/>
        </w:rPr>
        <w:t xml:space="preserve"> before and </w:t>
      </w:r>
      <w:r w:rsidR="00F22989" w:rsidRPr="00CB18E6">
        <w:rPr>
          <w:rFonts w:eastAsia="Aptos"/>
          <w:kern w:val="2"/>
          <w:lang w:val="" w:eastAsia="en-US"/>
        </w:rPr>
        <w:t>beyond</w:t>
      </w:r>
      <w:r w:rsidRPr="00CB18E6">
        <w:rPr>
          <w:rFonts w:eastAsia="Aptos"/>
          <w:kern w:val="2"/>
          <w:lang w:val="" w:eastAsia="en-US"/>
        </w:rPr>
        <w:t xml:space="preserve"> societal systems</w:t>
      </w:r>
      <w:r w:rsidR="00AE4350" w:rsidRPr="00CB18E6">
        <w:rPr>
          <w:rFonts w:eastAsia="Aptos"/>
          <w:kern w:val="2"/>
          <w:lang w:val="" w:eastAsia="en-US"/>
        </w:rPr>
        <w:t xml:space="preserve"> impose the power onto them</w:t>
      </w:r>
      <w:r>
        <w:rPr>
          <w:rFonts w:eastAsia="Aptos"/>
          <w:kern w:val="2"/>
          <w:vertAlign w:val="superscript"/>
          <w:lang w:val="" w:eastAsia="en-US"/>
        </w:rPr>
        <w:footnoteReference w:id="17"/>
      </w:r>
      <w:r w:rsidRPr="00CB18E6">
        <w:rPr>
          <w:rFonts w:eastAsia="Aptos"/>
          <w:kern w:val="2"/>
          <w:lang w:val="" w:eastAsia="en-US"/>
        </w:rPr>
        <w:t>.</w:t>
      </w:r>
    </w:p>
    <w:p w14:paraId="5266E8C9" w14:textId="53EB170D" w:rsidR="00AB590F" w:rsidRPr="00AB590F" w:rsidRDefault="00000000" w:rsidP="00CB18E6">
      <w:pPr>
        <w:spacing w:after="160" w:line="278" w:lineRule="auto"/>
        <w:rPr>
          <w:rFonts w:eastAsia="Aptos"/>
          <w:kern w:val="2"/>
          <w:lang w:val="en-CH" w:eastAsia="en-US"/>
        </w:rPr>
      </w:pPr>
      <w:r w:rsidRPr="00CB18E6">
        <w:rPr>
          <w:rFonts w:eastAsia="Aptos"/>
          <w:kern w:val="2"/>
          <w:lang w:val="" w:eastAsia="en-US"/>
        </w:rPr>
        <w:t xml:space="preserve">Despite their theoretical divergences, Durkheim and Eliade </w:t>
      </w:r>
      <w:r w:rsidR="00F02E40" w:rsidRPr="00CB18E6">
        <w:rPr>
          <w:rFonts w:eastAsia="Aptos"/>
          <w:kern w:val="2"/>
          <w:lang w:val="" w:eastAsia="en-US"/>
        </w:rPr>
        <w:t>share some</w:t>
      </w:r>
      <w:r w:rsidRPr="00CB18E6">
        <w:rPr>
          <w:rFonts w:eastAsia="Aptos"/>
          <w:kern w:val="2"/>
          <w:lang w:val="" w:eastAsia="en-US"/>
        </w:rPr>
        <w:t xml:space="preserve"> commonalities in their </w:t>
      </w:r>
      <w:r w:rsidR="00F02E40" w:rsidRPr="00CB18E6">
        <w:rPr>
          <w:rFonts w:eastAsia="Aptos"/>
          <w:kern w:val="2"/>
          <w:lang w:val="" w:eastAsia="en-US"/>
        </w:rPr>
        <w:t>understandings</w:t>
      </w:r>
      <w:r w:rsidRPr="00CB18E6">
        <w:rPr>
          <w:rFonts w:eastAsia="Aptos"/>
          <w:kern w:val="2"/>
          <w:lang w:val="" w:eastAsia="en-US"/>
        </w:rPr>
        <w:t xml:space="preserve"> on sacred space, particularly on its significance in identity formation. Both theorists assert that sacred spaces play an essential function in situating individuals within a communal context, establishing a feeling of order and significance. Durkheim posits that </w:t>
      </w:r>
      <w:r w:rsidR="000F162F" w:rsidRPr="00CB18E6">
        <w:rPr>
          <w:rFonts w:eastAsia="Aptos"/>
          <w:kern w:val="2"/>
          <w:lang w:val="" w:eastAsia="en-US"/>
        </w:rPr>
        <w:t>rituals performed at sacred spaces</w:t>
      </w:r>
      <w:r w:rsidRPr="00CB18E6">
        <w:rPr>
          <w:rFonts w:eastAsia="Aptos"/>
          <w:kern w:val="2"/>
          <w:lang w:val="" w:eastAsia="en-US"/>
        </w:rPr>
        <w:t xml:space="preserve"> serve as a potent unifier, grounding </w:t>
      </w:r>
      <w:r w:rsidR="000F162F" w:rsidRPr="00CB18E6">
        <w:rPr>
          <w:rFonts w:eastAsia="Aptos"/>
          <w:kern w:val="2"/>
          <w:lang w:val="" w:eastAsia="en-US"/>
        </w:rPr>
        <w:t>a community</w:t>
      </w:r>
      <w:r w:rsidRPr="00CB18E6">
        <w:rPr>
          <w:rFonts w:eastAsia="Aptos"/>
          <w:kern w:val="2"/>
          <w:lang w:val="" w:eastAsia="en-US"/>
        </w:rPr>
        <w:t xml:space="preserve"> within a moral framework via collective rituals and symbols</w:t>
      </w:r>
      <w:r>
        <w:rPr>
          <w:rFonts w:eastAsia="Aptos"/>
          <w:kern w:val="2"/>
          <w:vertAlign w:val="superscript"/>
          <w:lang w:val="" w:eastAsia="en-US"/>
        </w:rPr>
        <w:footnoteReference w:id="18"/>
      </w:r>
      <w:r w:rsidR="00397054" w:rsidRPr="00CB18E6">
        <w:rPr>
          <w:rFonts w:eastAsia="Aptos"/>
          <w:kern w:val="2"/>
          <w:lang w:val="" w:eastAsia="en-US"/>
        </w:rPr>
        <w:t xml:space="preserve">. </w:t>
      </w:r>
      <w:r w:rsidRPr="00CB18E6">
        <w:rPr>
          <w:rFonts w:eastAsia="Aptos"/>
          <w:kern w:val="2"/>
          <w:lang w:val="" w:eastAsia="en-US"/>
        </w:rPr>
        <w:t>Eliade contends that sacred spaces function as foci of orientation</w:t>
      </w:r>
      <w:bookmarkStart w:id="18" w:name="_Hlk182302880"/>
      <w:r w:rsidRPr="00CB18E6">
        <w:rPr>
          <w:rFonts w:eastAsia="Aptos"/>
          <w:kern w:val="2"/>
          <w:lang w:val="" w:eastAsia="en-US"/>
        </w:rPr>
        <w:t>—</w:t>
      </w:r>
      <w:bookmarkEnd w:id="18"/>
      <w:r w:rsidRPr="00CB18E6">
        <w:rPr>
          <w:rFonts w:eastAsia="Aptos"/>
          <w:kern w:val="2"/>
          <w:lang w:val="" w:eastAsia="en-US"/>
        </w:rPr>
        <w:t>an axis mundi</w:t>
      </w:r>
      <w:r w:rsidR="00A03D70" w:rsidRPr="00CB18E6">
        <w:rPr>
          <w:rFonts w:eastAsia="Aptos"/>
          <w:kern w:val="2"/>
          <w:lang w:val="" w:eastAsia="en-US"/>
        </w:rPr>
        <w:t xml:space="preserve">, </w:t>
      </w:r>
      <w:r w:rsidRPr="00CB18E6">
        <w:rPr>
          <w:rFonts w:eastAsia="Aptos"/>
          <w:kern w:val="2"/>
          <w:lang w:val="" w:eastAsia="en-US"/>
        </w:rPr>
        <w:t xml:space="preserve">that situates individuals within a spiritual framework and offers a </w:t>
      </w:r>
      <w:bookmarkStart w:id="19" w:name="_Hlk182311488"/>
      <w:r w:rsidR="00000259" w:rsidRPr="00CB18E6">
        <w:rPr>
          <w:rFonts w:eastAsia="Aptos"/>
          <w:kern w:val="2"/>
          <w:lang w:val="" w:eastAsia="en-US"/>
        </w:rPr>
        <w:t>'</w:t>
      </w:r>
      <w:bookmarkEnd w:id="19"/>
      <w:r w:rsidR="006B1058" w:rsidRPr="00CB18E6">
        <w:rPr>
          <w:rFonts w:eastAsia="Aptos"/>
          <w:kern w:val="2"/>
          <w:lang w:val="" w:eastAsia="en-US"/>
        </w:rPr>
        <w:t>a centre of the world</w:t>
      </w:r>
      <w:r w:rsidR="00000259" w:rsidRPr="00CB18E6">
        <w:rPr>
          <w:rFonts w:eastAsia="Aptos"/>
          <w:kern w:val="2"/>
          <w:lang w:val="" w:eastAsia="en-US"/>
        </w:rPr>
        <w:t>'</w:t>
      </w:r>
      <w:r w:rsidRPr="00CB18E6">
        <w:rPr>
          <w:rFonts w:eastAsia="Aptos"/>
          <w:kern w:val="2"/>
          <w:lang w:val="" w:eastAsia="en-US"/>
        </w:rPr>
        <w:t xml:space="preserve"> for organising their lives</w:t>
      </w:r>
      <w:r>
        <w:rPr>
          <w:rFonts w:eastAsia="Aptos"/>
          <w:kern w:val="2"/>
          <w:vertAlign w:val="superscript"/>
          <w:lang w:val="" w:eastAsia="en-US"/>
        </w:rPr>
        <w:footnoteReference w:id="19"/>
      </w:r>
      <w:r w:rsidR="005911D3" w:rsidRPr="00CB18E6">
        <w:rPr>
          <w:rFonts w:eastAsia="Aptos"/>
          <w:kern w:val="2"/>
          <w:lang w:val="" w:eastAsia="en-US"/>
        </w:rPr>
        <w:t xml:space="preserve">. </w:t>
      </w:r>
      <w:r w:rsidRPr="00CB18E6">
        <w:rPr>
          <w:rFonts w:eastAsia="Aptos"/>
          <w:kern w:val="2"/>
          <w:lang w:val="" w:eastAsia="en-US"/>
        </w:rPr>
        <w:t xml:space="preserve">Scholars such as David Chidester emphasise this intersection, observing that both Durkheim and Eliade regard </w:t>
      </w:r>
      <w:r w:rsidR="00AF2712" w:rsidRPr="00CB18E6">
        <w:rPr>
          <w:rFonts w:eastAsia="Aptos"/>
          <w:kern w:val="2"/>
          <w:lang w:val="" w:eastAsia="en-US"/>
        </w:rPr>
        <w:t>sacred space</w:t>
      </w:r>
      <w:r w:rsidRPr="00CB18E6">
        <w:rPr>
          <w:rFonts w:eastAsia="Aptos"/>
          <w:kern w:val="2"/>
          <w:lang w:val="" w:eastAsia="en-US"/>
        </w:rPr>
        <w:t xml:space="preserve"> as fundamental to community formation, albeit from sociological and phenomenological viewpoints, respectively</w:t>
      </w:r>
      <w:r>
        <w:rPr>
          <w:rFonts w:eastAsia="Aptos"/>
          <w:kern w:val="2"/>
          <w:vertAlign w:val="superscript"/>
          <w:lang w:val="" w:eastAsia="en-US"/>
        </w:rPr>
        <w:footnoteReference w:id="20"/>
      </w:r>
      <w:r w:rsidRPr="00CB18E6">
        <w:rPr>
          <w:rFonts w:eastAsia="Aptos"/>
          <w:kern w:val="2"/>
          <w:lang w:val="" w:eastAsia="en-US"/>
        </w:rPr>
        <w:t>.</w:t>
      </w:r>
      <w:r w:rsidR="00AB590F">
        <w:rPr>
          <w:rFonts w:eastAsia="Aptos"/>
          <w:kern w:val="2"/>
          <w:lang w:val="" w:eastAsia="en-US"/>
        </w:rPr>
        <w:t xml:space="preserve"> </w:t>
      </w:r>
      <w:r w:rsidR="00AB590F" w:rsidRPr="00AB590F">
        <w:rPr>
          <w:rFonts w:eastAsia="Aptos"/>
          <w:kern w:val="2"/>
          <w:lang w:val="en-CH" w:eastAsia="en-US"/>
        </w:rPr>
        <w:t xml:space="preserve">Chidester’s examination of Durkheim’s sociological perspective </w:t>
      </w:r>
      <w:r w:rsidR="00AB590F" w:rsidRPr="00AB590F">
        <w:rPr>
          <w:rFonts w:eastAsia="Aptos"/>
          <w:kern w:val="2"/>
          <w:lang w:val="en-CH" w:eastAsia="en-US"/>
        </w:rPr>
        <w:t>centres</w:t>
      </w:r>
      <w:r w:rsidR="00AB590F" w:rsidRPr="00AB590F">
        <w:rPr>
          <w:rFonts w:eastAsia="Aptos"/>
          <w:kern w:val="2"/>
          <w:lang w:val="en-CH" w:eastAsia="en-US"/>
        </w:rPr>
        <w:t xml:space="preserve"> </w:t>
      </w:r>
      <w:r w:rsidR="009510B9">
        <w:rPr>
          <w:rFonts w:eastAsia="Aptos"/>
          <w:kern w:val="2"/>
          <w:lang w:val="en-CH" w:eastAsia="en-US"/>
        </w:rPr>
        <w:t>a focus on</w:t>
      </w:r>
      <w:r w:rsidR="00AB590F" w:rsidRPr="00AB590F">
        <w:rPr>
          <w:rFonts w:eastAsia="Aptos"/>
          <w:kern w:val="2"/>
          <w:lang w:val="en-CH" w:eastAsia="en-US"/>
        </w:rPr>
        <w:t xml:space="preserve"> how </w:t>
      </w:r>
      <w:r w:rsidR="009510B9">
        <w:rPr>
          <w:rFonts w:eastAsia="Aptos"/>
          <w:kern w:val="2"/>
          <w:lang w:val="en-CH" w:eastAsia="en-US"/>
        </w:rPr>
        <w:t>these spaces</w:t>
      </w:r>
      <w:r w:rsidR="00AB590F" w:rsidRPr="00AB590F">
        <w:rPr>
          <w:rFonts w:eastAsia="Aptos"/>
          <w:kern w:val="2"/>
          <w:lang w:val="en-CH" w:eastAsia="en-US"/>
        </w:rPr>
        <w:t xml:space="preserve"> </w:t>
      </w:r>
      <w:r w:rsidR="009510B9">
        <w:rPr>
          <w:rFonts w:eastAsia="Aptos"/>
          <w:kern w:val="2"/>
          <w:lang w:val="en-CH" w:eastAsia="en-US"/>
        </w:rPr>
        <w:t xml:space="preserve">are </w:t>
      </w:r>
      <w:r w:rsidR="00AB590F" w:rsidRPr="00AB590F">
        <w:rPr>
          <w:rFonts w:eastAsia="Aptos"/>
          <w:kern w:val="2"/>
          <w:lang w:val="en-CH" w:eastAsia="en-US"/>
        </w:rPr>
        <w:t xml:space="preserve">essential not because of any intrinsic quality but because </w:t>
      </w:r>
      <w:r w:rsidR="009510B9">
        <w:rPr>
          <w:rFonts w:eastAsia="Aptos"/>
          <w:kern w:val="2"/>
          <w:lang w:val="en-CH" w:eastAsia="en-US"/>
        </w:rPr>
        <w:t>they</w:t>
      </w:r>
      <w:r w:rsidR="00AB590F" w:rsidRPr="00AB590F">
        <w:rPr>
          <w:rFonts w:eastAsia="Aptos"/>
          <w:kern w:val="2"/>
          <w:lang w:val="en-CH" w:eastAsia="en-US"/>
        </w:rPr>
        <w:t xml:space="preserve"> </w:t>
      </w:r>
      <w:r w:rsidR="005645A6" w:rsidRPr="00AB590F">
        <w:rPr>
          <w:rFonts w:eastAsia="Aptos"/>
          <w:kern w:val="2"/>
          <w:lang w:val="en-CH" w:eastAsia="en-US"/>
        </w:rPr>
        <w:t>represent</w:t>
      </w:r>
      <w:r w:rsidR="00AB590F" w:rsidRPr="00AB590F">
        <w:rPr>
          <w:rFonts w:eastAsia="Aptos"/>
          <w:kern w:val="2"/>
          <w:lang w:val="en-CH" w:eastAsia="en-US"/>
        </w:rPr>
        <w:t xml:space="preserve"> a set-apart realm that the community collectively deems significant</w:t>
      </w:r>
      <w:r w:rsidR="009510B9">
        <w:rPr>
          <w:rStyle w:val="FootnoteReference"/>
          <w:rFonts w:eastAsia="Aptos"/>
          <w:kern w:val="2"/>
          <w:lang w:val="en-CH" w:eastAsia="en-US"/>
        </w:rPr>
        <w:footnoteReference w:id="21"/>
      </w:r>
      <w:r w:rsidR="00AB590F" w:rsidRPr="00AB590F">
        <w:rPr>
          <w:rFonts w:eastAsia="Aptos"/>
          <w:kern w:val="2"/>
          <w:lang w:val="en-CH" w:eastAsia="en-US"/>
        </w:rPr>
        <w:t>. T</w:t>
      </w:r>
      <w:r w:rsidR="005645A6">
        <w:rPr>
          <w:rFonts w:eastAsia="Aptos"/>
          <w:kern w:val="2"/>
          <w:lang w:val="en-CH" w:eastAsia="en-US"/>
        </w:rPr>
        <w:t>he emphasis is on the</w:t>
      </w:r>
      <w:r w:rsidR="00AB590F" w:rsidRPr="00AB590F">
        <w:rPr>
          <w:rFonts w:eastAsia="Aptos"/>
          <w:kern w:val="2"/>
          <w:lang w:val="en-CH" w:eastAsia="en-US"/>
        </w:rPr>
        <w:t xml:space="preserve"> process of collective designation </w:t>
      </w:r>
      <w:r w:rsidR="005645A6">
        <w:rPr>
          <w:rFonts w:eastAsia="Aptos"/>
          <w:kern w:val="2"/>
          <w:lang w:val="en-CH" w:eastAsia="en-US"/>
        </w:rPr>
        <w:t xml:space="preserve">to </w:t>
      </w:r>
      <w:r w:rsidR="00AB590F" w:rsidRPr="00AB590F">
        <w:rPr>
          <w:rFonts w:eastAsia="Aptos"/>
          <w:kern w:val="2"/>
          <w:lang w:val="en-CH" w:eastAsia="en-US"/>
        </w:rPr>
        <w:t>create a sense of belonging and moral unity, underpinning the formation of society itself.</w:t>
      </w:r>
      <w:r w:rsidR="005645A6">
        <w:rPr>
          <w:rFonts w:eastAsia="Aptos"/>
          <w:kern w:val="2"/>
          <w:lang w:val="en-CH" w:eastAsia="en-US"/>
        </w:rPr>
        <w:t xml:space="preserve"> Chidester contrasts this emphasis to </w:t>
      </w:r>
      <w:r w:rsidR="00AB590F" w:rsidRPr="00AB590F">
        <w:rPr>
          <w:rFonts w:eastAsia="Aptos"/>
          <w:kern w:val="2"/>
          <w:lang w:val="en-CH" w:eastAsia="en-US"/>
        </w:rPr>
        <w:t xml:space="preserve">Eliade’s </w:t>
      </w:r>
      <w:r w:rsidR="005645A6">
        <w:rPr>
          <w:rFonts w:eastAsia="Aptos"/>
          <w:kern w:val="2"/>
          <w:lang w:val="en-CH" w:eastAsia="en-US"/>
        </w:rPr>
        <w:t xml:space="preserve">attention to </w:t>
      </w:r>
      <w:r w:rsidR="00AB590F" w:rsidRPr="00AB590F">
        <w:rPr>
          <w:rFonts w:eastAsia="Aptos"/>
          <w:kern w:val="2"/>
          <w:lang w:val="en-CH" w:eastAsia="en-US"/>
        </w:rPr>
        <w:t>sacred space as providing existential orientation, connecting individuals to a cosmic dimension that transcends social definitions</w:t>
      </w:r>
      <w:r w:rsidR="005645A6">
        <w:rPr>
          <w:rStyle w:val="FootnoteReference"/>
          <w:rFonts w:eastAsia="Aptos"/>
          <w:kern w:val="2"/>
          <w:lang w:val="en-CH" w:eastAsia="en-US"/>
        </w:rPr>
        <w:footnoteReference w:id="22"/>
      </w:r>
      <w:r w:rsidR="00AB590F" w:rsidRPr="00AB590F">
        <w:rPr>
          <w:rFonts w:eastAsia="Aptos"/>
          <w:kern w:val="2"/>
          <w:lang w:val="en-CH" w:eastAsia="en-US"/>
        </w:rPr>
        <w:t>.</w:t>
      </w:r>
    </w:p>
    <w:p w14:paraId="2689FD25" w14:textId="0A6B5D68" w:rsidR="00CB18E6" w:rsidRPr="005645A6" w:rsidRDefault="00000000" w:rsidP="00CB18E6">
      <w:pPr>
        <w:spacing w:after="160" w:line="278" w:lineRule="auto"/>
        <w:rPr>
          <w:rFonts w:eastAsia="Aptos"/>
          <w:kern w:val="2"/>
          <w:lang w:val="" w:eastAsia="en-US"/>
        </w:rPr>
      </w:pPr>
      <w:r w:rsidRPr="00CB18E6">
        <w:rPr>
          <w:rFonts w:eastAsia="Aptos"/>
          <w:kern w:val="2"/>
          <w:lang w:val="" w:eastAsia="en-US"/>
        </w:rPr>
        <w:t>Durkheim’s and Eliade’s theories</w:t>
      </w:r>
      <w:r w:rsidR="00D96B24" w:rsidRPr="00CB18E6">
        <w:rPr>
          <w:rFonts w:eastAsia="Aptos"/>
          <w:kern w:val="2"/>
          <w:lang w:val="" w:eastAsia="en-US"/>
        </w:rPr>
        <w:t xml:space="preserve"> bring</w:t>
      </w:r>
      <w:r w:rsidRPr="00CB18E6">
        <w:rPr>
          <w:rFonts w:eastAsia="Aptos"/>
          <w:kern w:val="2"/>
          <w:lang w:val="" w:eastAsia="en-US"/>
        </w:rPr>
        <w:t xml:space="preserve"> sacred </w:t>
      </w:r>
      <w:r w:rsidR="008940D7" w:rsidRPr="00CB18E6">
        <w:rPr>
          <w:rFonts w:eastAsia="Aptos"/>
          <w:kern w:val="2"/>
          <w:lang w:val="" w:eastAsia="en-US"/>
        </w:rPr>
        <w:t>spaces</w:t>
      </w:r>
      <w:r w:rsidRPr="00CB18E6">
        <w:rPr>
          <w:rFonts w:eastAsia="Aptos"/>
          <w:kern w:val="2"/>
          <w:lang w:val="" w:eastAsia="en-US"/>
        </w:rPr>
        <w:t xml:space="preserve"> </w:t>
      </w:r>
      <w:r w:rsidR="008940D7" w:rsidRPr="00CB18E6">
        <w:rPr>
          <w:rFonts w:eastAsia="Aptos"/>
          <w:kern w:val="2"/>
          <w:lang w:val="" w:eastAsia="en-US"/>
        </w:rPr>
        <w:t xml:space="preserve">as places which </w:t>
      </w:r>
      <w:r w:rsidRPr="00CB18E6">
        <w:rPr>
          <w:rFonts w:eastAsia="Aptos"/>
          <w:kern w:val="2"/>
          <w:lang w:val="" w:eastAsia="en-US"/>
        </w:rPr>
        <w:t>encompass both social and existential aspects, functioning as venues for community identification and individual spiritual direction.</w:t>
      </w:r>
      <w:r w:rsidR="00725E75" w:rsidRPr="00CB18E6">
        <w:rPr>
          <w:rFonts w:eastAsia="Aptos"/>
          <w:kern w:val="2"/>
          <w:lang w:val="" w:eastAsia="en-US"/>
        </w:rPr>
        <w:t xml:space="preserve"> </w:t>
      </w:r>
    </w:p>
    <w:p w14:paraId="16C14D3C" w14:textId="77777777" w:rsidR="009B4667" w:rsidRPr="009A0A53" w:rsidRDefault="00000000" w:rsidP="009A0A53">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lastRenderedPageBreak/>
        <w:t>A Decolonial Critique and the Constraints of Both Frameworks</w:t>
      </w:r>
    </w:p>
    <w:p w14:paraId="10BCB3A4" w14:textId="77777777" w:rsidR="007E2348" w:rsidRPr="009A0A53" w:rsidRDefault="00000000" w:rsidP="009B4667">
      <w:pPr>
        <w:spacing w:after="160" w:line="278" w:lineRule="auto"/>
        <w:rPr>
          <w:rFonts w:eastAsia="Aptos"/>
          <w:kern w:val="2"/>
          <w:lang w:val="" w:eastAsia="en-US"/>
        </w:rPr>
      </w:pPr>
      <w:r w:rsidRPr="009A0A53">
        <w:rPr>
          <w:rFonts w:eastAsia="Aptos"/>
          <w:kern w:val="2"/>
          <w:lang w:val="" w:eastAsia="en-US"/>
        </w:rPr>
        <w:t xml:space="preserve">A critical analysis of the </w:t>
      </w:r>
      <w:r w:rsidR="00CB18E6" w:rsidRPr="009A0A53">
        <w:rPr>
          <w:rFonts w:eastAsia="Aptos"/>
          <w:kern w:val="2"/>
          <w:lang w:val="" w:eastAsia="en-US"/>
        </w:rPr>
        <w:t>sacred</w:t>
      </w:r>
      <w:r w:rsidR="004C2507" w:rsidRPr="009A0A53">
        <w:rPr>
          <w:rFonts w:eastAsia="Aptos"/>
          <w:kern w:val="2"/>
          <w:lang w:val="" w:eastAsia="en-US"/>
        </w:rPr>
        <w:t xml:space="preserve">/profane dichotomy used in both theories appear to echo </w:t>
      </w:r>
      <w:r w:rsidR="00A7707A" w:rsidRPr="009A0A53">
        <w:rPr>
          <w:rFonts w:eastAsia="Aptos"/>
          <w:kern w:val="2"/>
          <w:lang w:val="" w:eastAsia="en-US"/>
        </w:rPr>
        <w:t xml:space="preserve">many common epistemological binaries </w:t>
      </w:r>
      <w:r w:rsidR="006A0F0C" w:rsidRPr="009A0A53">
        <w:rPr>
          <w:rFonts w:eastAsia="Aptos"/>
          <w:kern w:val="2"/>
          <w:lang w:val="" w:eastAsia="en-US"/>
        </w:rPr>
        <w:t>or colonial epistemologies</w:t>
      </w:r>
      <w:r w:rsidR="00D75EB3" w:rsidRPr="009A0A53">
        <w:rPr>
          <w:rFonts w:eastAsia="Aptos"/>
          <w:kern w:val="2"/>
          <w:lang w:val="" w:eastAsia="en-US"/>
        </w:rPr>
        <w:t xml:space="preserve">. This is a phenomena that encounter limitations particularly </w:t>
      </w:r>
      <w:r w:rsidR="007D039E" w:rsidRPr="009A0A53">
        <w:rPr>
          <w:rFonts w:eastAsia="Aptos"/>
          <w:kern w:val="2"/>
          <w:lang w:val="" w:eastAsia="en-US"/>
        </w:rPr>
        <w:t>within the space of Afr</w:t>
      </w:r>
      <w:r w:rsidR="009C7860" w:rsidRPr="009A0A53">
        <w:rPr>
          <w:rFonts w:eastAsia="Aptos"/>
          <w:kern w:val="2"/>
          <w:lang w:val="" w:eastAsia="en-US"/>
        </w:rPr>
        <w:t>icana studies where</w:t>
      </w:r>
      <w:r w:rsidR="00D04B4C" w:rsidRPr="009A0A53">
        <w:rPr>
          <w:rFonts w:eastAsia="Aptos"/>
          <w:kern w:val="2"/>
          <w:lang w:val="" w:eastAsia="en-US"/>
        </w:rPr>
        <w:t>:</w:t>
      </w:r>
    </w:p>
    <w:p w14:paraId="324460F0" w14:textId="77777777" w:rsidR="00705A4D" w:rsidRPr="009A0A53" w:rsidRDefault="00000000" w:rsidP="00716159">
      <w:pPr>
        <w:spacing w:after="160" w:line="278" w:lineRule="auto"/>
        <w:ind w:left="720"/>
        <w:rPr>
          <w:rFonts w:eastAsia="Aptos"/>
          <w:kern w:val="2"/>
          <w:lang w:val="" w:eastAsia="en-US"/>
        </w:rPr>
      </w:pPr>
      <w:r w:rsidRPr="009A0A53">
        <w:rPr>
          <w:rFonts w:eastAsia="Aptos"/>
          <w:kern w:val="2"/>
          <w:lang w:val="" w:eastAsia="en-US"/>
        </w:rPr>
        <w:t xml:space="preserve">African spirituality is not </w:t>
      </w:r>
      <w:r w:rsidR="00716159" w:rsidRPr="009A0A53">
        <w:rPr>
          <w:rFonts w:eastAsia="Aptos"/>
          <w:kern w:val="2"/>
          <w:lang w:val="" w:eastAsia="en-US"/>
        </w:rPr>
        <w:t>'</w:t>
      </w:r>
      <w:r w:rsidRPr="009A0A53">
        <w:rPr>
          <w:rFonts w:eastAsia="Aptos"/>
          <w:kern w:val="2"/>
          <w:lang w:val="" w:eastAsia="en-US"/>
        </w:rPr>
        <w:t>dualistic</w:t>
      </w:r>
      <w:r w:rsidR="00716159" w:rsidRPr="009A0A53">
        <w:rPr>
          <w:rFonts w:eastAsia="Aptos"/>
          <w:kern w:val="2"/>
          <w:lang w:val="" w:eastAsia="en-US"/>
        </w:rPr>
        <w:t>'</w:t>
      </w:r>
      <w:r w:rsidRPr="009A0A53">
        <w:rPr>
          <w:rFonts w:eastAsia="Aptos"/>
          <w:kern w:val="2"/>
          <w:lang w:val="" w:eastAsia="en-US"/>
        </w:rPr>
        <w:t xml:space="preserve"> or </w:t>
      </w:r>
      <w:r w:rsidR="00716159" w:rsidRPr="009A0A53">
        <w:rPr>
          <w:rFonts w:eastAsia="Aptos"/>
          <w:kern w:val="2"/>
          <w:lang w:val="" w:eastAsia="en-US"/>
        </w:rPr>
        <w:t>'</w:t>
      </w:r>
      <w:r w:rsidRPr="009A0A53">
        <w:rPr>
          <w:rFonts w:eastAsia="Aptos"/>
          <w:kern w:val="2"/>
          <w:lang w:val="" w:eastAsia="en-US"/>
        </w:rPr>
        <w:t>binary</w:t>
      </w:r>
      <w:r w:rsidR="00716159" w:rsidRPr="009A0A53">
        <w:rPr>
          <w:rFonts w:eastAsia="Aptos"/>
          <w:kern w:val="2"/>
          <w:lang w:val="" w:eastAsia="en-US"/>
        </w:rPr>
        <w:t>'</w:t>
      </w:r>
      <w:r w:rsidRPr="009A0A53">
        <w:rPr>
          <w:rFonts w:eastAsia="Aptos"/>
          <w:kern w:val="2"/>
          <w:lang w:val="" w:eastAsia="en-US"/>
        </w:rPr>
        <w:t>. This is because the spirit world is in constant interaction with the physical world.</w:t>
      </w:r>
      <w:r w:rsidR="00E66CB6" w:rsidRPr="009A0A53">
        <w:rPr>
          <w:rFonts w:eastAsia="Aptos"/>
          <w:kern w:val="2"/>
          <w:lang w:val="" w:eastAsia="en-US"/>
        </w:rPr>
        <w:t>.</w:t>
      </w:r>
      <w:r w:rsidRPr="009A0A53">
        <w:rPr>
          <w:rFonts w:eastAsia="Aptos"/>
          <w:kern w:val="2"/>
          <w:lang w:val="" w:eastAsia="en-US"/>
        </w:rPr>
        <w:t>. They complement one another, with the spiritual world determining the affairs of human beings here on earth and shaping their destiny in the spirit world. African spirituality as well as the African conceptions of the sacred is integrative. They do not allow dichotomies. Secular and spiritual actions are two sides of the same coin</w:t>
      </w:r>
      <w:r>
        <w:rPr>
          <w:rFonts w:eastAsia="Aptos"/>
          <w:kern w:val="2"/>
          <w:vertAlign w:val="superscript"/>
          <w:lang w:val="" w:eastAsia="en-US"/>
        </w:rPr>
        <w:footnoteReference w:id="23"/>
      </w:r>
      <w:r w:rsidRPr="009A0A53">
        <w:rPr>
          <w:rFonts w:eastAsia="Aptos"/>
          <w:kern w:val="2"/>
          <w:lang w:val="" w:eastAsia="en-US"/>
        </w:rPr>
        <w:t xml:space="preserve">. </w:t>
      </w:r>
    </w:p>
    <w:p w14:paraId="0447A02C" w14:textId="77777777" w:rsidR="009A0A53" w:rsidRPr="009A0A53" w:rsidRDefault="00000000" w:rsidP="009B4667">
      <w:pPr>
        <w:spacing w:after="160" w:line="278" w:lineRule="auto"/>
        <w:rPr>
          <w:rFonts w:eastAsia="Aptos"/>
          <w:kern w:val="2"/>
          <w:lang w:val="" w:eastAsia="en-US"/>
        </w:rPr>
      </w:pPr>
      <w:r w:rsidRPr="009A0A53">
        <w:rPr>
          <w:rFonts w:eastAsia="Aptos"/>
          <w:kern w:val="2"/>
          <w:lang w:val="" w:eastAsia="en-US"/>
        </w:rPr>
        <w:t>Durkheim's and Eliade's ideas on hallowed space</w:t>
      </w:r>
      <w:r w:rsidR="00D728E7" w:rsidRPr="009A0A53">
        <w:rPr>
          <w:rFonts w:eastAsia="Aptos"/>
          <w:kern w:val="2"/>
          <w:lang w:val="" w:eastAsia="en-US"/>
        </w:rPr>
        <w:t xml:space="preserve"> can in </w:t>
      </w:r>
      <w:r w:rsidR="00802BD0" w:rsidRPr="009A0A53">
        <w:rPr>
          <w:rFonts w:eastAsia="Aptos"/>
          <w:kern w:val="2"/>
          <w:lang w:val="" w:eastAsia="en-US"/>
        </w:rPr>
        <w:t>many</w:t>
      </w:r>
      <w:r w:rsidR="00D728E7" w:rsidRPr="009A0A53">
        <w:rPr>
          <w:rFonts w:eastAsia="Aptos"/>
          <w:kern w:val="2"/>
          <w:lang w:val="" w:eastAsia="en-US"/>
        </w:rPr>
        <w:t xml:space="preserve"> </w:t>
      </w:r>
      <w:r w:rsidR="00802BD0" w:rsidRPr="009A0A53">
        <w:rPr>
          <w:rFonts w:eastAsia="Aptos"/>
          <w:kern w:val="2"/>
          <w:lang w:val="" w:eastAsia="en-US"/>
        </w:rPr>
        <w:t xml:space="preserve">communities </w:t>
      </w:r>
      <w:r w:rsidRPr="009A0A53">
        <w:rPr>
          <w:rFonts w:eastAsia="Aptos"/>
          <w:kern w:val="2"/>
          <w:lang w:val="" w:eastAsia="en-US"/>
        </w:rPr>
        <w:t>obscur</w:t>
      </w:r>
      <w:r w:rsidR="00802BD0" w:rsidRPr="009A0A53">
        <w:rPr>
          <w:rFonts w:eastAsia="Aptos"/>
          <w:kern w:val="2"/>
          <w:lang w:val="" w:eastAsia="en-US"/>
        </w:rPr>
        <w:t>e</w:t>
      </w:r>
      <w:r w:rsidRPr="009A0A53">
        <w:rPr>
          <w:rFonts w:eastAsia="Aptos"/>
          <w:kern w:val="2"/>
          <w:lang w:val="" w:eastAsia="en-US"/>
        </w:rPr>
        <w:t xml:space="preserve"> the intricate interrelationships between these domains, where such distinctions are often fluid, challenging the</w:t>
      </w:r>
      <w:r w:rsidR="00802BD0" w:rsidRPr="009A0A53">
        <w:rPr>
          <w:rFonts w:eastAsia="Aptos"/>
          <w:kern w:val="2"/>
          <w:lang w:val="" w:eastAsia="en-US"/>
        </w:rPr>
        <w:t xml:space="preserve"> </w:t>
      </w:r>
      <w:r w:rsidR="008E24FB" w:rsidRPr="009A0A53">
        <w:rPr>
          <w:rFonts w:eastAsia="Aptos"/>
          <w:kern w:val="2"/>
          <w:lang w:val="" w:eastAsia="en-US"/>
        </w:rPr>
        <w:t>Eurocentric</w:t>
      </w:r>
      <w:r w:rsidRPr="009A0A53">
        <w:rPr>
          <w:rFonts w:eastAsia="Aptos"/>
          <w:kern w:val="2"/>
          <w:lang w:val="" w:eastAsia="en-US"/>
        </w:rPr>
        <w:t xml:space="preserve"> perspective that sacredness can exist independently from the </w:t>
      </w:r>
      <w:r w:rsidR="00802BD0" w:rsidRPr="009A0A53">
        <w:rPr>
          <w:rFonts w:eastAsia="Aptos"/>
          <w:kern w:val="2"/>
          <w:lang w:val="" w:eastAsia="en-US"/>
        </w:rPr>
        <w:t>profane</w:t>
      </w:r>
      <w:r w:rsidRPr="009A0A53">
        <w:rPr>
          <w:rFonts w:eastAsia="Aptos"/>
          <w:kern w:val="2"/>
          <w:lang w:val="" w:eastAsia="en-US"/>
        </w:rPr>
        <w:t>.</w:t>
      </w:r>
      <w:r w:rsidR="008E24FB" w:rsidRPr="009A0A53">
        <w:rPr>
          <w:rFonts w:eastAsia="Aptos"/>
          <w:b/>
          <w:bCs/>
          <w:kern w:val="2"/>
          <w:lang w:val="" w:eastAsia="en-US"/>
        </w:rPr>
        <w:t xml:space="preserve"> </w:t>
      </w:r>
      <w:r w:rsidR="008E24FB" w:rsidRPr="009A0A53">
        <w:rPr>
          <w:rFonts w:eastAsia="Aptos"/>
          <w:kern w:val="2"/>
          <w:lang w:val="" w:eastAsia="en-US"/>
        </w:rPr>
        <w:t>The influence of such</w:t>
      </w:r>
      <w:r w:rsidR="008E24FB" w:rsidRPr="009A0A53">
        <w:rPr>
          <w:rFonts w:eastAsia="Aptos"/>
          <w:b/>
          <w:bCs/>
          <w:kern w:val="2"/>
          <w:lang w:val="" w:eastAsia="en-US"/>
        </w:rPr>
        <w:t xml:space="preserve"> </w:t>
      </w:r>
      <w:r w:rsidRPr="009A0A53">
        <w:rPr>
          <w:rFonts w:eastAsia="Aptos"/>
          <w:kern w:val="2"/>
          <w:lang w:val="" w:eastAsia="en-US"/>
        </w:rPr>
        <w:t>binary epistemologies in sacred geographies</w:t>
      </w:r>
      <w:r w:rsidR="008E24FB" w:rsidRPr="009A0A53">
        <w:rPr>
          <w:rFonts w:eastAsia="Aptos"/>
          <w:kern w:val="2"/>
          <w:lang w:val="" w:eastAsia="en-US"/>
        </w:rPr>
        <w:t>, is that they often</w:t>
      </w:r>
      <w:r w:rsidRPr="009A0A53">
        <w:rPr>
          <w:rFonts w:eastAsia="Aptos"/>
          <w:kern w:val="2"/>
          <w:lang w:val="" w:eastAsia="en-US"/>
        </w:rPr>
        <w:t xml:space="preserve"> limit comprehension by simplifying </w:t>
      </w:r>
      <w:r w:rsidR="001A2606" w:rsidRPr="009A0A53">
        <w:rPr>
          <w:rFonts w:eastAsia="Aptos"/>
          <w:kern w:val="2"/>
          <w:lang w:val="" w:eastAsia="en-US"/>
        </w:rPr>
        <w:t xml:space="preserve">alternative </w:t>
      </w:r>
      <w:r w:rsidRPr="009A0A53">
        <w:rPr>
          <w:rFonts w:eastAsia="Aptos"/>
          <w:kern w:val="2"/>
          <w:lang w:val="" w:eastAsia="en-US"/>
        </w:rPr>
        <w:t>worldviews</w:t>
      </w:r>
      <w:r w:rsidR="001A2606" w:rsidRPr="009A0A53">
        <w:rPr>
          <w:rFonts w:eastAsia="Aptos"/>
          <w:kern w:val="2"/>
          <w:lang w:val="" w:eastAsia="en-US"/>
        </w:rPr>
        <w:t xml:space="preserve">, at times with </w:t>
      </w:r>
      <w:r w:rsidR="00735AD1" w:rsidRPr="009A0A53">
        <w:rPr>
          <w:rFonts w:eastAsia="Aptos"/>
          <w:kern w:val="2"/>
          <w:lang w:val="" w:eastAsia="en-US"/>
        </w:rPr>
        <w:t xml:space="preserve">violent </w:t>
      </w:r>
      <w:bookmarkStart w:id="21" w:name="_Hlk182314421"/>
      <w:r w:rsidR="00735AD1" w:rsidRPr="009A0A53">
        <w:rPr>
          <w:rFonts w:eastAsia="Aptos"/>
          <w:kern w:val="2"/>
          <w:lang w:val="" w:eastAsia="en-US"/>
        </w:rPr>
        <w:t>'</w:t>
      </w:r>
      <w:bookmarkEnd w:id="21"/>
      <w:r w:rsidR="00735AD1" w:rsidRPr="009A0A53">
        <w:rPr>
          <w:rFonts w:eastAsia="Aptos"/>
          <w:kern w:val="2"/>
          <w:lang w:val="" w:eastAsia="en-US"/>
        </w:rPr>
        <w:t>real-world' consequences for thousands of communities across the world</w:t>
      </w:r>
      <w:r w:rsidR="001A2606" w:rsidRPr="009A0A53">
        <w:rPr>
          <w:rFonts w:eastAsia="Aptos"/>
          <w:kern w:val="2"/>
          <w:lang w:val="" w:eastAsia="en-US"/>
        </w:rPr>
        <w:t>.</w:t>
      </w:r>
    </w:p>
    <w:p w14:paraId="4AD86850" w14:textId="77777777" w:rsidR="009B4667" w:rsidRPr="00900F6C" w:rsidRDefault="00000000" w:rsidP="009B4667">
      <w:pPr>
        <w:spacing w:after="160" w:line="278" w:lineRule="auto"/>
        <w:rPr>
          <w:rFonts w:eastAsia="Aptos"/>
          <w:b/>
          <w:bCs/>
          <w:kern w:val="2"/>
          <w:lang w:val="" w:eastAsia="en-US"/>
        </w:rPr>
      </w:pPr>
      <w:r w:rsidRPr="009A0A53">
        <w:rPr>
          <w:rFonts w:eastAsia="Aptos"/>
          <w:kern w:val="2"/>
          <w:lang w:val="" w:eastAsia="en-US"/>
        </w:rPr>
        <w:t xml:space="preserve">Recognizing what at times presents </w:t>
      </w:r>
      <w:r w:rsidR="009A0A53" w:rsidRPr="009A0A53">
        <w:rPr>
          <w:rFonts w:eastAsia="Aptos"/>
          <w:kern w:val="2"/>
          <w:lang w:val="" w:eastAsia="en-US"/>
        </w:rPr>
        <w:t xml:space="preserve">as a common limitation of Eliade and Durkheim's theories, creates space to </w:t>
      </w:r>
      <w:r w:rsidRPr="009A0A53">
        <w:rPr>
          <w:rFonts w:eastAsia="Aptos"/>
          <w:kern w:val="2"/>
          <w:lang w:val="" w:eastAsia="en-US"/>
        </w:rPr>
        <w:t xml:space="preserve">prioritises the necessity of dealing with indigenous cosmologies on their own terms. </w:t>
      </w:r>
      <w:r w:rsidR="009A0A53" w:rsidRPr="009A0A53">
        <w:rPr>
          <w:rFonts w:eastAsia="Aptos"/>
          <w:kern w:val="2"/>
          <w:lang w:val="" w:eastAsia="en-US"/>
        </w:rPr>
        <w:t>In other words, such a process</w:t>
      </w:r>
      <w:r w:rsidRPr="009A0A53">
        <w:rPr>
          <w:rFonts w:eastAsia="Aptos"/>
          <w:kern w:val="2"/>
          <w:lang w:val="" w:eastAsia="en-US"/>
        </w:rPr>
        <w:t xml:space="preserve"> presents a chance to contest Western theoretical dichotomies of social versus cosmic and sacred versus profane, </w:t>
      </w:r>
      <w:r w:rsidR="009A0A53" w:rsidRPr="009A0A53">
        <w:rPr>
          <w:rFonts w:eastAsia="Aptos"/>
          <w:kern w:val="2"/>
          <w:lang w:val="" w:eastAsia="en-US"/>
        </w:rPr>
        <w:t xml:space="preserve">thus </w:t>
      </w:r>
      <w:r w:rsidRPr="009A0A53">
        <w:rPr>
          <w:rFonts w:eastAsia="Aptos"/>
          <w:kern w:val="2"/>
          <w:lang w:val="" w:eastAsia="en-US"/>
        </w:rPr>
        <w:t xml:space="preserve">facilitating a </w:t>
      </w:r>
      <w:r w:rsidRPr="00900F6C">
        <w:rPr>
          <w:rFonts w:eastAsia="Aptos"/>
          <w:kern w:val="2"/>
          <w:lang w:val="" w:eastAsia="en-US"/>
        </w:rPr>
        <w:t>more nuanced comprehension of sacred space.</w:t>
      </w:r>
    </w:p>
    <w:p w14:paraId="6B26A4F8" w14:textId="77777777" w:rsidR="009B4667" w:rsidRPr="00900F6C" w:rsidRDefault="009B4667" w:rsidP="009B4667">
      <w:pPr>
        <w:spacing w:after="160" w:line="278" w:lineRule="auto"/>
        <w:rPr>
          <w:rFonts w:eastAsia="Aptos"/>
          <w:kern w:val="2"/>
          <w:lang w:val="" w:eastAsia="en-US"/>
        </w:rPr>
      </w:pPr>
    </w:p>
    <w:p w14:paraId="4493AB1D" w14:textId="77777777" w:rsidR="009B4667" w:rsidRPr="00900F6C" w:rsidRDefault="00000000" w:rsidP="009A0A53">
      <w:pPr>
        <w:pStyle w:val="Heading2"/>
        <w:keepLines/>
        <w:spacing w:before="160" w:after="80" w:line="278" w:lineRule="auto"/>
        <w:rPr>
          <w:rFonts w:ascii="Times New Roman" w:eastAsia="Times New Roman" w:hAnsi="Times New Roman" w:cs="Times New Roman"/>
          <w:b w:val="0"/>
          <w:bCs w:val="0"/>
          <w:i w:val="0"/>
          <w:iCs w:val="0"/>
          <w:kern w:val="2"/>
          <w:sz w:val="32"/>
          <w:szCs w:val="32"/>
          <w:lang w:val="" w:eastAsia="en-US"/>
        </w:rPr>
      </w:pPr>
      <w:r w:rsidRPr="00AB590F">
        <w:rPr>
          <w:rFonts w:ascii="Times New Roman" w:eastAsia="Times New Roman" w:hAnsi="Times New Roman" w:cs="Times New Roman"/>
          <w:b w:val="0"/>
          <w:bCs w:val="0"/>
          <w:i w:val="0"/>
          <w:iCs w:val="0"/>
          <w:kern w:val="2"/>
          <w:sz w:val="32"/>
          <w:szCs w:val="32"/>
          <w:lang w:val="" w:eastAsia="en-US"/>
        </w:rPr>
        <w:t>Conclusion</w:t>
      </w:r>
    </w:p>
    <w:p w14:paraId="70185C76" w14:textId="77777777" w:rsidR="00900F6C" w:rsidRPr="00900F6C" w:rsidRDefault="00000000" w:rsidP="009B4667">
      <w:pPr>
        <w:spacing w:after="160" w:line="278" w:lineRule="auto"/>
        <w:rPr>
          <w:rFonts w:eastAsia="Aptos"/>
          <w:kern w:val="2"/>
          <w:lang w:val="" w:eastAsia="en-US"/>
        </w:rPr>
      </w:pPr>
      <w:r w:rsidRPr="00900F6C">
        <w:rPr>
          <w:rFonts w:eastAsia="Aptos"/>
          <w:kern w:val="2"/>
          <w:lang w:val="" w:eastAsia="en-US"/>
        </w:rPr>
        <w:t>Durkheim's sociological framework and Eliade</w:t>
      </w:r>
      <w:bookmarkStart w:id="22" w:name="_Hlk182314368"/>
      <w:r w:rsidRPr="00900F6C">
        <w:rPr>
          <w:rFonts w:eastAsia="Aptos"/>
          <w:kern w:val="2"/>
          <w:lang w:val="" w:eastAsia="en-US"/>
        </w:rPr>
        <w:t>'</w:t>
      </w:r>
      <w:bookmarkEnd w:id="22"/>
      <w:r w:rsidRPr="00900F6C">
        <w:rPr>
          <w:rFonts w:eastAsia="Aptos"/>
          <w:kern w:val="2"/>
          <w:lang w:val="" w:eastAsia="en-US"/>
        </w:rPr>
        <w:t>s phenomenological perspective o</w:t>
      </w:r>
      <w:r w:rsidR="009A0A53" w:rsidRPr="00900F6C">
        <w:rPr>
          <w:rFonts w:eastAsia="Aptos"/>
          <w:kern w:val="2"/>
          <w:lang w:val="" w:eastAsia="en-US"/>
        </w:rPr>
        <w:t>f</w:t>
      </w:r>
      <w:r w:rsidRPr="00900F6C">
        <w:rPr>
          <w:rFonts w:eastAsia="Aptos"/>
          <w:kern w:val="2"/>
          <w:lang w:val="" w:eastAsia="en-US"/>
        </w:rPr>
        <w:t xml:space="preserve"> sacred space present unique yet intersecting views on the significance of the sacred in human existence. Durkheim </w:t>
      </w:r>
      <w:r w:rsidR="009A0A53" w:rsidRPr="00900F6C">
        <w:rPr>
          <w:rFonts w:eastAsia="Aptos"/>
          <w:kern w:val="2"/>
          <w:lang w:val="" w:eastAsia="en-US"/>
        </w:rPr>
        <w:t>offers</w:t>
      </w:r>
      <w:r w:rsidRPr="00900F6C">
        <w:rPr>
          <w:rFonts w:eastAsia="Aptos"/>
          <w:kern w:val="2"/>
          <w:lang w:val="" w:eastAsia="en-US"/>
        </w:rPr>
        <w:t xml:space="preserve"> </w:t>
      </w:r>
      <w:r w:rsidR="008F58DE" w:rsidRPr="00900F6C">
        <w:rPr>
          <w:rFonts w:eastAsia="Aptos"/>
          <w:kern w:val="2"/>
          <w:lang w:val="" w:eastAsia="en-US"/>
        </w:rPr>
        <w:t>sacrality as a</w:t>
      </w:r>
      <w:r w:rsidRPr="00900F6C">
        <w:rPr>
          <w:rFonts w:eastAsia="Aptos"/>
          <w:kern w:val="2"/>
          <w:lang w:val="" w:eastAsia="en-US"/>
        </w:rPr>
        <w:t xml:space="preserve"> construct that </w:t>
      </w:r>
      <w:r w:rsidR="008F58DE" w:rsidRPr="00900F6C">
        <w:rPr>
          <w:rFonts w:eastAsia="Aptos"/>
          <w:kern w:val="2"/>
          <w:lang w:val="" w:eastAsia="en-US"/>
        </w:rPr>
        <w:t>develops</w:t>
      </w:r>
      <w:r w:rsidRPr="00900F6C">
        <w:rPr>
          <w:rFonts w:eastAsia="Aptos"/>
          <w:kern w:val="2"/>
          <w:lang w:val="" w:eastAsia="en-US"/>
        </w:rPr>
        <w:t xml:space="preserve"> group identity and cohesion, </w:t>
      </w:r>
      <w:r w:rsidR="008F58DE" w:rsidRPr="00900F6C">
        <w:rPr>
          <w:rFonts w:eastAsia="Aptos"/>
          <w:kern w:val="2"/>
          <w:lang w:val="" w:eastAsia="en-US"/>
        </w:rPr>
        <w:t>by using rituals</w:t>
      </w:r>
      <w:r w:rsidRPr="00900F6C">
        <w:rPr>
          <w:rFonts w:eastAsia="Aptos"/>
          <w:kern w:val="2"/>
          <w:lang w:val="" w:eastAsia="en-US"/>
        </w:rPr>
        <w:t xml:space="preserve"> </w:t>
      </w:r>
      <w:r w:rsidR="008F58DE" w:rsidRPr="00900F6C">
        <w:rPr>
          <w:rFonts w:eastAsia="Aptos"/>
          <w:kern w:val="2"/>
          <w:lang w:val="" w:eastAsia="en-US"/>
        </w:rPr>
        <w:t>to</w:t>
      </w:r>
      <w:r w:rsidRPr="00900F6C">
        <w:rPr>
          <w:rFonts w:eastAsia="Aptos"/>
          <w:kern w:val="2"/>
          <w:lang w:val="" w:eastAsia="en-US"/>
        </w:rPr>
        <w:t xml:space="preserve"> strengthen communal values and collective togetherness. Eliade, conversely, </w:t>
      </w:r>
      <w:r w:rsidR="008F58DE" w:rsidRPr="00900F6C">
        <w:rPr>
          <w:rFonts w:eastAsia="Aptos"/>
          <w:kern w:val="2"/>
          <w:lang w:val="" w:eastAsia="en-US"/>
        </w:rPr>
        <w:t>presents</w:t>
      </w:r>
      <w:r w:rsidRPr="00900F6C">
        <w:rPr>
          <w:rFonts w:eastAsia="Aptos"/>
          <w:kern w:val="2"/>
          <w:lang w:val="" w:eastAsia="en-US"/>
        </w:rPr>
        <w:t xml:space="preserve"> sacred spaces as hierophanies—manifestations of a divine or cosmic truth that position </w:t>
      </w:r>
      <w:r w:rsidR="008F58DE" w:rsidRPr="00900F6C">
        <w:rPr>
          <w:rFonts w:eastAsia="Aptos"/>
          <w:kern w:val="2"/>
          <w:lang w:val="" w:eastAsia="en-US"/>
        </w:rPr>
        <w:t>communities</w:t>
      </w:r>
      <w:r w:rsidRPr="00900F6C">
        <w:rPr>
          <w:rFonts w:eastAsia="Aptos"/>
          <w:kern w:val="2"/>
          <w:lang w:val="" w:eastAsia="en-US"/>
        </w:rPr>
        <w:t xml:space="preserve"> within a transcendent order </w:t>
      </w:r>
      <w:r w:rsidR="0082516B" w:rsidRPr="00900F6C">
        <w:rPr>
          <w:rFonts w:eastAsia="Aptos"/>
          <w:kern w:val="2"/>
          <w:lang w:val="" w:eastAsia="en-US"/>
        </w:rPr>
        <w:t>outside of</w:t>
      </w:r>
      <w:r w:rsidRPr="00900F6C">
        <w:rPr>
          <w:rFonts w:eastAsia="Aptos"/>
          <w:kern w:val="2"/>
          <w:lang w:val="" w:eastAsia="en-US"/>
        </w:rPr>
        <w:t xml:space="preserve"> social function. Durkheim underscores the communal purpose of sacred spaces, whereas Eliade accentuates their significance in linking people to a transcendent existential reality. Notwithstanding these disparities, both ideologies emphasise the significance of sacred </w:t>
      </w:r>
      <w:r w:rsidR="0082516B" w:rsidRPr="00900F6C">
        <w:rPr>
          <w:rFonts w:eastAsia="Aptos"/>
          <w:kern w:val="2"/>
          <w:lang w:val="" w:eastAsia="en-US"/>
        </w:rPr>
        <w:t>space</w:t>
      </w:r>
      <w:r w:rsidRPr="00900F6C">
        <w:rPr>
          <w:rFonts w:eastAsia="Aptos"/>
          <w:kern w:val="2"/>
          <w:lang w:val="" w:eastAsia="en-US"/>
        </w:rPr>
        <w:t xml:space="preserve"> in forming identity and anchoring individuals within a broader context of </w:t>
      </w:r>
      <w:r w:rsidR="0082516B" w:rsidRPr="00900F6C">
        <w:rPr>
          <w:rFonts w:eastAsia="Aptos"/>
          <w:kern w:val="2"/>
          <w:lang w:val="" w:eastAsia="en-US"/>
        </w:rPr>
        <w:t xml:space="preserve">existential </w:t>
      </w:r>
      <w:r w:rsidRPr="00900F6C">
        <w:rPr>
          <w:rFonts w:eastAsia="Aptos"/>
          <w:kern w:val="2"/>
          <w:lang w:val="" w:eastAsia="en-US"/>
        </w:rPr>
        <w:t xml:space="preserve">meaning. </w:t>
      </w:r>
      <w:r w:rsidR="0082516B" w:rsidRPr="00900F6C">
        <w:rPr>
          <w:rFonts w:eastAsia="Aptos"/>
          <w:kern w:val="2"/>
          <w:lang w:val="" w:eastAsia="en-US"/>
        </w:rPr>
        <w:t>Although widely applicable</w:t>
      </w:r>
      <w:r w:rsidR="00B05229" w:rsidRPr="00900F6C">
        <w:rPr>
          <w:rFonts w:eastAsia="Aptos"/>
          <w:kern w:val="2"/>
          <w:lang w:val="" w:eastAsia="en-US"/>
        </w:rPr>
        <w:t xml:space="preserve"> to many societies</w:t>
      </w:r>
      <w:r w:rsidRPr="00900F6C">
        <w:rPr>
          <w:rFonts w:eastAsia="Aptos"/>
          <w:kern w:val="2"/>
          <w:lang w:val="" w:eastAsia="en-US"/>
        </w:rPr>
        <w:t xml:space="preserve">, both </w:t>
      </w:r>
      <w:r w:rsidR="00B05229" w:rsidRPr="00900F6C">
        <w:rPr>
          <w:rFonts w:eastAsia="Aptos"/>
          <w:kern w:val="2"/>
          <w:lang w:val="" w:eastAsia="en-US"/>
        </w:rPr>
        <w:t>theories</w:t>
      </w:r>
      <w:r w:rsidRPr="00900F6C">
        <w:rPr>
          <w:rFonts w:eastAsia="Aptos"/>
          <w:kern w:val="2"/>
          <w:lang w:val="" w:eastAsia="en-US"/>
        </w:rPr>
        <w:t xml:space="preserve"> </w:t>
      </w:r>
      <w:r w:rsidR="002A6870" w:rsidRPr="00900F6C">
        <w:rPr>
          <w:rFonts w:eastAsia="Aptos"/>
          <w:kern w:val="2"/>
          <w:lang w:val="" w:eastAsia="en-US"/>
        </w:rPr>
        <w:t>possess</w:t>
      </w:r>
      <w:r w:rsidRPr="00900F6C">
        <w:rPr>
          <w:rFonts w:eastAsia="Aptos"/>
          <w:kern w:val="2"/>
          <w:lang w:val="" w:eastAsia="en-US"/>
        </w:rPr>
        <w:t xml:space="preserve"> limitations: Durkheim</w:t>
      </w:r>
      <w:bookmarkStart w:id="23" w:name="_Hlk182314398"/>
      <w:r w:rsidRPr="00900F6C">
        <w:rPr>
          <w:rFonts w:eastAsia="Aptos"/>
          <w:kern w:val="2"/>
          <w:lang w:val="" w:eastAsia="en-US"/>
        </w:rPr>
        <w:t>’</w:t>
      </w:r>
      <w:bookmarkEnd w:id="23"/>
      <w:r w:rsidRPr="00900F6C">
        <w:rPr>
          <w:rFonts w:eastAsia="Aptos"/>
          <w:kern w:val="2"/>
          <w:lang w:val="" w:eastAsia="en-US"/>
        </w:rPr>
        <w:t xml:space="preserve">s emphasis on collective consciousness may neglect individual spiritual experiences, whereas Eliade’s perspective of the sacred as immutable may fail to account for the dynamic and evolving </w:t>
      </w:r>
      <w:r w:rsidRPr="00900F6C">
        <w:rPr>
          <w:rFonts w:eastAsia="Aptos"/>
          <w:kern w:val="2"/>
          <w:lang w:val="" w:eastAsia="en-US"/>
        </w:rPr>
        <w:lastRenderedPageBreak/>
        <w:t>nature of sacred locations within cultural settings</w:t>
      </w:r>
      <w:r w:rsidR="00B05229" w:rsidRPr="00900F6C">
        <w:rPr>
          <w:rFonts w:eastAsia="Aptos"/>
          <w:kern w:val="2"/>
          <w:lang w:val="" w:eastAsia="en-US"/>
        </w:rPr>
        <w:t xml:space="preserve">, and together both </w:t>
      </w:r>
      <w:r w:rsidRPr="00900F6C">
        <w:rPr>
          <w:rFonts w:eastAsia="Aptos"/>
          <w:kern w:val="2"/>
          <w:lang w:val="" w:eastAsia="en-US"/>
        </w:rPr>
        <w:t>struggle</w:t>
      </w:r>
      <w:r w:rsidR="001E6389" w:rsidRPr="00900F6C">
        <w:rPr>
          <w:rFonts w:eastAsia="Aptos"/>
          <w:kern w:val="2"/>
          <w:lang w:val="" w:eastAsia="en-US"/>
        </w:rPr>
        <w:t xml:space="preserve"> to comfortably encapsulate African cosmologies </w:t>
      </w:r>
      <w:r w:rsidR="00EE4D84" w:rsidRPr="00900F6C">
        <w:rPr>
          <w:rFonts w:eastAsia="Aptos"/>
          <w:kern w:val="2"/>
          <w:lang w:val="" w:eastAsia="en-US"/>
        </w:rPr>
        <w:t xml:space="preserve">as a result of their sacred/profane dichotomies. </w:t>
      </w:r>
      <w:r w:rsidRPr="00900F6C">
        <w:rPr>
          <w:rFonts w:eastAsia="Aptos"/>
          <w:kern w:val="2"/>
          <w:lang w:val="" w:eastAsia="en-US"/>
        </w:rPr>
        <w:t xml:space="preserve"> </w:t>
      </w:r>
    </w:p>
    <w:p w14:paraId="034149AF" w14:textId="3CC7147F" w:rsidR="005645A6" w:rsidRDefault="00000000" w:rsidP="009B4667">
      <w:pPr>
        <w:spacing w:after="160" w:line="278" w:lineRule="auto"/>
        <w:rPr>
          <w:rFonts w:eastAsia="Aptos"/>
          <w:kern w:val="2"/>
          <w:lang w:val="" w:eastAsia="en-US"/>
        </w:rPr>
      </w:pPr>
      <w:r w:rsidRPr="00900F6C">
        <w:rPr>
          <w:rFonts w:eastAsia="Aptos"/>
          <w:kern w:val="2"/>
          <w:lang w:val="" w:eastAsia="en-US"/>
        </w:rPr>
        <w:t>I</w:t>
      </w:r>
      <w:r w:rsidR="00A3156C" w:rsidRPr="00900F6C">
        <w:rPr>
          <w:rFonts w:eastAsia="Aptos"/>
          <w:kern w:val="2"/>
          <w:lang w:val="" w:eastAsia="en-US"/>
        </w:rPr>
        <w:t xml:space="preserve">n conclusion, while Durkheim and Eliade offer </w:t>
      </w:r>
      <w:r w:rsidR="00532572">
        <w:rPr>
          <w:rFonts w:eastAsia="Aptos"/>
          <w:kern w:val="2"/>
          <w:lang w:val="" w:eastAsia="en-US"/>
        </w:rPr>
        <w:t>widely appilcable</w:t>
      </w:r>
      <w:r w:rsidR="00A3156C" w:rsidRPr="00900F6C">
        <w:rPr>
          <w:rFonts w:eastAsia="Aptos"/>
          <w:kern w:val="2"/>
          <w:lang w:val="" w:eastAsia="en-US"/>
        </w:rPr>
        <w:t xml:space="preserve"> insights into the role of sacred space in shaping identity and connecting individuals to a broader existential context, their theories fall short</w:t>
      </w:r>
      <w:r w:rsidR="00532572">
        <w:rPr>
          <w:rFonts w:eastAsia="Aptos"/>
          <w:kern w:val="2"/>
          <w:lang w:val="" w:eastAsia="en-US"/>
        </w:rPr>
        <w:t xml:space="preserve"> in the same way as it pertains to </w:t>
      </w:r>
      <w:r w:rsidR="00A3156C" w:rsidRPr="00900F6C">
        <w:rPr>
          <w:rFonts w:eastAsia="Aptos"/>
          <w:kern w:val="2"/>
          <w:lang w:val="" w:eastAsia="en-US"/>
        </w:rPr>
        <w:t>addressing the complexities of African cosmologies, where the sacred and profane are inseparable, and where sacred spaces are fluid and dynamic rather than static and immutable.</w:t>
      </w:r>
    </w:p>
    <w:p w14:paraId="3469E06A" w14:textId="77777777" w:rsidR="005645A6" w:rsidRDefault="005645A6" w:rsidP="009B4667">
      <w:pPr>
        <w:spacing w:after="160" w:line="278" w:lineRule="auto"/>
        <w:rPr>
          <w:rFonts w:eastAsia="Aptos"/>
          <w:kern w:val="2"/>
          <w:lang w:val="" w:eastAsia="en-US"/>
        </w:rPr>
      </w:pPr>
      <w:r>
        <w:rPr>
          <w:rFonts w:eastAsia="Aptos"/>
          <w:kern w:val="2"/>
          <w:lang w:val="" w:eastAsia="en-US"/>
        </w:rPr>
        <w:br w:type="page"/>
      </w:r>
    </w:p>
    <w:p w14:paraId="24558938" w14:textId="77777777" w:rsidR="009A311B" w:rsidRPr="00EF5891" w:rsidRDefault="00000000" w:rsidP="00BC2602">
      <w:pPr>
        <w:pStyle w:val="Heading2"/>
        <w:keepLines/>
        <w:spacing w:before="160" w:after="80" w:line="278" w:lineRule="auto"/>
        <w:rPr>
          <w:rFonts w:ascii="Times New Roman" w:eastAsia="Times New Roman" w:hAnsi="Times New Roman" w:cs="Times New Roman"/>
          <w:b w:val="0"/>
          <w:bCs w:val="0"/>
          <w:i w:val="0"/>
          <w:iCs w:val="0"/>
          <w:kern w:val="2"/>
          <w:sz w:val="32"/>
          <w:szCs w:val="32"/>
          <w:lang w:val="en-US" w:eastAsia="en-GB"/>
        </w:rPr>
      </w:pPr>
      <w:r w:rsidRPr="00EF5891">
        <w:rPr>
          <w:rFonts w:ascii="Times New Roman" w:eastAsia="Times New Roman" w:hAnsi="Times New Roman" w:cs="Times New Roman"/>
          <w:b w:val="0"/>
          <w:bCs w:val="0"/>
          <w:i w:val="0"/>
          <w:iCs w:val="0"/>
          <w:kern w:val="2"/>
          <w:sz w:val="32"/>
          <w:szCs w:val="32"/>
          <w:lang w:val="en-US" w:eastAsia="en-GB"/>
        </w:rPr>
        <w:t>References</w:t>
      </w:r>
    </w:p>
    <w:p w14:paraId="007DF04E" w14:textId="77777777" w:rsidR="009A311B" w:rsidRDefault="00000000" w:rsidP="009A311B">
      <w:pPr>
        <w:spacing w:line="480" w:lineRule="auto"/>
        <w:ind w:firstLine="720"/>
        <w:rPr>
          <w:rFonts w:eastAsia="Times New Roman"/>
          <w:lang w:val="" w:eastAsia="en-GB"/>
        </w:rPr>
      </w:pPr>
      <w:r w:rsidRPr="009A311B">
        <w:rPr>
          <w:rFonts w:eastAsia="Times New Roman"/>
          <w:lang w:val="" w:eastAsia="en-GB"/>
        </w:rPr>
        <w:t xml:space="preserve">Amanze, James N., </w:t>
      </w:r>
      <w:r w:rsidRPr="009A0A53">
        <w:rPr>
          <w:rFonts w:eastAsia="Aptos"/>
          <w:kern w:val="2"/>
          <w:lang w:val="" w:eastAsia="en-US"/>
        </w:rPr>
        <w:t>'</w:t>
      </w:r>
      <w:r w:rsidRPr="009A311B">
        <w:rPr>
          <w:rFonts w:eastAsia="Times New Roman"/>
          <w:lang w:val="" w:eastAsia="en-GB"/>
        </w:rPr>
        <w:t>African Approaches to the Protection and Conservation of the Environment: The Role of African Traditional Religions,</w:t>
      </w:r>
      <w:r w:rsidR="006A22E3" w:rsidRPr="009A0A53">
        <w:rPr>
          <w:rFonts w:eastAsia="Aptos"/>
          <w:kern w:val="2"/>
          <w:lang w:val="" w:eastAsia="en-US"/>
        </w:rPr>
        <w:t xml:space="preserve">’ </w:t>
      </w:r>
      <w:r w:rsidR="006A22E3" w:rsidRPr="006A22E3">
        <w:rPr>
          <w:rFonts w:eastAsia="Aptos"/>
          <w:i/>
          <w:iCs/>
          <w:kern w:val="2"/>
          <w:lang w:val="" w:eastAsia="en-US"/>
        </w:rPr>
        <w:t>Religion</w:t>
      </w:r>
      <w:r w:rsidRPr="009A311B">
        <w:rPr>
          <w:rFonts w:eastAsia="Times New Roman"/>
          <w:i/>
          <w:iCs/>
          <w:lang w:val="" w:eastAsia="en-GB"/>
        </w:rPr>
        <w:t xml:space="preserve"> and Development</w:t>
      </w:r>
      <w:r w:rsidRPr="009A311B">
        <w:rPr>
          <w:rFonts w:eastAsia="Times New Roman"/>
          <w:lang w:val="" w:eastAsia="en-GB"/>
        </w:rPr>
        <w:t>, 2.3 (2024), pp. 445–62, doi:10.30965/27507955-20230031</w:t>
      </w:r>
    </w:p>
    <w:p w14:paraId="38068DBD" w14:textId="49336B5F" w:rsidR="005645A6" w:rsidRPr="009A311B" w:rsidRDefault="005645A6" w:rsidP="005645A6">
      <w:pPr>
        <w:spacing w:line="480" w:lineRule="auto"/>
        <w:ind w:firstLine="720"/>
        <w:rPr>
          <w:rFonts w:eastAsia="Times New Roman"/>
          <w:lang w:val="" w:eastAsia="en-GB"/>
        </w:rPr>
      </w:pPr>
      <w:r w:rsidRPr="005645A6">
        <w:rPr>
          <w:rFonts w:eastAsia="Times New Roman"/>
          <w:lang w:eastAsia="en-GB"/>
        </w:rPr>
        <w:t xml:space="preserve">Chidester, David, and Edward T. Linenthal, ‘Introduction’, in </w:t>
      </w:r>
      <w:r w:rsidRPr="005645A6">
        <w:rPr>
          <w:rFonts w:eastAsia="Times New Roman"/>
          <w:i/>
          <w:iCs/>
          <w:lang w:eastAsia="en-GB"/>
        </w:rPr>
        <w:t>American Sacred Space</w:t>
      </w:r>
      <w:r w:rsidRPr="005645A6">
        <w:rPr>
          <w:rFonts w:eastAsia="Times New Roman"/>
          <w:lang w:eastAsia="en-GB"/>
        </w:rPr>
        <w:t>, ed. by David Chidester and Edward T. Linenthal (Bloomington: Indiana University Press, 1995), pp. 5–16.</w:t>
      </w:r>
    </w:p>
    <w:p w14:paraId="7A789455" w14:textId="77777777" w:rsidR="009A311B" w:rsidRPr="009A311B" w:rsidRDefault="00000000" w:rsidP="009A311B">
      <w:pPr>
        <w:spacing w:line="480" w:lineRule="auto"/>
        <w:ind w:firstLine="720"/>
        <w:rPr>
          <w:rFonts w:eastAsia="Times New Roman"/>
          <w:lang w:val="" w:eastAsia="en-GB"/>
        </w:rPr>
      </w:pPr>
      <w:r w:rsidRPr="009A311B">
        <w:rPr>
          <w:rFonts w:eastAsia="Times New Roman"/>
          <w:lang w:val="" w:eastAsia="en-GB"/>
        </w:rPr>
        <w:t xml:space="preserve">Durkheim, Emile, </w:t>
      </w:r>
      <w:r w:rsidRPr="009A311B">
        <w:rPr>
          <w:rFonts w:eastAsia="Times New Roman"/>
          <w:i/>
          <w:iCs/>
          <w:lang w:val="" w:eastAsia="en-GB"/>
        </w:rPr>
        <w:t>Elementary Forms Of The Religious Life: Newly Translated By Karen E. Fields</w:t>
      </w:r>
      <w:r w:rsidRPr="009A311B">
        <w:rPr>
          <w:rFonts w:eastAsia="Times New Roman"/>
          <w:lang w:val="" w:eastAsia="en-GB"/>
        </w:rPr>
        <w:t xml:space="preserve"> (Free Press, 1995)</w:t>
      </w:r>
    </w:p>
    <w:p w14:paraId="7EDF8354" w14:textId="77777777" w:rsidR="009A311B" w:rsidRPr="009A311B" w:rsidRDefault="00000000" w:rsidP="009A311B">
      <w:pPr>
        <w:spacing w:line="480" w:lineRule="auto"/>
        <w:ind w:firstLine="720"/>
        <w:rPr>
          <w:rFonts w:eastAsia="Times New Roman"/>
          <w:lang w:val="" w:eastAsia="en-GB"/>
        </w:rPr>
      </w:pPr>
      <w:r w:rsidRPr="009A311B">
        <w:rPr>
          <w:rFonts w:eastAsia="Times New Roman"/>
          <w:lang w:val="" w:eastAsia="en-GB"/>
        </w:rPr>
        <w:t xml:space="preserve">Eliade, Mircea, </w:t>
      </w:r>
      <w:r w:rsidRPr="009A311B">
        <w:rPr>
          <w:rFonts w:eastAsia="Times New Roman"/>
          <w:i/>
          <w:iCs/>
          <w:lang w:val="" w:eastAsia="en-GB"/>
        </w:rPr>
        <w:t>The Sacred and the Profane: The Nature of Religion</w:t>
      </w:r>
      <w:r w:rsidRPr="009A311B">
        <w:rPr>
          <w:rFonts w:eastAsia="Times New Roman"/>
          <w:lang w:val="" w:eastAsia="en-GB"/>
        </w:rPr>
        <w:t xml:space="preserve"> (Houghton Mifflin Harcourt, 1959)</w:t>
      </w:r>
    </w:p>
    <w:p w14:paraId="5FBE1C09" w14:textId="77777777" w:rsidR="009A311B" w:rsidRPr="009A311B" w:rsidRDefault="00000000" w:rsidP="009A311B">
      <w:pPr>
        <w:spacing w:line="480" w:lineRule="auto"/>
        <w:ind w:firstLine="720"/>
        <w:rPr>
          <w:rFonts w:eastAsia="Times New Roman"/>
          <w:lang w:val="" w:eastAsia="en-GB"/>
        </w:rPr>
      </w:pPr>
      <w:r w:rsidRPr="009A311B">
        <w:rPr>
          <w:rFonts w:eastAsia="Times New Roman"/>
          <w:lang w:val="" w:eastAsia="en-GB"/>
        </w:rPr>
        <w:t xml:space="preserve">Stirrat, R. L., </w:t>
      </w:r>
      <w:r w:rsidRPr="009A0A53">
        <w:rPr>
          <w:rFonts w:eastAsia="Aptos"/>
          <w:kern w:val="2"/>
          <w:lang w:val="" w:eastAsia="en-US"/>
        </w:rPr>
        <w:t>'</w:t>
      </w:r>
      <w:r w:rsidRPr="009A311B">
        <w:rPr>
          <w:rFonts w:eastAsia="Times New Roman"/>
          <w:lang w:val="" w:eastAsia="en-GB"/>
        </w:rPr>
        <w:t>Sacred Models,</w:t>
      </w:r>
      <w:r w:rsidRPr="009A0A53">
        <w:rPr>
          <w:rFonts w:eastAsia="Aptos"/>
          <w:kern w:val="2"/>
          <w:lang w:val="" w:eastAsia="en-US"/>
        </w:rPr>
        <w:t>'</w:t>
      </w:r>
      <w:r w:rsidRPr="009A311B">
        <w:rPr>
          <w:rFonts w:eastAsia="Times New Roman"/>
          <w:lang w:val="" w:eastAsia="en-GB"/>
        </w:rPr>
        <w:t xml:space="preserve"> </w:t>
      </w:r>
      <w:r w:rsidRPr="009A311B">
        <w:rPr>
          <w:rFonts w:eastAsia="Times New Roman"/>
          <w:i/>
          <w:iCs/>
          <w:lang w:val="" w:eastAsia="en-GB"/>
        </w:rPr>
        <w:t>Man</w:t>
      </w:r>
      <w:r w:rsidRPr="009A311B">
        <w:rPr>
          <w:rFonts w:eastAsia="Times New Roman"/>
          <w:lang w:val="" w:eastAsia="en-GB"/>
        </w:rPr>
        <w:t>, 19.2 (1984), pp. 199–215, doi:10.2307/2802277</w:t>
      </w:r>
    </w:p>
    <w:p w14:paraId="1B465C1D" w14:textId="77777777" w:rsidR="00663D96" w:rsidRPr="009A311B" w:rsidRDefault="00663D96" w:rsidP="009B4667">
      <w:pPr>
        <w:spacing w:after="160" w:line="278" w:lineRule="auto"/>
        <w:rPr>
          <w:rFonts w:eastAsia="Aptos"/>
          <w:kern w:val="2"/>
          <w:lang w:val="x-none" w:eastAsia="en-US"/>
        </w:rPr>
      </w:pPr>
    </w:p>
    <w:sectPr w:rsidR="00663D96" w:rsidRPr="009A311B">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724EB" w14:textId="77777777" w:rsidR="00CB65D4" w:rsidRDefault="00CB65D4">
      <w:r>
        <w:separator/>
      </w:r>
    </w:p>
  </w:endnote>
  <w:endnote w:type="continuationSeparator" w:id="0">
    <w:p w14:paraId="3386B15E" w14:textId="77777777" w:rsidR="00CB65D4" w:rsidRDefault="00CB6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82492" w14:textId="77777777" w:rsidR="009C1A08" w:rsidRPr="00337A70" w:rsidRDefault="00000000">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B564A" w14:textId="3C2B6F71" w:rsidR="00051DC8" w:rsidRDefault="00000000">
    <w:pPr>
      <w:tabs>
        <w:tab w:val="center" w:pos="4513"/>
        <w:tab w:val="right" w:pos="9026"/>
      </w:tabs>
      <w:jc w:val="right"/>
      <w:rPr>
        <w:rFonts w:ascii="Aptos" w:eastAsia="Aptos" w:hAnsi="Aptos"/>
        <w:kern w:val="2"/>
        <w:lang w:val="" w:eastAsia="en-US"/>
      </w:rPr>
    </w:pPr>
    <w:r w:rsidRPr="00AB590F">
      <w:rPr>
        <w:rFonts w:ascii="Aptos" w:eastAsia="Aptos" w:hAnsi="Aptos"/>
        <w:kern w:val="2"/>
        <w:lang w:val="" w:eastAsia="en-US"/>
      </w:rPr>
      <w:fldChar w:fldCharType="begin"/>
    </w:r>
    <w:r w:rsidRPr="00AB590F">
      <w:rPr>
        <w:rFonts w:ascii="Aptos" w:eastAsia="Aptos" w:hAnsi="Aptos"/>
        <w:kern w:val="2"/>
        <w:lang w:val="" w:eastAsia="en-US"/>
      </w:rPr>
      <w:instrText>PAGE   \* MERGEFORMAT</w:instrText>
    </w:r>
    <w:r w:rsidRPr="00AB590F">
      <w:rPr>
        <w:rFonts w:ascii="Aptos" w:eastAsia="Aptos" w:hAnsi="Aptos"/>
        <w:kern w:val="2"/>
        <w:lang w:val="" w:eastAsia="en-US"/>
      </w:rPr>
      <w:fldChar w:fldCharType="separate"/>
    </w:r>
    <w:r w:rsidRPr="00AB590F">
      <w:rPr>
        <w:rFonts w:ascii="Aptos" w:eastAsia="Aptos" w:hAnsi="Aptos"/>
        <w:kern w:val="2"/>
        <w:lang w:eastAsia="en-US"/>
      </w:rPr>
      <w:t>2</w:t>
    </w:r>
    <w:r w:rsidRPr="00AB590F">
      <w:rPr>
        <w:rFonts w:ascii="Aptos" w:eastAsia="Aptos" w:hAnsi="Aptos"/>
        <w:kern w:val="2"/>
        <w:lang w:val="" w:eastAsia="en-US"/>
      </w:rPr>
      <w:fldChar w:fldCharType="end"/>
    </w:r>
  </w:p>
  <w:p w14:paraId="3A0A1698" w14:textId="77777777" w:rsidR="00051DC8" w:rsidRDefault="00051DC8">
    <w:pPr>
      <w:tabs>
        <w:tab w:val="center" w:pos="4513"/>
        <w:tab w:val="right" w:pos="9026"/>
      </w:tabs>
      <w:rPr>
        <w:rFonts w:ascii="Aptos" w:eastAsia="Aptos" w:hAnsi="Aptos"/>
        <w:kern w:val="2"/>
        <w:lang w:val=""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B5DFF" w14:textId="77777777" w:rsidR="00CB65D4" w:rsidRDefault="00CB65D4" w:rsidP="003F0782">
      <w:pPr>
        <w:rPr>
          <w:rFonts w:ascii="Aptos" w:eastAsia="Aptos" w:hAnsi="Aptos"/>
          <w:kern w:val="2"/>
          <w:lang w:val="" w:eastAsia="en-US"/>
        </w:rPr>
      </w:pPr>
      <w:r w:rsidRPr="00AB590F">
        <w:rPr>
          <w:rFonts w:ascii="Aptos" w:eastAsia="Aptos" w:hAnsi="Aptos"/>
          <w:kern w:val="2"/>
          <w:lang w:val="" w:eastAsia="en-US"/>
        </w:rPr>
        <w:separator/>
      </w:r>
    </w:p>
  </w:footnote>
  <w:footnote w:type="continuationSeparator" w:id="0">
    <w:p w14:paraId="60CDC8A7" w14:textId="77777777" w:rsidR="00CB65D4" w:rsidRDefault="00CB65D4" w:rsidP="00AD5D5A">
      <w:r>
        <w:continuationSeparator/>
      </w:r>
    </w:p>
  </w:footnote>
  <w:footnote w:id="1">
    <w:p w14:paraId="755ECBEB" w14:textId="77777777" w:rsidR="00772445" w:rsidRPr="00772445" w:rsidRDefault="00000000">
      <w:pPr>
        <w:pStyle w:val="FootnoteText"/>
        <w:rPr>
          <w:rFonts w:ascii="Times New Roman" w:hAnsi="Times New Roman"/>
        </w:rPr>
      </w:pPr>
      <w:r w:rsidRPr="00772445">
        <w:rPr>
          <w:rStyle w:val="FootnoteReference"/>
          <w:rFonts w:ascii="Times New Roman" w:hAnsi="Times New Roman"/>
        </w:rPr>
        <w:footnoteRef/>
      </w:r>
      <w:r w:rsidRPr="00772445">
        <w:rPr>
          <w:rFonts w:ascii="Times New Roman" w:hAnsi="Times New Roman"/>
        </w:rPr>
        <w:t xml:space="preserve"> </w:t>
      </w:r>
      <w:bookmarkStart w:id="7" w:name="_Hlk182299937"/>
      <w:bookmarkStart w:id="8" w:name="_Hlk182314782"/>
      <w:r w:rsidRPr="00772445">
        <w:rPr>
          <w:rFonts w:ascii="Times New Roman" w:hAnsi="Times New Roman"/>
        </w:rPr>
        <w:t xml:space="preserve">Durkheim, Emile, </w:t>
      </w:r>
      <w:r w:rsidRPr="00772445">
        <w:rPr>
          <w:rFonts w:ascii="Times New Roman" w:hAnsi="Times New Roman"/>
          <w:i/>
          <w:iCs/>
        </w:rPr>
        <w:t>Elementary Forms Of The Religious Life: Newly Translated By Karen E. Fields</w:t>
      </w:r>
      <w:bookmarkEnd w:id="7"/>
      <w:r w:rsidRPr="00772445">
        <w:rPr>
          <w:rFonts w:ascii="Times New Roman" w:hAnsi="Times New Roman"/>
        </w:rPr>
        <w:t xml:space="preserve"> </w:t>
      </w:r>
      <w:bookmarkEnd w:id="8"/>
      <w:r w:rsidRPr="00772445">
        <w:rPr>
          <w:rFonts w:ascii="Times New Roman" w:hAnsi="Times New Roman"/>
        </w:rPr>
        <w:t>(Free Press, 1995).</w:t>
      </w:r>
    </w:p>
  </w:footnote>
  <w:footnote w:id="2">
    <w:p w14:paraId="50C1FDEA" w14:textId="77777777" w:rsidR="00772445" w:rsidRPr="00772445" w:rsidRDefault="00000000">
      <w:pPr>
        <w:pStyle w:val="FootnoteText"/>
      </w:pPr>
      <w:r w:rsidRPr="00772445">
        <w:rPr>
          <w:rStyle w:val="FootnoteReference"/>
          <w:rFonts w:ascii="Times New Roman" w:hAnsi="Times New Roman"/>
        </w:rPr>
        <w:footnoteRef/>
      </w:r>
      <w:r w:rsidRPr="00772445">
        <w:rPr>
          <w:rFonts w:ascii="Times New Roman" w:hAnsi="Times New Roman"/>
        </w:rPr>
        <w:t xml:space="preserve"> Ibid.</w:t>
      </w:r>
    </w:p>
  </w:footnote>
  <w:footnote w:id="3">
    <w:p w14:paraId="3D36EA7A" w14:textId="77777777" w:rsidR="00F82C9C" w:rsidRPr="00F82C9C" w:rsidRDefault="00000000">
      <w:pPr>
        <w:pStyle w:val="FootnoteText"/>
        <w:rPr>
          <w:rFonts w:ascii="Times New Roman" w:hAnsi="Times New Roman"/>
          <w:lang w:val="en-GB"/>
        </w:rPr>
      </w:pPr>
      <w:r w:rsidRPr="00F82C9C">
        <w:rPr>
          <w:rStyle w:val="FootnoteReference"/>
          <w:rFonts w:ascii="Times New Roman" w:hAnsi="Times New Roman"/>
        </w:rPr>
        <w:footnoteRef/>
      </w:r>
      <w:r w:rsidRPr="00F82C9C">
        <w:rPr>
          <w:rFonts w:ascii="Times New Roman" w:hAnsi="Times New Roman"/>
        </w:rPr>
        <w:t xml:space="preserve"> </w:t>
      </w:r>
      <w:r w:rsidR="00EF5891" w:rsidRPr="00772445">
        <w:rPr>
          <w:rFonts w:ascii="Times New Roman" w:hAnsi="Times New Roman"/>
        </w:rPr>
        <w:t xml:space="preserve">Durkheim, Emile, </w:t>
      </w:r>
      <w:r w:rsidR="00EF5891" w:rsidRPr="00772445">
        <w:rPr>
          <w:rFonts w:ascii="Times New Roman" w:hAnsi="Times New Roman"/>
          <w:i/>
          <w:iCs/>
        </w:rPr>
        <w:t>Elementary Forms Of The Religious Life: Newly Translated By Karen E. Fields</w:t>
      </w:r>
    </w:p>
  </w:footnote>
  <w:footnote w:id="4">
    <w:p w14:paraId="7ECE1672" w14:textId="77777777" w:rsidR="00F4234A" w:rsidRPr="00F4234A" w:rsidRDefault="00000000">
      <w:pPr>
        <w:pStyle w:val="FootnoteText"/>
        <w:rPr>
          <w:lang w:val="en-GB"/>
        </w:rPr>
      </w:pPr>
      <w:r>
        <w:rPr>
          <w:rStyle w:val="FootnoteReference"/>
        </w:rPr>
        <w:footnoteRef/>
      </w:r>
      <w:r w:rsidR="00EA6B0A">
        <w:rPr>
          <w:rFonts w:ascii="Times New Roman" w:hAnsi="Times New Roman"/>
        </w:rPr>
        <w:t xml:space="preserve"> </w:t>
      </w:r>
      <w:bookmarkStart w:id="9" w:name="_Hlk182301880"/>
      <w:r w:rsidR="00EF5891">
        <w:rPr>
          <w:rFonts w:ascii="Times New Roman" w:hAnsi="Times New Roman"/>
        </w:rPr>
        <w:t>Ibid.</w:t>
      </w:r>
      <w:r w:rsidR="00D16C2A">
        <w:rPr>
          <w:rFonts w:ascii="Times New Roman" w:hAnsi="Times New Roman"/>
        </w:rPr>
        <w:t xml:space="preserve"> </w:t>
      </w:r>
      <w:r w:rsidR="00F33B33">
        <w:rPr>
          <w:rFonts w:ascii="Times New Roman" w:hAnsi="Times New Roman"/>
        </w:rPr>
        <w:t>p. 99-112.</w:t>
      </w:r>
      <w:bookmarkEnd w:id="9"/>
    </w:p>
  </w:footnote>
  <w:footnote w:id="5">
    <w:p w14:paraId="4340023C" w14:textId="77777777" w:rsidR="008C4969" w:rsidRPr="003711A1" w:rsidRDefault="00000000">
      <w:pPr>
        <w:pStyle w:val="FootnoteText"/>
        <w:rPr>
          <w:rFonts w:ascii="Times New Roman" w:hAnsi="Times New Roman"/>
          <w:lang w:val="en-GB"/>
        </w:rPr>
      </w:pPr>
      <w:r w:rsidRPr="003711A1">
        <w:rPr>
          <w:rStyle w:val="FootnoteReference"/>
          <w:rFonts w:ascii="Times New Roman" w:hAnsi="Times New Roman"/>
        </w:rPr>
        <w:footnoteRef/>
      </w:r>
      <w:r w:rsidRPr="003711A1">
        <w:rPr>
          <w:rFonts w:ascii="Times New Roman" w:hAnsi="Times New Roman"/>
        </w:rPr>
        <w:t xml:space="preserve"> </w:t>
      </w:r>
      <w:r w:rsidR="00746032" w:rsidRPr="00B82165">
        <w:rPr>
          <w:rFonts w:ascii="Times New Roman" w:hAnsi="Times New Roman"/>
        </w:rPr>
        <w:t>Ibid. p.</w:t>
      </w:r>
      <w:r w:rsidR="00B82165" w:rsidRPr="00B82165">
        <w:rPr>
          <w:rFonts w:ascii="Times New Roman" w:hAnsi="Times New Roman"/>
        </w:rPr>
        <w:t>344-308</w:t>
      </w:r>
    </w:p>
  </w:footnote>
  <w:footnote w:id="6">
    <w:p w14:paraId="09A28427" w14:textId="77777777" w:rsidR="00C11F59" w:rsidRPr="00C11F59" w:rsidRDefault="00000000">
      <w:pPr>
        <w:pStyle w:val="FootnoteText"/>
        <w:rPr>
          <w:lang w:val="en-GB"/>
        </w:rPr>
      </w:pPr>
      <w:r w:rsidRPr="003711A1">
        <w:rPr>
          <w:rStyle w:val="FootnoteReference"/>
          <w:rFonts w:ascii="Times New Roman" w:hAnsi="Times New Roman"/>
        </w:rPr>
        <w:footnoteRef/>
      </w:r>
      <w:r w:rsidRPr="003711A1">
        <w:rPr>
          <w:rFonts w:ascii="Times New Roman" w:hAnsi="Times New Roman"/>
        </w:rPr>
        <w:t xml:space="preserve"> </w:t>
      </w:r>
      <w:r w:rsidR="00FE448C" w:rsidRPr="003711A1">
        <w:rPr>
          <w:rFonts w:ascii="Times New Roman" w:hAnsi="Times New Roman"/>
        </w:rPr>
        <w:t>Ibid</w:t>
      </w:r>
      <w:r w:rsidR="003711A1" w:rsidRPr="003711A1">
        <w:rPr>
          <w:rFonts w:ascii="Times New Roman" w:hAnsi="Times New Roman"/>
        </w:rPr>
        <w:t>.</w:t>
      </w:r>
    </w:p>
  </w:footnote>
  <w:footnote w:id="7">
    <w:p w14:paraId="3AB4832A" w14:textId="77777777" w:rsidR="007D6166" w:rsidRPr="007D6166" w:rsidRDefault="00000000">
      <w:pPr>
        <w:pStyle w:val="FootnoteText"/>
        <w:rPr>
          <w:lang w:val="en-GB"/>
        </w:rPr>
      </w:pPr>
      <w:r>
        <w:rPr>
          <w:rStyle w:val="FootnoteReference"/>
        </w:rPr>
        <w:footnoteRef/>
      </w:r>
      <w:r>
        <w:t xml:space="preserve"> </w:t>
      </w:r>
      <w:bookmarkStart w:id="13" w:name="_Hlk182237545"/>
      <w:r w:rsidRPr="00DE14F7">
        <w:rPr>
          <w:rFonts w:ascii="Times New Roman" w:hAnsi="Times New Roman"/>
        </w:rPr>
        <w:t xml:space="preserve">Mircea Eliade, </w:t>
      </w:r>
      <w:r w:rsidRPr="00DE14F7">
        <w:rPr>
          <w:rFonts w:ascii="Times New Roman" w:hAnsi="Times New Roman"/>
          <w:i/>
          <w:iCs/>
        </w:rPr>
        <w:t>The Sacred and the Profane: The Nature of Religion</w:t>
      </w:r>
      <w:r w:rsidRPr="00DE14F7">
        <w:rPr>
          <w:rFonts w:ascii="Times New Roman" w:hAnsi="Times New Roman"/>
        </w:rPr>
        <w:t xml:space="preserve"> </w:t>
      </w:r>
      <w:bookmarkEnd w:id="13"/>
      <w:r w:rsidRPr="00DE14F7">
        <w:rPr>
          <w:rFonts w:ascii="Times New Roman" w:hAnsi="Times New Roman"/>
        </w:rPr>
        <w:t>(Houghton Mifflin Harcourt, 1959).</w:t>
      </w:r>
    </w:p>
  </w:footnote>
  <w:footnote w:id="8">
    <w:p w14:paraId="3A18C889" w14:textId="77777777" w:rsidR="007D6166" w:rsidRPr="007D6166" w:rsidRDefault="00000000">
      <w:pPr>
        <w:pStyle w:val="FootnoteText"/>
        <w:rPr>
          <w:lang w:val="en-GB"/>
        </w:rPr>
      </w:pPr>
      <w:r>
        <w:rPr>
          <w:rStyle w:val="FootnoteReference"/>
        </w:rPr>
        <w:footnoteRef/>
      </w:r>
      <w:r>
        <w:t xml:space="preserve"> </w:t>
      </w:r>
      <w:r w:rsidR="00EA6B0A">
        <w:t xml:space="preserve"> </w:t>
      </w:r>
      <w:r w:rsidRPr="000E32D2">
        <w:rPr>
          <w:rFonts w:ascii="Times New Roman" w:hAnsi="Times New Roman"/>
          <w:lang w:val="en-GB"/>
        </w:rPr>
        <w:t>Ibid</w:t>
      </w:r>
      <w:r w:rsidR="000E32D2" w:rsidRPr="000E32D2">
        <w:rPr>
          <w:rFonts w:ascii="Times New Roman" w:hAnsi="Times New Roman"/>
          <w:lang w:val="en-GB"/>
        </w:rPr>
        <w:t>.</w:t>
      </w:r>
    </w:p>
  </w:footnote>
  <w:footnote w:id="9">
    <w:p w14:paraId="63D20749" w14:textId="77777777" w:rsidR="0049644C" w:rsidRPr="00EB0D63" w:rsidRDefault="00000000">
      <w:pPr>
        <w:pStyle w:val="FootnoteText"/>
        <w:rPr>
          <w:rFonts w:ascii="Times New Roman" w:hAnsi="Times New Roman"/>
          <w:lang w:val="en-GB"/>
        </w:rPr>
      </w:pPr>
      <w:r w:rsidRPr="00EB0D63">
        <w:rPr>
          <w:rStyle w:val="FootnoteReference"/>
          <w:rFonts w:ascii="Times New Roman" w:hAnsi="Times New Roman"/>
        </w:rPr>
        <w:footnoteRef/>
      </w:r>
      <w:r w:rsidRPr="00EB0D63">
        <w:rPr>
          <w:rFonts w:ascii="Times New Roman" w:hAnsi="Times New Roman"/>
        </w:rPr>
        <w:t xml:space="preserve"> </w:t>
      </w:r>
      <w:r w:rsidR="00EB0D63" w:rsidRPr="00EB0D63">
        <w:rPr>
          <w:rFonts w:ascii="Times New Roman" w:hAnsi="Times New Roman"/>
          <w:lang w:val="en-GB"/>
        </w:rPr>
        <w:t>Ibid.</w:t>
      </w:r>
      <w:r w:rsidR="00026985">
        <w:rPr>
          <w:rFonts w:ascii="Times New Roman" w:hAnsi="Times New Roman"/>
          <w:lang w:val="en-GB"/>
        </w:rPr>
        <w:t xml:space="preserve"> p. 42-43</w:t>
      </w:r>
    </w:p>
  </w:footnote>
  <w:footnote w:id="10">
    <w:p w14:paraId="0B6E5B5B" w14:textId="77777777" w:rsidR="00981962" w:rsidRPr="00981962" w:rsidRDefault="00000000">
      <w:pPr>
        <w:pStyle w:val="FootnoteText"/>
        <w:rPr>
          <w:rFonts w:ascii="Times New Roman" w:hAnsi="Times New Roman"/>
          <w:lang w:val="en-GB"/>
        </w:rPr>
      </w:pPr>
      <w:r w:rsidRPr="00981962">
        <w:rPr>
          <w:rStyle w:val="FootnoteReference"/>
          <w:rFonts w:ascii="Times New Roman" w:hAnsi="Times New Roman"/>
        </w:rPr>
        <w:footnoteRef/>
      </w:r>
      <w:r w:rsidRPr="00981962">
        <w:rPr>
          <w:rFonts w:ascii="Times New Roman" w:hAnsi="Times New Roman"/>
        </w:rPr>
        <w:t xml:space="preserve"> </w:t>
      </w:r>
      <w:r w:rsidRPr="00981962">
        <w:rPr>
          <w:rFonts w:ascii="Times New Roman" w:hAnsi="Times New Roman"/>
          <w:lang w:val="en-GB"/>
        </w:rPr>
        <w:t>Ibid. p. 50-54.</w:t>
      </w:r>
    </w:p>
  </w:footnote>
  <w:footnote w:id="11">
    <w:p w14:paraId="23B371C0" w14:textId="77777777" w:rsidR="00BF5518" w:rsidRPr="00BF5518" w:rsidRDefault="00000000">
      <w:pPr>
        <w:pStyle w:val="FootnoteText"/>
        <w:rPr>
          <w:lang w:val="en-GB"/>
        </w:rPr>
      </w:pPr>
      <w:r>
        <w:rPr>
          <w:rStyle w:val="FootnoteReference"/>
        </w:rPr>
        <w:footnoteRef/>
      </w:r>
      <w:r>
        <w:t xml:space="preserve"> </w:t>
      </w:r>
      <w:r w:rsidRPr="00DE14F7">
        <w:rPr>
          <w:rFonts w:ascii="Times New Roman" w:hAnsi="Times New Roman"/>
        </w:rPr>
        <w:t xml:space="preserve">Mircea Eliade, </w:t>
      </w:r>
      <w:r w:rsidRPr="00DE14F7">
        <w:rPr>
          <w:rFonts w:ascii="Times New Roman" w:hAnsi="Times New Roman"/>
          <w:i/>
          <w:iCs/>
        </w:rPr>
        <w:t>The Sacred and the Profane: The Nature of Religion</w:t>
      </w:r>
      <w:r>
        <w:rPr>
          <w:rFonts w:ascii="Times New Roman" w:hAnsi="Times New Roman"/>
          <w:i/>
          <w:iCs/>
        </w:rPr>
        <w:t xml:space="preserve">. </w:t>
      </w:r>
      <w:r w:rsidRPr="00482F05">
        <w:rPr>
          <w:rFonts w:ascii="Times New Roman" w:hAnsi="Times New Roman"/>
        </w:rPr>
        <w:t>p. 38</w:t>
      </w:r>
      <w:r w:rsidR="00482F05" w:rsidRPr="00482F05">
        <w:rPr>
          <w:rFonts w:ascii="Times New Roman" w:hAnsi="Times New Roman"/>
        </w:rPr>
        <w:t>-42.</w:t>
      </w:r>
    </w:p>
  </w:footnote>
  <w:footnote w:id="12">
    <w:p w14:paraId="361F955D" w14:textId="77777777" w:rsidR="001C28BD" w:rsidRPr="00826712" w:rsidRDefault="00000000">
      <w:pPr>
        <w:pStyle w:val="FootnoteText"/>
        <w:rPr>
          <w:rFonts w:ascii="Times New Roman" w:hAnsi="Times New Roman"/>
          <w:lang w:val="en-GB"/>
        </w:rPr>
      </w:pPr>
      <w:r w:rsidRPr="00826712">
        <w:rPr>
          <w:rStyle w:val="FootnoteReference"/>
          <w:rFonts w:ascii="Times New Roman" w:hAnsi="Times New Roman"/>
        </w:rPr>
        <w:footnoteRef/>
      </w:r>
      <w:r w:rsidRPr="00826712">
        <w:rPr>
          <w:rFonts w:ascii="Times New Roman" w:hAnsi="Times New Roman"/>
        </w:rPr>
        <w:t xml:space="preserve"> </w:t>
      </w:r>
      <w:r w:rsidR="00EF5891">
        <w:rPr>
          <w:rFonts w:ascii="Times New Roman" w:hAnsi="Times New Roman"/>
        </w:rPr>
        <w:t xml:space="preserve">Ibid. </w:t>
      </w:r>
      <w:r w:rsidR="004C79CD" w:rsidRPr="00826712">
        <w:rPr>
          <w:rFonts w:ascii="Times New Roman" w:hAnsi="Times New Roman"/>
          <w:lang w:val="en-GB"/>
        </w:rPr>
        <w:t xml:space="preserve"> p. 20-2</w:t>
      </w:r>
      <w:r w:rsidR="00C34794" w:rsidRPr="00826712">
        <w:rPr>
          <w:rFonts w:ascii="Times New Roman" w:hAnsi="Times New Roman"/>
          <w:lang w:val="en-GB"/>
        </w:rPr>
        <w:t>5</w:t>
      </w:r>
    </w:p>
  </w:footnote>
  <w:footnote w:id="13">
    <w:p w14:paraId="74B1D69E" w14:textId="77777777" w:rsidR="00FB0661" w:rsidRPr="00FB0661" w:rsidRDefault="00000000">
      <w:pPr>
        <w:pStyle w:val="FootnoteText"/>
        <w:rPr>
          <w:lang w:val="en-GB"/>
        </w:rPr>
      </w:pPr>
      <w:r w:rsidRPr="00826712">
        <w:rPr>
          <w:rStyle w:val="FootnoteReference"/>
          <w:rFonts w:ascii="Times New Roman" w:hAnsi="Times New Roman"/>
        </w:rPr>
        <w:footnoteRef/>
      </w:r>
      <w:bookmarkStart w:id="15" w:name="_Hlk182302958"/>
      <w:r w:rsidRPr="00826712">
        <w:rPr>
          <w:rFonts w:ascii="Times New Roman" w:hAnsi="Times New Roman"/>
        </w:rPr>
        <w:t xml:space="preserve"> </w:t>
      </w:r>
      <w:r w:rsidRPr="00826712">
        <w:rPr>
          <w:rFonts w:ascii="Times New Roman" w:hAnsi="Times New Roman"/>
          <w:lang w:val="en-GB"/>
        </w:rPr>
        <w:t>Ibid</w:t>
      </w:r>
      <w:bookmarkEnd w:id="15"/>
      <w:r w:rsidRPr="00826712">
        <w:rPr>
          <w:rFonts w:ascii="Times New Roman" w:hAnsi="Times New Roman"/>
          <w:lang w:val="en-GB"/>
        </w:rPr>
        <w:t xml:space="preserve">. </w:t>
      </w:r>
      <w:r w:rsidR="00826712" w:rsidRPr="00826712">
        <w:rPr>
          <w:rFonts w:ascii="Times New Roman" w:hAnsi="Times New Roman"/>
          <w:lang w:val="en-GB"/>
        </w:rPr>
        <w:t>p. 20-23</w:t>
      </w:r>
    </w:p>
  </w:footnote>
  <w:footnote w:id="14">
    <w:p w14:paraId="65835053" w14:textId="77777777" w:rsidR="00C1097B" w:rsidRPr="00C1097B" w:rsidRDefault="00000000">
      <w:pPr>
        <w:pStyle w:val="FootnoteText"/>
      </w:pPr>
      <w:r>
        <w:rPr>
          <w:rStyle w:val="FootnoteReference"/>
        </w:rPr>
        <w:footnoteRef/>
      </w:r>
      <w:r>
        <w:t xml:space="preserve"> </w:t>
      </w:r>
      <w:r w:rsidR="007B1829" w:rsidRPr="00772445">
        <w:rPr>
          <w:rFonts w:ascii="Times New Roman" w:hAnsi="Times New Roman"/>
        </w:rPr>
        <w:t xml:space="preserve">Durkheim, Emile, </w:t>
      </w:r>
      <w:r w:rsidR="007B1829" w:rsidRPr="00772445">
        <w:rPr>
          <w:rFonts w:ascii="Times New Roman" w:hAnsi="Times New Roman"/>
          <w:i/>
          <w:iCs/>
        </w:rPr>
        <w:t>Elementary Forms Of The Religious Life: Newly Translated By Karen E. Fields</w:t>
      </w:r>
      <w:r w:rsidR="007B1829">
        <w:rPr>
          <w:rFonts w:ascii="Times New Roman" w:hAnsi="Times New Roman"/>
        </w:rPr>
        <w:t>, p. 208-225.</w:t>
      </w:r>
    </w:p>
  </w:footnote>
  <w:footnote w:id="15">
    <w:p w14:paraId="79AD73C3" w14:textId="77777777" w:rsidR="003C67B9" w:rsidRPr="003C67B9" w:rsidRDefault="00000000">
      <w:pPr>
        <w:pStyle w:val="FootnoteText"/>
      </w:pPr>
      <w:r>
        <w:rPr>
          <w:rStyle w:val="FootnoteReference"/>
        </w:rPr>
        <w:footnoteRef/>
      </w:r>
      <w:r>
        <w:t xml:space="preserve"> </w:t>
      </w:r>
      <w:bookmarkStart w:id="17" w:name="_Hlk182302679"/>
      <w:r w:rsidRPr="00DE14F7">
        <w:rPr>
          <w:rFonts w:ascii="Times New Roman" w:hAnsi="Times New Roman"/>
        </w:rPr>
        <w:t xml:space="preserve">Mircea Eliade, </w:t>
      </w:r>
      <w:r w:rsidRPr="00DE14F7">
        <w:rPr>
          <w:rFonts w:ascii="Times New Roman" w:hAnsi="Times New Roman"/>
          <w:i/>
          <w:iCs/>
        </w:rPr>
        <w:t>The Sacred and the Profane: The Nature of Religion</w:t>
      </w:r>
      <w:bookmarkEnd w:id="17"/>
      <w:r>
        <w:rPr>
          <w:rFonts w:ascii="Times New Roman" w:hAnsi="Times New Roman"/>
          <w:i/>
          <w:iCs/>
        </w:rPr>
        <w:t>.</w:t>
      </w:r>
    </w:p>
  </w:footnote>
  <w:footnote w:id="16">
    <w:p w14:paraId="0E3F0A76" w14:textId="77777777" w:rsidR="003C67B9" w:rsidRPr="003C67B9" w:rsidRDefault="00000000">
      <w:pPr>
        <w:pStyle w:val="FootnoteText"/>
      </w:pPr>
      <w:r>
        <w:rPr>
          <w:rStyle w:val="FootnoteReference"/>
        </w:rPr>
        <w:footnoteRef/>
      </w:r>
      <w:r>
        <w:t xml:space="preserve"> </w:t>
      </w:r>
      <w:r w:rsidR="00EF5891">
        <w:rPr>
          <w:rFonts w:ascii="Times New Roman" w:hAnsi="Times New Roman"/>
        </w:rPr>
        <w:t>Ibid.</w:t>
      </w:r>
    </w:p>
  </w:footnote>
  <w:footnote w:id="17">
    <w:p w14:paraId="238105D8" w14:textId="77777777" w:rsidR="00AE4350" w:rsidRPr="00AE4350" w:rsidRDefault="00000000">
      <w:pPr>
        <w:pStyle w:val="FootnoteText"/>
      </w:pPr>
      <w:r>
        <w:rPr>
          <w:rStyle w:val="FootnoteReference"/>
        </w:rPr>
        <w:footnoteRef/>
      </w:r>
      <w:r>
        <w:t xml:space="preserve"> </w:t>
      </w:r>
      <w:r w:rsidR="00EF5891">
        <w:rPr>
          <w:rFonts w:ascii="Times New Roman" w:hAnsi="Times New Roman"/>
        </w:rPr>
        <w:t>Ibid.</w:t>
      </w:r>
    </w:p>
  </w:footnote>
  <w:footnote w:id="18">
    <w:p w14:paraId="27C9F30E" w14:textId="77777777" w:rsidR="003741C2" w:rsidRPr="003741C2" w:rsidRDefault="00000000">
      <w:pPr>
        <w:pStyle w:val="FootnoteText"/>
        <w:rPr>
          <w:lang w:val="en-GB"/>
        </w:rPr>
      </w:pPr>
      <w:r>
        <w:rPr>
          <w:rStyle w:val="FootnoteReference"/>
        </w:rPr>
        <w:footnoteRef/>
      </w:r>
      <w:r>
        <w:t xml:space="preserve"> </w:t>
      </w:r>
      <w:r w:rsidRPr="00772445">
        <w:rPr>
          <w:rFonts w:ascii="Times New Roman" w:hAnsi="Times New Roman"/>
        </w:rPr>
        <w:t xml:space="preserve">Durkheim, Emile, </w:t>
      </w:r>
      <w:r w:rsidRPr="00772445">
        <w:rPr>
          <w:rFonts w:ascii="Times New Roman" w:hAnsi="Times New Roman"/>
          <w:i/>
          <w:iCs/>
        </w:rPr>
        <w:t>Elementary Forms Of The Religious Life: Newly Translated By Karen E. Fields</w:t>
      </w:r>
      <w:r w:rsidR="003C67B9">
        <w:rPr>
          <w:rFonts w:ascii="Times New Roman" w:hAnsi="Times New Roman"/>
          <w:i/>
          <w:iCs/>
        </w:rPr>
        <w:t>.</w:t>
      </w:r>
    </w:p>
  </w:footnote>
  <w:footnote w:id="19">
    <w:p w14:paraId="097E33C9" w14:textId="77777777" w:rsidR="006B1058" w:rsidRPr="006B1058" w:rsidRDefault="00000000">
      <w:pPr>
        <w:pStyle w:val="FootnoteText"/>
        <w:rPr>
          <w:lang w:val="en-GB"/>
        </w:rPr>
      </w:pPr>
      <w:r>
        <w:rPr>
          <w:rStyle w:val="FootnoteReference"/>
        </w:rPr>
        <w:footnoteRef/>
      </w:r>
      <w:r>
        <w:t xml:space="preserve"> </w:t>
      </w:r>
      <w:r w:rsidRPr="00DE14F7">
        <w:rPr>
          <w:rFonts w:ascii="Times New Roman" w:hAnsi="Times New Roman"/>
        </w:rPr>
        <w:t xml:space="preserve">Mircea Eliade, </w:t>
      </w:r>
      <w:r w:rsidRPr="00DE14F7">
        <w:rPr>
          <w:rFonts w:ascii="Times New Roman" w:hAnsi="Times New Roman"/>
          <w:i/>
          <w:iCs/>
        </w:rPr>
        <w:t>The Sacred and the Profane: The Nature of Religion</w:t>
      </w:r>
      <w:r>
        <w:rPr>
          <w:rFonts w:ascii="Times New Roman" w:hAnsi="Times New Roman"/>
          <w:i/>
          <w:iCs/>
        </w:rPr>
        <w:t>, 36-37.</w:t>
      </w:r>
    </w:p>
  </w:footnote>
  <w:footnote w:id="20">
    <w:p w14:paraId="49955560" w14:textId="77777777" w:rsidR="0066735D" w:rsidRPr="0066735D" w:rsidRDefault="00000000">
      <w:pPr>
        <w:pStyle w:val="FootnoteText"/>
        <w:rPr>
          <w:lang w:val="en-GB"/>
        </w:rPr>
      </w:pPr>
      <w:r>
        <w:rPr>
          <w:rStyle w:val="FootnoteReference"/>
        </w:rPr>
        <w:footnoteRef/>
      </w:r>
      <w:r>
        <w:t xml:space="preserve"> </w:t>
      </w:r>
      <w:r w:rsidRPr="0065154E">
        <w:rPr>
          <w:rFonts w:ascii="Times New Roman" w:hAnsi="Times New Roman"/>
        </w:rPr>
        <w:t xml:space="preserve">R. L. Stirrat, </w:t>
      </w:r>
      <w:r w:rsidR="00F14EB8" w:rsidRPr="00CB18E6">
        <w:rPr>
          <w:rFonts w:ascii="Times New Roman" w:hAnsi="Times New Roman"/>
        </w:rPr>
        <w:t>'</w:t>
      </w:r>
      <w:r w:rsidRPr="0065154E">
        <w:rPr>
          <w:rFonts w:ascii="Times New Roman" w:hAnsi="Times New Roman"/>
        </w:rPr>
        <w:t>Sacred Models,</w:t>
      </w:r>
      <w:r w:rsidR="00F14EB8" w:rsidRPr="00F14EB8">
        <w:rPr>
          <w:rFonts w:ascii="Times New Roman" w:hAnsi="Times New Roman"/>
        </w:rPr>
        <w:t xml:space="preserve"> </w:t>
      </w:r>
      <w:r w:rsidR="00F14EB8" w:rsidRPr="00CB18E6">
        <w:rPr>
          <w:rFonts w:ascii="Times New Roman" w:hAnsi="Times New Roman"/>
        </w:rPr>
        <w:t>'</w:t>
      </w:r>
      <w:r w:rsidRPr="0065154E">
        <w:rPr>
          <w:rFonts w:ascii="Times New Roman" w:hAnsi="Times New Roman"/>
        </w:rPr>
        <w:t xml:space="preserve"> </w:t>
      </w:r>
      <w:r w:rsidRPr="0065154E">
        <w:rPr>
          <w:rFonts w:ascii="Times New Roman" w:hAnsi="Times New Roman"/>
          <w:i/>
          <w:iCs/>
        </w:rPr>
        <w:t>Man</w:t>
      </w:r>
      <w:r w:rsidRPr="0065154E">
        <w:rPr>
          <w:rFonts w:ascii="Times New Roman" w:hAnsi="Times New Roman"/>
        </w:rPr>
        <w:t>, 19.2 (1984), pp. 199–215, doi:10.2307/2802277.</w:t>
      </w:r>
    </w:p>
  </w:footnote>
  <w:footnote w:id="21">
    <w:p w14:paraId="1BDDE14E" w14:textId="591515B9" w:rsidR="009510B9" w:rsidRPr="005645A6" w:rsidRDefault="009510B9">
      <w:pPr>
        <w:pStyle w:val="FootnoteText"/>
        <w:rPr>
          <w:rFonts w:ascii="Times New Roman" w:hAnsi="Times New Roman"/>
        </w:rPr>
      </w:pPr>
      <w:r w:rsidRPr="005645A6">
        <w:rPr>
          <w:rStyle w:val="FootnoteReference"/>
          <w:rFonts w:ascii="Times New Roman" w:hAnsi="Times New Roman"/>
        </w:rPr>
        <w:footnoteRef/>
      </w:r>
      <w:r w:rsidRPr="005645A6">
        <w:rPr>
          <w:rFonts w:ascii="Times New Roman" w:hAnsi="Times New Roman"/>
        </w:rPr>
        <w:t xml:space="preserve"> </w:t>
      </w:r>
      <w:bookmarkStart w:id="20" w:name="_Hlk182388351"/>
      <w:r w:rsidR="005645A6" w:rsidRPr="005645A6">
        <w:rPr>
          <w:rFonts w:ascii="Times New Roman" w:hAnsi="Times New Roman"/>
          <w:lang w:val="en-GB"/>
        </w:rPr>
        <w:t xml:space="preserve">Chidester, David, and Edward T. Linenthal, ‘Introduction’, in </w:t>
      </w:r>
      <w:r w:rsidR="005645A6" w:rsidRPr="005645A6">
        <w:rPr>
          <w:rFonts w:ascii="Times New Roman" w:hAnsi="Times New Roman"/>
          <w:i/>
          <w:iCs/>
          <w:lang w:val="en-GB"/>
        </w:rPr>
        <w:t>American Sacred Space</w:t>
      </w:r>
      <w:r w:rsidR="005645A6" w:rsidRPr="005645A6">
        <w:rPr>
          <w:rFonts w:ascii="Times New Roman" w:hAnsi="Times New Roman"/>
          <w:lang w:val="en-GB"/>
        </w:rPr>
        <w:t>, ed. by David Chidester and Edward T. Linenthal (Bloomington: Indiana University Press, 1995), pp. 5–16</w:t>
      </w:r>
      <w:r w:rsidR="005645A6" w:rsidRPr="005645A6">
        <w:rPr>
          <w:rFonts w:ascii="Times New Roman" w:hAnsi="Times New Roman"/>
          <w:lang w:val="en-GB"/>
        </w:rPr>
        <w:t>.</w:t>
      </w:r>
    </w:p>
    <w:bookmarkEnd w:id="20"/>
  </w:footnote>
  <w:footnote w:id="22">
    <w:p w14:paraId="7CE0375E" w14:textId="31210FCB" w:rsidR="005645A6" w:rsidRPr="005645A6" w:rsidRDefault="005645A6">
      <w:pPr>
        <w:pStyle w:val="FootnoteText"/>
      </w:pPr>
      <w:r w:rsidRPr="005645A6">
        <w:rPr>
          <w:rStyle w:val="FootnoteReference"/>
          <w:rFonts w:ascii="Times New Roman" w:hAnsi="Times New Roman"/>
        </w:rPr>
        <w:footnoteRef/>
      </w:r>
      <w:r w:rsidRPr="005645A6">
        <w:rPr>
          <w:rFonts w:ascii="Times New Roman" w:hAnsi="Times New Roman"/>
        </w:rPr>
        <w:t xml:space="preserve"> Ibid.</w:t>
      </w:r>
    </w:p>
  </w:footnote>
  <w:footnote w:id="23">
    <w:p w14:paraId="00F915ED" w14:textId="77777777" w:rsidR="00F14EB8" w:rsidRPr="00F14EB8" w:rsidRDefault="00000000" w:rsidP="00F14EB8">
      <w:pPr>
        <w:pStyle w:val="FootnoteText"/>
        <w:rPr>
          <w:rFonts w:ascii="Times New Roman" w:hAnsi="Times New Roman"/>
        </w:rPr>
      </w:pPr>
      <w:r w:rsidRPr="00F14EB8">
        <w:rPr>
          <w:rStyle w:val="FootnoteReference"/>
          <w:rFonts w:ascii="Times New Roman" w:hAnsi="Times New Roman"/>
        </w:rPr>
        <w:footnoteRef/>
      </w:r>
      <w:r w:rsidRPr="00F14EB8">
        <w:rPr>
          <w:rFonts w:ascii="Times New Roman" w:hAnsi="Times New Roman"/>
        </w:rPr>
        <w:t xml:space="preserve"> </w:t>
      </w:r>
      <w:r w:rsidRPr="00FD780F">
        <w:rPr>
          <w:rFonts w:ascii="Times New Roman" w:hAnsi="Times New Roman"/>
        </w:rPr>
        <w:t xml:space="preserve">James N. Amanze, </w:t>
      </w:r>
      <w:r w:rsidRPr="00F14EB8">
        <w:rPr>
          <w:rFonts w:ascii="Times New Roman" w:hAnsi="Times New Roman"/>
        </w:rPr>
        <w:t>'</w:t>
      </w:r>
      <w:r w:rsidRPr="00FD780F">
        <w:rPr>
          <w:rFonts w:ascii="Times New Roman" w:hAnsi="Times New Roman"/>
        </w:rPr>
        <w:t>African Approaches to the Protection and Conservation of the Environment: The Role of African Traditional Religions,</w:t>
      </w:r>
      <w:r w:rsidRPr="00F14EB8">
        <w:rPr>
          <w:rFonts w:ascii="Times New Roman" w:hAnsi="Times New Roman"/>
        </w:rPr>
        <w:t xml:space="preserve">' </w:t>
      </w:r>
      <w:r w:rsidRPr="00FD780F">
        <w:rPr>
          <w:rFonts w:ascii="Times New Roman" w:hAnsi="Times New Roman"/>
          <w:i/>
          <w:iCs/>
        </w:rPr>
        <w:t>Religion and Development</w:t>
      </w:r>
      <w:r w:rsidRPr="00FD780F">
        <w:rPr>
          <w:rFonts w:ascii="Times New Roman" w:hAnsi="Times New Roman"/>
        </w:rPr>
        <w:t>, 2.3 (2024), pp. 445–62 (p. 451), doi:10.30965/27507955-20230031.</w:t>
      </w:r>
    </w:p>
    <w:p w14:paraId="6ECAD49A" w14:textId="77777777" w:rsidR="00716159" w:rsidRPr="00F14EB8" w:rsidRDefault="0071615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A780E88">
      <w:start w:val="1"/>
      <w:numFmt w:val="bullet"/>
      <w:lvlText w:val=""/>
      <w:lvlJc w:val="left"/>
      <w:pPr>
        <w:tabs>
          <w:tab w:val="num" w:pos="720"/>
        </w:tabs>
        <w:ind w:left="720" w:hanging="360"/>
      </w:pPr>
      <w:rPr>
        <w:rFonts w:ascii="Symbol" w:hAnsi="Symbol" w:hint="default"/>
      </w:rPr>
    </w:lvl>
    <w:lvl w:ilvl="1" w:tplc="EF26277E" w:tentative="1">
      <w:start w:val="1"/>
      <w:numFmt w:val="bullet"/>
      <w:lvlText w:val="o"/>
      <w:lvlJc w:val="left"/>
      <w:pPr>
        <w:tabs>
          <w:tab w:val="num" w:pos="1440"/>
        </w:tabs>
        <w:ind w:left="1440" w:hanging="360"/>
      </w:pPr>
      <w:rPr>
        <w:rFonts w:ascii="Courier New" w:hAnsi="Courier New" w:hint="default"/>
      </w:rPr>
    </w:lvl>
    <w:lvl w:ilvl="2" w:tplc="7B10AA0E" w:tentative="1">
      <w:start w:val="1"/>
      <w:numFmt w:val="bullet"/>
      <w:lvlText w:val=""/>
      <w:lvlJc w:val="left"/>
      <w:pPr>
        <w:tabs>
          <w:tab w:val="num" w:pos="2160"/>
        </w:tabs>
        <w:ind w:left="2160" w:hanging="360"/>
      </w:pPr>
      <w:rPr>
        <w:rFonts w:ascii="Wingdings" w:hAnsi="Wingdings" w:hint="default"/>
      </w:rPr>
    </w:lvl>
    <w:lvl w:ilvl="3" w:tplc="66AA15A0" w:tentative="1">
      <w:start w:val="1"/>
      <w:numFmt w:val="bullet"/>
      <w:lvlText w:val=""/>
      <w:lvlJc w:val="left"/>
      <w:pPr>
        <w:tabs>
          <w:tab w:val="num" w:pos="2880"/>
        </w:tabs>
        <w:ind w:left="2880" w:hanging="360"/>
      </w:pPr>
      <w:rPr>
        <w:rFonts w:ascii="Symbol" w:hAnsi="Symbol" w:hint="default"/>
      </w:rPr>
    </w:lvl>
    <w:lvl w:ilvl="4" w:tplc="E638A9A4" w:tentative="1">
      <w:start w:val="1"/>
      <w:numFmt w:val="bullet"/>
      <w:lvlText w:val="o"/>
      <w:lvlJc w:val="left"/>
      <w:pPr>
        <w:tabs>
          <w:tab w:val="num" w:pos="3600"/>
        </w:tabs>
        <w:ind w:left="3600" w:hanging="360"/>
      </w:pPr>
      <w:rPr>
        <w:rFonts w:ascii="Courier New" w:hAnsi="Courier New" w:hint="default"/>
      </w:rPr>
    </w:lvl>
    <w:lvl w:ilvl="5" w:tplc="9E746CAA" w:tentative="1">
      <w:start w:val="1"/>
      <w:numFmt w:val="bullet"/>
      <w:lvlText w:val=""/>
      <w:lvlJc w:val="left"/>
      <w:pPr>
        <w:tabs>
          <w:tab w:val="num" w:pos="4320"/>
        </w:tabs>
        <w:ind w:left="4320" w:hanging="360"/>
      </w:pPr>
      <w:rPr>
        <w:rFonts w:ascii="Wingdings" w:hAnsi="Wingdings" w:hint="default"/>
      </w:rPr>
    </w:lvl>
    <w:lvl w:ilvl="6" w:tplc="50A66026" w:tentative="1">
      <w:start w:val="1"/>
      <w:numFmt w:val="bullet"/>
      <w:lvlText w:val=""/>
      <w:lvlJc w:val="left"/>
      <w:pPr>
        <w:tabs>
          <w:tab w:val="num" w:pos="5040"/>
        </w:tabs>
        <w:ind w:left="5040" w:hanging="360"/>
      </w:pPr>
      <w:rPr>
        <w:rFonts w:ascii="Symbol" w:hAnsi="Symbol" w:hint="default"/>
      </w:rPr>
    </w:lvl>
    <w:lvl w:ilvl="7" w:tplc="147E7D22" w:tentative="1">
      <w:start w:val="1"/>
      <w:numFmt w:val="bullet"/>
      <w:lvlText w:val="o"/>
      <w:lvlJc w:val="left"/>
      <w:pPr>
        <w:tabs>
          <w:tab w:val="num" w:pos="5760"/>
        </w:tabs>
        <w:ind w:left="5760" w:hanging="360"/>
      </w:pPr>
      <w:rPr>
        <w:rFonts w:ascii="Courier New" w:hAnsi="Courier New" w:hint="default"/>
      </w:rPr>
    </w:lvl>
    <w:lvl w:ilvl="8" w:tplc="255A59C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5A32A598">
      <w:start w:val="1"/>
      <w:numFmt w:val="bullet"/>
      <w:lvlText w:val=""/>
      <w:lvlJc w:val="left"/>
      <w:pPr>
        <w:ind w:left="720" w:hanging="360"/>
      </w:pPr>
      <w:rPr>
        <w:rFonts w:ascii="Symbol" w:hAnsi="Symbol" w:hint="default"/>
      </w:rPr>
    </w:lvl>
    <w:lvl w:ilvl="1" w:tplc="2D346F7C" w:tentative="1">
      <w:start w:val="1"/>
      <w:numFmt w:val="bullet"/>
      <w:lvlText w:val="o"/>
      <w:lvlJc w:val="left"/>
      <w:pPr>
        <w:ind w:left="1440" w:hanging="360"/>
      </w:pPr>
      <w:rPr>
        <w:rFonts w:ascii="Courier New" w:hAnsi="Courier New" w:cs="Courier New" w:hint="default"/>
      </w:rPr>
    </w:lvl>
    <w:lvl w:ilvl="2" w:tplc="7B96AFF8" w:tentative="1">
      <w:start w:val="1"/>
      <w:numFmt w:val="bullet"/>
      <w:lvlText w:val=""/>
      <w:lvlJc w:val="left"/>
      <w:pPr>
        <w:ind w:left="2160" w:hanging="360"/>
      </w:pPr>
      <w:rPr>
        <w:rFonts w:ascii="Wingdings" w:hAnsi="Wingdings" w:hint="default"/>
      </w:rPr>
    </w:lvl>
    <w:lvl w:ilvl="3" w:tplc="5510BFC2" w:tentative="1">
      <w:start w:val="1"/>
      <w:numFmt w:val="bullet"/>
      <w:lvlText w:val=""/>
      <w:lvlJc w:val="left"/>
      <w:pPr>
        <w:ind w:left="2880" w:hanging="360"/>
      </w:pPr>
      <w:rPr>
        <w:rFonts w:ascii="Symbol" w:hAnsi="Symbol" w:hint="default"/>
      </w:rPr>
    </w:lvl>
    <w:lvl w:ilvl="4" w:tplc="2D4ABF38" w:tentative="1">
      <w:start w:val="1"/>
      <w:numFmt w:val="bullet"/>
      <w:lvlText w:val="o"/>
      <w:lvlJc w:val="left"/>
      <w:pPr>
        <w:ind w:left="3600" w:hanging="360"/>
      </w:pPr>
      <w:rPr>
        <w:rFonts w:ascii="Courier New" w:hAnsi="Courier New" w:cs="Courier New" w:hint="default"/>
      </w:rPr>
    </w:lvl>
    <w:lvl w:ilvl="5" w:tplc="5B08A1A2" w:tentative="1">
      <w:start w:val="1"/>
      <w:numFmt w:val="bullet"/>
      <w:lvlText w:val=""/>
      <w:lvlJc w:val="left"/>
      <w:pPr>
        <w:ind w:left="4320" w:hanging="360"/>
      </w:pPr>
      <w:rPr>
        <w:rFonts w:ascii="Wingdings" w:hAnsi="Wingdings" w:hint="default"/>
      </w:rPr>
    </w:lvl>
    <w:lvl w:ilvl="6" w:tplc="74F8A9F8" w:tentative="1">
      <w:start w:val="1"/>
      <w:numFmt w:val="bullet"/>
      <w:lvlText w:val=""/>
      <w:lvlJc w:val="left"/>
      <w:pPr>
        <w:ind w:left="5040" w:hanging="360"/>
      </w:pPr>
      <w:rPr>
        <w:rFonts w:ascii="Symbol" w:hAnsi="Symbol" w:hint="default"/>
      </w:rPr>
    </w:lvl>
    <w:lvl w:ilvl="7" w:tplc="4126DC22" w:tentative="1">
      <w:start w:val="1"/>
      <w:numFmt w:val="bullet"/>
      <w:lvlText w:val="o"/>
      <w:lvlJc w:val="left"/>
      <w:pPr>
        <w:ind w:left="5760" w:hanging="360"/>
      </w:pPr>
      <w:rPr>
        <w:rFonts w:ascii="Courier New" w:hAnsi="Courier New" w:cs="Courier New" w:hint="default"/>
      </w:rPr>
    </w:lvl>
    <w:lvl w:ilvl="8" w:tplc="9170056C"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C6344072">
      <w:start w:val="1"/>
      <w:numFmt w:val="bullet"/>
      <w:lvlText w:val=""/>
      <w:lvlJc w:val="left"/>
      <w:pPr>
        <w:tabs>
          <w:tab w:val="num" w:pos="1080"/>
        </w:tabs>
        <w:ind w:left="1080" w:hanging="360"/>
      </w:pPr>
      <w:rPr>
        <w:rFonts w:ascii="Symbol" w:hAnsi="Symbol" w:hint="default"/>
      </w:rPr>
    </w:lvl>
    <w:lvl w:ilvl="1" w:tplc="AAB0A94E">
      <w:start w:val="1"/>
      <w:numFmt w:val="bullet"/>
      <w:lvlText w:val=""/>
      <w:lvlJc w:val="left"/>
      <w:pPr>
        <w:tabs>
          <w:tab w:val="num" w:pos="1800"/>
        </w:tabs>
        <w:ind w:left="1800" w:hanging="360"/>
      </w:pPr>
      <w:rPr>
        <w:rFonts w:ascii="Symbol" w:hAnsi="Symbol" w:hint="default"/>
      </w:rPr>
    </w:lvl>
    <w:lvl w:ilvl="2" w:tplc="C35E821E" w:tentative="1">
      <w:start w:val="1"/>
      <w:numFmt w:val="lowerRoman"/>
      <w:lvlText w:val="%3."/>
      <w:lvlJc w:val="right"/>
      <w:pPr>
        <w:tabs>
          <w:tab w:val="num" w:pos="2520"/>
        </w:tabs>
        <w:ind w:left="2520" w:hanging="180"/>
      </w:pPr>
    </w:lvl>
    <w:lvl w:ilvl="3" w:tplc="39C49A74" w:tentative="1">
      <w:start w:val="1"/>
      <w:numFmt w:val="decimal"/>
      <w:lvlText w:val="%4."/>
      <w:lvlJc w:val="left"/>
      <w:pPr>
        <w:tabs>
          <w:tab w:val="num" w:pos="3240"/>
        </w:tabs>
        <w:ind w:left="3240" w:hanging="360"/>
      </w:pPr>
    </w:lvl>
    <w:lvl w:ilvl="4" w:tplc="D99CDC44" w:tentative="1">
      <w:start w:val="1"/>
      <w:numFmt w:val="lowerLetter"/>
      <w:lvlText w:val="%5."/>
      <w:lvlJc w:val="left"/>
      <w:pPr>
        <w:tabs>
          <w:tab w:val="num" w:pos="3960"/>
        </w:tabs>
        <w:ind w:left="3960" w:hanging="360"/>
      </w:pPr>
    </w:lvl>
    <w:lvl w:ilvl="5" w:tplc="C1B829EE" w:tentative="1">
      <w:start w:val="1"/>
      <w:numFmt w:val="lowerRoman"/>
      <w:lvlText w:val="%6."/>
      <w:lvlJc w:val="right"/>
      <w:pPr>
        <w:tabs>
          <w:tab w:val="num" w:pos="4680"/>
        </w:tabs>
        <w:ind w:left="4680" w:hanging="180"/>
      </w:pPr>
    </w:lvl>
    <w:lvl w:ilvl="6" w:tplc="F5C08FF4" w:tentative="1">
      <w:start w:val="1"/>
      <w:numFmt w:val="decimal"/>
      <w:lvlText w:val="%7."/>
      <w:lvlJc w:val="left"/>
      <w:pPr>
        <w:tabs>
          <w:tab w:val="num" w:pos="5400"/>
        </w:tabs>
        <w:ind w:left="5400" w:hanging="360"/>
      </w:pPr>
    </w:lvl>
    <w:lvl w:ilvl="7" w:tplc="05A87860" w:tentative="1">
      <w:start w:val="1"/>
      <w:numFmt w:val="lowerLetter"/>
      <w:lvlText w:val="%8."/>
      <w:lvlJc w:val="left"/>
      <w:pPr>
        <w:tabs>
          <w:tab w:val="num" w:pos="6120"/>
        </w:tabs>
        <w:ind w:left="6120" w:hanging="360"/>
      </w:pPr>
    </w:lvl>
    <w:lvl w:ilvl="8" w:tplc="70BE8446"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705016D0">
      <w:start w:val="1"/>
      <w:numFmt w:val="bullet"/>
      <w:lvlText w:val=""/>
      <w:lvlJc w:val="left"/>
      <w:pPr>
        <w:ind w:left="720" w:hanging="360"/>
      </w:pPr>
      <w:rPr>
        <w:rFonts w:ascii="Symbol" w:hAnsi="Symbol" w:hint="default"/>
      </w:rPr>
    </w:lvl>
    <w:lvl w:ilvl="1" w:tplc="7FC4F868" w:tentative="1">
      <w:start w:val="1"/>
      <w:numFmt w:val="bullet"/>
      <w:lvlText w:val="o"/>
      <w:lvlJc w:val="left"/>
      <w:pPr>
        <w:ind w:left="1440" w:hanging="360"/>
      </w:pPr>
      <w:rPr>
        <w:rFonts w:ascii="Courier New" w:hAnsi="Courier New" w:cs="Courier New" w:hint="default"/>
      </w:rPr>
    </w:lvl>
    <w:lvl w:ilvl="2" w:tplc="3E7CA066" w:tentative="1">
      <w:start w:val="1"/>
      <w:numFmt w:val="bullet"/>
      <w:lvlText w:val=""/>
      <w:lvlJc w:val="left"/>
      <w:pPr>
        <w:ind w:left="2160" w:hanging="360"/>
      </w:pPr>
      <w:rPr>
        <w:rFonts w:ascii="Wingdings" w:hAnsi="Wingdings" w:hint="default"/>
      </w:rPr>
    </w:lvl>
    <w:lvl w:ilvl="3" w:tplc="05C00AE0" w:tentative="1">
      <w:start w:val="1"/>
      <w:numFmt w:val="bullet"/>
      <w:lvlText w:val=""/>
      <w:lvlJc w:val="left"/>
      <w:pPr>
        <w:ind w:left="2880" w:hanging="360"/>
      </w:pPr>
      <w:rPr>
        <w:rFonts w:ascii="Symbol" w:hAnsi="Symbol" w:hint="default"/>
      </w:rPr>
    </w:lvl>
    <w:lvl w:ilvl="4" w:tplc="6F0200EA" w:tentative="1">
      <w:start w:val="1"/>
      <w:numFmt w:val="bullet"/>
      <w:lvlText w:val="o"/>
      <w:lvlJc w:val="left"/>
      <w:pPr>
        <w:ind w:left="3600" w:hanging="360"/>
      </w:pPr>
      <w:rPr>
        <w:rFonts w:ascii="Courier New" w:hAnsi="Courier New" w:cs="Courier New" w:hint="default"/>
      </w:rPr>
    </w:lvl>
    <w:lvl w:ilvl="5" w:tplc="4F12B558" w:tentative="1">
      <w:start w:val="1"/>
      <w:numFmt w:val="bullet"/>
      <w:lvlText w:val=""/>
      <w:lvlJc w:val="left"/>
      <w:pPr>
        <w:ind w:left="4320" w:hanging="360"/>
      </w:pPr>
      <w:rPr>
        <w:rFonts w:ascii="Wingdings" w:hAnsi="Wingdings" w:hint="default"/>
      </w:rPr>
    </w:lvl>
    <w:lvl w:ilvl="6" w:tplc="736EB5B2" w:tentative="1">
      <w:start w:val="1"/>
      <w:numFmt w:val="bullet"/>
      <w:lvlText w:val=""/>
      <w:lvlJc w:val="left"/>
      <w:pPr>
        <w:ind w:left="5040" w:hanging="360"/>
      </w:pPr>
      <w:rPr>
        <w:rFonts w:ascii="Symbol" w:hAnsi="Symbol" w:hint="default"/>
      </w:rPr>
    </w:lvl>
    <w:lvl w:ilvl="7" w:tplc="FE88637A" w:tentative="1">
      <w:start w:val="1"/>
      <w:numFmt w:val="bullet"/>
      <w:lvlText w:val="o"/>
      <w:lvlJc w:val="left"/>
      <w:pPr>
        <w:ind w:left="5760" w:hanging="360"/>
      </w:pPr>
      <w:rPr>
        <w:rFonts w:ascii="Courier New" w:hAnsi="Courier New" w:cs="Courier New" w:hint="default"/>
      </w:rPr>
    </w:lvl>
    <w:lvl w:ilvl="8" w:tplc="ADD8D532"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DBC6E4C8">
      <w:start w:val="1"/>
      <w:numFmt w:val="bullet"/>
      <w:lvlText w:val=""/>
      <w:lvlJc w:val="left"/>
      <w:pPr>
        <w:tabs>
          <w:tab w:val="num" w:pos="1080"/>
        </w:tabs>
        <w:ind w:left="1080" w:hanging="360"/>
      </w:pPr>
      <w:rPr>
        <w:rFonts w:ascii="Symbol" w:hAnsi="Symbol" w:hint="default"/>
      </w:rPr>
    </w:lvl>
    <w:lvl w:ilvl="1" w:tplc="692C59AE" w:tentative="1">
      <w:start w:val="1"/>
      <w:numFmt w:val="bullet"/>
      <w:lvlText w:val="o"/>
      <w:lvlJc w:val="left"/>
      <w:pPr>
        <w:tabs>
          <w:tab w:val="num" w:pos="1800"/>
        </w:tabs>
        <w:ind w:left="1800" w:hanging="360"/>
      </w:pPr>
      <w:rPr>
        <w:rFonts w:ascii="Courier New" w:hAnsi="Courier New" w:cs="Courier New" w:hint="default"/>
      </w:rPr>
    </w:lvl>
    <w:lvl w:ilvl="2" w:tplc="D682E864" w:tentative="1">
      <w:start w:val="1"/>
      <w:numFmt w:val="bullet"/>
      <w:lvlText w:val=""/>
      <w:lvlJc w:val="left"/>
      <w:pPr>
        <w:tabs>
          <w:tab w:val="num" w:pos="2520"/>
        </w:tabs>
        <w:ind w:left="2520" w:hanging="360"/>
      </w:pPr>
      <w:rPr>
        <w:rFonts w:ascii="Wingdings" w:hAnsi="Wingdings" w:hint="default"/>
      </w:rPr>
    </w:lvl>
    <w:lvl w:ilvl="3" w:tplc="E822260E" w:tentative="1">
      <w:start w:val="1"/>
      <w:numFmt w:val="bullet"/>
      <w:lvlText w:val=""/>
      <w:lvlJc w:val="left"/>
      <w:pPr>
        <w:tabs>
          <w:tab w:val="num" w:pos="3240"/>
        </w:tabs>
        <w:ind w:left="3240" w:hanging="360"/>
      </w:pPr>
      <w:rPr>
        <w:rFonts w:ascii="Symbol" w:hAnsi="Symbol" w:hint="default"/>
      </w:rPr>
    </w:lvl>
    <w:lvl w:ilvl="4" w:tplc="2D08E758" w:tentative="1">
      <w:start w:val="1"/>
      <w:numFmt w:val="bullet"/>
      <w:lvlText w:val="o"/>
      <w:lvlJc w:val="left"/>
      <w:pPr>
        <w:tabs>
          <w:tab w:val="num" w:pos="3960"/>
        </w:tabs>
        <w:ind w:left="3960" w:hanging="360"/>
      </w:pPr>
      <w:rPr>
        <w:rFonts w:ascii="Courier New" w:hAnsi="Courier New" w:cs="Courier New" w:hint="default"/>
      </w:rPr>
    </w:lvl>
    <w:lvl w:ilvl="5" w:tplc="D3D2A33E" w:tentative="1">
      <w:start w:val="1"/>
      <w:numFmt w:val="bullet"/>
      <w:lvlText w:val=""/>
      <w:lvlJc w:val="left"/>
      <w:pPr>
        <w:tabs>
          <w:tab w:val="num" w:pos="4680"/>
        </w:tabs>
        <w:ind w:left="4680" w:hanging="360"/>
      </w:pPr>
      <w:rPr>
        <w:rFonts w:ascii="Wingdings" w:hAnsi="Wingdings" w:hint="default"/>
      </w:rPr>
    </w:lvl>
    <w:lvl w:ilvl="6" w:tplc="32B0FD7E" w:tentative="1">
      <w:start w:val="1"/>
      <w:numFmt w:val="bullet"/>
      <w:lvlText w:val=""/>
      <w:lvlJc w:val="left"/>
      <w:pPr>
        <w:tabs>
          <w:tab w:val="num" w:pos="5400"/>
        </w:tabs>
        <w:ind w:left="5400" w:hanging="360"/>
      </w:pPr>
      <w:rPr>
        <w:rFonts w:ascii="Symbol" w:hAnsi="Symbol" w:hint="default"/>
      </w:rPr>
    </w:lvl>
    <w:lvl w:ilvl="7" w:tplc="72324EF0" w:tentative="1">
      <w:start w:val="1"/>
      <w:numFmt w:val="bullet"/>
      <w:lvlText w:val="o"/>
      <w:lvlJc w:val="left"/>
      <w:pPr>
        <w:tabs>
          <w:tab w:val="num" w:pos="6120"/>
        </w:tabs>
        <w:ind w:left="6120" w:hanging="360"/>
      </w:pPr>
      <w:rPr>
        <w:rFonts w:ascii="Courier New" w:hAnsi="Courier New" w:cs="Courier New" w:hint="default"/>
      </w:rPr>
    </w:lvl>
    <w:lvl w:ilvl="8" w:tplc="C3065182"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5B56732E">
      <w:start w:val="1"/>
      <w:numFmt w:val="upperRoman"/>
      <w:lvlText w:val="%1."/>
      <w:lvlJc w:val="right"/>
      <w:pPr>
        <w:ind w:left="540" w:hanging="360"/>
      </w:pPr>
    </w:lvl>
    <w:lvl w:ilvl="1" w:tplc="425E9D10" w:tentative="1">
      <w:start w:val="1"/>
      <w:numFmt w:val="lowerLetter"/>
      <w:lvlText w:val="%2."/>
      <w:lvlJc w:val="left"/>
      <w:pPr>
        <w:ind w:left="1260" w:hanging="360"/>
      </w:pPr>
    </w:lvl>
    <w:lvl w:ilvl="2" w:tplc="DB4A1F78" w:tentative="1">
      <w:start w:val="1"/>
      <w:numFmt w:val="lowerRoman"/>
      <w:lvlText w:val="%3."/>
      <w:lvlJc w:val="right"/>
      <w:pPr>
        <w:ind w:left="1980" w:hanging="180"/>
      </w:pPr>
    </w:lvl>
    <w:lvl w:ilvl="3" w:tplc="9E4C4EB4" w:tentative="1">
      <w:start w:val="1"/>
      <w:numFmt w:val="decimal"/>
      <w:lvlText w:val="%4."/>
      <w:lvlJc w:val="left"/>
      <w:pPr>
        <w:ind w:left="2700" w:hanging="360"/>
      </w:pPr>
    </w:lvl>
    <w:lvl w:ilvl="4" w:tplc="CB5C1504" w:tentative="1">
      <w:start w:val="1"/>
      <w:numFmt w:val="lowerLetter"/>
      <w:lvlText w:val="%5."/>
      <w:lvlJc w:val="left"/>
      <w:pPr>
        <w:ind w:left="3420" w:hanging="360"/>
      </w:pPr>
    </w:lvl>
    <w:lvl w:ilvl="5" w:tplc="B112859A" w:tentative="1">
      <w:start w:val="1"/>
      <w:numFmt w:val="lowerRoman"/>
      <w:lvlText w:val="%6."/>
      <w:lvlJc w:val="right"/>
      <w:pPr>
        <w:ind w:left="4140" w:hanging="180"/>
      </w:pPr>
    </w:lvl>
    <w:lvl w:ilvl="6" w:tplc="EB302FDE" w:tentative="1">
      <w:start w:val="1"/>
      <w:numFmt w:val="decimal"/>
      <w:lvlText w:val="%7."/>
      <w:lvlJc w:val="left"/>
      <w:pPr>
        <w:ind w:left="4860" w:hanging="360"/>
      </w:pPr>
    </w:lvl>
    <w:lvl w:ilvl="7" w:tplc="9FA8836E" w:tentative="1">
      <w:start w:val="1"/>
      <w:numFmt w:val="lowerLetter"/>
      <w:lvlText w:val="%8."/>
      <w:lvlJc w:val="left"/>
      <w:pPr>
        <w:ind w:left="5580" w:hanging="360"/>
      </w:pPr>
    </w:lvl>
    <w:lvl w:ilvl="8" w:tplc="71F05F48"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478AF154">
      <w:start w:val="1"/>
      <w:numFmt w:val="bullet"/>
      <w:lvlText w:val=""/>
      <w:lvlJc w:val="left"/>
      <w:pPr>
        <w:tabs>
          <w:tab w:val="num" w:pos="720"/>
        </w:tabs>
        <w:ind w:left="720" w:hanging="360"/>
      </w:pPr>
      <w:rPr>
        <w:rFonts w:ascii="Symbol" w:hAnsi="Symbol" w:hint="default"/>
      </w:rPr>
    </w:lvl>
    <w:lvl w:ilvl="1" w:tplc="DD56AD78" w:tentative="1">
      <w:start w:val="1"/>
      <w:numFmt w:val="bullet"/>
      <w:lvlText w:val="o"/>
      <w:lvlJc w:val="left"/>
      <w:pPr>
        <w:tabs>
          <w:tab w:val="num" w:pos="1440"/>
        </w:tabs>
        <w:ind w:left="1440" w:hanging="360"/>
      </w:pPr>
      <w:rPr>
        <w:rFonts w:ascii="Courier New" w:hAnsi="Courier New" w:hint="default"/>
      </w:rPr>
    </w:lvl>
    <w:lvl w:ilvl="2" w:tplc="7F0EB172" w:tentative="1">
      <w:start w:val="1"/>
      <w:numFmt w:val="bullet"/>
      <w:lvlText w:val=""/>
      <w:lvlJc w:val="left"/>
      <w:pPr>
        <w:tabs>
          <w:tab w:val="num" w:pos="2160"/>
        </w:tabs>
        <w:ind w:left="2160" w:hanging="360"/>
      </w:pPr>
      <w:rPr>
        <w:rFonts w:ascii="Wingdings" w:hAnsi="Wingdings" w:hint="default"/>
      </w:rPr>
    </w:lvl>
    <w:lvl w:ilvl="3" w:tplc="CF6854B8" w:tentative="1">
      <w:start w:val="1"/>
      <w:numFmt w:val="bullet"/>
      <w:lvlText w:val=""/>
      <w:lvlJc w:val="left"/>
      <w:pPr>
        <w:tabs>
          <w:tab w:val="num" w:pos="2880"/>
        </w:tabs>
        <w:ind w:left="2880" w:hanging="360"/>
      </w:pPr>
      <w:rPr>
        <w:rFonts w:ascii="Symbol" w:hAnsi="Symbol" w:hint="default"/>
      </w:rPr>
    </w:lvl>
    <w:lvl w:ilvl="4" w:tplc="A078A5F4" w:tentative="1">
      <w:start w:val="1"/>
      <w:numFmt w:val="bullet"/>
      <w:lvlText w:val="o"/>
      <w:lvlJc w:val="left"/>
      <w:pPr>
        <w:tabs>
          <w:tab w:val="num" w:pos="3600"/>
        </w:tabs>
        <w:ind w:left="3600" w:hanging="360"/>
      </w:pPr>
      <w:rPr>
        <w:rFonts w:ascii="Courier New" w:hAnsi="Courier New" w:hint="default"/>
      </w:rPr>
    </w:lvl>
    <w:lvl w:ilvl="5" w:tplc="0C3E0142" w:tentative="1">
      <w:start w:val="1"/>
      <w:numFmt w:val="bullet"/>
      <w:lvlText w:val=""/>
      <w:lvlJc w:val="left"/>
      <w:pPr>
        <w:tabs>
          <w:tab w:val="num" w:pos="4320"/>
        </w:tabs>
        <w:ind w:left="4320" w:hanging="360"/>
      </w:pPr>
      <w:rPr>
        <w:rFonts w:ascii="Wingdings" w:hAnsi="Wingdings" w:hint="default"/>
      </w:rPr>
    </w:lvl>
    <w:lvl w:ilvl="6" w:tplc="8460FFC8" w:tentative="1">
      <w:start w:val="1"/>
      <w:numFmt w:val="bullet"/>
      <w:lvlText w:val=""/>
      <w:lvlJc w:val="left"/>
      <w:pPr>
        <w:tabs>
          <w:tab w:val="num" w:pos="5040"/>
        </w:tabs>
        <w:ind w:left="5040" w:hanging="360"/>
      </w:pPr>
      <w:rPr>
        <w:rFonts w:ascii="Symbol" w:hAnsi="Symbol" w:hint="default"/>
      </w:rPr>
    </w:lvl>
    <w:lvl w:ilvl="7" w:tplc="627480FC" w:tentative="1">
      <w:start w:val="1"/>
      <w:numFmt w:val="bullet"/>
      <w:lvlText w:val="o"/>
      <w:lvlJc w:val="left"/>
      <w:pPr>
        <w:tabs>
          <w:tab w:val="num" w:pos="5760"/>
        </w:tabs>
        <w:ind w:left="5760" w:hanging="360"/>
      </w:pPr>
      <w:rPr>
        <w:rFonts w:ascii="Courier New" w:hAnsi="Courier New" w:hint="default"/>
      </w:rPr>
    </w:lvl>
    <w:lvl w:ilvl="8" w:tplc="B79EA47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E284871C">
      <w:start w:val="1"/>
      <w:numFmt w:val="decimal"/>
      <w:lvlText w:val="%1."/>
      <w:lvlJc w:val="left"/>
      <w:pPr>
        <w:tabs>
          <w:tab w:val="num" w:pos="720"/>
        </w:tabs>
        <w:ind w:left="720" w:hanging="360"/>
      </w:pPr>
    </w:lvl>
    <w:lvl w:ilvl="1" w:tplc="B3264758" w:tentative="1">
      <w:start w:val="1"/>
      <w:numFmt w:val="lowerLetter"/>
      <w:lvlText w:val="%2."/>
      <w:lvlJc w:val="left"/>
      <w:pPr>
        <w:tabs>
          <w:tab w:val="num" w:pos="1440"/>
        </w:tabs>
        <w:ind w:left="1440" w:hanging="360"/>
      </w:pPr>
    </w:lvl>
    <w:lvl w:ilvl="2" w:tplc="4EA8F6E8" w:tentative="1">
      <w:start w:val="1"/>
      <w:numFmt w:val="lowerRoman"/>
      <w:lvlText w:val="%3."/>
      <w:lvlJc w:val="right"/>
      <w:pPr>
        <w:tabs>
          <w:tab w:val="num" w:pos="2160"/>
        </w:tabs>
        <w:ind w:left="2160" w:hanging="180"/>
      </w:pPr>
    </w:lvl>
    <w:lvl w:ilvl="3" w:tplc="AEFC83A0" w:tentative="1">
      <w:start w:val="1"/>
      <w:numFmt w:val="decimal"/>
      <w:lvlText w:val="%4."/>
      <w:lvlJc w:val="left"/>
      <w:pPr>
        <w:tabs>
          <w:tab w:val="num" w:pos="2880"/>
        </w:tabs>
        <w:ind w:left="2880" w:hanging="360"/>
      </w:pPr>
    </w:lvl>
    <w:lvl w:ilvl="4" w:tplc="19007544" w:tentative="1">
      <w:start w:val="1"/>
      <w:numFmt w:val="lowerLetter"/>
      <w:lvlText w:val="%5."/>
      <w:lvlJc w:val="left"/>
      <w:pPr>
        <w:tabs>
          <w:tab w:val="num" w:pos="3600"/>
        </w:tabs>
        <w:ind w:left="3600" w:hanging="360"/>
      </w:pPr>
    </w:lvl>
    <w:lvl w:ilvl="5" w:tplc="24E6D808" w:tentative="1">
      <w:start w:val="1"/>
      <w:numFmt w:val="lowerRoman"/>
      <w:lvlText w:val="%6."/>
      <w:lvlJc w:val="right"/>
      <w:pPr>
        <w:tabs>
          <w:tab w:val="num" w:pos="4320"/>
        </w:tabs>
        <w:ind w:left="4320" w:hanging="180"/>
      </w:pPr>
    </w:lvl>
    <w:lvl w:ilvl="6" w:tplc="6382C90C" w:tentative="1">
      <w:start w:val="1"/>
      <w:numFmt w:val="decimal"/>
      <w:lvlText w:val="%7."/>
      <w:lvlJc w:val="left"/>
      <w:pPr>
        <w:tabs>
          <w:tab w:val="num" w:pos="5040"/>
        </w:tabs>
        <w:ind w:left="5040" w:hanging="360"/>
      </w:pPr>
    </w:lvl>
    <w:lvl w:ilvl="7" w:tplc="78BC4E80" w:tentative="1">
      <w:start w:val="1"/>
      <w:numFmt w:val="lowerLetter"/>
      <w:lvlText w:val="%8."/>
      <w:lvlJc w:val="left"/>
      <w:pPr>
        <w:tabs>
          <w:tab w:val="num" w:pos="5760"/>
        </w:tabs>
        <w:ind w:left="5760" w:hanging="360"/>
      </w:pPr>
    </w:lvl>
    <w:lvl w:ilvl="8" w:tplc="EBAE1530"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980C69AE">
      <w:start w:val="1"/>
      <w:numFmt w:val="lowerRoman"/>
      <w:lvlText w:val="(%1)"/>
      <w:lvlJc w:val="left"/>
      <w:pPr>
        <w:ind w:left="540" w:hanging="720"/>
      </w:pPr>
      <w:rPr>
        <w:rFonts w:hint="default"/>
        <w:sz w:val="20"/>
      </w:rPr>
    </w:lvl>
    <w:lvl w:ilvl="1" w:tplc="D84EAFF6">
      <w:start w:val="1"/>
      <w:numFmt w:val="lowerLetter"/>
      <w:lvlText w:val="%2."/>
      <w:lvlJc w:val="left"/>
      <w:pPr>
        <w:ind w:left="900" w:hanging="360"/>
      </w:pPr>
    </w:lvl>
    <w:lvl w:ilvl="2" w:tplc="1F544032" w:tentative="1">
      <w:start w:val="1"/>
      <w:numFmt w:val="lowerRoman"/>
      <w:lvlText w:val="%3."/>
      <w:lvlJc w:val="right"/>
      <w:pPr>
        <w:ind w:left="1620" w:hanging="180"/>
      </w:pPr>
    </w:lvl>
    <w:lvl w:ilvl="3" w:tplc="10D87FE2" w:tentative="1">
      <w:start w:val="1"/>
      <w:numFmt w:val="decimal"/>
      <w:lvlText w:val="%4."/>
      <w:lvlJc w:val="left"/>
      <w:pPr>
        <w:ind w:left="2340" w:hanging="360"/>
      </w:pPr>
    </w:lvl>
    <w:lvl w:ilvl="4" w:tplc="885487B6" w:tentative="1">
      <w:start w:val="1"/>
      <w:numFmt w:val="lowerLetter"/>
      <w:lvlText w:val="%5."/>
      <w:lvlJc w:val="left"/>
      <w:pPr>
        <w:ind w:left="3060" w:hanging="360"/>
      </w:pPr>
    </w:lvl>
    <w:lvl w:ilvl="5" w:tplc="FAEA8844" w:tentative="1">
      <w:start w:val="1"/>
      <w:numFmt w:val="lowerRoman"/>
      <w:lvlText w:val="%6."/>
      <w:lvlJc w:val="right"/>
      <w:pPr>
        <w:ind w:left="3780" w:hanging="180"/>
      </w:pPr>
    </w:lvl>
    <w:lvl w:ilvl="6" w:tplc="230290B0" w:tentative="1">
      <w:start w:val="1"/>
      <w:numFmt w:val="decimal"/>
      <w:lvlText w:val="%7."/>
      <w:lvlJc w:val="left"/>
      <w:pPr>
        <w:ind w:left="4500" w:hanging="360"/>
      </w:pPr>
    </w:lvl>
    <w:lvl w:ilvl="7" w:tplc="29A64FDE" w:tentative="1">
      <w:start w:val="1"/>
      <w:numFmt w:val="lowerLetter"/>
      <w:lvlText w:val="%8."/>
      <w:lvlJc w:val="left"/>
      <w:pPr>
        <w:ind w:left="5220" w:hanging="360"/>
      </w:pPr>
    </w:lvl>
    <w:lvl w:ilvl="8" w:tplc="6366C65E"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7DF6B49E">
      <w:start w:val="1"/>
      <w:numFmt w:val="bullet"/>
      <w:lvlText w:val=""/>
      <w:lvlJc w:val="left"/>
      <w:pPr>
        <w:ind w:left="720" w:hanging="360"/>
      </w:pPr>
      <w:rPr>
        <w:rFonts w:ascii="Symbol" w:hAnsi="Symbol" w:hint="default"/>
      </w:rPr>
    </w:lvl>
    <w:lvl w:ilvl="1" w:tplc="A2C26260" w:tentative="1">
      <w:start w:val="1"/>
      <w:numFmt w:val="bullet"/>
      <w:lvlText w:val="o"/>
      <w:lvlJc w:val="left"/>
      <w:pPr>
        <w:ind w:left="1440" w:hanging="360"/>
      </w:pPr>
      <w:rPr>
        <w:rFonts w:ascii="Courier New" w:hAnsi="Courier New" w:cs="Courier New" w:hint="default"/>
      </w:rPr>
    </w:lvl>
    <w:lvl w:ilvl="2" w:tplc="559A7FE6" w:tentative="1">
      <w:start w:val="1"/>
      <w:numFmt w:val="bullet"/>
      <w:lvlText w:val=""/>
      <w:lvlJc w:val="left"/>
      <w:pPr>
        <w:ind w:left="2160" w:hanging="360"/>
      </w:pPr>
      <w:rPr>
        <w:rFonts w:ascii="Wingdings" w:hAnsi="Wingdings" w:hint="default"/>
      </w:rPr>
    </w:lvl>
    <w:lvl w:ilvl="3" w:tplc="4142E0DC" w:tentative="1">
      <w:start w:val="1"/>
      <w:numFmt w:val="bullet"/>
      <w:lvlText w:val=""/>
      <w:lvlJc w:val="left"/>
      <w:pPr>
        <w:ind w:left="2880" w:hanging="360"/>
      </w:pPr>
      <w:rPr>
        <w:rFonts w:ascii="Symbol" w:hAnsi="Symbol" w:hint="default"/>
      </w:rPr>
    </w:lvl>
    <w:lvl w:ilvl="4" w:tplc="DCD6A460" w:tentative="1">
      <w:start w:val="1"/>
      <w:numFmt w:val="bullet"/>
      <w:lvlText w:val="o"/>
      <w:lvlJc w:val="left"/>
      <w:pPr>
        <w:ind w:left="3600" w:hanging="360"/>
      </w:pPr>
      <w:rPr>
        <w:rFonts w:ascii="Courier New" w:hAnsi="Courier New" w:cs="Courier New" w:hint="default"/>
      </w:rPr>
    </w:lvl>
    <w:lvl w:ilvl="5" w:tplc="828E2708" w:tentative="1">
      <w:start w:val="1"/>
      <w:numFmt w:val="bullet"/>
      <w:lvlText w:val=""/>
      <w:lvlJc w:val="left"/>
      <w:pPr>
        <w:ind w:left="4320" w:hanging="360"/>
      </w:pPr>
      <w:rPr>
        <w:rFonts w:ascii="Wingdings" w:hAnsi="Wingdings" w:hint="default"/>
      </w:rPr>
    </w:lvl>
    <w:lvl w:ilvl="6" w:tplc="E4F88350" w:tentative="1">
      <w:start w:val="1"/>
      <w:numFmt w:val="bullet"/>
      <w:lvlText w:val=""/>
      <w:lvlJc w:val="left"/>
      <w:pPr>
        <w:ind w:left="5040" w:hanging="360"/>
      </w:pPr>
      <w:rPr>
        <w:rFonts w:ascii="Symbol" w:hAnsi="Symbol" w:hint="default"/>
      </w:rPr>
    </w:lvl>
    <w:lvl w:ilvl="7" w:tplc="F7B20230" w:tentative="1">
      <w:start w:val="1"/>
      <w:numFmt w:val="bullet"/>
      <w:lvlText w:val="o"/>
      <w:lvlJc w:val="left"/>
      <w:pPr>
        <w:ind w:left="5760" w:hanging="360"/>
      </w:pPr>
      <w:rPr>
        <w:rFonts w:ascii="Courier New" w:hAnsi="Courier New" w:cs="Courier New" w:hint="default"/>
      </w:rPr>
    </w:lvl>
    <w:lvl w:ilvl="8" w:tplc="34F4EC8C"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55622ACA">
      <w:start w:val="1"/>
      <w:numFmt w:val="bullet"/>
      <w:lvlText w:val=""/>
      <w:lvlJc w:val="left"/>
      <w:pPr>
        <w:tabs>
          <w:tab w:val="num" w:pos="720"/>
        </w:tabs>
        <w:ind w:left="720" w:hanging="360"/>
      </w:pPr>
      <w:rPr>
        <w:rFonts w:ascii="Symbol" w:hAnsi="Symbol" w:hint="default"/>
      </w:rPr>
    </w:lvl>
    <w:lvl w:ilvl="1" w:tplc="E496E508" w:tentative="1">
      <w:start w:val="1"/>
      <w:numFmt w:val="bullet"/>
      <w:lvlText w:val="o"/>
      <w:lvlJc w:val="left"/>
      <w:pPr>
        <w:tabs>
          <w:tab w:val="num" w:pos="1440"/>
        </w:tabs>
        <w:ind w:left="1440" w:hanging="360"/>
      </w:pPr>
      <w:rPr>
        <w:rFonts w:ascii="Courier New" w:hAnsi="Courier New" w:hint="default"/>
      </w:rPr>
    </w:lvl>
    <w:lvl w:ilvl="2" w:tplc="1D54A03E" w:tentative="1">
      <w:start w:val="1"/>
      <w:numFmt w:val="bullet"/>
      <w:lvlText w:val=""/>
      <w:lvlJc w:val="left"/>
      <w:pPr>
        <w:tabs>
          <w:tab w:val="num" w:pos="2160"/>
        </w:tabs>
        <w:ind w:left="2160" w:hanging="360"/>
      </w:pPr>
      <w:rPr>
        <w:rFonts w:ascii="Wingdings" w:hAnsi="Wingdings" w:hint="default"/>
      </w:rPr>
    </w:lvl>
    <w:lvl w:ilvl="3" w:tplc="FB12A72A" w:tentative="1">
      <w:start w:val="1"/>
      <w:numFmt w:val="bullet"/>
      <w:lvlText w:val=""/>
      <w:lvlJc w:val="left"/>
      <w:pPr>
        <w:tabs>
          <w:tab w:val="num" w:pos="2880"/>
        </w:tabs>
        <w:ind w:left="2880" w:hanging="360"/>
      </w:pPr>
      <w:rPr>
        <w:rFonts w:ascii="Symbol" w:hAnsi="Symbol" w:hint="default"/>
      </w:rPr>
    </w:lvl>
    <w:lvl w:ilvl="4" w:tplc="85743D8C" w:tentative="1">
      <w:start w:val="1"/>
      <w:numFmt w:val="bullet"/>
      <w:lvlText w:val="o"/>
      <w:lvlJc w:val="left"/>
      <w:pPr>
        <w:tabs>
          <w:tab w:val="num" w:pos="3600"/>
        </w:tabs>
        <w:ind w:left="3600" w:hanging="360"/>
      </w:pPr>
      <w:rPr>
        <w:rFonts w:ascii="Courier New" w:hAnsi="Courier New" w:hint="default"/>
      </w:rPr>
    </w:lvl>
    <w:lvl w:ilvl="5" w:tplc="90DE1A52" w:tentative="1">
      <w:start w:val="1"/>
      <w:numFmt w:val="bullet"/>
      <w:lvlText w:val=""/>
      <w:lvlJc w:val="left"/>
      <w:pPr>
        <w:tabs>
          <w:tab w:val="num" w:pos="4320"/>
        </w:tabs>
        <w:ind w:left="4320" w:hanging="360"/>
      </w:pPr>
      <w:rPr>
        <w:rFonts w:ascii="Wingdings" w:hAnsi="Wingdings" w:hint="default"/>
      </w:rPr>
    </w:lvl>
    <w:lvl w:ilvl="6" w:tplc="1A605CAA" w:tentative="1">
      <w:start w:val="1"/>
      <w:numFmt w:val="bullet"/>
      <w:lvlText w:val=""/>
      <w:lvlJc w:val="left"/>
      <w:pPr>
        <w:tabs>
          <w:tab w:val="num" w:pos="5040"/>
        </w:tabs>
        <w:ind w:left="5040" w:hanging="360"/>
      </w:pPr>
      <w:rPr>
        <w:rFonts w:ascii="Symbol" w:hAnsi="Symbol" w:hint="default"/>
      </w:rPr>
    </w:lvl>
    <w:lvl w:ilvl="7" w:tplc="3BE4E3E4" w:tentative="1">
      <w:start w:val="1"/>
      <w:numFmt w:val="bullet"/>
      <w:lvlText w:val="o"/>
      <w:lvlJc w:val="left"/>
      <w:pPr>
        <w:tabs>
          <w:tab w:val="num" w:pos="5760"/>
        </w:tabs>
        <w:ind w:left="5760" w:hanging="360"/>
      </w:pPr>
      <w:rPr>
        <w:rFonts w:ascii="Courier New" w:hAnsi="Courier New" w:hint="default"/>
      </w:rPr>
    </w:lvl>
    <w:lvl w:ilvl="8" w:tplc="2B026AC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1D64FDF4">
      <w:start w:val="1"/>
      <w:numFmt w:val="bullet"/>
      <w:lvlText w:val=""/>
      <w:lvlJc w:val="left"/>
      <w:pPr>
        <w:tabs>
          <w:tab w:val="num" w:pos="1080"/>
        </w:tabs>
        <w:ind w:left="1080" w:hanging="360"/>
      </w:pPr>
      <w:rPr>
        <w:rFonts w:ascii="Symbol" w:hAnsi="Symbol" w:hint="default"/>
      </w:rPr>
    </w:lvl>
    <w:lvl w:ilvl="1" w:tplc="020A7C1E" w:tentative="1">
      <w:start w:val="1"/>
      <w:numFmt w:val="bullet"/>
      <w:lvlText w:val="o"/>
      <w:lvlJc w:val="left"/>
      <w:pPr>
        <w:tabs>
          <w:tab w:val="num" w:pos="1800"/>
        </w:tabs>
        <w:ind w:left="1800" w:hanging="360"/>
      </w:pPr>
      <w:rPr>
        <w:rFonts w:ascii="Courier New" w:hAnsi="Courier New" w:hint="default"/>
      </w:rPr>
    </w:lvl>
    <w:lvl w:ilvl="2" w:tplc="ED1294D8" w:tentative="1">
      <w:start w:val="1"/>
      <w:numFmt w:val="bullet"/>
      <w:lvlText w:val=""/>
      <w:lvlJc w:val="left"/>
      <w:pPr>
        <w:tabs>
          <w:tab w:val="num" w:pos="2520"/>
        </w:tabs>
        <w:ind w:left="2520" w:hanging="360"/>
      </w:pPr>
      <w:rPr>
        <w:rFonts w:ascii="Wingdings" w:hAnsi="Wingdings" w:hint="default"/>
      </w:rPr>
    </w:lvl>
    <w:lvl w:ilvl="3" w:tplc="890629C0" w:tentative="1">
      <w:start w:val="1"/>
      <w:numFmt w:val="bullet"/>
      <w:lvlText w:val=""/>
      <w:lvlJc w:val="left"/>
      <w:pPr>
        <w:tabs>
          <w:tab w:val="num" w:pos="3240"/>
        </w:tabs>
        <w:ind w:left="3240" w:hanging="360"/>
      </w:pPr>
      <w:rPr>
        <w:rFonts w:ascii="Symbol" w:hAnsi="Symbol" w:hint="default"/>
      </w:rPr>
    </w:lvl>
    <w:lvl w:ilvl="4" w:tplc="22CC68EC" w:tentative="1">
      <w:start w:val="1"/>
      <w:numFmt w:val="bullet"/>
      <w:lvlText w:val="o"/>
      <w:lvlJc w:val="left"/>
      <w:pPr>
        <w:tabs>
          <w:tab w:val="num" w:pos="3960"/>
        </w:tabs>
        <w:ind w:left="3960" w:hanging="360"/>
      </w:pPr>
      <w:rPr>
        <w:rFonts w:ascii="Courier New" w:hAnsi="Courier New" w:hint="default"/>
      </w:rPr>
    </w:lvl>
    <w:lvl w:ilvl="5" w:tplc="B3B8451A" w:tentative="1">
      <w:start w:val="1"/>
      <w:numFmt w:val="bullet"/>
      <w:lvlText w:val=""/>
      <w:lvlJc w:val="left"/>
      <w:pPr>
        <w:tabs>
          <w:tab w:val="num" w:pos="4680"/>
        </w:tabs>
        <w:ind w:left="4680" w:hanging="360"/>
      </w:pPr>
      <w:rPr>
        <w:rFonts w:ascii="Wingdings" w:hAnsi="Wingdings" w:hint="default"/>
      </w:rPr>
    </w:lvl>
    <w:lvl w:ilvl="6" w:tplc="8CE6D9CA" w:tentative="1">
      <w:start w:val="1"/>
      <w:numFmt w:val="bullet"/>
      <w:lvlText w:val=""/>
      <w:lvlJc w:val="left"/>
      <w:pPr>
        <w:tabs>
          <w:tab w:val="num" w:pos="5400"/>
        </w:tabs>
        <w:ind w:left="5400" w:hanging="360"/>
      </w:pPr>
      <w:rPr>
        <w:rFonts w:ascii="Symbol" w:hAnsi="Symbol" w:hint="default"/>
      </w:rPr>
    </w:lvl>
    <w:lvl w:ilvl="7" w:tplc="9274ECA4" w:tentative="1">
      <w:start w:val="1"/>
      <w:numFmt w:val="bullet"/>
      <w:lvlText w:val="o"/>
      <w:lvlJc w:val="left"/>
      <w:pPr>
        <w:tabs>
          <w:tab w:val="num" w:pos="6120"/>
        </w:tabs>
        <w:ind w:left="6120" w:hanging="360"/>
      </w:pPr>
      <w:rPr>
        <w:rFonts w:ascii="Courier New" w:hAnsi="Courier New" w:hint="default"/>
      </w:rPr>
    </w:lvl>
    <w:lvl w:ilvl="8" w:tplc="DCC034A0"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ACAE26B6">
      <w:start w:val="1"/>
      <w:numFmt w:val="bullet"/>
      <w:lvlText w:val="*"/>
      <w:lvlJc w:val="left"/>
      <w:pPr>
        <w:tabs>
          <w:tab w:val="num" w:pos="540"/>
        </w:tabs>
        <w:ind w:left="540" w:hanging="360"/>
      </w:pPr>
      <w:rPr>
        <w:rFonts w:ascii="Albertus" w:hAnsi="Albertus" w:hint="default"/>
      </w:rPr>
    </w:lvl>
    <w:lvl w:ilvl="1" w:tplc="734A53AE" w:tentative="1">
      <w:start w:val="1"/>
      <w:numFmt w:val="bullet"/>
      <w:lvlText w:val="o"/>
      <w:lvlJc w:val="left"/>
      <w:pPr>
        <w:tabs>
          <w:tab w:val="num" w:pos="1440"/>
        </w:tabs>
        <w:ind w:left="1440" w:hanging="360"/>
      </w:pPr>
      <w:rPr>
        <w:rFonts w:ascii="Courier New" w:hAnsi="Courier New" w:cs="Courier New" w:hint="default"/>
      </w:rPr>
    </w:lvl>
    <w:lvl w:ilvl="2" w:tplc="B3401CA2" w:tentative="1">
      <w:start w:val="1"/>
      <w:numFmt w:val="bullet"/>
      <w:lvlText w:val=""/>
      <w:lvlJc w:val="left"/>
      <w:pPr>
        <w:tabs>
          <w:tab w:val="num" w:pos="2160"/>
        </w:tabs>
        <w:ind w:left="2160" w:hanging="360"/>
      </w:pPr>
      <w:rPr>
        <w:rFonts w:ascii="Wingdings" w:hAnsi="Wingdings" w:hint="default"/>
      </w:rPr>
    </w:lvl>
    <w:lvl w:ilvl="3" w:tplc="DB804F0C" w:tentative="1">
      <w:start w:val="1"/>
      <w:numFmt w:val="bullet"/>
      <w:lvlText w:val=""/>
      <w:lvlJc w:val="left"/>
      <w:pPr>
        <w:tabs>
          <w:tab w:val="num" w:pos="2880"/>
        </w:tabs>
        <w:ind w:left="2880" w:hanging="360"/>
      </w:pPr>
      <w:rPr>
        <w:rFonts w:ascii="Symbol" w:hAnsi="Symbol" w:hint="default"/>
      </w:rPr>
    </w:lvl>
    <w:lvl w:ilvl="4" w:tplc="0B144A5C" w:tentative="1">
      <w:start w:val="1"/>
      <w:numFmt w:val="bullet"/>
      <w:lvlText w:val="o"/>
      <w:lvlJc w:val="left"/>
      <w:pPr>
        <w:tabs>
          <w:tab w:val="num" w:pos="3600"/>
        </w:tabs>
        <w:ind w:left="3600" w:hanging="360"/>
      </w:pPr>
      <w:rPr>
        <w:rFonts w:ascii="Courier New" w:hAnsi="Courier New" w:cs="Courier New" w:hint="default"/>
      </w:rPr>
    </w:lvl>
    <w:lvl w:ilvl="5" w:tplc="02EEB24E" w:tentative="1">
      <w:start w:val="1"/>
      <w:numFmt w:val="bullet"/>
      <w:lvlText w:val=""/>
      <w:lvlJc w:val="left"/>
      <w:pPr>
        <w:tabs>
          <w:tab w:val="num" w:pos="4320"/>
        </w:tabs>
        <w:ind w:left="4320" w:hanging="360"/>
      </w:pPr>
      <w:rPr>
        <w:rFonts w:ascii="Wingdings" w:hAnsi="Wingdings" w:hint="default"/>
      </w:rPr>
    </w:lvl>
    <w:lvl w:ilvl="6" w:tplc="DB0E51FC" w:tentative="1">
      <w:start w:val="1"/>
      <w:numFmt w:val="bullet"/>
      <w:lvlText w:val=""/>
      <w:lvlJc w:val="left"/>
      <w:pPr>
        <w:tabs>
          <w:tab w:val="num" w:pos="5040"/>
        </w:tabs>
        <w:ind w:left="5040" w:hanging="360"/>
      </w:pPr>
      <w:rPr>
        <w:rFonts w:ascii="Symbol" w:hAnsi="Symbol" w:hint="default"/>
      </w:rPr>
    </w:lvl>
    <w:lvl w:ilvl="7" w:tplc="B8D697A4" w:tentative="1">
      <w:start w:val="1"/>
      <w:numFmt w:val="bullet"/>
      <w:lvlText w:val="o"/>
      <w:lvlJc w:val="left"/>
      <w:pPr>
        <w:tabs>
          <w:tab w:val="num" w:pos="5760"/>
        </w:tabs>
        <w:ind w:left="5760" w:hanging="360"/>
      </w:pPr>
      <w:rPr>
        <w:rFonts w:ascii="Courier New" w:hAnsi="Courier New" w:cs="Courier New" w:hint="default"/>
      </w:rPr>
    </w:lvl>
    <w:lvl w:ilvl="8" w:tplc="13B42FA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4C3E49EE">
      <w:start w:val="1"/>
      <w:numFmt w:val="bullet"/>
      <w:lvlText w:val=""/>
      <w:lvlJc w:val="left"/>
      <w:pPr>
        <w:tabs>
          <w:tab w:val="num" w:pos="540"/>
        </w:tabs>
        <w:ind w:left="540" w:hanging="360"/>
      </w:pPr>
      <w:rPr>
        <w:rFonts w:ascii="Symbol" w:hAnsi="Symbol" w:hint="default"/>
      </w:rPr>
    </w:lvl>
    <w:lvl w:ilvl="1" w:tplc="BB4243A0">
      <w:start w:val="1"/>
      <w:numFmt w:val="bullet"/>
      <w:lvlText w:val="o"/>
      <w:lvlJc w:val="left"/>
      <w:pPr>
        <w:tabs>
          <w:tab w:val="num" w:pos="1260"/>
        </w:tabs>
        <w:ind w:left="1260" w:hanging="360"/>
      </w:pPr>
      <w:rPr>
        <w:rFonts w:ascii="Courier New" w:hAnsi="Courier New" w:cs="Courier New" w:hint="default"/>
      </w:rPr>
    </w:lvl>
    <w:lvl w:ilvl="2" w:tplc="DBDABB1C" w:tentative="1">
      <w:start w:val="1"/>
      <w:numFmt w:val="bullet"/>
      <w:lvlText w:val=""/>
      <w:lvlJc w:val="left"/>
      <w:pPr>
        <w:tabs>
          <w:tab w:val="num" w:pos="1980"/>
        </w:tabs>
        <w:ind w:left="1980" w:hanging="360"/>
      </w:pPr>
      <w:rPr>
        <w:rFonts w:ascii="Wingdings" w:hAnsi="Wingdings" w:hint="default"/>
      </w:rPr>
    </w:lvl>
    <w:lvl w:ilvl="3" w:tplc="A00A4688" w:tentative="1">
      <w:start w:val="1"/>
      <w:numFmt w:val="bullet"/>
      <w:lvlText w:val=""/>
      <w:lvlJc w:val="left"/>
      <w:pPr>
        <w:tabs>
          <w:tab w:val="num" w:pos="2700"/>
        </w:tabs>
        <w:ind w:left="2700" w:hanging="360"/>
      </w:pPr>
      <w:rPr>
        <w:rFonts w:ascii="Symbol" w:hAnsi="Symbol" w:hint="default"/>
      </w:rPr>
    </w:lvl>
    <w:lvl w:ilvl="4" w:tplc="37C27848" w:tentative="1">
      <w:start w:val="1"/>
      <w:numFmt w:val="bullet"/>
      <w:lvlText w:val="o"/>
      <w:lvlJc w:val="left"/>
      <w:pPr>
        <w:tabs>
          <w:tab w:val="num" w:pos="3420"/>
        </w:tabs>
        <w:ind w:left="3420" w:hanging="360"/>
      </w:pPr>
      <w:rPr>
        <w:rFonts w:ascii="Courier New" w:hAnsi="Courier New" w:cs="Courier New" w:hint="default"/>
      </w:rPr>
    </w:lvl>
    <w:lvl w:ilvl="5" w:tplc="EAC04FC2" w:tentative="1">
      <w:start w:val="1"/>
      <w:numFmt w:val="bullet"/>
      <w:lvlText w:val=""/>
      <w:lvlJc w:val="left"/>
      <w:pPr>
        <w:tabs>
          <w:tab w:val="num" w:pos="4140"/>
        </w:tabs>
        <w:ind w:left="4140" w:hanging="360"/>
      </w:pPr>
      <w:rPr>
        <w:rFonts w:ascii="Wingdings" w:hAnsi="Wingdings" w:hint="default"/>
      </w:rPr>
    </w:lvl>
    <w:lvl w:ilvl="6" w:tplc="4732DB82" w:tentative="1">
      <w:start w:val="1"/>
      <w:numFmt w:val="bullet"/>
      <w:lvlText w:val=""/>
      <w:lvlJc w:val="left"/>
      <w:pPr>
        <w:tabs>
          <w:tab w:val="num" w:pos="4860"/>
        </w:tabs>
        <w:ind w:left="4860" w:hanging="360"/>
      </w:pPr>
      <w:rPr>
        <w:rFonts w:ascii="Symbol" w:hAnsi="Symbol" w:hint="default"/>
      </w:rPr>
    </w:lvl>
    <w:lvl w:ilvl="7" w:tplc="96F241DC" w:tentative="1">
      <w:start w:val="1"/>
      <w:numFmt w:val="bullet"/>
      <w:lvlText w:val="o"/>
      <w:lvlJc w:val="left"/>
      <w:pPr>
        <w:tabs>
          <w:tab w:val="num" w:pos="5580"/>
        </w:tabs>
        <w:ind w:left="5580" w:hanging="360"/>
      </w:pPr>
      <w:rPr>
        <w:rFonts w:ascii="Courier New" w:hAnsi="Courier New" w:cs="Courier New" w:hint="default"/>
      </w:rPr>
    </w:lvl>
    <w:lvl w:ilvl="8" w:tplc="1ECA7DEC"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3FB46996">
      <w:start w:val="1"/>
      <w:numFmt w:val="bullet"/>
      <w:lvlText w:val=""/>
      <w:lvlJc w:val="left"/>
      <w:pPr>
        <w:tabs>
          <w:tab w:val="num" w:pos="1080"/>
        </w:tabs>
        <w:ind w:left="1080" w:hanging="360"/>
      </w:pPr>
      <w:rPr>
        <w:rFonts w:ascii="Symbol" w:hAnsi="Symbol" w:hint="default"/>
      </w:rPr>
    </w:lvl>
    <w:lvl w:ilvl="1" w:tplc="3AF646F8" w:tentative="1">
      <w:start w:val="1"/>
      <w:numFmt w:val="bullet"/>
      <w:lvlText w:val="o"/>
      <w:lvlJc w:val="left"/>
      <w:pPr>
        <w:tabs>
          <w:tab w:val="num" w:pos="1800"/>
        </w:tabs>
        <w:ind w:left="1800" w:hanging="360"/>
      </w:pPr>
      <w:rPr>
        <w:rFonts w:ascii="Courier New" w:hAnsi="Courier New" w:cs="Courier New" w:hint="default"/>
      </w:rPr>
    </w:lvl>
    <w:lvl w:ilvl="2" w:tplc="29DE97F4" w:tentative="1">
      <w:start w:val="1"/>
      <w:numFmt w:val="bullet"/>
      <w:lvlText w:val=""/>
      <w:lvlJc w:val="left"/>
      <w:pPr>
        <w:tabs>
          <w:tab w:val="num" w:pos="2520"/>
        </w:tabs>
        <w:ind w:left="2520" w:hanging="360"/>
      </w:pPr>
      <w:rPr>
        <w:rFonts w:ascii="Wingdings" w:hAnsi="Wingdings" w:hint="default"/>
      </w:rPr>
    </w:lvl>
    <w:lvl w:ilvl="3" w:tplc="0CB84354" w:tentative="1">
      <w:start w:val="1"/>
      <w:numFmt w:val="bullet"/>
      <w:lvlText w:val=""/>
      <w:lvlJc w:val="left"/>
      <w:pPr>
        <w:tabs>
          <w:tab w:val="num" w:pos="3240"/>
        </w:tabs>
        <w:ind w:left="3240" w:hanging="360"/>
      </w:pPr>
      <w:rPr>
        <w:rFonts w:ascii="Symbol" w:hAnsi="Symbol" w:hint="default"/>
      </w:rPr>
    </w:lvl>
    <w:lvl w:ilvl="4" w:tplc="4A02B978" w:tentative="1">
      <w:start w:val="1"/>
      <w:numFmt w:val="bullet"/>
      <w:lvlText w:val="o"/>
      <w:lvlJc w:val="left"/>
      <w:pPr>
        <w:tabs>
          <w:tab w:val="num" w:pos="3960"/>
        </w:tabs>
        <w:ind w:left="3960" w:hanging="360"/>
      </w:pPr>
      <w:rPr>
        <w:rFonts w:ascii="Courier New" w:hAnsi="Courier New" w:cs="Courier New" w:hint="default"/>
      </w:rPr>
    </w:lvl>
    <w:lvl w:ilvl="5" w:tplc="DD0C997E" w:tentative="1">
      <w:start w:val="1"/>
      <w:numFmt w:val="bullet"/>
      <w:lvlText w:val=""/>
      <w:lvlJc w:val="left"/>
      <w:pPr>
        <w:tabs>
          <w:tab w:val="num" w:pos="4680"/>
        </w:tabs>
        <w:ind w:left="4680" w:hanging="360"/>
      </w:pPr>
      <w:rPr>
        <w:rFonts w:ascii="Wingdings" w:hAnsi="Wingdings" w:hint="default"/>
      </w:rPr>
    </w:lvl>
    <w:lvl w:ilvl="6" w:tplc="F0569E0E" w:tentative="1">
      <w:start w:val="1"/>
      <w:numFmt w:val="bullet"/>
      <w:lvlText w:val=""/>
      <w:lvlJc w:val="left"/>
      <w:pPr>
        <w:tabs>
          <w:tab w:val="num" w:pos="5400"/>
        </w:tabs>
        <w:ind w:left="5400" w:hanging="360"/>
      </w:pPr>
      <w:rPr>
        <w:rFonts w:ascii="Symbol" w:hAnsi="Symbol" w:hint="default"/>
      </w:rPr>
    </w:lvl>
    <w:lvl w:ilvl="7" w:tplc="275080F0" w:tentative="1">
      <w:start w:val="1"/>
      <w:numFmt w:val="bullet"/>
      <w:lvlText w:val="o"/>
      <w:lvlJc w:val="left"/>
      <w:pPr>
        <w:tabs>
          <w:tab w:val="num" w:pos="6120"/>
        </w:tabs>
        <w:ind w:left="6120" w:hanging="360"/>
      </w:pPr>
      <w:rPr>
        <w:rFonts w:ascii="Courier New" w:hAnsi="Courier New" w:cs="Courier New" w:hint="default"/>
      </w:rPr>
    </w:lvl>
    <w:lvl w:ilvl="8" w:tplc="F94ED7EA"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5A1A24C0">
      <w:start w:val="1"/>
      <w:numFmt w:val="bullet"/>
      <w:lvlText w:val=""/>
      <w:lvlJc w:val="left"/>
      <w:pPr>
        <w:ind w:left="1080" w:hanging="360"/>
      </w:pPr>
      <w:rPr>
        <w:rFonts w:ascii="Symbol" w:hAnsi="Symbol" w:hint="default"/>
      </w:rPr>
    </w:lvl>
    <w:lvl w:ilvl="1" w:tplc="44FE3294" w:tentative="1">
      <w:start w:val="1"/>
      <w:numFmt w:val="bullet"/>
      <w:lvlText w:val="o"/>
      <w:lvlJc w:val="left"/>
      <w:pPr>
        <w:ind w:left="1800" w:hanging="360"/>
      </w:pPr>
      <w:rPr>
        <w:rFonts w:ascii="Courier New" w:hAnsi="Courier New" w:cs="Courier New" w:hint="default"/>
      </w:rPr>
    </w:lvl>
    <w:lvl w:ilvl="2" w:tplc="E46CAAE6" w:tentative="1">
      <w:start w:val="1"/>
      <w:numFmt w:val="bullet"/>
      <w:lvlText w:val=""/>
      <w:lvlJc w:val="left"/>
      <w:pPr>
        <w:ind w:left="2520" w:hanging="360"/>
      </w:pPr>
      <w:rPr>
        <w:rFonts w:ascii="Wingdings" w:hAnsi="Wingdings" w:hint="default"/>
      </w:rPr>
    </w:lvl>
    <w:lvl w:ilvl="3" w:tplc="E33043E0" w:tentative="1">
      <w:start w:val="1"/>
      <w:numFmt w:val="bullet"/>
      <w:lvlText w:val=""/>
      <w:lvlJc w:val="left"/>
      <w:pPr>
        <w:ind w:left="3240" w:hanging="360"/>
      </w:pPr>
      <w:rPr>
        <w:rFonts w:ascii="Symbol" w:hAnsi="Symbol" w:hint="default"/>
      </w:rPr>
    </w:lvl>
    <w:lvl w:ilvl="4" w:tplc="5CF6A1CC" w:tentative="1">
      <w:start w:val="1"/>
      <w:numFmt w:val="bullet"/>
      <w:lvlText w:val="o"/>
      <w:lvlJc w:val="left"/>
      <w:pPr>
        <w:ind w:left="3960" w:hanging="360"/>
      </w:pPr>
      <w:rPr>
        <w:rFonts w:ascii="Courier New" w:hAnsi="Courier New" w:cs="Courier New" w:hint="default"/>
      </w:rPr>
    </w:lvl>
    <w:lvl w:ilvl="5" w:tplc="AB3EE622" w:tentative="1">
      <w:start w:val="1"/>
      <w:numFmt w:val="bullet"/>
      <w:lvlText w:val=""/>
      <w:lvlJc w:val="left"/>
      <w:pPr>
        <w:ind w:left="4680" w:hanging="360"/>
      </w:pPr>
      <w:rPr>
        <w:rFonts w:ascii="Wingdings" w:hAnsi="Wingdings" w:hint="default"/>
      </w:rPr>
    </w:lvl>
    <w:lvl w:ilvl="6" w:tplc="3E7C84EA" w:tentative="1">
      <w:start w:val="1"/>
      <w:numFmt w:val="bullet"/>
      <w:lvlText w:val=""/>
      <w:lvlJc w:val="left"/>
      <w:pPr>
        <w:ind w:left="5400" w:hanging="360"/>
      </w:pPr>
      <w:rPr>
        <w:rFonts w:ascii="Symbol" w:hAnsi="Symbol" w:hint="default"/>
      </w:rPr>
    </w:lvl>
    <w:lvl w:ilvl="7" w:tplc="940C2000" w:tentative="1">
      <w:start w:val="1"/>
      <w:numFmt w:val="bullet"/>
      <w:lvlText w:val="o"/>
      <w:lvlJc w:val="left"/>
      <w:pPr>
        <w:ind w:left="6120" w:hanging="360"/>
      </w:pPr>
      <w:rPr>
        <w:rFonts w:ascii="Courier New" w:hAnsi="Courier New" w:cs="Courier New" w:hint="default"/>
      </w:rPr>
    </w:lvl>
    <w:lvl w:ilvl="8" w:tplc="FBE8B99A" w:tentative="1">
      <w:start w:val="1"/>
      <w:numFmt w:val="bullet"/>
      <w:lvlText w:val=""/>
      <w:lvlJc w:val="left"/>
      <w:pPr>
        <w:ind w:left="6840" w:hanging="360"/>
      </w:pPr>
      <w:rPr>
        <w:rFonts w:ascii="Wingdings" w:hAnsi="Wingdings" w:hint="default"/>
      </w:rPr>
    </w:lvl>
  </w:abstractNum>
  <w:num w:numId="1" w16cid:durableId="1135609160">
    <w:abstractNumId w:val="18"/>
  </w:num>
  <w:num w:numId="2" w16cid:durableId="914823025">
    <w:abstractNumId w:val="20"/>
  </w:num>
  <w:num w:numId="3" w16cid:durableId="2072271262">
    <w:abstractNumId w:val="9"/>
  </w:num>
  <w:num w:numId="4" w16cid:durableId="1913928006">
    <w:abstractNumId w:val="6"/>
  </w:num>
  <w:num w:numId="5" w16cid:durableId="325936988">
    <w:abstractNumId w:val="2"/>
  </w:num>
  <w:num w:numId="6" w16cid:durableId="724640344">
    <w:abstractNumId w:val="4"/>
  </w:num>
  <w:num w:numId="7" w16cid:durableId="768044017">
    <w:abstractNumId w:val="13"/>
  </w:num>
  <w:num w:numId="8" w16cid:durableId="1279945004">
    <w:abstractNumId w:val="21"/>
  </w:num>
  <w:num w:numId="9" w16cid:durableId="530580808">
    <w:abstractNumId w:val="23"/>
  </w:num>
  <w:num w:numId="10" w16cid:durableId="1710375416">
    <w:abstractNumId w:val="5"/>
  </w:num>
  <w:num w:numId="11" w16cid:durableId="1014113909">
    <w:abstractNumId w:val="19"/>
  </w:num>
  <w:num w:numId="12" w16cid:durableId="1265768725">
    <w:abstractNumId w:val="22"/>
  </w:num>
  <w:num w:numId="13" w16cid:durableId="1462916757">
    <w:abstractNumId w:val="11"/>
  </w:num>
  <w:num w:numId="14" w16cid:durableId="145753831">
    <w:abstractNumId w:val="14"/>
  </w:num>
  <w:num w:numId="15" w16cid:durableId="1675960905">
    <w:abstractNumId w:val="16"/>
  </w:num>
  <w:num w:numId="16" w16cid:durableId="19850877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353284">
    <w:abstractNumId w:val="10"/>
  </w:num>
  <w:num w:numId="18" w16cid:durableId="183417875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750587097">
    <w:abstractNumId w:val="12"/>
  </w:num>
  <w:num w:numId="20" w16cid:durableId="1793011569">
    <w:abstractNumId w:val="17"/>
  </w:num>
  <w:num w:numId="21" w16cid:durableId="1086413739">
    <w:abstractNumId w:val="3"/>
  </w:num>
  <w:num w:numId="22" w16cid:durableId="908728052">
    <w:abstractNumId w:val="7"/>
  </w:num>
  <w:num w:numId="23" w16cid:durableId="1228225156">
    <w:abstractNumId w:val="15"/>
  </w:num>
  <w:num w:numId="24" w16cid:durableId="1231579074">
    <w:abstractNumId w:val="8"/>
  </w:num>
  <w:num w:numId="25" w16cid:durableId="143591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259"/>
    <w:rsid w:val="00001C3B"/>
    <w:rsid w:val="00013545"/>
    <w:rsid w:val="00022345"/>
    <w:rsid w:val="00026363"/>
    <w:rsid w:val="00026985"/>
    <w:rsid w:val="00042CEA"/>
    <w:rsid w:val="00043549"/>
    <w:rsid w:val="00046A16"/>
    <w:rsid w:val="00047074"/>
    <w:rsid w:val="00051DC8"/>
    <w:rsid w:val="00063A39"/>
    <w:rsid w:val="00076A0B"/>
    <w:rsid w:val="000854DF"/>
    <w:rsid w:val="000A6D49"/>
    <w:rsid w:val="000E32D2"/>
    <w:rsid w:val="000E3682"/>
    <w:rsid w:val="000E3751"/>
    <w:rsid w:val="000F162F"/>
    <w:rsid w:val="0010199D"/>
    <w:rsid w:val="00105C93"/>
    <w:rsid w:val="001070F2"/>
    <w:rsid w:val="00111283"/>
    <w:rsid w:val="0011161A"/>
    <w:rsid w:val="00116CE6"/>
    <w:rsid w:val="00131281"/>
    <w:rsid w:val="0016012F"/>
    <w:rsid w:val="00165047"/>
    <w:rsid w:val="00172497"/>
    <w:rsid w:val="001A2606"/>
    <w:rsid w:val="001B3DB3"/>
    <w:rsid w:val="001C0B52"/>
    <w:rsid w:val="001C28BD"/>
    <w:rsid w:val="001C4B2D"/>
    <w:rsid w:val="001E0E06"/>
    <w:rsid w:val="001E547A"/>
    <w:rsid w:val="001E6389"/>
    <w:rsid w:val="001F4CE1"/>
    <w:rsid w:val="002116D5"/>
    <w:rsid w:val="002132DC"/>
    <w:rsid w:val="00216211"/>
    <w:rsid w:val="00224B95"/>
    <w:rsid w:val="00230F35"/>
    <w:rsid w:val="0025530E"/>
    <w:rsid w:val="002715FA"/>
    <w:rsid w:val="00276002"/>
    <w:rsid w:val="00277421"/>
    <w:rsid w:val="00290783"/>
    <w:rsid w:val="002A4954"/>
    <w:rsid w:val="002A6870"/>
    <w:rsid w:val="002C6C10"/>
    <w:rsid w:val="002D2A04"/>
    <w:rsid w:val="002E2BA0"/>
    <w:rsid w:val="002E67CE"/>
    <w:rsid w:val="002E78C8"/>
    <w:rsid w:val="002F1475"/>
    <w:rsid w:val="002F467C"/>
    <w:rsid w:val="00305185"/>
    <w:rsid w:val="00307B22"/>
    <w:rsid w:val="00312EBA"/>
    <w:rsid w:val="00326631"/>
    <w:rsid w:val="00337A70"/>
    <w:rsid w:val="00340F28"/>
    <w:rsid w:val="00341D2F"/>
    <w:rsid w:val="00351F4B"/>
    <w:rsid w:val="003711A1"/>
    <w:rsid w:val="003741C2"/>
    <w:rsid w:val="0038342D"/>
    <w:rsid w:val="00396540"/>
    <w:rsid w:val="00397054"/>
    <w:rsid w:val="003C3F4F"/>
    <w:rsid w:val="003C67B9"/>
    <w:rsid w:val="003C7F6F"/>
    <w:rsid w:val="003D6255"/>
    <w:rsid w:val="003E08F3"/>
    <w:rsid w:val="003E29D7"/>
    <w:rsid w:val="003E65ED"/>
    <w:rsid w:val="003F0AD2"/>
    <w:rsid w:val="003F737B"/>
    <w:rsid w:val="00402DB0"/>
    <w:rsid w:val="0040732D"/>
    <w:rsid w:val="00407A85"/>
    <w:rsid w:val="0041184E"/>
    <w:rsid w:val="00414BD8"/>
    <w:rsid w:val="004250DD"/>
    <w:rsid w:val="00434AB2"/>
    <w:rsid w:val="0043758C"/>
    <w:rsid w:val="0044129B"/>
    <w:rsid w:val="00447497"/>
    <w:rsid w:val="00460A5C"/>
    <w:rsid w:val="004627BA"/>
    <w:rsid w:val="004724D6"/>
    <w:rsid w:val="00475C78"/>
    <w:rsid w:val="0048251D"/>
    <w:rsid w:val="00482F05"/>
    <w:rsid w:val="0049644C"/>
    <w:rsid w:val="004A024B"/>
    <w:rsid w:val="004B73BA"/>
    <w:rsid w:val="004C2507"/>
    <w:rsid w:val="004C79CD"/>
    <w:rsid w:val="004C79CE"/>
    <w:rsid w:val="004F2B31"/>
    <w:rsid w:val="00507FA9"/>
    <w:rsid w:val="00521E0F"/>
    <w:rsid w:val="00531109"/>
    <w:rsid w:val="00532572"/>
    <w:rsid w:val="00537B4C"/>
    <w:rsid w:val="005429EF"/>
    <w:rsid w:val="005627D4"/>
    <w:rsid w:val="005645A6"/>
    <w:rsid w:val="0058726A"/>
    <w:rsid w:val="00590E9A"/>
    <w:rsid w:val="005911D3"/>
    <w:rsid w:val="005942E9"/>
    <w:rsid w:val="005979EE"/>
    <w:rsid w:val="005C2FFD"/>
    <w:rsid w:val="005C6560"/>
    <w:rsid w:val="005E19F5"/>
    <w:rsid w:val="005E7432"/>
    <w:rsid w:val="00610318"/>
    <w:rsid w:val="00630FC2"/>
    <w:rsid w:val="00632937"/>
    <w:rsid w:val="0065154E"/>
    <w:rsid w:val="0065654E"/>
    <w:rsid w:val="00662A40"/>
    <w:rsid w:val="00663D96"/>
    <w:rsid w:val="0066735D"/>
    <w:rsid w:val="006805EC"/>
    <w:rsid w:val="00691819"/>
    <w:rsid w:val="00693942"/>
    <w:rsid w:val="00693C4D"/>
    <w:rsid w:val="006A0287"/>
    <w:rsid w:val="006A0F0C"/>
    <w:rsid w:val="006A205D"/>
    <w:rsid w:val="006A22E3"/>
    <w:rsid w:val="006A4749"/>
    <w:rsid w:val="006A65E9"/>
    <w:rsid w:val="006B1058"/>
    <w:rsid w:val="006C0A3A"/>
    <w:rsid w:val="006C5E96"/>
    <w:rsid w:val="006E44D3"/>
    <w:rsid w:val="006E4F24"/>
    <w:rsid w:val="00705A4D"/>
    <w:rsid w:val="00716159"/>
    <w:rsid w:val="00725E75"/>
    <w:rsid w:val="007311C8"/>
    <w:rsid w:val="00735AD1"/>
    <w:rsid w:val="00746032"/>
    <w:rsid w:val="00751BE2"/>
    <w:rsid w:val="007615D7"/>
    <w:rsid w:val="00765417"/>
    <w:rsid w:val="00770733"/>
    <w:rsid w:val="00772445"/>
    <w:rsid w:val="00773D0E"/>
    <w:rsid w:val="00790E2F"/>
    <w:rsid w:val="007B1829"/>
    <w:rsid w:val="007B721A"/>
    <w:rsid w:val="007C098A"/>
    <w:rsid w:val="007C6F33"/>
    <w:rsid w:val="007D039E"/>
    <w:rsid w:val="007D47C3"/>
    <w:rsid w:val="007D6166"/>
    <w:rsid w:val="007D7715"/>
    <w:rsid w:val="007E2348"/>
    <w:rsid w:val="007F06A4"/>
    <w:rsid w:val="007F3810"/>
    <w:rsid w:val="007F6CD2"/>
    <w:rsid w:val="00802BD0"/>
    <w:rsid w:val="00823895"/>
    <w:rsid w:val="0082516B"/>
    <w:rsid w:val="00826712"/>
    <w:rsid w:val="0083442E"/>
    <w:rsid w:val="00840B95"/>
    <w:rsid w:val="0084272E"/>
    <w:rsid w:val="00843DE9"/>
    <w:rsid w:val="00860711"/>
    <w:rsid w:val="008940D7"/>
    <w:rsid w:val="0089447F"/>
    <w:rsid w:val="008A4DCC"/>
    <w:rsid w:val="008B3A97"/>
    <w:rsid w:val="008B5C14"/>
    <w:rsid w:val="008C4969"/>
    <w:rsid w:val="008D03F0"/>
    <w:rsid w:val="008D674F"/>
    <w:rsid w:val="008E24FB"/>
    <w:rsid w:val="008E525C"/>
    <w:rsid w:val="008F2A43"/>
    <w:rsid w:val="008F58DE"/>
    <w:rsid w:val="00900F6C"/>
    <w:rsid w:val="00901157"/>
    <w:rsid w:val="00914769"/>
    <w:rsid w:val="009237A7"/>
    <w:rsid w:val="00943FFB"/>
    <w:rsid w:val="009510B9"/>
    <w:rsid w:val="00956997"/>
    <w:rsid w:val="009728CA"/>
    <w:rsid w:val="00973B44"/>
    <w:rsid w:val="009801D3"/>
    <w:rsid w:val="00981962"/>
    <w:rsid w:val="009874EB"/>
    <w:rsid w:val="009A0A53"/>
    <w:rsid w:val="009A311B"/>
    <w:rsid w:val="009A3D0A"/>
    <w:rsid w:val="009B2D10"/>
    <w:rsid w:val="009B4667"/>
    <w:rsid w:val="009C01A3"/>
    <w:rsid w:val="009C1A08"/>
    <w:rsid w:val="009C396A"/>
    <w:rsid w:val="009C7860"/>
    <w:rsid w:val="009F2623"/>
    <w:rsid w:val="009F7560"/>
    <w:rsid w:val="00A02C62"/>
    <w:rsid w:val="00A03D70"/>
    <w:rsid w:val="00A06B94"/>
    <w:rsid w:val="00A2073F"/>
    <w:rsid w:val="00A209E1"/>
    <w:rsid w:val="00A256C9"/>
    <w:rsid w:val="00A303FE"/>
    <w:rsid w:val="00A3156C"/>
    <w:rsid w:val="00A41032"/>
    <w:rsid w:val="00A41AF9"/>
    <w:rsid w:val="00A42097"/>
    <w:rsid w:val="00A507E4"/>
    <w:rsid w:val="00A62E68"/>
    <w:rsid w:val="00A745B6"/>
    <w:rsid w:val="00A7707A"/>
    <w:rsid w:val="00A972E4"/>
    <w:rsid w:val="00A9744A"/>
    <w:rsid w:val="00AB590F"/>
    <w:rsid w:val="00AC36E3"/>
    <w:rsid w:val="00AC6213"/>
    <w:rsid w:val="00AD53C0"/>
    <w:rsid w:val="00AD5D5A"/>
    <w:rsid w:val="00AE3217"/>
    <w:rsid w:val="00AE4350"/>
    <w:rsid w:val="00AF2712"/>
    <w:rsid w:val="00B05229"/>
    <w:rsid w:val="00B11E29"/>
    <w:rsid w:val="00B34964"/>
    <w:rsid w:val="00B36F4A"/>
    <w:rsid w:val="00B42501"/>
    <w:rsid w:val="00B45FEF"/>
    <w:rsid w:val="00B462B1"/>
    <w:rsid w:val="00B52F7F"/>
    <w:rsid w:val="00B56E7B"/>
    <w:rsid w:val="00B72F46"/>
    <w:rsid w:val="00B81E5D"/>
    <w:rsid w:val="00B82165"/>
    <w:rsid w:val="00B96983"/>
    <w:rsid w:val="00B9724B"/>
    <w:rsid w:val="00BB4F5F"/>
    <w:rsid w:val="00BC17F1"/>
    <w:rsid w:val="00BC2602"/>
    <w:rsid w:val="00BE7B7A"/>
    <w:rsid w:val="00BF0EB4"/>
    <w:rsid w:val="00BF22DC"/>
    <w:rsid w:val="00BF3D29"/>
    <w:rsid w:val="00BF5518"/>
    <w:rsid w:val="00BF6291"/>
    <w:rsid w:val="00C1097B"/>
    <w:rsid w:val="00C11F59"/>
    <w:rsid w:val="00C129C7"/>
    <w:rsid w:val="00C22A88"/>
    <w:rsid w:val="00C34794"/>
    <w:rsid w:val="00C65E7F"/>
    <w:rsid w:val="00C672E2"/>
    <w:rsid w:val="00C93CD4"/>
    <w:rsid w:val="00CA5F87"/>
    <w:rsid w:val="00CB18E6"/>
    <w:rsid w:val="00CB5E37"/>
    <w:rsid w:val="00CB65D4"/>
    <w:rsid w:val="00CC3067"/>
    <w:rsid w:val="00CC52A3"/>
    <w:rsid w:val="00CD1505"/>
    <w:rsid w:val="00CE3B79"/>
    <w:rsid w:val="00D04B4C"/>
    <w:rsid w:val="00D0754F"/>
    <w:rsid w:val="00D16C2A"/>
    <w:rsid w:val="00D328AB"/>
    <w:rsid w:val="00D429CC"/>
    <w:rsid w:val="00D459DC"/>
    <w:rsid w:val="00D510F9"/>
    <w:rsid w:val="00D56EFA"/>
    <w:rsid w:val="00D67BF8"/>
    <w:rsid w:val="00D728E7"/>
    <w:rsid w:val="00D75EB3"/>
    <w:rsid w:val="00D96B24"/>
    <w:rsid w:val="00DA3217"/>
    <w:rsid w:val="00DA3E0F"/>
    <w:rsid w:val="00DA7D18"/>
    <w:rsid w:val="00DB185F"/>
    <w:rsid w:val="00DB43BB"/>
    <w:rsid w:val="00DD363B"/>
    <w:rsid w:val="00DE14F7"/>
    <w:rsid w:val="00DE54B1"/>
    <w:rsid w:val="00E07425"/>
    <w:rsid w:val="00E251B2"/>
    <w:rsid w:val="00E253AC"/>
    <w:rsid w:val="00E3766D"/>
    <w:rsid w:val="00E502BA"/>
    <w:rsid w:val="00E57529"/>
    <w:rsid w:val="00E66CB6"/>
    <w:rsid w:val="00E67719"/>
    <w:rsid w:val="00E84F5D"/>
    <w:rsid w:val="00EA6B0A"/>
    <w:rsid w:val="00EB0D63"/>
    <w:rsid w:val="00EB7CFB"/>
    <w:rsid w:val="00EC7546"/>
    <w:rsid w:val="00EE4D84"/>
    <w:rsid w:val="00EF5891"/>
    <w:rsid w:val="00EF5CE9"/>
    <w:rsid w:val="00F02E40"/>
    <w:rsid w:val="00F14EB8"/>
    <w:rsid w:val="00F1661E"/>
    <w:rsid w:val="00F22989"/>
    <w:rsid w:val="00F2453C"/>
    <w:rsid w:val="00F33B33"/>
    <w:rsid w:val="00F346BE"/>
    <w:rsid w:val="00F4234A"/>
    <w:rsid w:val="00F520B4"/>
    <w:rsid w:val="00F73533"/>
    <w:rsid w:val="00F82C9C"/>
    <w:rsid w:val="00F84DEB"/>
    <w:rsid w:val="00FA07E9"/>
    <w:rsid w:val="00FA2A4C"/>
    <w:rsid w:val="00FB0661"/>
    <w:rsid w:val="00FD780F"/>
    <w:rsid w:val="00FE448C"/>
    <w:rsid w:val="00FE5C33"/>
    <w:rsid w:val="00FE7428"/>
    <w:rsid w:val="00FF1125"/>
    <w:rsid w:val="00FF5097"/>
  </w:rsids>
  <m:mathPr>
    <m:mathFont m:val="Cambria Math"/>
    <m:brkBin m:val="before"/>
    <m:brkBinSub m:val="--"/>
    <m:smallFrac m:val="0"/>
    <m:dispDef/>
    <m:lMargin m:val="0"/>
    <m:rMargin m:val="0"/>
    <m:defJc m:val="centerGroup"/>
    <m:wrapRight/>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703FC1"/>
  <w15:docId w15:val="{B6AA6173-55F5-40CF-A92F-7BDFBB7E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CH" w:eastAsia="en-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uiPriority w:val="99"/>
    <w:semiHidden/>
    <w:unhideWhenUsed/>
    <w:rsid w:val="003F0782"/>
    <w:rPr>
      <w:vertAlign w:val="superscript"/>
    </w:rPr>
  </w:style>
  <w:style w:type="paragraph" w:styleId="FootnoteText">
    <w:name w:val="footnote text"/>
    <w:basedOn w:val="Normal"/>
    <w:link w:val="FootnoteTextChar"/>
    <w:uiPriority w:val="99"/>
    <w:semiHidden/>
    <w:unhideWhenUsed/>
    <w:rsid w:val="003F0782"/>
    <w:rPr>
      <w:rFonts w:ascii="Aptos" w:eastAsia="Aptos" w:hAnsi="Aptos"/>
      <w:kern w:val="2"/>
      <w:sz w:val="20"/>
      <w:szCs w:val="20"/>
      <w:lang w:val="" w:eastAsia="en-US"/>
    </w:rPr>
  </w:style>
  <w:style w:type="character" w:customStyle="1" w:styleId="FootnoteTextChar">
    <w:name w:val="Footnote Text Char"/>
    <w:link w:val="FootnoteText"/>
    <w:uiPriority w:val="99"/>
    <w:semiHidden/>
    <w:rsid w:val="003F0782"/>
    <w:rPr>
      <w:rFonts w:ascii="Aptos" w:eastAsia="Aptos" w:hAnsi="Aptos" w:cs="Times New Roman"/>
      <w:kern w:val="2"/>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583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2451</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francesca cabral</cp:lastModifiedBy>
  <cp:revision>2</cp:revision>
  <cp:lastPrinted>2011-03-31T12:57:00Z</cp:lastPrinted>
  <dcterms:created xsi:type="dcterms:W3CDTF">2024-11-13T10:09:00Z</dcterms:created>
  <dcterms:modified xsi:type="dcterms:W3CDTF">2024-11-13T10:09:00Z</dcterms:modified>
</cp:coreProperties>
</file>