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690E0" w14:textId="77777777" w:rsidR="00E61159" w:rsidRDefault="00E61159" w:rsidP="004C2CF1">
      <w:pPr>
        <w:spacing w:before="100" w:beforeAutospacing="1" w:after="100" w:afterAutospacing="1" w:line="240" w:lineRule="auto"/>
        <w:jc w:val="center"/>
        <w:outlineLvl w:val="2"/>
        <w:rPr>
          <w:rFonts w:ascii="Arial" w:eastAsia="Times New Roman" w:hAnsi="Arial" w:cs="Arial"/>
          <w:b/>
          <w:bCs/>
          <w:kern w:val="0"/>
          <w:sz w:val="32"/>
          <w:szCs w:val="32"/>
          <w14:ligatures w14:val="none"/>
        </w:rPr>
      </w:pPr>
    </w:p>
    <w:p w14:paraId="190B7CEF" w14:textId="188503BE" w:rsidR="00E61159" w:rsidRDefault="00E61159" w:rsidP="004C2CF1">
      <w:pPr>
        <w:spacing w:before="100" w:beforeAutospacing="1" w:after="100" w:afterAutospacing="1" w:line="240" w:lineRule="auto"/>
        <w:jc w:val="center"/>
        <w:outlineLvl w:val="2"/>
        <w:rPr>
          <w:rFonts w:ascii="Arial" w:eastAsia="Times New Roman" w:hAnsi="Arial" w:cs="Arial"/>
          <w:b/>
          <w:bCs/>
          <w:kern w:val="0"/>
          <w:sz w:val="32"/>
          <w:szCs w:val="32"/>
          <w14:ligatures w14:val="none"/>
        </w:rPr>
      </w:pPr>
      <w:r w:rsidRPr="005B4316">
        <w:rPr>
          <w:rFonts w:ascii="Arial" w:hAnsi="Arial" w:cs="Arial"/>
          <w:noProof/>
          <w:color w:val="010203"/>
        </w:rPr>
        <w:drawing>
          <wp:inline distT="0" distB="0" distL="0" distR="0" wp14:anchorId="41ED490B" wp14:editId="47180D9A">
            <wp:extent cx="2649855" cy="969010"/>
            <wp:effectExtent l="0" t="0" r="0" b="2540"/>
            <wp:docPr id="42051402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1" descr="A black background with white text&#10;&#10;Description automatically generated"/>
                    <pic:cNvPicPr>
                      <a:picLocks noChangeAspect="1"/>
                    </pic:cNvPicPr>
                  </pic:nvPicPr>
                  <pic:blipFill>
                    <a:blip r:embed="rId6"/>
                    <a:stretch>
                      <a:fillRect/>
                    </a:stretch>
                  </pic:blipFill>
                  <pic:spPr>
                    <a:xfrm>
                      <a:off x="0" y="0"/>
                      <a:ext cx="2649855" cy="969010"/>
                    </a:xfrm>
                    <a:prstGeom prst="rect">
                      <a:avLst/>
                    </a:prstGeom>
                    <a:noFill/>
                    <a:ln w="12700" cap="flat" cmpd="sng">
                      <a:noFill/>
                      <a:prstDash val="solid"/>
                      <a:miter/>
                    </a:ln>
                  </pic:spPr>
                </pic:pic>
              </a:graphicData>
            </a:graphic>
          </wp:inline>
        </w:drawing>
      </w:r>
    </w:p>
    <w:p w14:paraId="599877DB" w14:textId="77777777" w:rsidR="00E61159" w:rsidRDefault="00E61159" w:rsidP="004C2CF1">
      <w:pPr>
        <w:spacing w:before="100" w:beforeAutospacing="1" w:after="100" w:afterAutospacing="1" w:line="240" w:lineRule="auto"/>
        <w:jc w:val="center"/>
        <w:outlineLvl w:val="2"/>
        <w:rPr>
          <w:rFonts w:ascii="Arial" w:eastAsia="Times New Roman" w:hAnsi="Arial" w:cs="Arial"/>
          <w:b/>
          <w:bCs/>
          <w:kern w:val="0"/>
          <w:sz w:val="32"/>
          <w:szCs w:val="32"/>
          <w14:ligatures w14:val="none"/>
        </w:rPr>
      </w:pPr>
    </w:p>
    <w:p w14:paraId="76D32420" w14:textId="77777777" w:rsidR="00E61159" w:rsidRDefault="00E61159" w:rsidP="004C2CF1">
      <w:pPr>
        <w:spacing w:before="100" w:beforeAutospacing="1" w:after="100" w:afterAutospacing="1" w:line="240" w:lineRule="auto"/>
        <w:jc w:val="center"/>
        <w:outlineLvl w:val="2"/>
        <w:rPr>
          <w:rFonts w:ascii="Arial" w:eastAsia="Times New Roman" w:hAnsi="Arial" w:cs="Arial"/>
          <w:b/>
          <w:bCs/>
          <w:kern w:val="0"/>
          <w:sz w:val="32"/>
          <w:szCs w:val="32"/>
          <w14:ligatures w14:val="none"/>
        </w:rPr>
      </w:pPr>
    </w:p>
    <w:p w14:paraId="7DD9BC0C" w14:textId="77777777"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Programme:</w:t>
      </w:r>
      <w:r w:rsidRPr="008764FF">
        <w:rPr>
          <w:rFonts w:ascii="Arial" w:eastAsiaTheme="minorHAnsi" w:hAnsi="Arial" w:cs="Arial"/>
          <w:color w:val="010203"/>
          <w:lang w:eastAsia="en-US"/>
        </w:rPr>
        <w:t xml:space="preserve"> MSc Public Health and Social Care in Practice</w:t>
      </w:r>
    </w:p>
    <w:p w14:paraId="25101A70" w14:textId="629E5D7A"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Module name:</w:t>
      </w:r>
      <w:r w:rsidRPr="008764FF">
        <w:rPr>
          <w:rFonts w:ascii="Arial" w:eastAsiaTheme="minorHAnsi" w:hAnsi="Arial" w:cs="Arial"/>
          <w:color w:val="010203"/>
          <w:lang w:eastAsia="en-US"/>
        </w:rPr>
        <w:t xml:space="preserve"> </w:t>
      </w:r>
    </w:p>
    <w:p w14:paraId="75D2FAC0" w14:textId="7075077B"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 xml:space="preserve">Module code: </w:t>
      </w:r>
      <w:r w:rsidRPr="008764FF">
        <w:rPr>
          <w:rFonts w:ascii="Arial" w:eastAsiaTheme="minorHAnsi" w:hAnsi="Arial" w:cs="Arial"/>
          <w:color w:val="010203"/>
          <w:lang w:eastAsia="en-US"/>
        </w:rPr>
        <w:t>LCHS700</w:t>
      </w:r>
    </w:p>
    <w:p w14:paraId="39EA7D34" w14:textId="77777777"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 xml:space="preserve">Student name: </w:t>
      </w:r>
      <w:r w:rsidRPr="008764FF">
        <w:rPr>
          <w:rFonts w:ascii="Arial" w:eastAsiaTheme="minorHAnsi" w:hAnsi="Arial" w:cs="Arial"/>
          <w:color w:val="010203"/>
          <w:lang w:eastAsia="en-US"/>
        </w:rPr>
        <w:t xml:space="preserve">Jhanvi Chaudhary </w:t>
      </w:r>
    </w:p>
    <w:p w14:paraId="73D20BA1" w14:textId="77777777"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 xml:space="preserve">Student ID: </w:t>
      </w:r>
      <w:r w:rsidRPr="008764FF">
        <w:rPr>
          <w:rFonts w:ascii="Arial" w:eastAsiaTheme="minorHAnsi" w:hAnsi="Arial" w:cs="Arial"/>
          <w:color w:val="010203"/>
          <w:lang w:eastAsia="en-US"/>
        </w:rPr>
        <w:t>2430968</w:t>
      </w:r>
    </w:p>
    <w:p w14:paraId="5C15143A" w14:textId="77777777" w:rsidR="00E61159" w:rsidRPr="008764FF" w:rsidRDefault="00E61159" w:rsidP="008764FF">
      <w:pPr>
        <w:spacing w:line="360" w:lineRule="auto"/>
        <w:jc w:val="both"/>
        <w:rPr>
          <w:rFonts w:ascii="Arial" w:eastAsiaTheme="minorHAnsi" w:hAnsi="Arial" w:cs="Arial"/>
          <w:color w:val="010203"/>
          <w:lang w:eastAsia="en-US"/>
        </w:rPr>
      </w:pPr>
      <w:r w:rsidRPr="008764FF">
        <w:rPr>
          <w:rFonts w:ascii="Arial" w:eastAsiaTheme="minorHAnsi" w:hAnsi="Arial" w:cs="Arial"/>
          <w:b/>
          <w:bCs/>
          <w:color w:val="010203"/>
          <w:lang w:eastAsia="en-US"/>
        </w:rPr>
        <w:t>Lecturer:</w:t>
      </w:r>
      <w:r w:rsidRPr="008764FF">
        <w:rPr>
          <w:rFonts w:ascii="Arial" w:eastAsiaTheme="minorHAnsi" w:hAnsi="Arial" w:cs="Arial"/>
          <w:color w:val="010203"/>
          <w:lang w:eastAsia="en-US"/>
        </w:rPr>
        <w:t xml:space="preserve"> </w:t>
      </w:r>
    </w:p>
    <w:p w14:paraId="1BC214FA"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76A42465" w14:textId="77777777" w:rsidR="00C735A3" w:rsidRPr="008764FF" w:rsidRDefault="00C735A3"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r w:rsidRPr="008764FF">
        <w:rPr>
          <w:rFonts w:ascii="Arial" w:eastAsia="Times New Roman" w:hAnsi="Arial" w:cs="Arial"/>
          <w:b/>
          <w:bCs/>
          <w:kern w:val="0"/>
          <w:sz w:val="32"/>
          <w:szCs w:val="32"/>
          <w14:ligatures w14:val="none"/>
        </w:rPr>
        <w:t>Poor patient experience and complaints at Staffordshire NHS Group</w:t>
      </w:r>
    </w:p>
    <w:p w14:paraId="72761FF4"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0C3596F6"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671D291D"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1496F107"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66A5A053"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07CDCFBD"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1583CBA7" w14:textId="77777777" w:rsidR="00E61159" w:rsidRPr="008764FF" w:rsidRDefault="00E61159" w:rsidP="008764FF">
      <w:pPr>
        <w:spacing w:before="100" w:beforeAutospacing="1" w:after="100" w:afterAutospacing="1" w:line="360" w:lineRule="auto"/>
        <w:jc w:val="both"/>
        <w:outlineLvl w:val="2"/>
        <w:rPr>
          <w:rFonts w:ascii="Arial" w:eastAsia="Times New Roman" w:hAnsi="Arial" w:cs="Arial"/>
          <w:b/>
          <w:bCs/>
          <w:kern w:val="0"/>
          <w:sz w:val="32"/>
          <w:szCs w:val="32"/>
          <w14:ligatures w14:val="none"/>
        </w:rPr>
      </w:pPr>
    </w:p>
    <w:p w14:paraId="7689F816" w14:textId="77777777" w:rsidR="00C839A4" w:rsidRPr="008764FF" w:rsidRDefault="00C839A4" w:rsidP="008764FF">
      <w:pPr>
        <w:spacing w:line="360" w:lineRule="auto"/>
        <w:jc w:val="both"/>
        <w:rPr>
          <w:rFonts w:ascii="Arial" w:hAnsi="Arial" w:cs="Arial"/>
          <w:sz w:val="32"/>
          <w:szCs w:val="32"/>
        </w:rPr>
      </w:pPr>
    </w:p>
    <w:p w14:paraId="4FCB0F3D" w14:textId="77777777" w:rsidR="00E61159" w:rsidRPr="008764FF" w:rsidRDefault="00E61159" w:rsidP="008764FF">
      <w:pPr>
        <w:keepNext/>
        <w:keepLines/>
        <w:spacing w:before="240" w:after="0" w:line="360" w:lineRule="auto"/>
        <w:jc w:val="both"/>
        <w:rPr>
          <w:rFonts w:ascii="Arial" w:eastAsiaTheme="majorEastAsia" w:hAnsi="Arial" w:cs="Arial"/>
          <w:b/>
          <w:bCs/>
          <w:kern w:val="0"/>
          <w14:ligatures w14:val="none"/>
        </w:rPr>
      </w:pPr>
      <w:r w:rsidRPr="008764FF">
        <w:rPr>
          <w:rFonts w:ascii="Arial" w:eastAsiaTheme="majorEastAsia" w:hAnsi="Arial" w:cs="Arial"/>
          <w:b/>
          <w:bCs/>
          <w:kern w:val="0"/>
          <w14:ligatures w14:val="none"/>
        </w:rPr>
        <w:t>Table of Contents</w:t>
      </w:r>
    </w:p>
    <w:p w14:paraId="48B4E215" w14:textId="15274393" w:rsidR="00C839A4" w:rsidRPr="008764FF" w:rsidRDefault="00E61159" w:rsidP="008764FF">
      <w:pPr>
        <w:pStyle w:val="ListParagraph"/>
        <w:numPr>
          <w:ilvl w:val="0"/>
          <w:numId w:val="1"/>
        </w:numPr>
        <w:spacing w:line="360" w:lineRule="auto"/>
        <w:jc w:val="both"/>
        <w:rPr>
          <w:rFonts w:ascii="Arial" w:hAnsi="Arial" w:cs="Arial"/>
          <w:b/>
          <w:bCs/>
          <w:sz w:val="22"/>
          <w:szCs w:val="22"/>
        </w:rPr>
      </w:pPr>
      <w:r w:rsidRPr="008764FF">
        <w:rPr>
          <w:rFonts w:ascii="Arial" w:hAnsi="Arial" w:cs="Arial"/>
          <w:b/>
          <w:bCs/>
          <w:sz w:val="22"/>
          <w:szCs w:val="22"/>
        </w:rPr>
        <w:t>Introduction</w:t>
      </w:r>
    </w:p>
    <w:p w14:paraId="43E06FF4" w14:textId="77777777" w:rsidR="004149D8" w:rsidRPr="008764FF" w:rsidRDefault="00E61159" w:rsidP="008764FF">
      <w:pPr>
        <w:pStyle w:val="ListParagraph"/>
        <w:numPr>
          <w:ilvl w:val="0"/>
          <w:numId w:val="1"/>
        </w:numPr>
        <w:spacing w:line="360" w:lineRule="auto"/>
        <w:jc w:val="both"/>
        <w:rPr>
          <w:rFonts w:ascii="Arial" w:hAnsi="Arial" w:cs="Arial"/>
          <w:b/>
          <w:bCs/>
          <w:sz w:val="22"/>
          <w:szCs w:val="22"/>
        </w:rPr>
      </w:pPr>
      <w:r w:rsidRPr="008764FF">
        <w:rPr>
          <w:rFonts w:ascii="Arial" w:hAnsi="Arial" w:cs="Arial"/>
          <w:b/>
          <w:bCs/>
          <w:sz w:val="22"/>
          <w:szCs w:val="22"/>
        </w:rPr>
        <w:t>Main Body</w:t>
      </w:r>
    </w:p>
    <w:p w14:paraId="4D7485C3" w14:textId="1B6D1C39" w:rsidR="00E61159" w:rsidRPr="008764FF" w:rsidRDefault="00E61159" w:rsidP="008764FF">
      <w:pPr>
        <w:spacing w:line="360" w:lineRule="auto"/>
        <w:ind w:left="360"/>
        <w:jc w:val="both"/>
        <w:rPr>
          <w:rFonts w:ascii="Arial" w:hAnsi="Arial" w:cs="Arial"/>
          <w:b/>
          <w:bCs/>
          <w:sz w:val="22"/>
          <w:szCs w:val="22"/>
        </w:rPr>
      </w:pPr>
      <w:r w:rsidRPr="008764FF">
        <w:rPr>
          <w:rFonts w:ascii="Arial" w:hAnsi="Arial" w:cs="Arial"/>
          <w:b/>
          <w:bCs/>
          <w:sz w:val="22"/>
          <w:szCs w:val="22"/>
        </w:rPr>
        <w:t>2.1</w:t>
      </w:r>
      <w:r w:rsidR="004149D8" w:rsidRPr="008764FF">
        <w:rPr>
          <w:rFonts w:ascii="Arial" w:hAnsi="Arial" w:cs="Arial"/>
          <w:b/>
          <w:bCs/>
          <w:sz w:val="22"/>
          <w:szCs w:val="22"/>
        </w:rPr>
        <w:t xml:space="preserve"> Fish bone diagram</w:t>
      </w:r>
    </w:p>
    <w:p w14:paraId="6E1BC344" w14:textId="1D8F73DC" w:rsidR="00E61159" w:rsidRPr="008764FF" w:rsidRDefault="00E61159" w:rsidP="008764FF">
      <w:pPr>
        <w:spacing w:line="360" w:lineRule="auto"/>
        <w:ind w:left="360"/>
        <w:jc w:val="both"/>
        <w:rPr>
          <w:rFonts w:ascii="Arial" w:hAnsi="Arial" w:cs="Arial"/>
          <w:b/>
          <w:bCs/>
          <w:sz w:val="22"/>
          <w:szCs w:val="22"/>
        </w:rPr>
      </w:pPr>
      <w:r w:rsidRPr="008764FF">
        <w:rPr>
          <w:rFonts w:ascii="Arial" w:hAnsi="Arial" w:cs="Arial"/>
          <w:b/>
          <w:bCs/>
          <w:sz w:val="22"/>
          <w:szCs w:val="22"/>
        </w:rPr>
        <w:t>2.2</w:t>
      </w:r>
      <w:r w:rsidR="004149D8" w:rsidRPr="008764FF">
        <w:rPr>
          <w:rFonts w:ascii="Arial" w:hAnsi="Arial" w:cs="Arial"/>
          <w:b/>
          <w:bCs/>
          <w:sz w:val="22"/>
          <w:szCs w:val="22"/>
        </w:rPr>
        <w:t xml:space="preserve"> Five Whys</w:t>
      </w:r>
    </w:p>
    <w:p w14:paraId="0AFDA861" w14:textId="3BEE45CC" w:rsidR="00E61159" w:rsidRPr="008764FF" w:rsidRDefault="00E61159" w:rsidP="008764FF">
      <w:pPr>
        <w:spacing w:line="360" w:lineRule="auto"/>
        <w:ind w:left="360"/>
        <w:jc w:val="both"/>
        <w:rPr>
          <w:rFonts w:ascii="Arial" w:hAnsi="Arial" w:cs="Arial"/>
          <w:b/>
          <w:bCs/>
          <w:sz w:val="22"/>
          <w:szCs w:val="22"/>
        </w:rPr>
      </w:pPr>
      <w:r w:rsidRPr="008764FF">
        <w:rPr>
          <w:rFonts w:ascii="Arial" w:hAnsi="Arial" w:cs="Arial"/>
          <w:b/>
          <w:bCs/>
          <w:sz w:val="22"/>
          <w:szCs w:val="22"/>
        </w:rPr>
        <w:t>2.3</w:t>
      </w:r>
      <w:r w:rsidR="004149D8" w:rsidRPr="008764FF">
        <w:rPr>
          <w:rFonts w:ascii="Arial" w:hAnsi="Arial" w:cs="Arial"/>
          <w:b/>
          <w:bCs/>
          <w:sz w:val="22"/>
          <w:szCs w:val="22"/>
        </w:rPr>
        <w:t xml:space="preserve"> </w:t>
      </w:r>
      <w:r w:rsidR="004149D8" w:rsidRPr="008764FF">
        <w:rPr>
          <w:rFonts w:ascii="Arial" w:eastAsia="Times New Roman" w:hAnsi="Arial" w:cs="Arial"/>
          <w:b/>
          <w:bCs/>
          <w:color w:val="000000"/>
          <w:sz w:val="22"/>
          <w:szCs w:val="22"/>
        </w:rPr>
        <w:t>The Donabedian Model</w:t>
      </w:r>
    </w:p>
    <w:p w14:paraId="03F9C543" w14:textId="20115D47" w:rsidR="004149D8" w:rsidRPr="008764FF" w:rsidRDefault="00E61159" w:rsidP="008764FF">
      <w:pPr>
        <w:spacing w:line="360" w:lineRule="auto"/>
        <w:ind w:left="360"/>
        <w:jc w:val="both"/>
        <w:rPr>
          <w:rFonts w:ascii="Arial" w:hAnsi="Arial" w:cs="Arial"/>
          <w:b/>
          <w:bCs/>
          <w:sz w:val="22"/>
          <w:szCs w:val="22"/>
        </w:rPr>
      </w:pPr>
      <w:r w:rsidRPr="008764FF">
        <w:rPr>
          <w:rFonts w:ascii="Arial" w:hAnsi="Arial" w:cs="Arial"/>
          <w:b/>
          <w:bCs/>
          <w:sz w:val="22"/>
          <w:szCs w:val="22"/>
        </w:rPr>
        <w:t>2.4</w:t>
      </w:r>
      <w:r w:rsidR="004149D8" w:rsidRPr="008764FF">
        <w:rPr>
          <w:rFonts w:ascii="Arial" w:hAnsi="Arial" w:cs="Arial"/>
          <w:b/>
          <w:bCs/>
          <w:sz w:val="22"/>
          <w:szCs w:val="22"/>
        </w:rPr>
        <w:t xml:space="preserve"> SWOT analysis</w:t>
      </w:r>
    </w:p>
    <w:p w14:paraId="26BF832D" w14:textId="5EBC2C8E" w:rsidR="00E61159" w:rsidRPr="008764FF" w:rsidRDefault="00E61159" w:rsidP="008764FF">
      <w:pPr>
        <w:pStyle w:val="ListParagraph"/>
        <w:numPr>
          <w:ilvl w:val="0"/>
          <w:numId w:val="1"/>
        </w:numPr>
        <w:spacing w:line="360" w:lineRule="auto"/>
        <w:jc w:val="both"/>
        <w:rPr>
          <w:rFonts w:ascii="Arial" w:hAnsi="Arial" w:cs="Arial"/>
          <w:b/>
          <w:bCs/>
          <w:sz w:val="22"/>
          <w:szCs w:val="22"/>
        </w:rPr>
      </w:pPr>
      <w:r w:rsidRPr="008764FF">
        <w:rPr>
          <w:rFonts w:ascii="Arial" w:hAnsi="Arial" w:cs="Arial"/>
          <w:b/>
          <w:bCs/>
          <w:sz w:val="22"/>
          <w:szCs w:val="22"/>
        </w:rPr>
        <w:t>Reaccommodation</w:t>
      </w:r>
    </w:p>
    <w:p w14:paraId="50A090DE" w14:textId="596C265B" w:rsidR="004149D8" w:rsidRPr="008764FF" w:rsidRDefault="004149D8" w:rsidP="008764FF">
      <w:pPr>
        <w:spacing w:line="360" w:lineRule="auto"/>
        <w:ind w:left="360"/>
        <w:jc w:val="both"/>
        <w:rPr>
          <w:rFonts w:ascii="Arial" w:hAnsi="Arial" w:cs="Arial"/>
          <w:b/>
          <w:bCs/>
          <w:sz w:val="22"/>
          <w:szCs w:val="22"/>
        </w:rPr>
      </w:pPr>
      <w:r w:rsidRPr="008764FF">
        <w:rPr>
          <w:rFonts w:ascii="Arial" w:hAnsi="Arial" w:cs="Arial"/>
          <w:b/>
          <w:bCs/>
          <w:sz w:val="22"/>
          <w:szCs w:val="22"/>
        </w:rPr>
        <w:t xml:space="preserve">3.1 </w:t>
      </w:r>
      <w:r w:rsidR="005C56E4" w:rsidRPr="008764FF">
        <w:rPr>
          <w:rFonts w:ascii="Arial" w:hAnsi="Arial" w:cs="Arial"/>
          <w:b/>
          <w:bCs/>
          <w:sz w:val="22"/>
          <w:szCs w:val="22"/>
        </w:rPr>
        <w:t>PDSA cycle</w:t>
      </w:r>
    </w:p>
    <w:p w14:paraId="1B158D26" w14:textId="1560C382" w:rsidR="004149D8" w:rsidRPr="008764FF" w:rsidRDefault="004149D8" w:rsidP="008764FF">
      <w:pPr>
        <w:spacing w:line="360" w:lineRule="auto"/>
        <w:ind w:left="360"/>
        <w:jc w:val="both"/>
        <w:rPr>
          <w:rFonts w:ascii="Arial" w:hAnsi="Arial" w:cs="Arial"/>
          <w:b/>
          <w:bCs/>
          <w:sz w:val="22"/>
          <w:szCs w:val="22"/>
        </w:rPr>
      </w:pPr>
      <w:r w:rsidRPr="008764FF">
        <w:rPr>
          <w:rFonts w:ascii="Arial" w:hAnsi="Arial" w:cs="Arial"/>
          <w:b/>
          <w:bCs/>
          <w:sz w:val="22"/>
          <w:szCs w:val="22"/>
        </w:rPr>
        <w:t>3.2</w:t>
      </w:r>
      <w:r w:rsidR="005C56E4" w:rsidRPr="008764FF">
        <w:rPr>
          <w:rFonts w:ascii="Arial" w:hAnsi="Arial" w:cs="Arial"/>
          <w:b/>
          <w:bCs/>
          <w:sz w:val="22"/>
          <w:szCs w:val="22"/>
        </w:rPr>
        <w:t xml:space="preserve"> Lean Methodology</w:t>
      </w:r>
    </w:p>
    <w:p w14:paraId="2301A0B4" w14:textId="45E6E84E" w:rsidR="004149D8" w:rsidRPr="008764FF" w:rsidRDefault="004149D8" w:rsidP="008764FF">
      <w:pPr>
        <w:spacing w:line="360" w:lineRule="auto"/>
        <w:ind w:left="360"/>
        <w:jc w:val="both"/>
        <w:rPr>
          <w:rFonts w:ascii="Arial" w:hAnsi="Arial" w:cs="Arial"/>
          <w:b/>
          <w:bCs/>
          <w:sz w:val="22"/>
          <w:szCs w:val="22"/>
        </w:rPr>
      </w:pPr>
      <w:r w:rsidRPr="008764FF">
        <w:rPr>
          <w:rFonts w:ascii="Arial" w:hAnsi="Arial" w:cs="Arial"/>
          <w:b/>
          <w:bCs/>
          <w:sz w:val="22"/>
          <w:szCs w:val="22"/>
        </w:rPr>
        <w:t>3.3</w:t>
      </w:r>
      <w:r w:rsidR="005C56E4" w:rsidRPr="008764FF">
        <w:rPr>
          <w:rFonts w:ascii="Arial" w:hAnsi="Arial" w:cs="Arial"/>
          <w:b/>
          <w:bCs/>
          <w:sz w:val="22"/>
          <w:szCs w:val="22"/>
        </w:rPr>
        <w:t xml:space="preserve"> Six stigma</w:t>
      </w:r>
    </w:p>
    <w:p w14:paraId="105BD24F" w14:textId="4CC6838E" w:rsidR="004149D8" w:rsidRPr="008764FF" w:rsidRDefault="004149D8" w:rsidP="008764FF">
      <w:pPr>
        <w:spacing w:line="360" w:lineRule="auto"/>
        <w:ind w:left="360"/>
        <w:jc w:val="both"/>
        <w:rPr>
          <w:rFonts w:ascii="Arial" w:hAnsi="Arial" w:cs="Arial"/>
          <w:b/>
          <w:bCs/>
          <w:sz w:val="22"/>
          <w:szCs w:val="22"/>
        </w:rPr>
      </w:pPr>
      <w:r w:rsidRPr="008764FF">
        <w:rPr>
          <w:rFonts w:ascii="Arial" w:hAnsi="Arial" w:cs="Arial"/>
          <w:b/>
          <w:bCs/>
          <w:sz w:val="22"/>
          <w:szCs w:val="22"/>
        </w:rPr>
        <w:t>3.4</w:t>
      </w:r>
      <w:r w:rsidR="005C56E4" w:rsidRPr="008764FF">
        <w:rPr>
          <w:rFonts w:ascii="Arial" w:hAnsi="Arial" w:cs="Arial"/>
          <w:b/>
          <w:bCs/>
          <w:sz w:val="22"/>
          <w:szCs w:val="22"/>
        </w:rPr>
        <w:t xml:space="preserve"> DMAIC </w:t>
      </w:r>
    </w:p>
    <w:p w14:paraId="1BEE7469" w14:textId="6FE33D64" w:rsidR="005C56E4" w:rsidRPr="008764FF" w:rsidRDefault="005C56E4" w:rsidP="008764FF">
      <w:pPr>
        <w:spacing w:line="360" w:lineRule="auto"/>
        <w:ind w:left="360"/>
        <w:jc w:val="both"/>
        <w:rPr>
          <w:rFonts w:ascii="Arial" w:hAnsi="Arial" w:cs="Arial"/>
          <w:b/>
          <w:bCs/>
          <w:sz w:val="22"/>
          <w:szCs w:val="22"/>
        </w:rPr>
      </w:pPr>
      <w:r w:rsidRPr="008764FF">
        <w:rPr>
          <w:rFonts w:ascii="Arial" w:hAnsi="Arial" w:cs="Arial"/>
          <w:b/>
          <w:bCs/>
          <w:sz w:val="22"/>
          <w:szCs w:val="22"/>
        </w:rPr>
        <w:t>3.5 Digital feedback system</w:t>
      </w:r>
    </w:p>
    <w:p w14:paraId="175AAEF6" w14:textId="306E8D35" w:rsidR="00E61159" w:rsidRPr="008764FF" w:rsidRDefault="00E61159" w:rsidP="008764FF">
      <w:pPr>
        <w:pStyle w:val="ListParagraph"/>
        <w:numPr>
          <w:ilvl w:val="0"/>
          <w:numId w:val="1"/>
        </w:numPr>
        <w:spacing w:line="360" w:lineRule="auto"/>
        <w:jc w:val="both"/>
        <w:rPr>
          <w:rFonts w:ascii="Arial" w:hAnsi="Arial" w:cs="Arial"/>
          <w:b/>
          <w:bCs/>
          <w:sz w:val="22"/>
          <w:szCs w:val="22"/>
        </w:rPr>
      </w:pPr>
      <w:r w:rsidRPr="008764FF">
        <w:rPr>
          <w:rFonts w:ascii="Arial" w:hAnsi="Arial" w:cs="Arial"/>
          <w:b/>
          <w:bCs/>
          <w:sz w:val="22"/>
          <w:szCs w:val="22"/>
        </w:rPr>
        <w:t>Conclusion</w:t>
      </w:r>
    </w:p>
    <w:p w14:paraId="5EE826ED" w14:textId="0F21E83B" w:rsidR="00E61159" w:rsidRPr="008764FF" w:rsidRDefault="00E61159" w:rsidP="008764FF">
      <w:pPr>
        <w:pStyle w:val="ListParagraph"/>
        <w:numPr>
          <w:ilvl w:val="0"/>
          <w:numId w:val="1"/>
        </w:numPr>
        <w:spacing w:line="360" w:lineRule="auto"/>
        <w:jc w:val="both"/>
        <w:rPr>
          <w:rFonts w:ascii="Arial" w:hAnsi="Arial" w:cs="Arial"/>
          <w:b/>
          <w:bCs/>
          <w:sz w:val="22"/>
          <w:szCs w:val="22"/>
        </w:rPr>
      </w:pPr>
      <w:r w:rsidRPr="008764FF">
        <w:rPr>
          <w:rFonts w:ascii="Arial" w:hAnsi="Arial" w:cs="Arial"/>
          <w:b/>
          <w:bCs/>
          <w:sz w:val="22"/>
          <w:szCs w:val="22"/>
        </w:rPr>
        <w:t>Reference list</w:t>
      </w:r>
    </w:p>
    <w:p w14:paraId="24D3986D" w14:textId="77777777" w:rsidR="00E61159" w:rsidRPr="008764FF" w:rsidRDefault="00E61159" w:rsidP="008764FF">
      <w:pPr>
        <w:pStyle w:val="ListParagraph"/>
        <w:spacing w:line="360" w:lineRule="auto"/>
        <w:jc w:val="both"/>
        <w:rPr>
          <w:rFonts w:ascii="Arial" w:hAnsi="Arial" w:cs="Arial"/>
          <w:sz w:val="22"/>
          <w:szCs w:val="22"/>
        </w:rPr>
      </w:pPr>
    </w:p>
    <w:p w14:paraId="5527781E" w14:textId="77777777" w:rsidR="00E61159" w:rsidRPr="008764FF" w:rsidRDefault="00E61159" w:rsidP="008764FF">
      <w:pPr>
        <w:spacing w:line="360" w:lineRule="auto"/>
        <w:jc w:val="both"/>
        <w:rPr>
          <w:rFonts w:ascii="Arial" w:hAnsi="Arial" w:cs="Arial"/>
          <w:sz w:val="22"/>
          <w:szCs w:val="22"/>
        </w:rPr>
      </w:pPr>
    </w:p>
    <w:p w14:paraId="0A2CBF12" w14:textId="77777777" w:rsidR="00E61159" w:rsidRPr="008764FF" w:rsidRDefault="00E61159" w:rsidP="008764FF">
      <w:pPr>
        <w:spacing w:line="360" w:lineRule="auto"/>
        <w:jc w:val="both"/>
        <w:rPr>
          <w:rFonts w:ascii="Arial" w:hAnsi="Arial" w:cs="Arial"/>
          <w:sz w:val="22"/>
          <w:szCs w:val="22"/>
        </w:rPr>
      </w:pPr>
    </w:p>
    <w:p w14:paraId="3F619676" w14:textId="77777777" w:rsidR="00E61159" w:rsidRPr="008764FF" w:rsidRDefault="00E61159" w:rsidP="008764FF">
      <w:pPr>
        <w:spacing w:line="360" w:lineRule="auto"/>
        <w:jc w:val="both"/>
        <w:rPr>
          <w:rFonts w:ascii="Arial" w:hAnsi="Arial" w:cs="Arial"/>
          <w:sz w:val="22"/>
          <w:szCs w:val="22"/>
        </w:rPr>
      </w:pPr>
    </w:p>
    <w:p w14:paraId="3841CE9D" w14:textId="77777777" w:rsidR="00E61159" w:rsidRPr="008764FF" w:rsidRDefault="00E61159" w:rsidP="008764FF">
      <w:pPr>
        <w:spacing w:line="360" w:lineRule="auto"/>
        <w:jc w:val="both"/>
        <w:rPr>
          <w:rFonts w:ascii="Arial" w:hAnsi="Arial" w:cs="Arial"/>
          <w:sz w:val="22"/>
          <w:szCs w:val="22"/>
        </w:rPr>
      </w:pPr>
    </w:p>
    <w:p w14:paraId="66F33A65"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CC297EF"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D4AD14F"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6D4995B"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F56056A"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2EC1BA1"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9BE20CE" w14:textId="77777777" w:rsidR="00CE7B4C" w:rsidRPr="008764FF" w:rsidRDefault="00CE7B4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4073401" w14:textId="77777777" w:rsidR="00C735A3" w:rsidRPr="008764FF" w:rsidRDefault="00C735A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EE32EDD" w14:textId="12153E64" w:rsidR="008429E1" w:rsidRPr="008764FF" w:rsidRDefault="008429E1"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 xml:space="preserve">INTRODUCTION </w:t>
      </w:r>
    </w:p>
    <w:p w14:paraId="4DFCB3C2" w14:textId="77777777" w:rsidR="00C735A3" w:rsidRPr="008764FF" w:rsidRDefault="00EB3AAB"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kern w:val="0"/>
          <w:sz w:val="22"/>
          <w:szCs w:val="22"/>
          <w:lang w:val="en-IN" w:eastAsia="en-IN"/>
          <w14:ligatures w14:val="none"/>
        </w:rPr>
        <w:t xml:space="preserve">In the Staffordshire NHS Group, poor patient experience has </w:t>
      </w:r>
      <w:r w:rsidR="00497B55" w:rsidRPr="008764FF">
        <w:rPr>
          <w:rFonts w:ascii="Arial" w:eastAsia="Times New Roman" w:hAnsi="Arial" w:cs="Arial"/>
          <w:kern w:val="0"/>
          <w:sz w:val="22"/>
          <w:szCs w:val="22"/>
          <w:lang w:val="en-IN" w:eastAsia="en-IN"/>
          <w14:ligatures w14:val="none"/>
        </w:rPr>
        <w:t>become increasingly important</w:t>
      </w:r>
      <w:r w:rsidRPr="008764FF">
        <w:rPr>
          <w:rFonts w:ascii="Arial" w:eastAsia="Times New Roman" w:hAnsi="Arial" w:cs="Arial"/>
          <w:kern w:val="0"/>
          <w:sz w:val="22"/>
          <w:szCs w:val="22"/>
          <w:lang w:val="en-IN" w:eastAsia="en-IN"/>
          <w14:ligatures w14:val="none"/>
        </w:rPr>
        <w:t xml:space="preserve"> as a quality issue, reflecting broader difficulties encountered throughout the National Health Service (Smith, 2023).</w:t>
      </w:r>
      <w:r w:rsidR="002841DF" w:rsidRPr="008764FF">
        <w:rPr>
          <w:rFonts w:ascii="Arial" w:eastAsia="Times New Roman" w:hAnsi="Arial" w:cs="Arial"/>
          <w:kern w:val="0"/>
          <w:sz w:val="22"/>
          <w:szCs w:val="22"/>
          <w:lang w:val="en-IN" w:eastAsia="en-IN"/>
          <w14:ligatures w14:val="none"/>
        </w:rPr>
        <w:t xml:space="preserve"> According to the NHS Quality Framework, patient experience is one of the three pillars of quality, along with clinical efficacy and patient safety (Darzi, 2008). Negative patient experiences should be a top </w:t>
      </w:r>
      <w:r w:rsidR="00497B55" w:rsidRPr="008764FF">
        <w:rPr>
          <w:rFonts w:ascii="Arial" w:eastAsia="Times New Roman" w:hAnsi="Arial" w:cs="Arial"/>
          <w:kern w:val="0"/>
          <w:sz w:val="22"/>
          <w:szCs w:val="22"/>
          <w:lang w:val="en-IN" w:eastAsia="en-IN"/>
          <w14:ligatures w14:val="none"/>
        </w:rPr>
        <w:t>priority for quality improvement activities, as there is evidence linking them to worse clinical outcomes, lower</w:t>
      </w:r>
      <w:r w:rsidR="002841DF" w:rsidRPr="008764FF">
        <w:rPr>
          <w:rFonts w:ascii="Arial" w:eastAsia="Times New Roman" w:hAnsi="Arial" w:cs="Arial"/>
          <w:kern w:val="0"/>
          <w:sz w:val="22"/>
          <w:szCs w:val="22"/>
          <w:lang w:val="en-IN" w:eastAsia="en-IN"/>
          <w14:ligatures w14:val="none"/>
        </w:rPr>
        <w:t xml:space="preserve"> treatment adherence, and an increase in complaints. (Wolf and others, 2014). A growing number of official complaints, </w:t>
      </w:r>
      <w:r w:rsidR="00497B55" w:rsidRPr="008764FF">
        <w:rPr>
          <w:rFonts w:ascii="Arial" w:eastAsia="Times New Roman" w:hAnsi="Arial" w:cs="Arial"/>
          <w:kern w:val="0"/>
          <w:sz w:val="22"/>
          <w:szCs w:val="22"/>
          <w:lang w:val="en-IN" w:eastAsia="en-IN"/>
          <w14:ligatures w14:val="none"/>
        </w:rPr>
        <w:t xml:space="preserve">concerns about poor communication, lengthy wait times, and a lack of person-centred treatment in Staffordshire suggest structural flaws that negatively impact </w:t>
      </w:r>
      <w:r w:rsidR="002841DF" w:rsidRPr="008764FF">
        <w:rPr>
          <w:rFonts w:ascii="Arial" w:eastAsia="Times New Roman" w:hAnsi="Arial" w:cs="Arial"/>
          <w:kern w:val="0"/>
          <w:sz w:val="22"/>
          <w:szCs w:val="22"/>
          <w:lang w:val="en-IN" w:eastAsia="en-IN"/>
          <w14:ligatures w14:val="none"/>
        </w:rPr>
        <w:t>patient satisfaction. (Care Quality Commission, 2023).</w:t>
      </w:r>
      <w:r w:rsidR="005F3BC1" w:rsidRPr="008764FF">
        <w:rPr>
          <w:rFonts w:ascii="Arial" w:eastAsia="Times New Roman" w:hAnsi="Arial" w:cs="Arial"/>
          <w:kern w:val="0"/>
          <w:sz w:val="22"/>
          <w:szCs w:val="22"/>
          <w:lang w:val="en-IN" w:eastAsia="en-IN"/>
          <w14:ligatures w14:val="none"/>
        </w:rPr>
        <w:t xml:space="preserve"> </w:t>
      </w:r>
      <w:r w:rsidR="005F3BC1" w:rsidRPr="008764FF">
        <w:rPr>
          <w:rFonts w:ascii="Arial" w:eastAsia="Times New Roman" w:hAnsi="Arial" w:cs="Arial"/>
          <w:color w:val="000000"/>
          <w:sz w:val="22"/>
          <w:szCs w:val="22"/>
        </w:rPr>
        <w:t>Meeting the standards outlined in the NHS Constitution, which highlights respect, dignity, involvement, and clear communication as essential patient rights, has proven difficult for the Staffordshire NHS Group (Health and Social Care Department, 2021). Reports from the Service Quality Commission (CQC) reveal persistent issues with service delays, low staff engagement, and disjointed patient-clinician communication in Staffordshire hospitals (CQC, 2023). NHS England's complaints data also show a steady increase in complaints about staff attitudes, insufficient information, and poor care coordination in Staffordshire-based services (NHS England, 2022). These patterns underscore the importance of addressing patient experience as a vital component of overall service quality (King's Fund, 2020).</w:t>
      </w:r>
    </w:p>
    <w:p w14:paraId="09F9C6F7" w14:textId="77777777" w:rsidR="00C735A3" w:rsidRPr="008764FF" w:rsidRDefault="005F3BC1"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 xml:space="preserve"> Inadequate patient experiences have a significant impact on public health and organisational performance, affecting patient engagement, workforce morale, and trust in healthcare systems (Fulop and Robert, 2015). Unfavourable encounters may increase health disparities by reducing service use, particularly among vulnerable populations (Marmot, 2020). Low patient satisfaction is also associated with more complaints and lawsuits, which raises expenses for NHS groups that are already struggling financially (Confederation of NHS, 2021). Like many </w:t>
      </w:r>
      <w:r w:rsidRPr="008764FF">
        <w:rPr>
          <w:rFonts w:ascii="Arial" w:eastAsia="Times New Roman" w:hAnsi="Arial" w:cs="Arial"/>
          <w:color w:val="000000"/>
          <w:sz w:val="22"/>
          <w:szCs w:val="22"/>
        </w:rPr>
        <w:lastRenderedPageBreak/>
        <w:t xml:space="preserve">NHS Trusts, the Staffordshire NHS Group operates in an environment where staffing shortages, resource limitations, and rising demand all contribute to uneven service delivery (Buchan et al., 2019). In order to create focused, evidence-based treatments that enhance care procedures and results, it is crucial to analyse the underlying causes of subpar patient experiences (Davidoff and Batalden,2007). </w:t>
      </w:r>
    </w:p>
    <w:p w14:paraId="353AE828" w14:textId="7288ED05" w:rsidR="005F3BC1" w:rsidRPr="008764FF" w:rsidRDefault="005F3BC1"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 xml:space="preserve">The literature on quality improvement emphasises the value of models like the </w:t>
      </w:r>
      <w:r w:rsidRPr="008764FF">
        <w:rPr>
          <w:rFonts w:ascii="Arial" w:eastAsia="Times New Roman" w:hAnsi="Arial" w:cs="Arial"/>
          <w:b/>
          <w:bCs/>
          <w:color w:val="000000"/>
          <w:sz w:val="22"/>
          <w:szCs w:val="22"/>
        </w:rPr>
        <w:t>Donabedian Model, Fishbone Diagram, and Five Whys</w:t>
      </w:r>
      <w:r w:rsidRPr="008764FF">
        <w:rPr>
          <w:rFonts w:ascii="Arial" w:eastAsia="Times New Roman" w:hAnsi="Arial" w:cs="Arial"/>
          <w:color w:val="000000"/>
          <w:sz w:val="22"/>
          <w:szCs w:val="22"/>
        </w:rPr>
        <w:t xml:space="preserve"> in mapping system-level flaws and identifying contributing elements (Taylor et al, 2014). A greater awareness of the organisational, interpersonal, and structural elements influencing patient satisfaction in Staffordshire is made possible by these tools (Redman and others, 2021). A thorough assessment of organisational capabilities and contextual obstacles is further supported by strategic planning methods like </w:t>
      </w:r>
      <w:r w:rsidRPr="008764FF">
        <w:rPr>
          <w:rFonts w:ascii="Arial" w:eastAsia="Times New Roman" w:hAnsi="Arial" w:cs="Arial"/>
          <w:b/>
          <w:bCs/>
          <w:color w:val="000000"/>
          <w:sz w:val="22"/>
          <w:szCs w:val="22"/>
        </w:rPr>
        <w:t>SWOT analysis</w:t>
      </w:r>
      <w:r w:rsidRPr="008764FF">
        <w:rPr>
          <w:rFonts w:ascii="Arial" w:eastAsia="Times New Roman" w:hAnsi="Arial" w:cs="Arial"/>
          <w:color w:val="000000"/>
          <w:sz w:val="22"/>
          <w:szCs w:val="22"/>
        </w:rPr>
        <w:t xml:space="preserve"> (Tat and Gürel, 2017). Improving patient experience is in line with national strategy objectives, such as the NHS Long Term Plan's dedication to individualised care and more patient involvement (NHS England,2019). Additionally, it backs the transition to </w:t>
      </w:r>
      <w:r w:rsidRPr="008764FF">
        <w:rPr>
          <w:rFonts w:ascii="Arial" w:eastAsia="Times New Roman" w:hAnsi="Arial" w:cs="Arial"/>
          <w:b/>
          <w:bCs/>
          <w:color w:val="000000"/>
          <w:sz w:val="22"/>
          <w:szCs w:val="22"/>
        </w:rPr>
        <w:t>integrated care systems</w:t>
      </w:r>
      <w:r w:rsidRPr="008764FF">
        <w:rPr>
          <w:rFonts w:ascii="Arial" w:eastAsia="Times New Roman" w:hAnsi="Arial" w:cs="Arial"/>
          <w:color w:val="000000"/>
          <w:sz w:val="22"/>
          <w:szCs w:val="22"/>
        </w:rPr>
        <w:t xml:space="preserve"> (ICS), which prioritise teamwork, prevention, and comprehensive service delivery throughout Staffordshire (Digital NHS, 2022). A systematic framework for creating, testing, and maintaining changes is offered by a service improvement strategy influenced by quality approaches like PDSA and Lean (Healthcare Improvement Institute, 2020). Therefore, the purpose of this paper is to evaluate the organisational and systemic aspects that contribute to the problem, investigate the underlying causes of poor patient experience within Staffordshire NHS Group, and offer a set of practical suggestions for long-term change (</w:t>
      </w:r>
      <w:r w:rsidRPr="008764FF">
        <w:rPr>
          <w:rFonts w:ascii="Arial" w:hAnsi="Arial" w:cs="Arial"/>
          <w:kern w:val="0"/>
          <w:sz w:val="22"/>
          <w:szCs w:val="22"/>
          <w14:ligatures w14:val="none"/>
        </w:rPr>
        <w:t xml:space="preserve">Institute for Healthcare Improvement, 2020). </w:t>
      </w:r>
      <w:r w:rsidRPr="008764FF">
        <w:rPr>
          <w:rFonts w:ascii="Arial" w:eastAsia="Times New Roman" w:hAnsi="Arial" w:cs="Arial"/>
          <w:color w:val="000000"/>
          <w:sz w:val="22"/>
          <w:szCs w:val="22"/>
        </w:rPr>
        <w:t>Therefore, the purpose of this work is to examine the organisational and structural aspects that contribute to the problem, investigate the underlying causes of poor patient experience within Staffordshire NHS Group, and offer a set of practical suggestions for long-term change (Jones and associates, 2021). It creates a thorough, evidence-based improvement strategy by utilising established conceptual frameworks along with improvement methods (AHRQ, 2019).</w:t>
      </w:r>
    </w:p>
    <w:p w14:paraId="61CBBF05" w14:textId="2FE90639" w:rsidR="005F3BC1" w:rsidRPr="008764FF" w:rsidRDefault="005F3BC1" w:rsidP="008764FF">
      <w:pPr>
        <w:spacing w:after="0" w:line="360" w:lineRule="auto"/>
        <w:jc w:val="both"/>
        <w:rPr>
          <w:rFonts w:ascii="Arial" w:eastAsia="Times New Roman" w:hAnsi="Arial" w:cs="Arial"/>
          <w:kern w:val="0"/>
          <w:sz w:val="22"/>
          <w:szCs w:val="22"/>
          <w:lang w:val="en-IN" w:eastAsia="en-IN"/>
          <w14:ligatures w14:val="none"/>
        </w:rPr>
      </w:pPr>
    </w:p>
    <w:p w14:paraId="2EE18FFE" w14:textId="77777777" w:rsidR="005F3BC1" w:rsidRPr="008764FF" w:rsidRDefault="005F3BC1" w:rsidP="008764FF">
      <w:pPr>
        <w:spacing w:after="0" w:line="360" w:lineRule="auto"/>
        <w:jc w:val="both"/>
        <w:rPr>
          <w:rFonts w:ascii="Arial" w:eastAsia="Times New Roman" w:hAnsi="Arial" w:cs="Arial"/>
          <w:kern w:val="0"/>
          <w:sz w:val="22"/>
          <w:szCs w:val="22"/>
          <w:lang w:val="en-IN" w:eastAsia="en-IN"/>
          <w14:ligatures w14:val="none"/>
        </w:rPr>
      </w:pPr>
    </w:p>
    <w:p w14:paraId="0D7AA6F1" w14:textId="77777777" w:rsidR="005F3BC1" w:rsidRPr="008764FF" w:rsidRDefault="005F3BC1" w:rsidP="008764FF">
      <w:pPr>
        <w:spacing w:after="0" w:line="360" w:lineRule="auto"/>
        <w:jc w:val="both"/>
        <w:rPr>
          <w:rFonts w:ascii="Arial" w:eastAsia="Times New Roman" w:hAnsi="Arial" w:cs="Arial"/>
          <w:kern w:val="0"/>
          <w:sz w:val="22"/>
          <w:szCs w:val="22"/>
          <w:lang w:val="en-IN" w:eastAsia="en-IN"/>
          <w14:ligatures w14:val="none"/>
        </w:rPr>
      </w:pPr>
    </w:p>
    <w:p w14:paraId="366AE410" w14:textId="77777777" w:rsidR="005F3BC1" w:rsidRPr="008764FF" w:rsidRDefault="005F3BC1" w:rsidP="008764FF">
      <w:pPr>
        <w:spacing w:after="0" w:line="360" w:lineRule="auto"/>
        <w:jc w:val="both"/>
        <w:rPr>
          <w:rFonts w:ascii="Arial" w:eastAsia="Times New Roman" w:hAnsi="Arial" w:cs="Arial"/>
          <w:kern w:val="0"/>
          <w:sz w:val="22"/>
          <w:szCs w:val="22"/>
          <w:lang w:val="en-IN" w:eastAsia="en-IN"/>
          <w14:ligatures w14:val="none"/>
        </w:rPr>
      </w:pPr>
    </w:p>
    <w:p w14:paraId="6F906A46" w14:textId="77777777" w:rsidR="005F3BC1" w:rsidRPr="008764FF" w:rsidRDefault="005F3BC1" w:rsidP="008764FF">
      <w:pPr>
        <w:spacing w:after="0" w:line="360" w:lineRule="auto"/>
        <w:jc w:val="both"/>
        <w:rPr>
          <w:rFonts w:ascii="Arial" w:eastAsia="Times New Roman" w:hAnsi="Arial" w:cs="Arial"/>
          <w:kern w:val="0"/>
          <w:sz w:val="22"/>
          <w:szCs w:val="22"/>
          <w:lang w:val="en-IN" w:eastAsia="en-IN"/>
          <w14:ligatures w14:val="none"/>
        </w:rPr>
      </w:pPr>
    </w:p>
    <w:p w14:paraId="620C6059" w14:textId="05B19B79" w:rsidR="00AF3522" w:rsidRPr="008764FF" w:rsidRDefault="008364D0" w:rsidP="008764FF">
      <w:pPr>
        <w:spacing w:after="0" w:line="360" w:lineRule="auto"/>
        <w:jc w:val="both"/>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 xml:space="preserve">2. </w:t>
      </w:r>
      <w:r w:rsidR="00AF3522" w:rsidRPr="008764FF">
        <w:rPr>
          <w:rFonts w:ascii="Arial" w:eastAsia="Times New Roman" w:hAnsi="Arial" w:cs="Arial"/>
          <w:b/>
          <w:bCs/>
          <w:kern w:val="36"/>
          <w:sz w:val="22"/>
          <w:szCs w:val="22"/>
          <w14:ligatures w14:val="none"/>
        </w:rPr>
        <w:t xml:space="preserve">MAIN BODY </w:t>
      </w:r>
    </w:p>
    <w:p w14:paraId="6AC6CF58" w14:textId="77777777" w:rsidR="00CE7B4C" w:rsidRPr="008764FF" w:rsidRDefault="00CE7B4C" w:rsidP="008764FF">
      <w:pPr>
        <w:spacing w:after="0" w:line="360" w:lineRule="auto"/>
        <w:jc w:val="both"/>
        <w:rPr>
          <w:rFonts w:ascii="Arial" w:eastAsia="Times New Roman" w:hAnsi="Arial" w:cs="Arial"/>
          <w:b/>
          <w:bCs/>
          <w:kern w:val="36"/>
          <w:sz w:val="22"/>
          <w:szCs w:val="22"/>
          <w14:ligatures w14:val="none"/>
        </w:rPr>
      </w:pPr>
    </w:p>
    <w:p w14:paraId="66B48C91" w14:textId="77777777" w:rsidR="008364D0" w:rsidRPr="008764FF" w:rsidRDefault="00CE7B4C"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 xml:space="preserve">A complete understanding of the organisational, interpersonal, and systemic elements affecting care quality is necessary for the examination of unsatisfactory patient experiences </w:t>
      </w:r>
      <w:r w:rsidRPr="008764FF">
        <w:rPr>
          <w:rFonts w:ascii="Arial" w:eastAsia="Times New Roman" w:hAnsi="Arial" w:cs="Arial"/>
          <w:color w:val="000000"/>
          <w:sz w:val="22"/>
          <w:szCs w:val="22"/>
        </w:rPr>
        <w:lastRenderedPageBreak/>
        <w:t>within Staffordshire NHS Group</w:t>
      </w:r>
      <w:r w:rsidR="008364D0" w:rsidRPr="008764FF">
        <w:rPr>
          <w:rFonts w:ascii="Arial" w:eastAsia="Times New Roman" w:hAnsi="Arial" w:cs="Arial"/>
          <w:color w:val="000000"/>
          <w:sz w:val="22"/>
          <w:szCs w:val="22"/>
        </w:rPr>
        <w:t xml:space="preserve"> (King’s</w:t>
      </w:r>
      <w:r w:rsidRPr="008764FF">
        <w:rPr>
          <w:rFonts w:ascii="Arial" w:eastAsia="Times New Roman" w:hAnsi="Arial" w:cs="Arial"/>
          <w:color w:val="000000"/>
          <w:sz w:val="22"/>
          <w:szCs w:val="22"/>
        </w:rPr>
        <w:t xml:space="preserve"> Fund</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2020)</w:t>
      </w:r>
      <w:r w:rsidR="008364D0" w:rsidRPr="008764FF">
        <w:rPr>
          <w:rFonts w:ascii="Arial" w:eastAsia="Times New Roman" w:hAnsi="Arial" w:cs="Arial"/>
          <w:color w:val="000000"/>
          <w:sz w:val="22"/>
          <w:szCs w:val="22"/>
        </w:rPr>
        <w:t>.</w:t>
      </w:r>
      <w:r w:rsidRPr="008764FF">
        <w:rPr>
          <w:rFonts w:ascii="Arial" w:eastAsia="Times New Roman" w:hAnsi="Arial" w:cs="Arial"/>
          <w:color w:val="000000"/>
          <w:sz w:val="22"/>
          <w:szCs w:val="22"/>
        </w:rPr>
        <w:t xml:space="preserve"> Theories of quality management offer methodical ways to recognise, classify, and deal with various contributing </w:t>
      </w:r>
      <w:r w:rsidR="008364D0" w:rsidRPr="008764FF">
        <w:rPr>
          <w:rFonts w:ascii="Arial" w:eastAsia="Times New Roman" w:hAnsi="Arial" w:cs="Arial"/>
          <w:color w:val="000000"/>
          <w:sz w:val="22"/>
          <w:szCs w:val="22"/>
        </w:rPr>
        <w:t>elements (Davidoff</w:t>
      </w:r>
      <w:r w:rsidRPr="008764FF">
        <w:rPr>
          <w:rFonts w:ascii="Arial" w:eastAsia="Times New Roman" w:hAnsi="Arial" w:cs="Arial"/>
          <w:color w:val="000000"/>
          <w:sz w:val="22"/>
          <w:szCs w:val="22"/>
        </w:rPr>
        <w:t xml:space="preserve"> and Batalden</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2007)</w:t>
      </w:r>
      <w:r w:rsidR="008364D0" w:rsidRPr="008764FF">
        <w:rPr>
          <w:rFonts w:ascii="Arial" w:eastAsia="Times New Roman" w:hAnsi="Arial" w:cs="Arial"/>
          <w:color w:val="000000"/>
          <w:sz w:val="22"/>
          <w:szCs w:val="22"/>
        </w:rPr>
        <w:t>.</w:t>
      </w:r>
      <w:r w:rsidRPr="008764FF">
        <w:rPr>
          <w:rFonts w:ascii="Arial" w:eastAsia="Times New Roman" w:hAnsi="Arial" w:cs="Arial"/>
          <w:color w:val="000000"/>
          <w:sz w:val="22"/>
          <w:szCs w:val="22"/>
        </w:rPr>
        <w:t xml:space="preserve"> A deeper and more comprehensive knowledge of the complicated nature of patient experience difficulties is ensured by applying different frameworks, such as the </w:t>
      </w:r>
      <w:r w:rsidRPr="008764FF">
        <w:rPr>
          <w:rFonts w:ascii="Arial" w:eastAsia="Times New Roman" w:hAnsi="Arial" w:cs="Arial"/>
          <w:b/>
          <w:bCs/>
          <w:color w:val="000000"/>
          <w:sz w:val="22"/>
          <w:szCs w:val="22"/>
        </w:rPr>
        <w:t>Donabedian Model, Fishbone Diagram, and 5 Whys</w:t>
      </w:r>
      <w:r w:rsidRPr="008764FF">
        <w:rPr>
          <w:rFonts w:ascii="Arial" w:eastAsia="Times New Roman" w:hAnsi="Arial" w:cs="Arial"/>
          <w:color w:val="000000"/>
          <w:sz w:val="22"/>
          <w:szCs w:val="22"/>
        </w:rPr>
        <w:t xml:space="preserve"> (Redman and others, 2021). </w:t>
      </w:r>
    </w:p>
    <w:p w14:paraId="7BEBA7F1" w14:textId="77777777" w:rsidR="008364D0" w:rsidRPr="008764FF" w:rsidRDefault="008364D0" w:rsidP="008764FF">
      <w:pPr>
        <w:spacing w:line="360" w:lineRule="auto"/>
        <w:jc w:val="both"/>
        <w:rPr>
          <w:rFonts w:ascii="Arial" w:eastAsia="Times New Roman" w:hAnsi="Arial" w:cs="Arial"/>
          <w:color w:val="000000"/>
          <w:sz w:val="22"/>
          <w:szCs w:val="22"/>
        </w:rPr>
      </w:pPr>
    </w:p>
    <w:p w14:paraId="2347A0F7" w14:textId="4546AF05" w:rsidR="008364D0" w:rsidRPr="008764FF" w:rsidRDefault="008364D0"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b/>
          <w:bCs/>
          <w:color w:val="000000"/>
          <w:sz w:val="22"/>
          <w:szCs w:val="22"/>
        </w:rPr>
        <w:t>2.1 Fishbone Diagram</w:t>
      </w:r>
    </w:p>
    <w:p w14:paraId="719DBA4F" w14:textId="1750A270" w:rsidR="00CE7B4C" w:rsidRPr="008764FF" w:rsidRDefault="00CE7B4C"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A tool for root cause analysis, the Fishbone Diagram</w:t>
      </w:r>
      <w:r w:rsidR="00C735A3" w:rsidRPr="008764FF">
        <w:rPr>
          <w:rFonts w:ascii="Arial" w:eastAsia="Times New Roman" w:hAnsi="Arial" w:cs="Arial"/>
          <w:color w:val="000000"/>
          <w:sz w:val="22"/>
          <w:szCs w:val="22"/>
        </w:rPr>
        <w:t xml:space="preserve"> (see figure 1)</w:t>
      </w:r>
      <w:r w:rsidRPr="008764FF">
        <w:rPr>
          <w:rFonts w:ascii="Arial" w:eastAsia="Times New Roman" w:hAnsi="Arial" w:cs="Arial"/>
          <w:color w:val="000000"/>
          <w:sz w:val="22"/>
          <w:szCs w:val="22"/>
        </w:rPr>
        <w:t xml:space="preserve"> (also called the </w:t>
      </w:r>
      <w:r w:rsidRPr="008764FF">
        <w:rPr>
          <w:rFonts w:ascii="Arial" w:eastAsia="Times New Roman" w:hAnsi="Arial" w:cs="Arial"/>
          <w:b/>
          <w:bCs/>
          <w:color w:val="000000"/>
          <w:sz w:val="22"/>
          <w:szCs w:val="22"/>
        </w:rPr>
        <w:t>Ishikawa Diagram</w:t>
      </w:r>
      <w:r w:rsidRPr="008764FF">
        <w:rPr>
          <w:rFonts w:ascii="Arial" w:eastAsia="Times New Roman" w:hAnsi="Arial" w:cs="Arial"/>
          <w:color w:val="000000"/>
          <w:sz w:val="22"/>
          <w:szCs w:val="22"/>
        </w:rPr>
        <w:t xml:space="preserve">) groups possible causes into </w:t>
      </w:r>
      <w:r w:rsidRPr="008764FF">
        <w:rPr>
          <w:rFonts w:ascii="Arial" w:eastAsia="Times New Roman" w:hAnsi="Arial" w:cs="Arial"/>
          <w:b/>
          <w:bCs/>
          <w:color w:val="000000"/>
          <w:sz w:val="22"/>
          <w:szCs w:val="22"/>
        </w:rPr>
        <w:t xml:space="preserve">People, Process, Environment, Equipment, and </w:t>
      </w:r>
      <w:r w:rsidR="008364D0" w:rsidRPr="008764FF">
        <w:rPr>
          <w:rFonts w:ascii="Arial" w:eastAsia="Times New Roman" w:hAnsi="Arial" w:cs="Arial"/>
          <w:b/>
          <w:bCs/>
          <w:color w:val="000000"/>
          <w:sz w:val="22"/>
          <w:szCs w:val="22"/>
        </w:rPr>
        <w:t xml:space="preserve">Management </w:t>
      </w:r>
      <w:r w:rsidR="008364D0" w:rsidRPr="008764FF">
        <w:rPr>
          <w:rFonts w:ascii="Arial" w:eastAsia="Times New Roman" w:hAnsi="Arial" w:cs="Arial"/>
          <w:color w:val="000000"/>
          <w:sz w:val="22"/>
          <w:szCs w:val="22"/>
        </w:rPr>
        <w:t>(Ishikawa,</w:t>
      </w:r>
      <w:r w:rsidRPr="008764FF">
        <w:rPr>
          <w:rFonts w:ascii="Arial" w:eastAsia="Times New Roman" w:hAnsi="Arial" w:cs="Arial"/>
          <w:color w:val="000000"/>
          <w:sz w:val="22"/>
          <w:szCs w:val="22"/>
        </w:rPr>
        <w:t>1985)</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This model's capacity to graphically depict interrelated elements that affect quality outcomes makes it popular in the healthcare industry</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 xml:space="preserve">(McLean </w:t>
      </w:r>
      <w:r w:rsidR="008364D0" w:rsidRPr="008764FF">
        <w:rPr>
          <w:rFonts w:ascii="Arial" w:eastAsia="Times New Roman" w:hAnsi="Arial" w:cs="Arial"/>
          <w:color w:val="000000"/>
          <w:sz w:val="22"/>
          <w:szCs w:val="22"/>
        </w:rPr>
        <w:t>et al</w:t>
      </w:r>
      <w:r w:rsidRPr="008764FF">
        <w:rPr>
          <w:rFonts w:ascii="Arial" w:eastAsia="Times New Roman" w:hAnsi="Arial" w:cs="Arial"/>
          <w:color w:val="000000"/>
          <w:sz w:val="22"/>
          <w:szCs w:val="22"/>
        </w:rPr>
        <w:t xml:space="preserve">, 2017) The Fishbone Diagram in the context of Staffordshire NHS Group draws attention to problems like poor communication, a lack of staff, insufficient training, disjointed procedures, and environmental elements that lead to a substandard patient experience (Taylor et al, 2014). The significance of these areas in the Fishbone analysis is further supported by research showing that interpersonal ability and communication are among the best indicators of patient satisfaction (Wolf </w:t>
      </w:r>
      <w:r w:rsidR="008364D0" w:rsidRPr="008764FF">
        <w:rPr>
          <w:rFonts w:ascii="Arial" w:eastAsia="Times New Roman" w:hAnsi="Arial" w:cs="Arial"/>
          <w:color w:val="000000"/>
          <w:sz w:val="22"/>
          <w:szCs w:val="22"/>
        </w:rPr>
        <w:t>et al</w:t>
      </w:r>
      <w:r w:rsidRPr="008764FF">
        <w:rPr>
          <w:rFonts w:ascii="Arial" w:eastAsia="Times New Roman" w:hAnsi="Arial" w:cs="Arial"/>
          <w:color w:val="000000"/>
          <w:sz w:val="22"/>
          <w:szCs w:val="22"/>
        </w:rPr>
        <w:t>, 2014)</w:t>
      </w:r>
      <w:r w:rsidR="008364D0" w:rsidRPr="008764FF">
        <w:rPr>
          <w:rFonts w:ascii="Arial" w:eastAsia="Times New Roman" w:hAnsi="Arial" w:cs="Arial"/>
          <w:color w:val="000000"/>
          <w:sz w:val="22"/>
          <w:szCs w:val="22"/>
        </w:rPr>
        <w:t>.</w:t>
      </w:r>
      <w:r w:rsidRPr="008764FF">
        <w:rPr>
          <w:rFonts w:ascii="Arial" w:eastAsia="Times New Roman" w:hAnsi="Arial" w:cs="Arial"/>
          <w:color w:val="000000"/>
          <w:sz w:val="22"/>
          <w:szCs w:val="22"/>
        </w:rPr>
        <w:t xml:space="preserve"> The Fishbone Diagram was chosen because of its strength as a multidisciplinary tool that can capture intricate linkages between systemic causes and patient-facing outcomes</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(AHRQ, 2019).</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Low-quality patient experiences in the "</w:t>
      </w:r>
      <w:r w:rsidRPr="008764FF">
        <w:rPr>
          <w:rFonts w:ascii="Arial" w:eastAsia="Times New Roman" w:hAnsi="Arial" w:cs="Arial"/>
          <w:b/>
          <w:bCs/>
          <w:color w:val="000000"/>
          <w:sz w:val="22"/>
          <w:szCs w:val="22"/>
        </w:rPr>
        <w:t>People</w:t>
      </w:r>
      <w:r w:rsidRPr="008764FF">
        <w:rPr>
          <w:rFonts w:ascii="Arial" w:eastAsia="Times New Roman" w:hAnsi="Arial" w:cs="Arial"/>
          <w:color w:val="000000"/>
          <w:sz w:val="22"/>
          <w:szCs w:val="22"/>
        </w:rPr>
        <w:t>" category are greatly influenced by elements including staff burnout, poor communication skills, and low patient participation</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(Buchan et al,2019).</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The Staffordshire National Health Service (NHS) is facing significant workforce constraints, which are similar to the nationwide shortages in the nursing and medical fields (Confederation of NHS, 2021). Burnout is a crucial component in comprehending patient dissatisfaction since it is linked to less empathy, poorer communication, and more patient complaints. (West and others, 2020) The Fishbone analysis also identifies "Management" problems, such as poor patient experience data monitoring, inadequate feedback channels, and low leadership visibility</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w:t>
      </w:r>
      <w:r w:rsidR="008364D0" w:rsidRPr="008764FF">
        <w:rPr>
          <w:rFonts w:ascii="Arial" w:eastAsia="Times New Roman" w:hAnsi="Arial" w:cs="Arial"/>
          <w:color w:val="000000"/>
          <w:sz w:val="22"/>
          <w:szCs w:val="22"/>
        </w:rPr>
        <w:t>King's</w:t>
      </w:r>
      <w:r w:rsidRPr="008764FF">
        <w:rPr>
          <w:rFonts w:ascii="Arial" w:eastAsia="Times New Roman" w:hAnsi="Arial" w:cs="Arial"/>
          <w:color w:val="000000"/>
          <w:sz w:val="22"/>
          <w:szCs w:val="22"/>
        </w:rPr>
        <w:t xml:space="preserve"> Fund,2020).</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 xml:space="preserve">According to research, maintaining service quality and making sure that patient input is effectively used to drive improvement depend on leadership engagement </w:t>
      </w:r>
      <w:r w:rsidR="008364D0" w:rsidRPr="008764FF">
        <w:rPr>
          <w:rFonts w:ascii="Arial" w:eastAsia="Times New Roman" w:hAnsi="Arial" w:cs="Arial"/>
          <w:color w:val="000000"/>
          <w:sz w:val="22"/>
          <w:szCs w:val="22"/>
        </w:rPr>
        <w:t>(</w:t>
      </w:r>
      <w:r w:rsidRPr="008764FF">
        <w:rPr>
          <w:rFonts w:ascii="Arial" w:eastAsia="Times New Roman" w:hAnsi="Arial" w:cs="Arial"/>
          <w:color w:val="000000"/>
          <w:sz w:val="22"/>
          <w:szCs w:val="22"/>
        </w:rPr>
        <w:t>Fulop and Robert,2015).</w:t>
      </w:r>
    </w:p>
    <w:p w14:paraId="5AB0D476" w14:textId="77777777" w:rsidR="008364D0" w:rsidRPr="008764FF" w:rsidRDefault="008364D0" w:rsidP="008764FF">
      <w:pPr>
        <w:spacing w:line="360" w:lineRule="auto"/>
        <w:jc w:val="both"/>
        <w:rPr>
          <w:rFonts w:ascii="Arial" w:eastAsia="Times New Roman" w:hAnsi="Arial" w:cs="Arial"/>
          <w:color w:val="000000"/>
          <w:sz w:val="22"/>
          <w:szCs w:val="22"/>
        </w:rPr>
      </w:pPr>
    </w:p>
    <w:p w14:paraId="6CA6F7F5" w14:textId="77777777" w:rsidR="008364D0" w:rsidRPr="008764FF" w:rsidRDefault="008364D0" w:rsidP="008764FF">
      <w:pPr>
        <w:spacing w:line="360" w:lineRule="auto"/>
        <w:jc w:val="both"/>
        <w:rPr>
          <w:rFonts w:ascii="Arial" w:eastAsia="Times New Roman" w:hAnsi="Arial" w:cs="Arial"/>
          <w:color w:val="000000"/>
          <w:sz w:val="22"/>
          <w:szCs w:val="22"/>
        </w:rPr>
      </w:pPr>
    </w:p>
    <w:p w14:paraId="34E764DF" w14:textId="4841F900" w:rsidR="008364D0" w:rsidRPr="008764FF" w:rsidRDefault="008364D0" w:rsidP="008764FF">
      <w:pPr>
        <w:spacing w:line="360" w:lineRule="auto"/>
        <w:jc w:val="both"/>
        <w:rPr>
          <w:rFonts w:ascii="Arial" w:eastAsia="Times New Roman" w:hAnsi="Arial" w:cs="Arial"/>
          <w:color w:val="000000"/>
          <w:sz w:val="22"/>
          <w:szCs w:val="22"/>
        </w:rPr>
      </w:pPr>
      <w:r w:rsidRPr="008764FF">
        <w:rPr>
          <w:rFonts w:ascii="Arial" w:hAnsi="Arial" w:cs="Arial"/>
          <w:noProof/>
        </w:rPr>
        <w:lastRenderedPageBreak/>
        <w:drawing>
          <wp:inline distT="0" distB="0" distL="0" distR="0" wp14:anchorId="5F4BFDBB" wp14:editId="1C8227EA">
            <wp:extent cx="5118100" cy="3848100"/>
            <wp:effectExtent l="0" t="0" r="6350" b="0"/>
            <wp:docPr id="204601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8100" cy="3848100"/>
                    </a:xfrm>
                    <a:prstGeom prst="rect">
                      <a:avLst/>
                    </a:prstGeom>
                    <a:noFill/>
                    <a:ln>
                      <a:noFill/>
                    </a:ln>
                  </pic:spPr>
                </pic:pic>
              </a:graphicData>
            </a:graphic>
          </wp:inline>
        </w:drawing>
      </w:r>
    </w:p>
    <w:p w14:paraId="6917D846" w14:textId="1978881E" w:rsidR="008364D0" w:rsidRPr="008764FF" w:rsidRDefault="00C735A3" w:rsidP="00870406">
      <w:pPr>
        <w:spacing w:line="360" w:lineRule="auto"/>
        <w:jc w:val="center"/>
        <w:rPr>
          <w:rFonts w:ascii="Arial" w:eastAsia="Times New Roman" w:hAnsi="Arial" w:cs="Arial"/>
          <w:b/>
          <w:bCs/>
          <w:color w:val="000000"/>
          <w:sz w:val="22"/>
          <w:szCs w:val="22"/>
        </w:rPr>
      </w:pPr>
      <w:r w:rsidRPr="008764FF">
        <w:rPr>
          <w:rFonts w:ascii="Arial" w:eastAsia="Times New Roman" w:hAnsi="Arial" w:cs="Arial"/>
          <w:b/>
          <w:bCs/>
          <w:color w:val="000000"/>
          <w:sz w:val="22"/>
          <w:szCs w:val="22"/>
        </w:rPr>
        <w:t>Figure 1 (Fishbone diagram)</w:t>
      </w:r>
    </w:p>
    <w:p w14:paraId="35243CC2" w14:textId="77777777" w:rsidR="008364D0" w:rsidRPr="008764FF" w:rsidRDefault="008364D0" w:rsidP="008764FF">
      <w:pPr>
        <w:spacing w:line="360" w:lineRule="auto"/>
        <w:jc w:val="both"/>
        <w:rPr>
          <w:rFonts w:ascii="Arial" w:eastAsia="Times New Roman" w:hAnsi="Arial" w:cs="Arial"/>
          <w:color w:val="000000"/>
          <w:sz w:val="22"/>
          <w:szCs w:val="22"/>
        </w:rPr>
      </w:pPr>
    </w:p>
    <w:p w14:paraId="2BA1F36C" w14:textId="79853F23" w:rsidR="00CE7B4C" w:rsidRPr="008764FF" w:rsidRDefault="008364D0"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b/>
          <w:bCs/>
          <w:color w:val="000000"/>
          <w:sz w:val="22"/>
          <w:szCs w:val="22"/>
        </w:rPr>
        <w:t>2.2 5 Whys</w:t>
      </w:r>
    </w:p>
    <w:p w14:paraId="7F0440A2" w14:textId="042A48B0" w:rsidR="00CE7B4C" w:rsidRPr="008764FF" w:rsidRDefault="00CE7B4C"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 xml:space="preserve">By delving further into each identified problem to uncover underlying reasons, the </w:t>
      </w:r>
      <w:r w:rsidRPr="008764FF">
        <w:rPr>
          <w:rFonts w:ascii="Arial" w:eastAsia="Times New Roman" w:hAnsi="Arial" w:cs="Arial"/>
          <w:b/>
          <w:bCs/>
          <w:color w:val="000000"/>
          <w:sz w:val="22"/>
          <w:szCs w:val="22"/>
        </w:rPr>
        <w:t>5 Whys</w:t>
      </w:r>
      <w:r w:rsidRPr="008764FF">
        <w:rPr>
          <w:rFonts w:ascii="Arial" w:eastAsia="Times New Roman" w:hAnsi="Arial" w:cs="Arial"/>
          <w:color w:val="000000"/>
          <w:sz w:val="22"/>
          <w:szCs w:val="22"/>
        </w:rPr>
        <w:t xml:space="preserve"> </w:t>
      </w:r>
      <w:r w:rsidR="00C735A3" w:rsidRPr="008764FF">
        <w:rPr>
          <w:rFonts w:ascii="Arial" w:eastAsia="Times New Roman" w:hAnsi="Arial" w:cs="Arial"/>
          <w:color w:val="000000"/>
          <w:sz w:val="22"/>
          <w:szCs w:val="22"/>
        </w:rPr>
        <w:t xml:space="preserve">(see figure 1.2) </w:t>
      </w:r>
      <w:r w:rsidRPr="008764FF">
        <w:rPr>
          <w:rFonts w:ascii="Arial" w:eastAsia="Times New Roman" w:hAnsi="Arial" w:cs="Arial"/>
          <w:color w:val="000000"/>
          <w:sz w:val="22"/>
          <w:szCs w:val="22"/>
        </w:rPr>
        <w:t>technique enhances the Fishbone Diagram</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(Ohno,1988). For instance, asking "Why are communication failures occurring?" may reveal that employees are rushing, which prompts asking "Why are staff rushed?" to identify staffing shortages and prompt additional investigation into resource allocation, recruitment, and retention (Gibson et al.,2020)</w:t>
      </w:r>
      <w:r w:rsidR="008364D0" w:rsidRPr="008764FF">
        <w:rPr>
          <w:rFonts w:ascii="Arial" w:eastAsia="Times New Roman" w:hAnsi="Arial" w:cs="Arial"/>
          <w:color w:val="000000"/>
          <w:sz w:val="22"/>
          <w:szCs w:val="22"/>
        </w:rPr>
        <w:t>.</w:t>
      </w:r>
      <w:r w:rsidRPr="008764FF">
        <w:rPr>
          <w:rFonts w:ascii="Arial" w:eastAsia="Times New Roman" w:hAnsi="Arial" w:cs="Arial"/>
          <w:color w:val="000000"/>
          <w:sz w:val="22"/>
          <w:szCs w:val="22"/>
        </w:rPr>
        <w:t xml:space="preserve"> Because of its simplicity and depth, the 5 Whys method is useful for helping teams identify systemic flaws by going beyond surface-level answers</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(AHRQ, 2019).</w:t>
      </w:r>
      <w:r w:rsidR="008364D0" w:rsidRPr="008764FF">
        <w:rPr>
          <w:rFonts w:ascii="Arial" w:eastAsia="Times New Roman" w:hAnsi="Arial" w:cs="Arial"/>
          <w:color w:val="000000"/>
          <w:sz w:val="22"/>
          <w:szCs w:val="22"/>
        </w:rPr>
        <w:t xml:space="preserve"> </w:t>
      </w:r>
      <w:r w:rsidRPr="008764FF">
        <w:rPr>
          <w:rFonts w:ascii="Arial" w:eastAsia="Times New Roman" w:hAnsi="Arial" w:cs="Arial"/>
          <w:color w:val="000000"/>
          <w:sz w:val="22"/>
          <w:szCs w:val="22"/>
        </w:rPr>
        <w:t>This fits in nicely with the difficulties faced by Staffordshire NHS, where superficial problems can conceal more significant structural and cultural obstacles to excellent patient relationships (CQC, 2023).</w:t>
      </w:r>
    </w:p>
    <w:p w14:paraId="25D0CAA4" w14:textId="77777777" w:rsidR="008364D0" w:rsidRPr="008764FF" w:rsidRDefault="008364D0" w:rsidP="008764FF">
      <w:pPr>
        <w:spacing w:line="360" w:lineRule="auto"/>
        <w:jc w:val="both"/>
        <w:rPr>
          <w:rFonts w:ascii="Arial" w:eastAsia="Times New Roman" w:hAnsi="Arial" w:cs="Arial"/>
          <w:color w:val="000000"/>
          <w:sz w:val="22"/>
          <w:szCs w:val="22"/>
        </w:rPr>
      </w:pPr>
    </w:p>
    <w:p w14:paraId="40B6DFE8" w14:textId="70ABA9D7" w:rsidR="008364D0" w:rsidRPr="008764FF" w:rsidRDefault="008364D0" w:rsidP="00870406">
      <w:pPr>
        <w:spacing w:line="360" w:lineRule="auto"/>
        <w:jc w:val="center"/>
        <w:rPr>
          <w:rFonts w:ascii="Arial" w:eastAsia="Times New Roman" w:hAnsi="Arial" w:cs="Arial"/>
          <w:color w:val="000000"/>
          <w:sz w:val="22"/>
          <w:szCs w:val="22"/>
          <w:lang w:val="en-IN"/>
        </w:rPr>
      </w:pPr>
      <w:r w:rsidRPr="008764FF">
        <w:rPr>
          <w:rFonts w:ascii="Arial" w:eastAsia="Times New Roman" w:hAnsi="Arial" w:cs="Arial"/>
          <w:noProof/>
          <w:color w:val="000000"/>
          <w:sz w:val="22"/>
          <w:szCs w:val="22"/>
          <w:lang w:val="en-IN"/>
        </w:rPr>
        <w:lastRenderedPageBreak/>
        <w:drawing>
          <wp:inline distT="0" distB="0" distL="0" distR="0" wp14:anchorId="2266116A" wp14:editId="555D412E">
            <wp:extent cx="3468370" cy="2425700"/>
            <wp:effectExtent l="0" t="0" r="0" b="0"/>
            <wp:docPr id="1553497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44118" cy="2478676"/>
                    </a:xfrm>
                    <a:prstGeom prst="rect">
                      <a:avLst/>
                    </a:prstGeom>
                    <a:noFill/>
                    <a:ln>
                      <a:noFill/>
                    </a:ln>
                  </pic:spPr>
                </pic:pic>
              </a:graphicData>
            </a:graphic>
          </wp:inline>
        </w:drawing>
      </w:r>
    </w:p>
    <w:p w14:paraId="2566B8CC" w14:textId="58C5F09D" w:rsidR="00C735A3" w:rsidRPr="008764FF" w:rsidRDefault="00C735A3" w:rsidP="00870406">
      <w:pPr>
        <w:spacing w:line="360" w:lineRule="auto"/>
        <w:jc w:val="center"/>
        <w:rPr>
          <w:rFonts w:ascii="Arial" w:eastAsia="Times New Roman" w:hAnsi="Arial" w:cs="Arial"/>
          <w:b/>
          <w:bCs/>
          <w:color w:val="000000"/>
          <w:sz w:val="22"/>
          <w:szCs w:val="22"/>
        </w:rPr>
      </w:pPr>
      <w:r w:rsidRPr="008764FF">
        <w:rPr>
          <w:rFonts w:ascii="Arial" w:eastAsia="Times New Roman" w:hAnsi="Arial" w:cs="Arial"/>
          <w:b/>
          <w:bCs/>
          <w:color w:val="000000"/>
          <w:sz w:val="22"/>
          <w:szCs w:val="22"/>
        </w:rPr>
        <w:t>Figure 1.2 (5 Whys)</w:t>
      </w:r>
    </w:p>
    <w:p w14:paraId="4452A6A2" w14:textId="77777777" w:rsidR="00C735A3" w:rsidRPr="008764FF" w:rsidRDefault="00C735A3" w:rsidP="008764FF">
      <w:pPr>
        <w:spacing w:line="360" w:lineRule="auto"/>
        <w:jc w:val="both"/>
        <w:rPr>
          <w:rFonts w:ascii="Arial" w:eastAsia="Times New Roman" w:hAnsi="Arial" w:cs="Arial"/>
          <w:b/>
          <w:bCs/>
          <w:color w:val="000000"/>
          <w:sz w:val="22"/>
          <w:szCs w:val="22"/>
        </w:rPr>
      </w:pPr>
    </w:p>
    <w:p w14:paraId="3976DA54" w14:textId="3CAC9811" w:rsidR="000B6173" w:rsidRPr="008764FF" w:rsidRDefault="000B6173" w:rsidP="008764FF">
      <w:pPr>
        <w:spacing w:line="360" w:lineRule="auto"/>
        <w:jc w:val="both"/>
        <w:rPr>
          <w:rFonts w:ascii="Arial" w:eastAsia="Times New Roman" w:hAnsi="Arial" w:cs="Arial"/>
          <w:b/>
          <w:bCs/>
          <w:color w:val="000000"/>
          <w:sz w:val="22"/>
          <w:szCs w:val="22"/>
        </w:rPr>
      </w:pPr>
      <w:r w:rsidRPr="008764FF">
        <w:rPr>
          <w:rFonts w:ascii="Arial" w:eastAsia="Times New Roman" w:hAnsi="Arial" w:cs="Arial"/>
          <w:b/>
          <w:bCs/>
          <w:color w:val="000000"/>
          <w:sz w:val="22"/>
          <w:szCs w:val="22"/>
        </w:rPr>
        <w:t>2.3 The Donabedian Model</w:t>
      </w:r>
    </w:p>
    <w:p w14:paraId="1A4BA64F" w14:textId="3696E0C6" w:rsidR="00CE7B4C" w:rsidRPr="008764FF" w:rsidRDefault="000B6173" w:rsidP="008764FF">
      <w:pPr>
        <w:spacing w:line="360" w:lineRule="auto"/>
        <w:jc w:val="both"/>
        <w:rPr>
          <w:rFonts w:ascii="Arial" w:eastAsia="Times New Roman" w:hAnsi="Arial" w:cs="Arial"/>
          <w:color w:val="000000"/>
          <w:sz w:val="22"/>
          <w:szCs w:val="22"/>
        </w:rPr>
      </w:pPr>
      <w:r w:rsidRPr="008764FF">
        <w:rPr>
          <w:rFonts w:ascii="Arial" w:eastAsia="Times New Roman" w:hAnsi="Arial" w:cs="Arial"/>
          <w:color w:val="000000"/>
          <w:sz w:val="22"/>
          <w:szCs w:val="22"/>
        </w:rPr>
        <w:t>This model</w:t>
      </w:r>
      <w:r w:rsidR="00C735A3" w:rsidRPr="008764FF">
        <w:rPr>
          <w:rFonts w:ascii="Arial" w:eastAsia="Times New Roman" w:hAnsi="Arial" w:cs="Arial"/>
          <w:color w:val="000000"/>
          <w:sz w:val="22"/>
          <w:szCs w:val="22"/>
        </w:rPr>
        <w:t xml:space="preserve"> (see figure 1.3)</w:t>
      </w:r>
      <w:r w:rsidRPr="008764FF">
        <w:rPr>
          <w:rFonts w:ascii="Arial" w:eastAsia="Times New Roman" w:hAnsi="Arial" w:cs="Arial"/>
          <w:color w:val="000000"/>
          <w:sz w:val="22"/>
          <w:szCs w:val="22"/>
        </w:rPr>
        <w:t xml:space="preserve">, which separates quality into </w:t>
      </w:r>
      <w:r w:rsidRPr="008764FF">
        <w:rPr>
          <w:rFonts w:ascii="Arial" w:eastAsia="Times New Roman" w:hAnsi="Arial" w:cs="Arial"/>
          <w:b/>
          <w:bCs/>
          <w:color w:val="000000"/>
          <w:sz w:val="22"/>
          <w:szCs w:val="22"/>
        </w:rPr>
        <w:t>Structure, Process, and Outcome</w:t>
      </w:r>
      <w:r w:rsidRPr="008764FF">
        <w:rPr>
          <w:rFonts w:ascii="Arial" w:eastAsia="Times New Roman" w:hAnsi="Arial" w:cs="Arial"/>
          <w:color w:val="000000"/>
          <w:sz w:val="22"/>
          <w:szCs w:val="22"/>
        </w:rPr>
        <w:t xml:space="preserve">, offers a valuable framework for analysing patient experience. </w:t>
      </w:r>
      <w:r w:rsidRPr="008764FF">
        <w:rPr>
          <w:rFonts w:ascii="Arial" w:eastAsia="Times New Roman" w:hAnsi="Arial" w:cs="Arial"/>
          <w:b/>
          <w:bCs/>
          <w:color w:val="000000"/>
          <w:sz w:val="22"/>
          <w:szCs w:val="22"/>
        </w:rPr>
        <w:t xml:space="preserve">“Structure” </w:t>
      </w:r>
      <w:r w:rsidRPr="008764FF">
        <w:rPr>
          <w:rFonts w:ascii="Arial" w:eastAsia="Times New Roman" w:hAnsi="Arial" w:cs="Arial"/>
          <w:color w:val="000000"/>
          <w:sz w:val="22"/>
          <w:szCs w:val="22"/>
        </w:rPr>
        <w:t xml:space="preserve">includes organisational infrastructure, staffing, technology, and resources (Donabedian, 1980). In Staffordshire NHS, care delivery is hindered by structural pressures such as staff shortages, high bed occupancy, and limited communication-training investment (NHS England, 2022). </w:t>
      </w:r>
      <w:r w:rsidRPr="008764FF">
        <w:rPr>
          <w:rFonts w:ascii="Arial" w:eastAsia="Times New Roman" w:hAnsi="Arial" w:cs="Arial"/>
          <w:b/>
          <w:bCs/>
          <w:color w:val="000000"/>
          <w:sz w:val="22"/>
          <w:szCs w:val="22"/>
        </w:rPr>
        <w:t>“Process”</w:t>
      </w:r>
      <w:r w:rsidRPr="008764FF">
        <w:rPr>
          <w:rFonts w:ascii="Arial" w:eastAsia="Times New Roman" w:hAnsi="Arial" w:cs="Arial"/>
          <w:color w:val="000000"/>
          <w:sz w:val="22"/>
          <w:szCs w:val="22"/>
        </w:rPr>
        <w:t xml:space="preserve"> concerns how care is delivered punctuality, communication, information sharing, and involvement in decisions (AHRQ, 2019). Staffordshire complaints frequently cite weak communication and inconsistent patient involvement (CQC, 2023). </w:t>
      </w:r>
      <w:r w:rsidRPr="008764FF">
        <w:rPr>
          <w:rFonts w:ascii="Arial" w:eastAsia="Times New Roman" w:hAnsi="Arial" w:cs="Arial"/>
          <w:b/>
          <w:bCs/>
          <w:color w:val="000000"/>
          <w:sz w:val="22"/>
          <w:szCs w:val="22"/>
        </w:rPr>
        <w:t>“Outcome”</w:t>
      </w:r>
      <w:r w:rsidRPr="008764FF">
        <w:rPr>
          <w:rFonts w:ascii="Arial" w:eastAsia="Times New Roman" w:hAnsi="Arial" w:cs="Arial"/>
          <w:color w:val="000000"/>
          <w:sz w:val="22"/>
          <w:szCs w:val="22"/>
        </w:rPr>
        <w:t xml:space="preserve"> refers to complaints data, patient satisfaction, and clinical results (Wolf et al., 2014). Negative outcomes in Staffordshire illustrate Donabedian’s argument that strong structures are essential for effective processes (Darzi, 2008). While widely used for its clarity and breadth (King’s Fund, 2020), critics note that the model can oversimplify complex system dynamics (Fulop </w:t>
      </w:r>
      <w:r w:rsidR="00664DAE" w:rsidRPr="008764FF">
        <w:rPr>
          <w:rFonts w:ascii="Arial" w:eastAsia="Times New Roman" w:hAnsi="Arial" w:cs="Arial"/>
          <w:color w:val="000000"/>
          <w:sz w:val="22"/>
          <w:szCs w:val="22"/>
        </w:rPr>
        <w:t>and</w:t>
      </w:r>
      <w:r w:rsidRPr="008764FF">
        <w:rPr>
          <w:rFonts w:ascii="Arial" w:eastAsia="Times New Roman" w:hAnsi="Arial" w:cs="Arial"/>
          <w:color w:val="000000"/>
          <w:sz w:val="22"/>
          <w:szCs w:val="22"/>
        </w:rPr>
        <w:t xml:space="preserve"> Robert, 2015). Nonetheless, it helps Staffordshire NHS link systemic constraints to patient-experience outcomes (Redman et al., 2021)</w:t>
      </w:r>
      <w:r w:rsidR="00D126D7" w:rsidRPr="008764FF">
        <w:rPr>
          <w:rFonts w:ascii="Arial" w:eastAsia="Times New Roman" w:hAnsi="Arial" w:cs="Arial"/>
          <w:color w:val="000000"/>
          <w:sz w:val="22"/>
          <w:szCs w:val="22"/>
        </w:rPr>
        <w:t>.</w:t>
      </w:r>
    </w:p>
    <w:p w14:paraId="1C67A68A" w14:textId="77777777" w:rsidR="00CE7B4C" w:rsidRPr="008764FF" w:rsidRDefault="00CE7B4C" w:rsidP="008764FF">
      <w:pPr>
        <w:spacing w:after="0" w:line="360" w:lineRule="auto"/>
        <w:jc w:val="both"/>
        <w:rPr>
          <w:rFonts w:ascii="Arial" w:eastAsia="Times New Roman" w:hAnsi="Arial" w:cs="Arial"/>
          <w:kern w:val="0"/>
          <w:sz w:val="22"/>
          <w:szCs w:val="22"/>
          <w:lang w:val="en-IN" w:eastAsia="en-IN"/>
          <w14:ligatures w14:val="none"/>
        </w:rPr>
      </w:pPr>
    </w:p>
    <w:p w14:paraId="52753BF3" w14:textId="2A420D45" w:rsidR="008364D0" w:rsidRPr="008764FF" w:rsidRDefault="00D126D7" w:rsidP="00870406">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8764FF">
        <w:rPr>
          <w:rFonts w:ascii="Arial" w:hAnsi="Arial" w:cs="Arial"/>
          <w:noProof/>
        </w:rPr>
        <w:lastRenderedPageBreak/>
        <w:drawing>
          <wp:inline distT="0" distB="0" distL="0" distR="0" wp14:anchorId="0E15BBE1" wp14:editId="2C8BD9DF">
            <wp:extent cx="4551045" cy="3078732"/>
            <wp:effectExtent l="0" t="0" r="1905" b="7620"/>
            <wp:docPr id="8182014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7465" cy="3089840"/>
                    </a:xfrm>
                    <a:prstGeom prst="rect">
                      <a:avLst/>
                    </a:prstGeom>
                    <a:noFill/>
                    <a:ln>
                      <a:noFill/>
                    </a:ln>
                  </pic:spPr>
                </pic:pic>
              </a:graphicData>
            </a:graphic>
          </wp:inline>
        </w:drawing>
      </w:r>
    </w:p>
    <w:p w14:paraId="72A61089" w14:textId="6CDD49BB" w:rsidR="00C735A3" w:rsidRPr="008764FF" w:rsidRDefault="00C735A3" w:rsidP="00870406">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Figure 1.3 (Donabedian model)</w:t>
      </w:r>
    </w:p>
    <w:p w14:paraId="10659488" w14:textId="13490088" w:rsidR="00D126D7" w:rsidRPr="008764FF" w:rsidRDefault="00D126D7"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2.4 SWOT analysis</w:t>
      </w:r>
    </w:p>
    <w:p w14:paraId="111FDEE2" w14:textId="1251358C" w:rsidR="000B6173" w:rsidRPr="008764FF" w:rsidRDefault="000B617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SWOT analysis</w:t>
      </w:r>
      <w:r w:rsidR="00C735A3" w:rsidRPr="008764FF">
        <w:rPr>
          <w:rFonts w:ascii="Arial" w:eastAsia="Times New Roman" w:hAnsi="Arial" w:cs="Arial"/>
          <w:b/>
          <w:bCs/>
          <w:kern w:val="36"/>
          <w:sz w:val="22"/>
          <w:szCs w:val="22"/>
          <w14:ligatures w14:val="none"/>
        </w:rPr>
        <w:t xml:space="preserve"> </w:t>
      </w:r>
      <w:r w:rsidR="00C735A3" w:rsidRPr="008764FF">
        <w:rPr>
          <w:rFonts w:ascii="Arial" w:eastAsia="Times New Roman" w:hAnsi="Arial" w:cs="Arial"/>
          <w:kern w:val="36"/>
          <w:sz w:val="22"/>
          <w:szCs w:val="22"/>
          <w14:ligatures w14:val="none"/>
        </w:rPr>
        <w:t>(see figure 1.4)</w:t>
      </w:r>
      <w:r w:rsidR="00C735A3" w:rsidRPr="008764FF">
        <w:rPr>
          <w:rFonts w:ascii="Arial" w:eastAsia="Times New Roman" w:hAnsi="Arial" w:cs="Arial"/>
          <w:b/>
          <w:bCs/>
          <w:kern w:val="36"/>
          <w:sz w:val="22"/>
          <w:szCs w:val="22"/>
          <w14:ligatures w14:val="none"/>
        </w:rPr>
        <w:t xml:space="preserve"> </w:t>
      </w:r>
      <w:r w:rsidRPr="008764FF">
        <w:rPr>
          <w:rFonts w:ascii="Arial" w:eastAsia="Times New Roman" w:hAnsi="Arial" w:cs="Arial"/>
          <w:kern w:val="36"/>
          <w:sz w:val="22"/>
          <w:szCs w:val="22"/>
          <w14:ligatures w14:val="none"/>
        </w:rPr>
        <w:t>supports strategic planning by identifying organisational strengths, weaknesses, opportunities, and threats (Gürel and Tat, 2017). A SWOT assessment of Staffordshire NHS highlights internal weaknesses such as poor communication, long waits, and staffing shortages (CQC, 2023). Strengths include committed clinical teams, strong community links, and existing patient-experience data to guide improvement (NHS England, 2019). Opportunities arise from government initiatives promoting personalised care, integrated care systems, and expanding digital technologies (Digital NHS, 2022). External threats include rising demand, financial pressures, and national workforce shortages (Buchan et al., 2019). Overall, SWOT aids strategic decision-making by aligning organisational capacity with improvement goals (Gürel and Tat, 2017).</w:t>
      </w:r>
    </w:p>
    <w:p w14:paraId="79DF2405" w14:textId="28A6778C" w:rsidR="000B6173" w:rsidRPr="008764FF" w:rsidRDefault="00D126D7" w:rsidP="00B4294E">
      <w:pPr>
        <w:spacing w:before="100" w:beforeAutospacing="1" w:after="100" w:afterAutospacing="1" w:line="360" w:lineRule="auto"/>
        <w:jc w:val="center"/>
        <w:outlineLvl w:val="0"/>
        <w:rPr>
          <w:rFonts w:ascii="Arial" w:eastAsia="Times New Roman" w:hAnsi="Arial" w:cs="Arial"/>
          <w:kern w:val="36"/>
          <w:sz w:val="22"/>
          <w:szCs w:val="22"/>
          <w14:ligatures w14:val="none"/>
        </w:rPr>
      </w:pPr>
      <w:r w:rsidRPr="008764FF">
        <w:rPr>
          <w:rFonts w:ascii="Arial" w:hAnsi="Arial" w:cs="Arial"/>
          <w:noProof/>
        </w:rPr>
        <w:lastRenderedPageBreak/>
        <w:drawing>
          <wp:inline distT="0" distB="0" distL="0" distR="0" wp14:anchorId="07F2C631" wp14:editId="2385C8DE">
            <wp:extent cx="2887125" cy="2773045"/>
            <wp:effectExtent l="0" t="0" r="8890" b="8255"/>
            <wp:docPr id="2184232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2028" cy="2787359"/>
                    </a:xfrm>
                    <a:prstGeom prst="rect">
                      <a:avLst/>
                    </a:prstGeom>
                    <a:noFill/>
                    <a:ln>
                      <a:noFill/>
                    </a:ln>
                  </pic:spPr>
                </pic:pic>
              </a:graphicData>
            </a:graphic>
          </wp:inline>
        </w:drawing>
      </w:r>
    </w:p>
    <w:p w14:paraId="451CA113" w14:textId="69FA3455" w:rsidR="000B6173" w:rsidRPr="008764FF" w:rsidRDefault="00C735A3" w:rsidP="00B4294E">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Figure 1.4 (SWOT Analysis)</w:t>
      </w:r>
    </w:p>
    <w:p w14:paraId="4B2FF72F" w14:textId="77777777" w:rsidR="000B6173" w:rsidRPr="008764FF" w:rsidRDefault="000B6173"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7D26EB2F" w14:textId="23FFD13E" w:rsidR="000B6173" w:rsidRPr="008764FF" w:rsidRDefault="000B617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3. Recommendation:</w:t>
      </w:r>
    </w:p>
    <w:p w14:paraId="54CE9742" w14:textId="72037F4C"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Improving patient experience within Staffordshire NHS Group requires a coordinated, evidence-based strategy grounded in established Quality Improvement (QI) models. Four central frameworks</w:t>
      </w:r>
      <w:r w:rsidR="00B96745">
        <w:rPr>
          <w:rFonts w:ascii="Arial" w:eastAsia="Times New Roman" w:hAnsi="Arial" w:cs="Arial"/>
          <w:kern w:val="36"/>
          <w:sz w:val="22"/>
          <w:szCs w:val="22"/>
          <w14:ligatures w14:val="none"/>
        </w:rPr>
        <w:t xml:space="preserve"> </w:t>
      </w:r>
      <w:r w:rsidRPr="00B96745">
        <w:rPr>
          <w:rFonts w:ascii="Arial" w:eastAsia="Times New Roman" w:hAnsi="Arial" w:cs="Arial"/>
          <w:b/>
          <w:bCs/>
          <w:kern w:val="36"/>
          <w:sz w:val="22"/>
          <w:szCs w:val="22"/>
          <w14:ligatures w14:val="none"/>
        </w:rPr>
        <w:t>Plan–Do–Study–Act (PDSA) cycles, Lean methodology, Six Sigma/DMAIC, and digital feedback systems</w:t>
      </w:r>
      <w:r w:rsidR="00B96745">
        <w:rPr>
          <w:rFonts w:ascii="Arial" w:eastAsia="Times New Roman" w:hAnsi="Arial" w:cs="Arial"/>
          <w:kern w:val="36"/>
          <w:sz w:val="22"/>
          <w:szCs w:val="22"/>
          <w14:ligatures w14:val="none"/>
        </w:rPr>
        <w:t xml:space="preserve"> </w:t>
      </w:r>
      <w:r w:rsidRPr="008764FF">
        <w:rPr>
          <w:rFonts w:ascii="Arial" w:eastAsia="Times New Roman" w:hAnsi="Arial" w:cs="Arial"/>
          <w:kern w:val="36"/>
          <w:sz w:val="22"/>
          <w:szCs w:val="22"/>
          <w14:ligatures w14:val="none"/>
        </w:rPr>
        <w:t xml:space="preserve">provide complementary strengths for diagnosing problems, guiding interventions, and ensuring sustainable change. When applied together, these models support a systematic transformation of communication, workforce capability, leadership practices, operational processes, and patient involvement (Batalden </w:t>
      </w:r>
      <w:r w:rsidR="007B2DEC" w:rsidRPr="008764FF">
        <w:rPr>
          <w:rFonts w:ascii="Arial" w:eastAsia="Times New Roman" w:hAnsi="Arial" w:cs="Arial"/>
          <w:kern w:val="36"/>
          <w:sz w:val="22"/>
          <w:szCs w:val="22"/>
          <w14:ligatures w14:val="none"/>
        </w:rPr>
        <w:t xml:space="preserve">and </w:t>
      </w:r>
      <w:r w:rsidRPr="008764FF">
        <w:rPr>
          <w:rFonts w:ascii="Arial" w:eastAsia="Times New Roman" w:hAnsi="Arial" w:cs="Arial"/>
          <w:kern w:val="36"/>
          <w:sz w:val="22"/>
          <w:szCs w:val="22"/>
          <w14:ligatures w14:val="none"/>
        </w:rPr>
        <w:t>Davidoff, 2007).</w:t>
      </w:r>
    </w:p>
    <w:p w14:paraId="148D9260" w14:textId="1631E196" w:rsidR="00CD437D" w:rsidRPr="008764FF" w:rsidRDefault="00C735A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3.1 PDSA Cycle:</w:t>
      </w:r>
    </w:p>
    <w:p w14:paraId="163526B9" w14:textId="2599D26F"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 xml:space="preserve">To implement and refine improvements, the </w:t>
      </w:r>
      <w:r w:rsidRPr="008764FF">
        <w:rPr>
          <w:rFonts w:ascii="Arial" w:eastAsia="Times New Roman" w:hAnsi="Arial" w:cs="Arial"/>
          <w:b/>
          <w:bCs/>
          <w:kern w:val="36"/>
          <w:sz w:val="22"/>
          <w:szCs w:val="22"/>
          <w14:ligatures w14:val="none"/>
        </w:rPr>
        <w:t>PDSA Cycle</w:t>
      </w:r>
      <w:r w:rsidR="00D64E90" w:rsidRPr="008764FF">
        <w:rPr>
          <w:rFonts w:ascii="Arial" w:eastAsia="Times New Roman" w:hAnsi="Arial" w:cs="Arial"/>
          <w:b/>
          <w:bCs/>
          <w:kern w:val="36"/>
          <w:sz w:val="22"/>
          <w:szCs w:val="22"/>
          <w14:ligatures w14:val="none"/>
        </w:rPr>
        <w:t xml:space="preserve"> </w:t>
      </w:r>
      <w:r w:rsidR="00D64E90" w:rsidRPr="008764FF">
        <w:rPr>
          <w:rFonts w:ascii="Arial" w:eastAsia="Times New Roman" w:hAnsi="Arial" w:cs="Arial"/>
          <w:kern w:val="36"/>
          <w:sz w:val="22"/>
          <w:szCs w:val="22"/>
          <w14:ligatures w14:val="none"/>
        </w:rPr>
        <w:t>(see figure 2)</w:t>
      </w:r>
      <w:r w:rsidRPr="008764FF">
        <w:rPr>
          <w:rFonts w:ascii="Arial" w:eastAsia="Times New Roman" w:hAnsi="Arial" w:cs="Arial"/>
          <w:kern w:val="36"/>
          <w:sz w:val="22"/>
          <w:szCs w:val="22"/>
          <w14:ligatures w14:val="none"/>
        </w:rPr>
        <w:t xml:space="preserve"> provides a structured method for iterative learning. PDSA supports small-scale testing of interventions before full rollout, reducing risks associated with large organisational changes and enabling frontline teams to adapt based on real-world insights (Taylor et al., 2014). Given that communication failures repeatedly emerged as a primary root cause of dissatisfaction through Fishbone and 5 Whys analyses, PDSA is particularly </w:t>
      </w:r>
      <w:r w:rsidR="0034601C">
        <w:rPr>
          <w:rFonts w:ascii="Arial" w:eastAsia="Times New Roman" w:hAnsi="Arial" w:cs="Arial"/>
          <w:kern w:val="36"/>
          <w:sz w:val="22"/>
          <w:szCs w:val="22"/>
          <w14:ligatures w14:val="none"/>
        </w:rPr>
        <w:t>well-suited</w:t>
      </w:r>
      <w:r w:rsidRPr="008764FF">
        <w:rPr>
          <w:rFonts w:ascii="Arial" w:eastAsia="Times New Roman" w:hAnsi="Arial" w:cs="Arial"/>
          <w:kern w:val="36"/>
          <w:sz w:val="22"/>
          <w:szCs w:val="22"/>
          <w14:ligatures w14:val="none"/>
        </w:rPr>
        <w:t xml:space="preserve"> for communication-focused interventions (Wolf et al., 2014). For example, Staffordshire NHS can trial patient-centred communication training on a small number of wards, gather feedback through observations and patient </w:t>
      </w:r>
      <w:r w:rsidRPr="008764FF">
        <w:rPr>
          <w:rFonts w:ascii="Arial" w:eastAsia="Times New Roman" w:hAnsi="Arial" w:cs="Arial"/>
          <w:kern w:val="36"/>
          <w:sz w:val="22"/>
          <w:szCs w:val="22"/>
          <w14:ligatures w14:val="none"/>
        </w:rPr>
        <w:lastRenderedPageBreak/>
        <w:t>surveys, refine the training content, and then expand the programme trust-wide (AHRQ, 2019). Similarly, environmental changes—such as creating quieter zones, improving interior signage, or enhancing lighting—can be tested at pilot sites using rapid PDSA cycles to evaluate their impact on patient comfort and orientation (Redman et al., 2021).</w:t>
      </w:r>
    </w:p>
    <w:p w14:paraId="0DBBBFB0" w14:textId="77777777" w:rsidR="00951903" w:rsidRDefault="00951903" w:rsidP="0034601C">
      <w:pPr>
        <w:spacing w:before="100" w:beforeAutospacing="1" w:after="100" w:afterAutospacing="1" w:line="360" w:lineRule="auto"/>
        <w:jc w:val="center"/>
        <w:outlineLvl w:val="0"/>
        <w:rPr>
          <w:rFonts w:ascii="Arial" w:eastAsia="Times New Roman" w:hAnsi="Arial" w:cs="Arial"/>
          <w:kern w:val="36"/>
          <w:sz w:val="22"/>
          <w:szCs w:val="22"/>
          <w14:ligatures w14:val="none"/>
        </w:rPr>
      </w:pPr>
    </w:p>
    <w:p w14:paraId="5CF88602" w14:textId="19E8A983" w:rsidR="001E1BD2" w:rsidRPr="008764FF" w:rsidRDefault="00951903" w:rsidP="0034601C">
      <w:pPr>
        <w:spacing w:before="100" w:beforeAutospacing="1" w:after="100" w:afterAutospacing="1" w:line="360" w:lineRule="auto"/>
        <w:jc w:val="center"/>
        <w:outlineLvl w:val="0"/>
        <w:rPr>
          <w:rFonts w:ascii="Arial" w:eastAsia="Times New Roman" w:hAnsi="Arial" w:cs="Arial"/>
          <w:kern w:val="36"/>
          <w:sz w:val="22"/>
          <w:szCs w:val="22"/>
          <w14:ligatures w14:val="none"/>
        </w:rPr>
      </w:pPr>
      <w:r w:rsidRPr="00951903">
        <w:rPr>
          <w:rFonts w:ascii="Arial" w:eastAsia="Times New Roman" w:hAnsi="Arial" w:cs="Arial"/>
          <w:b/>
          <w:bCs/>
          <w:kern w:val="36"/>
          <w:sz w:val="22"/>
          <w:szCs w:val="22"/>
          <w14:ligatures w14:val="none"/>
        </w:rPr>
        <w:t>Figure 2 (PDCA Cycle</w:t>
      </w:r>
      <w:r>
        <w:rPr>
          <w:rFonts w:ascii="Arial" w:eastAsia="Times New Roman" w:hAnsi="Arial" w:cs="Arial"/>
          <w:kern w:val="36"/>
          <w:sz w:val="22"/>
          <w:szCs w:val="22"/>
          <w14:ligatures w14:val="none"/>
        </w:rPr>
        <w:t>)</w:t>
      </w:r>
      <w:r w:rsidR="001E1BD2" w:rsidRPr="008764FF">
        <w:rPr>
          <w:rFonts w:ascii="Arial" w:hAnsi="Arial" w:cs="Arial"/>
          <w:noProof/>
        </w:rPr>
        <w:drawing>
          <wp:inline distT="0" distB="0" distL="0" distR="0" wp14:anchorId="505AF84B" wp14:editId="0B0ADDC5">
            <wp:extent cx="2302168" cy="2302168"/>
            <wp:effectExtent l="0" t="0" r="3175" b="3175"/>
            <wp:docPr id="439352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7591" cy="2307591"/>
                    </a:xfrm>
                    <a:prstGeom prst="rect">
                      <a:avLst/>
                    </a:prstGeom>
                    <a:noFill/>
                    <a:ln>
                      <a:noFill/>
                    </a:ln>
                  </pic:spPr>
                </pic:pic>
              </a:graphicData>
            </a:graphic>
          </wp:inline>
        </w:drawing>
      </w:r>
    </w:p>
    <w:p w14:paraId="55D6B9A5" w14:textId="77777777" w:rsidR="0034601C" w:rsidRDefault="0034601C"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01B4361" w14:textId="5A2B9A99" w:rsidR="00CD437D" w:rsidRPr="008764FF" w:rsidRDefault="00C735A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3.2 Lean Methodology</w:t>
      </w:r>
    </w:p>
    <w:p w14:paraId="00F48E40" w14:textId="69622249"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9032F3">
        <w:rPr>
          <w:rFonts w:ascii="Arial" w:eastAsia="Times New Roman" w:hAnsi="Arial" w:cs="Arial"/>
          <w:b/>
          <w:bCs/>
          <w:kern w:val="36"/>
          <w:sz w:val="22"/>
          <w:szCs w:val="22"/>
          <w14:ligatures w14:val="none"/>
        </w:rPr>
        <w:t>Lean methodology</w:t>
      </w:r>
      <w:r w:rsidR="006A65F8">
        <w:rPr>
          <w:rFonts w:ascii="Arial" w:eastAsia="Times New Roman" w:hAnsi="Arial" w:cs="Arial"/>
          <w:b/>
          <w:bCs/>
          <w:kern w:val="36"/>
          <w:sz w:val="22"/>
          <w:szCs w:val="22"/>
          <w14:ligatures w14:val="none"/>
        </w:rPr>
        <w:t xml:space="preserve"> </w:t>
      </w:r>
      <w:r w:rsidR="006A65F8" w:rsidRPr="006A65F8">
        <w:rPr>
          <w:rFonts w:ascii="Arial" w:eastAsia="Times New Roman" w:hAnsi="Arial" w:cs="Arial"/>
          <w:kern w:val="36"/>
          <w:sz w:val="22"/>
          <w:szCs w:val="22"/>
          <w14:ligatures w14:val="none"/>
        </w:rPr>
        <w:t>(see figure 2.1)</w:t>
      </w:r>
      <w:r w:rsidRPr="00951903">
        <w:rPr>
          <w:rFonts w:ascii="Arial" w:eastAsia="Times New Roman" w:hAnsi="Arial" w:cs="Arial"/>
          <w:b/>
          <w:bCs/>
          <w:kern w:val="36"/>
          <w:sz w:val="22"/>
          <w:szCs w:val="22"/>
          <w14:ligatures w14:val="none"/>
        </w:rPr>
        <w:t xml:space="preserve"> </w:t>
      </w:r>
      <w:r w:rsidRPr="008764FF">
        <w:rPr>
          <w:rFonts w:ascii="Arial" w:eastAsia="Times New Roman" w:hAnsi="Arial" w:cs="Arial"/>
          <w:kern w:val="36"/>
          <w:sz w:val="22"/>
          <w:szCs w:val="22"/>
          <w14:ligatures w14:val="none"/>
        </w:rPr>
        <w:t>strengthens the approach by focusing on reducing waste, improving workflow efficiency, and increasing the time staff spend in direct patient care. Lean is particularly relevant for Staffordshire NHS, where workforce pressures, burnout, and administrative burdens affect staff morale and, in turn, their ability to communicate effectively and deliver compassionate care (West et al., 2020). Lean tools such as value stream mapping can simplify discharge processes, outpatient clinic flows, and administrative tasks, thereby reducing unnecessary delays and frustration for both patients and staff (Institute for Healthcare Improvement, 2020; NHS Confederation, 2021). By streamlining these processes, Staffordshire NHS can free staff capacity, shorten waiting times, and improve overall patient experience. These improvements align closely with the NHS Long Term Plan’s emphasis on integrated, personalised, and efficient care pathways (NHS England, 2019).</w:t>
      </w:r>
    </w:p>
    <w:p w14:paraId="5A65AEE8" w14:textId="77777777" w:rsidR="00E22410" w:rsidRPr="008764FF" w:rsidRDefault="00E22410"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33DC6D80" w14:textId="250BE36A" w:rsidR="00E22410" w:rsidRDefault="00E22410" w:rsidP="009032F3">
      <w:pPr>
        <w:spacing w:before="100" w:beforeAutospacing="1" w:after="100" w:afterAutospacing="1" w:line="360" w:lineRule="auto"/>
        <w:jc w:val="center"/>
        <w:outlineLvl w:val="0"/>
        <w:rPr>
          <w:rFonts w:ascii="Arial" w:eastAsia="Times New Roman" w:hAnsi="Arial" w:cs="Arial"/>
          <w:kern w:val="36"/>
          <w:sz w:val="22"/>
          <w:szCs w:val="22"/>
          <w14:ligatures w14:val="none"/>
        </w:rPr>
      </w:pPr>
      <w:r w:rsidRPr="008764FF">
        <w:rPr>
          <w:rFonts w:ascii="Arial" w:hAnsi="Arial" w:cs="Arial"/>
          <w:noProof/>
        </w:rPr>
        <w:lastRenderedPageBreak/>
        <w:drawing>
          <wp:inline distT="0" distB="0" distL="0" distR="0" wp14:anchorId="4BCE094E" wp14:editId="65A371BC">
            <wp:extent cx="3995494" cy="2399244"/>
            <wp:effectExtent l="0" t="0" r="5080" b="1270"/>
            <wp:docPr id="72065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10147" cy="2408043"/>
                    </a:xfrm>
                    <a:prstGeom prst="rect">
                      <a:avLst/>
                    </a:prstGeom>
                    <a:noFill/>
                    <a:ln>
                      <a:noFill/>
                    </a:ln>
                  </pic:spPr>
                </pic:pic>
              </a:graphicData>
            </a:graphic>
          </wp:inline>
        </w:drawing>
      </w:r>
    </w:p>
    <w:p w14:paraId="16897B68" w14:textId="201CB3FE" w:rsidR="009032F3" w:rsidRPr="009032F3" w:rsidRDefault="009032F3" w:rsidP="009032F3">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9032F3">
        <w:rPr>
          <w:rFonts w:ascii="Arial" w:eastAsia="Times New Roman" w:hAnsi="Arial" w:cs="Arial"/>
          <w:b/>
          <w:bCs/>
          <w:kern w:val="36"/>
          <w:sz w:val="22"/>
          <w:szCs w:val="22"/>
          <w14:ligatures w14:val="none"/>
        </w:rPr>
        <w:t>Figure 2.1 (Lean Methodology)</w:t>
      </w:r>
    </w:p>
    <w:p w14:paraId="4101CE98" w14:textId="445FE340" w:rsidR="00CD437D" w:rsidRPr="009032F3" w:rsidRDefault="00C735A3"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9032F3">
        <w:rPr>
          <w:rFonts w:ascii="Arial" w:eastAsia="Times New Roman" w:hAnsi="Arial" w:cs="Arial"/>
          <w:b/>
          <w:bCs/>
          <w:kern w:val="36"/>
          <w:sz w:val="22"/>
          <w:szCs w:val="22"/>
          <w14:ligatures w14:val="none"/>
        </w:rPr>
        <w:t>3.3 Six Sigma and DMAIC framework:</w:t>
      </w:r>
    </w:p>
    <w:p w14:paraId="37C32B34" w14:textId="12A99778" w:rsidR="008364D0"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 xml:space="preserve">Alongside Lean, </w:t>
      </w:r>
      <w:r w:rsidRPr="009032F3">
        <w:rPr>
          <w:rFonts w:ascii="Arial" w:eastAsia="Times New Roman" w:hAnsi="Arial" w:cs="Arial"/>
          <w:b/>
          <w:bCs/>
          <w:kern w:val="36"/>
          <w:sz w:val="22"/>
          <w:szCs w:val="22"/>
          <w14:ligatures w14:val="none"/>
        </w:rPr>
        <w:t xml:space="preserve">Six Sigma and the DMAIC </w:t>
      </w:r>
      <w:r w:rsidRPr="002B56E4">
        <w:rPr>
          <w:rFonts w:ascii="Arial" w:eastAsia="Times New Roman" w:hAnsi="Arial" w:cs="Arial"/>
          <w:b/>
          <w:bCs/>
          <w:kern w:val="36"/>
          <w:sz w:val="22"/>
          <w:szCs w:val="22"/>
          <w14:ligatures w14:val="none"/>
        </w:rPr>
        <w:t>framework</w:t>
      </w:r>
      <w:r w:rsidR="006A65F8">
        <w:rPr>
          <w:rFonts w:ascii="Arial" w:eastAsia="Times New Roman" w:hAnsi="Arial" w:cs="Arial"/>
          <w:b/>
          <w:bCs/>
          <w:kern w:val="36"/>
          <w:sz w:val="22"/>
          <w:szCs w:val="22"/>
          <w14:ligatures w14:val="none"/>
        </w:rPr>
        <w:t xml:space="preserve"> </w:t>
      </w:r>
      <w:r w:rsidR="006A65F8" w:rsidRPr="006A65F8">
        <w:rPr>
          <w:rFonts w:ascii="Arial" w:eastAsia="Times New Roman" w:hAnsi="Arial" w:cs="Arial"/>
          <w:kern w:val="36"/>
          <w:sz w:val="22"/>
          <w:szCs w:val="22"/>
          <w14:ligatures w14:val="none"/>
        </w:rPr>
        <w:t>(see figure 2.2)</w:t>
      </w:r>
      <w:r w:rsidR="006A65F8">
        <w:rPr>
          <w:rFonts w:ascii="Arial" w:eastAsia="Times New Roman" w:hAnsi="Arial" w:cs="Arial"/>
          <w:kern w:val="36"/>
          <w:sz w:val="22"/>
          <w:szCs w:val="22"/>
          <w14:ligatures w14:val="none"/>
        </w:rPr>
        <w:t>,</w:t>
      </w:r>
      <w:r w:rsidR="006A65F8">
        <w:rPr>
          <w:rFonts w:ascii="Arial" w:eastAsia="Times New Roman" w:hAnsi="Arial" w:cs="Arial"/>
          <w:b/>
          <w:bCs/>
          <w:kern w:val="36"/>
          <w:sz w:val="22"/>
          <w:szCs w:val="22"/>
          <w14:ligatures w14:val="none"/>
        </w:rPr>
        <w:t xml:space="preserve"> </w:t>
      </w:r>
      <w:r w:rsidRPr="002B56E4">
        <w:rPr>
          <w:rFonts w:ascii="Arial" w:eastAsia="Times New Roman" w:hAnsi="Arial" w:cs="Arial"/>
          <w:b/>
          <w:bCs/>
          <w:kern w:val="36"/>
          <w:sz w:val="22"/>
          <w:szCs w:val="22"/>
          <w14:ligatures w14:val="none"/>
        </w:rPr>
        <w:t>Define, Measure, Analyse, Improve, and Control</w:t>
      </w:r>
      <w:r w:rsidR="00FB1F66">
        <w:rPr>
          <w:rFonts w:ascii="Arial" w:eastAsia="Times New Roman" w:hAnsi="Arial" w:cs="Arial"/>
          <w:kern w:val="36"/>
          <w:sz w:val="22"/>
          <w:szCs w:val="22"/>
          <w14:ligatures w14:val="none"/>
        </w:rPr>
        <w:t xml:space="preserve"> </w:t>
      </w:r>
      <w:r w:rsidRPr="008764FF">
        <w:rPr>
          <w:rFonts w:ascii="Arial" w:eastAsia="Times New Roman" w:hAnsi="Arial" w:cs="Arial"/>
          <w:kern w:val="36"/>
          <w:sz w:val="22"/>
          <w:szCs w:val="22"/>
          <w14:ligatures w14:val="none"/>
        </w:rPr>
        <w:t xml:space="preserve">provide robust tools for reducing variation and strengthening reliability in organisational systems. DMAIC is especially valuable for enhancing </w:t>
      </w:r>
      <w:r w:rsidRPr="00FB1F66">
        <w:rPr>
          <w:rFonts w:ascii="Arial" w:eastAsia="Times New Roman" w:hAnsi="Arial" w:cs="Arial"/>
          <w:b/>
          <w:bCs/>
          <w:kern w:val="36"/>
          <w:sz w:val="22"/>
          <w:szCs w:val="22"/>
          <w14:ligatures w14:val="none"/>
        </w:rPr>
        <w:t xml:space="preserve">patient-feedback systems, </w:t>
      </w:r>
      <w:r w:rsidR="009032F3" w:rsidRPr="00FB1F66">
        <w:rPr>
          <w:rFonts w:ascii="Arial" w:eastAsia="Times New Roman" w:hAnsi="Arial" w:cs="Arial"/>
          <w:b/>
          <w:bCs/>
          <w:kern w:val="36"/>
          <w:sz w:val="22"/>
          <w:szCs w:val="22"/>
          <w14:ligatures w14:val="none"/>
        </w:rPr>
        <w:t>complaint</w:t>
      </w:r>
      <w:r w:rsidRPr="00FB1F66">
        <w:rPr>
          <w:rFonts w:ascii="Arial" w:eastAsia="Times New Roman" w:hAnsi="Arial" w:cs="Arial"/>
          <w:b/>
          <w:bCs/>
          <w:kern w:val="36"/>
          <w:sz w:val="22"/>
          <w:szCs w:val="22"/>
          <w14:ligatures w14:val="none"/>
        </w:rPr>
        <w:t xml:space="preserve"> processes, and leadership responsiveness,</w:t>
      </w:r>
      <w:r w:rsidRPr="008764FF">
        <w:rPr>
          <w:rFonts w:ascii="Arial" w:eastAsia="Times New Roman" w:hAnsi="Arial" w:cs="Arial"/>
          <w:kern w:val="36"/>
          <w:sz w:val="22"/>
          <w:szCs w:val="22"/>
          <w14:ligatures w14:val="none"/>
        </w:rPr>
        <w:t xml:space="preserve"> all of which were identified as persistent weaknesses during causal-analysis exercises (Ohno, 1988; Fulop </w:t>
      </w:r>
      <w:r w:rsidR="007B2DEC" w:rsidRPr="008764FF">
        <w:rPr>
          <w:rFonts w:ascii="Arial" w:eastAsia="Times New Roman" w:hAnsi="Arial" w:cs="Arial"/>
          <w:kern w:val="36"/>
          <w:sz w:val="22"/>
          <w:szCs w:val="22"/>
          <w14:ligatures w14:val="none"/>
        </w:rPr>
        <w:t>and</w:t>
      </w:r>
      <w:r w:rsidRPr="008764FF">
        <w:rPr>
          <w:rFonts w:ascii="Arial" w:eastAsia="Times New Roman" w:hAnsi="Arial" w:cs="Arial"/>
          <w:kern w:val="36"/>
          <w:sz w:val="22"/>
          <w:szCs w:val="22"/>
          <w14:ligatures w14:val="none"/>
        </w:rPr>
        <w:t xml:space="preserve"> Robert, 2015). By applying Six Sigma principles, Staffordshire NHS can clearly define where delays or inconsistencies occur in complaint handling, use data to measure performance, and analyse root causes of variation. Improvements might include standardising response pathways, </w:t>
      </w:r>
      <w:r w:rsidR="00FB1F66">
        <w:rPr>
          <w:rFonts w:ascii="Arial" w:eastAsia="Times New Roman" w:hAnsi="Arial" w:cs="Arial"/>
          <w:kern w:val="36"/>
          <w:sz w:val="22"/>
          <w:szCs w:val="22"/>
          <w14:ligatures w14:val="none"/>
        </w:rPr>
        <w:t>clarifying</w:t>
      </w:r>
      <w:r w:rsidRPr="008764FF">
        <w:rPr>
          <w:rFonts w:ascii="Arial" w:eastAsia="Times New Roman" w:hAnsi="Arial" w:cs="Arial"/>
          <w:kern w:val="36"/>
          <w:sz w:val="22"/>
          <w:szCs w:val="22"/>
          <w14:ligatures w14:val="none"/>
        </w:rPr>
        <w:t xml:space="preserve"> leadership accountability, and </w:t>
      </w:r>
      <w:r w:rsidR="00FB1F66">
        <w:rPr>
          <w:rFonts w:ascii="Arial" w:eastAsia="Times New Roman" w:hAnsi="Arial" w:cs="Arial"/>
          <w:kern w:val="36"/>
          <w:sz w:val="22"/>
          <w:szCs w:val="22"/>
          <w14:ligatures w14:val="none"/>
        </w:rPr>
        <w:t>implementing</w:t>
      </w:r>
      <w:r w:rsidRPr="008764FF">
        <w:rPr>
          <w:rFonts w:ascii="Arial" w:eastAsia="Times New Roman" w:hAnsi="Arial" w:cs="Arial"/>
          <w:kern w:val="36"/>
          <w:sz w:val="22"/>
          <w:szCs w:val="22"/>
          <w14:ligatures w14:val="none"/>
        </w:rPr>
        <w:t xml:space="preserve"> digital monitoring tools (Antony et al., 2018). Embedding DMAIC within leadership performance frameworks helps sustain these improvements by promoting accountability and maintaining focus on patient experience as a strategic priority (NHS England, 2019).</w:t>
      </w:r>
    </w:p>
    <w:p w14:paraId="50FDFD59" w14:textId="77777777" w:rsidR="001E1BD2" w:rsidRPr="008764FF" w:rsidRDefault="001E1BD2"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33EE8A0A" w14:textId="0F061AC3" w:rsidR="001E1BD2" w:rsidRDefault="001E1BD2" w:rsidP="00BB7468">
      <w:pPr>
        <w:spacing w:before="100" w:beforeAutospacing="1" w:after="100" w:afterAutospacing="1" w:line="360" w:lineRule="auto"/>
        <w:jc w:val="center"/>
        <w:outlineLvl w:val="0"/>
        <w:rPr>
          <w:rFonts w:ascii="Arial" w:eastAsia="Times New Roman" w:hAnsi="Arial" w:cs="Arial"/>
          <w:kern w:val="36"/>
          <w:sz w:val="22"/>
          <w:szCs w:val="22"/>
          <w14:ligatures w14:val="none"/>
        </w:rPr>
      </w:pPr>
      <w:r w:rsidRPr="008764FF">
        <w:rPr>
          <w:rFonts w:ascii="Arial" w:hAnsi="Arial" w:cs="Arial"/>
          <w:noProof/>
        </w:rPr>
        <w:lastRenderedPageBreak/>
        <w:drawing>
          <wp:inline distT="0" distB="0" distL="0" distR="0" wp14:anchorId="66282FF3" wp14:editId="3B6FC7EA">
            <wp:extent cx="4349277" cy="3734904"/>
            <wp:effectExtent l="0" t="0" r="0" b="0"/>
            <wp:docPr id="925030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7072" cy="3750185"/>
                    </a:xfrm>
                    <a:prstGeom prst="rect">
                      <a:avLst/>
                    </a:prstGeom>
                    <a:noFill/>
                    <a:ln>
                      <a:noFill/>
                    </a:ln>
                  </pic:spPr>
                </pic:pic>
              </a:graphicData>
            </a:graphic>
          </wp:inline>
        </w:drawing>
      </w:r>
    </w:p>
    <w:p w14:paraId="1DB1DBC7" w14:textId="5105412F" w:rsidR="001862FB" w:rsidRPr="00BB7468" w:rsidRDefault="001862FB" w:rsidP="00BB7468">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BB7468">
        <w:rPr>
          <w:rFonts w:ascii="Arial" w:eastAsia="Times New Roman" w:hAnsi="Arial" w:cs="Arial"/>
          <w:b/>
          <w:bCs/>
          <w:kern w:val="36"/>
          <w:sz w:val="22"/>
          <w:szCs w:val="22"/>
          <w14:ligatures w14:val="none"/>
        </w:rPr>
        <w:t>Figure 2.2 (DMAIC</w:t>
      </w:r>
      <w:r w:rsidR="00BB7468" w:rsidRPr="00BB7468">
        <w:rPr>
          <w:rFonts w:ascii="Arial" w:eastAsia="Times New Roman" w:hAnsi="Arial" w:cs="Arial"/>
          <w:b/>
          <w:bCs/>
          <w:kern w:val="36"/>
          <w:sz w:val="22"/>
          <w:szCs w:val="22"/>
          <w14:ligatures w14:val="none"/>
        </w:rPr>
        <w:t xml:space="preserve"> Cycle)</w:t>
      </w:r>
    </w:p>
    <w:p w14:paraId="106A743B" w14:textId="77777777"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Digital transformation further enhances QI efforts by enabling fast, continuous feedback from patients. Tools such as SMS surveys, QR-code links, and digital kiosks can provide real-time insights into patient concerns, enabling teams to make rapid adjustments during care episodes (NHS Digital, 2022). When supported by Six Sigma principles, these digital systems can also be designed to ensure inclusivity, accessibility, and data reliability. Real-time dashboards displaying feedback trends can help frontline teams take ownership of patient-experience improvements while increasing transparency for managers and leaders (Kings Fund, 2020). By combining digital feedback with structured QI methodologies, the organisation can respond proactively rather than reactively to issues, improving both patient satisfaction and staff morale.</w:t>
      </w:r>
    </w:p>
    <w:p w14:paraId="5EF9B101" w14:textId="175D4C55" w:rsidR="00CD437D" w:rsidRPr="008764FF" w:rsidRDefault="00D64E90" w:rsidP="008764FF">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r w:rsidRPr="008764FF">
        <w:rPr>
          <w:rFonts w:ascii="Arial" w:eastAsia="Times New Roman" w:hAnsi="Arial" w:cs="Arial"/>
          <w:b/>
          <w:bCs/>
          <w:kern w:val="36"/>
          <w:sz w:val="22"/>
          <w:szCs w:val="22"/>
          <w14:ligatures w14:val="none"/>
        </w:rPr>
        <w:t>3.4 QI framework:</w:t>
      </w:r>
    </w:p>
    <w:p w14:paraId="2C086EB2" w14:textId="028FB48B"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 xml:space="preserve">Strengthening patient involvement remains central to all </w:t>
      </w:r>
      <w:r w:rsidRPr="00A3611F">
        <w:rPr>
          <w:rFonts w:ascii="Arial" w:eastAsia="Times New Roman" w:hAnsi="Arial" w:cs="Arial"/>
          <w:b/>
          <w:bCs/>
          <w:kern w:val="36"/>
          <w:sz w:val="22"/>
          <w:szCs w:val="22"/>
          <w14:ligatures w14:val="none"/>
        </w:rPr>
        <w:t>QI frameworks</w:t>
      </w:r>
      <w:r w:rsidR="00712AAA">
        <w:rPr>
          <w:rFonts w:ascii="Arial" w:eastAsia="Times New Roman" w:hAnsi="Arial" w:cs="Arial"/>
          <w:kern w:val="36"/>
          <w:sz w:val="22"/>
          <w:szCs w:val="22"/>
          <w14:ligatures w14:val="none"/>
        </w:rPr>
        <w:t xml:space="preserve"> </w:t>
      </w:r>
      <w:r w:rsidR="00A3611F">
        <w:rPr>
          <w:rFonts w:ascii="Arial" w:eastAsia="Times New Roman" w:hAnsi="Arial" w:cs="Arial"/>
          <w:kern w:val="36"/>
          <w:sz w:val="22"/>
          <w:szCs w:val="22"/>
          <w14:ligatures w14:val="none"/>
        </w:rPr>
        <w:t>(see figure 2.3)</w:t>
      </w:r>
      <w:r w:rsidR="00712AAA" w:rsidRPr="008764FF">
        <w:rPr>
          <w:rFonts w:ascii="Arial" w:eastAsia="Times New Roman" w:hAnsi="Arial" w:cs="Arial"/>
          <w:kern w:val="36"/>
          <w:sz w:val="22"/>
          <w:szCs w:val="22"/>
          <w14:ligatures w14:val="none"/>
        </w:rPr>
        <w:t>(Darzi, 2008; Marmot, 2020)</w:t>
      </w:r>
      <w:r w:rsidRPr="008764FF">
        <w:rPr>
          <w:rFonts w:ascii="Arial" w:eastAsia="Times New Roman" w:hAnsi="Arial" w:cs="Arial"/>
          <w:kern w:val="36"/>
          <w:sz w:val="22"/>
          <w:szCs w:val="22"/>
          <w14:ligatures w14:val="none"/>
        </w:rPr>
        <w:t xml:space="preserve">. Robust evidence </w:t>
      </w:r>
      <w:r w:rsidR="001E65F0" w:rsidRPr="008764FF">
        <w:rPr>
          <w:rFonts w:ascii="Arial" w:eastAsia="Times New Roman" w:hAnsi="Arial" w:cs="Arial"/>
          <w:kern w:val="36"/>
          <w:sz w:val="22"/>
          <w:szCs w:val="22"/>
          <w14:ligatures w14:val="none"/>
        </w:rPr>
        <w:t>indicates that involving patients in shared decision-making and service design enhances their experience, supports better outcomes, and fosters</w:t>
      </w:r>
      <w:r w:rsidRPr="008764FF">
        <w:rPr>
          <w:rFonts w:ascii="Arial" w:eastAsia="Times New Roman" w:hAnsi="Arial" w:cs="Arial"/>
          <w:kern w:val="36"/>
          <w:sz w:val="22"/>
          <w:szCs w:val="22"/>
          <w14:ligatures w14:val="none"/>
        </w:rPr>
        <w:t xml:space="preserve"> trust in healthcare services (Darzi, 2008; Marmot, 2020). Staffordshire NHS can expand patient-experience co-design workshops, enhance the role of Patient Participation Groups, and adopt structured shared decision-making training for clinicians</w:t>
      </w:r>
      <w:r w:rsidR="00712AAA">
        <w:rPr>
          <w:rFonts w:ascii="Arial" w:eastAsia="Times New Roman" w:hAnsi="Arial" w:cs="Arial"/>
          <w:kern w:val="36"/>
          <w:sz w:val="22"/>
          <w:szCs w:val="22"/>
          <w14:ligatures w14:val="none"/>
        </w:rPr>
        <w:t xml:space="preserve"> </w:t>
      </w:r>
      <w:r w:rsidR="00712AAA" w:rsidRPr="008764FF">
        <w:rPr>
          <w:rFonts w:ascii="Arial" w:eastAsia="Times New Roman" w:hAnsi="Arial" w:cs="Arial"/>
          <w:kern w:val="36"/>
          <w:sz w:val="22"/>
          <w:szCs w:val="22"/>
          <w14:ligatures w14:val="none"/>
        </w:rPr>
        <w:t xml:space="preserve">(Fulop and </w:t>
      </w:r>
      <w:r w:rsidR="00712AAA" w:rsidRPr="008764FF">
        <w:rPr>
          <w:rFonts w:ascii="Arial" w:eastAsia="Times New Roman" w:hAnsi="Arial" w:cs="Arial"/>
          <w:kern w:val="36"/>
          <w:sz w:val="22"/>
          <w:szCs w:val="22"/>
          <w14:ligatures w14:val="none"/>
        </w:rPr>
        <w:lastRenderedPageBreak/>
        <w:t>Robert, 2015)</w:t>
      </w:r>
      <w:r w:rsidRPr="008764FF">
        <w:rPr>
          <w:rFonts w:ascii="Arial" w:eastAsia="Times New Roman" w:hAnsi="Arial" w:cs="Arial"/>
          <w:kern w:val="36"/>
          <w:sz w:val="22"/>
          <w:szCs w:val="22"/>
          <w14:ligatures w14:val="none"/>
        </w:rPr>
        <w:t xml:space="preserve">. These initiatives ensure that services reflect local needs, reduce mismatches between expectations and delivery, and support a culture of partnership and transparency (Fulop </w:t>
      </w:r>
      <w:r w:rsidR="00AA40D7" w:rsidRPr="008764FF">
        <w:rPr>
          <w:rFonts w:ascii="Arial" w:eastAsia="Times New Roman" w:hAnsi="Arial" w:cs="Arial"/>
          <w:kern w:val="36"/>
          <w:sz w:val="22"/>
          <w:szCs w:val="22"/>
          <w14:ligatures w14:val="none"/>
        </w:rPr>
        <w:t>and</w:t>
      </w:r>
      <w:r w:rsidRPr="008764FF">
        <w:rPr>
          <w:rFonts w:ascii="Arial" w:eastAsia="Times New Roman" w:hAnsi="Arial" w:cs="Arial"/>
          <w:kern w:val="36"/>
          <w:sz w:val="22"/>
          <w:szCs w:val="22"/>
          <w14:ligatures w14:val="none"/>
        </w:rPr>
        <w:t xml:space="preserve"> Robert, 2015). Encouraging patients to participate actively in care planning also allows teams to target resources more effectively, creating value for patients while optimising operational efficiency</w:t>
      </w:r>
      <w:r w:rsidR="00712AAA">
        <w:rPr>
          <w:rFonts w:ascii="Arial" w:eastAsia="Times New Roman" w:hAnsi="Arial" w:cs="Arial"/>
          <w:kern w:val="36"/>
          <w:sz w:val="22"/>
          <w:szCs w:val="22"/>
          <w14:ligatures w14:val="none"/>
        </w:rPr>
        <w:t xml:space="preserve"> </w:t>
      </w:r>
      <w:r w:rsidR="00712AAA" w:rsidRPr="008764FF">
        <w:rPr>
          <w:rFonts w:ascii="Arial" w:eastAsia="Times New Roman" w:hAnsi="Arial" w:cs="Arial"/>
          <w:kern w:val="36"/>
          <w:sz w:val="22"/>
          <w:szCs w:val="22"/>
          <w14:ligatures w14:val="none"/>
        </w:rPr>
        <w:t>(Fulop and Robert, 2015)</w:t>
      </w:r>
      <w:r w:rsidRPr="008764FF">
        <w:rPr>
          <w:rFonts w:ascii="Arial" w:eastAsia="Times New Roman" w:hAnsi="Arial" w:cs="Arial"/>
          <w:kern w:val="36"/>
          <w:sz w:val="22"/>
          <w:szCs w:val="22"/>
          <w14:ligatures w14:val="none"/>
        </w:rPr>
        <w:t>.</w:t>
      </w:r>
    </w:p>
    <w:p w14:paraId="2BCBEBDD" w14:textId="77777777" w:rsidR="001E65F0" w:rsidRPr="008764FF" w:rsidRDefault="001E65F0"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0EC27FBF" w14:textId="59C5D3DF" w:rsidR="001E65F0" w:rsidRDefault="001E65F0" w:rsidP="006A65F8">
      <w:pPr>
        <w:spacing w:before="100" w:beforeAutospacing="1" w:after="100" w:afterAutospacing="1" w:line="360" w:lineRule="auto"/>
        <w:jc w:val="center"/>
        <w:outlineLvl w:val="0"/>
        <w:rPr>
          <w:rFonts w:ascii="Arial" w:eastAsia="Times New Roman" w:hAnsi="Arial" w:cs="Arial"/>
          <w:kern w:val="36"/>
          <w:sz w:val="22"/>
          <w:szCs w:val="22"/>
          <w14:ligatures w14:val="none"/>
        </w:rPr>
      </w:pPr>
      <w:r w:rsidRPr="008764FF">
        <w:rPr>
          <w:rFonts w:ascii="Arial" w:hAnsi="Arial" w:cs="Arial"/>
          <w:noProof/>
        </w:rPr>
        <w:drawing>
          <wp:inline distT="0" distB="0" distL="0" distR="0" wp14:anchorId="761C222B" wp14:editId="30E397AB">
            <wp:extent cx="4762789" cy="3579743"/>
            <wp:effectExtent l="0" t="0" r="0" b="1905"/>
            <wp:docPr id="17133512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2167" cy="3586791"/>
                    </a:xfrm>
                    <a:prstGeom prst="rect">
                      <a:avLst/>
                    </a:prstGeom>
                    <a:noFill/>
                    <a:ln>
                      <a:noFill/>
                    </a:ln>
                  </pic:spPr>
                </pic:pic>
              </a:graphicData>
            </a:graphic>
          </wp:inline>
        </w:drawing>
      </w:r>
    </w:p>
    <w:p w14:paraId="010E6615" w14:textId="05B5F72A" w:rsidR="00B6433E" w:rsidRPr="00B6433E" w:rsidRDefault="00B6433E" w:rsidP="00B6433E">
      <w:pPr>
        <w:spacing w:before="100" w:beforeAutospacing="1" w:after="100" w:afterAutospacing="1" w:line="360" w:lineRule="auto"/>
        <w:jc w:val="center"/>
        <w:outlineLvl w:val="0"/>
        <w:rPr>
          <w:rFonts w:ascii="Arial" w:eastAsia="Times New Roman" w:hAnsi="Arial" w:cs="Arial"/>
          <w:b/>
          <w:bCs/>
          <w:kern w:val="36"/>
          <w:sz w:val="22"/>
          <w:szCs w:val="22"/>
          <w14:ligatures w14:val="none"/>
        </w:rPr>
      </w:pPr>
      <w:r w:rsidRPr="00B6433E">
        <w:rPr>
          <w:rFonts w:ascii="Arial" w:eastAsia="Times New Roman" w:hAnsi="Arial" w:cs="Arial"/>
          <w:b/>
          <w:bCs/>
          <w:kern w:val="36"/>
          <w:sz w:val="22"/>
          <w:szCs w:val="22"/>
          <w14:ligatures w14:val="none"/>
        </w:rPr>
        <w:t>Figure 2.3 (Quality of care)</w:t>
      </w:r>
    </w:p>
    <w:p w14:paraId="5A8B7BC1" w14:textId="77777777"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341773D4" w14:textId="77777777"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Effective workforce and leadership interventions are also essential. Staff burnout and high turnover undermine patient experience by reducing the quality of communication and limiting the ability to provide compassionate care (West et al., 2020). Lean and Six Sigma approaches can address these challenges by streamlining administrative tasks, clarifying roles and responsibilities, and providing clear feedback loops for performance improvement. Leadership development programmes that integrate DMAIC monitoring, patient feedback, and reflective practice ensure that senior staff remain accountable for patient experience outcomes. This combination of structured methodology and cultural change promotes sustainable improvements in staff engagement and patient satisfaction.</w:t>
      </w:r>
    </w:p>
    <w:p w14:paraId="02C36842" w14:textId="77777777"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p>
    <w:p w14:paraId="732CC74C" w14:textId="76F1C74B" w:rsidR="00CD437D" w:rsidRPr="008764FF" w:rsidRDefault="00CD437D" w:rsidP="008764FF">
      <w:pPr>
        <w:spacing w:before="100" w:beforeAutospacing="1" w:after="100" w:afterAutospacing="1" w:line="360" w:lineRule="auto"/>
        <w:jc w:val="both"/>
        <w:outlineLvl w:val="0"/>
        <w:rPr>
          <w:rFonts w:ascii="Arial" w:eastAsia="Times New Roman" w:hAnsi="Arial" w:cs="Arial"/>
          <w:kern w:val="36"/>
          <w:sz w:val="22"/>
          <w:szCs w:val="22"/>
          <w14:ligatures w14:val="none"/>
        </w:rPr>
      </w:pPr>
      <w:r w:rsidRPr="008764FF">
        <w:rPr>
          <w:rFonts w:ascii="Arial" w:eastAsia="Times New Roman" w:hAnsi="Arial" w:cs="Arial"/>
          <w:kern w:val="36"/>
          <w:sz w:val="22"/>
          <w:szCs w:val="22"/>
          <w14:ligatures w14:val="none"/>
        </w:rPr>
        <w:t xml:space="preserve">Overall, integrating </w:t>
      </w:r>
      <w:r w:rsidRPr="006A65F8">
        <w:rPr>
          <w:rFonts w:ascii="Arial" w:eastAsia="Times New Roman" w:hAnsi="Arial" w:cs="Arial"/>
          <w:b/>
          <w:bCs/>
          <w:kern w:val="36"/>
          <w:sz w:val="22"/>
          <w:szCs w:val="22"/>
          <w14:ligatures w14:val="none"/>
        </w:rPr>
        <w:t>PDSA cycles, Lean methodology, Six Sigma/DMAIC, and digital feedback</w:t>
      </w:r>
      <w:r w:rsidRPr="008764FF">
        <w:rPr>
          <w:rFonts w:ascii="Arial" w:eastAsia="Times New Roman" w:hAnsi="Arial" w:cs="Arial"/>
          <w:kern w:val="36"/>
          <w:sz w:val="22"/>
          <w:szCs w:val="22"/>
          <w14:ligatures w14:val="none"/>
        </w:rPr>
        <w:t xml:space="preserve"> mechanisms provides Staffordshire NHS Group with a comprehensive strategy for improving patient experience. PDSA enables iterative testing and refinement of interventions, Lean increases efficiency and reduces staff burden, and </w:t>
      </w:r>
      <w:r w:rsidRPr="00A3611F">
        <w:rPr>
          <w:rFonts w:ascii="Arial" w:eastAsia="Times New Roman" w:hAnsi="Arial" w:cs="Arial"/>
          <w:b/>
          <w:bCs/>
          <w:kern w:val="36"/>
          <w:sz w:val="22"/>
          <w:szCs w:val="22"/>
          <w14:ligatures w14:val="none"/>
        </w:rPr>
        <w:t>Six Sigma/DMAIC strengthens consistency, accountability, and data-driven decision-making.</w:t>
      </w:r>
      <w:r w:rsidRPr="008764FF">
        <w:rPr>
          <w:rFonts w:ascii="Arial" w:eastAsia="Times New Roman" w:hAnsi="Arial" w:cs="Arial"/>
          <w:kern w:val="36"/>
          <w:sz w:val="22"/>
          <w:szCs w:val="22"/>
          <w14:ligatures w14:val="none"/>
        </w:rPr>
        <w:t xml:space="preserve"> Complemented by patient involvement initiatives and real-time feedback systems, this approach fosters a culture of continuous improvement, responsiveness, and patient-centred care (Batalden </w:t>
      </w:r>
      <w:r w:rsidR="00AA40D7" w:rsidRPr="008764FF">
        <w:rPr>
          <w:rFonts w:ascii="Arial" w:eastAsia="Times New Roman" w:hAnsi="Arial" w:cs="Arial"/>
          <w:kern w:val="36"/>
          <w:sz w:val="22"/>
          <w:szCs w:val="22"/>
          <w14:ligatures w14:val="none"/>
        </w:rPr>
        <w:t>and</w:t>
      </w:r>
      <w:r w:rsidRPr="008764FF">
        <w:rPr>
          <w:rFonts w:ascii="Arial" w:eastAsia="Times New Roman" w:hAnsi="Arial" w:cs="Arial"/>
          <w:kern w:val="36"/>
          <w:sz w:val="22"/>
          <w:szCs w:val="22"/>
          <w14:ligatures w14:val="none"/>
        </w:rPr>
        <w:t xml:space="preserve"> Davidoff, 2007). By addressing communication, operational processes, workforce wellbeing, and leadership performance in parallel, Staffordshire NHS can achieve measurable, sustainable improvements in patient satisfaction, staff engagement, and overall quality of care.</w:t>
      </w:r>
    </w:p>
    <w:p w14:paraId="3F147578" w14:textId="730CA35C" w:rsidR="00797431" w:rsidRPr="008764FF" w:rsidRDefault="00D64E90" w:rsidP="008764FF">
      <w:pPr>
        <w:spacing w:before="100" w:beforeAutospacing="1" w:after="100" w:afterAutospacing="1" w:line="360" w:lineRule="auto"/>
        <w:jc w:val="both"/>
        <w:outlineLvl w:val="0"/>
        <w:rPr>
          <w:rFonts w:ascii="Arial" w:hAnsi="Arial" w:cs="Arial"/>
          <w:kern w:val="0"/>
          <w:sz w:val="22"/>
          <w:szCs w:val="22"/>
          <w14:ligatures w14:val="none"/>
        </w:rPr>
      </w:pPr>
      <w:r w:rsidRPr="008764FF">
        <w:rPr>
          <w:rFonts w:ascii="Arial" w:eastAsia="Times New Roman" w:hAnsi="Arial" w:cs="Arial"/>
          <w:b/>
          <w:bCs/>
          <w:kern w:val="36"/>
          <w:sz w:val="22"/>
          <w:szCs w:val="22"/>
          <w14:ligatures w14:val="none"/>
        </w:rPr>
        <w:t xml:space="preserve">4. </w:t>
      </w:r>
      <w:r w:rsidR="00797431" w:rsidRPr="008764FF">
        <w:rPr>
          <w:rFonts w:ascii="Arial" w:eastAsia="Times New Roman" w:hAnsi="Arial" w:cs="Arial"/>
          <w:b/>
          <w:bCs/>
          <w:kern w:val="36"/>
          <w:sz w:val="22"/>
          <w:szCs w:val="22"/>
          <w14:ligatures w14:val="none"/>
        </w:rPr>
        <w:t xml:space="preserve">CONCLUSION </w:t>
      </w:r>
    </w:p>
    <w:p w14:paraId="337D315C" w14:textId="77777777" w:rsidR="00D64E90" w:rsidRPr="008764FF" w:rsidRDefault="00797431"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This report has examined the issue of </w:t>
      </w:r>
      <w:r w:rsidRPr="006A65F8">
        <w:rPr>
          <w:rFonts w:ascii="Arial" w:hAnsi="Arial" w:cs="Arial"/>
          <w:b/>
          <w:bCs/>
          <w:kern w:val="0"/>
          <w:sz w:val="22"/>
          <w:szCs w:val="22"/>
          <w14:ligatures w14:val="none"/>
        </w:rPr>
        <w:t>poor patient experience</w:t>
      </w:r>
      <w:r w:rsidRPr="008764FF">
        <w:rPr>
          <w:rFonts w:ascii="Arial" w:hAnsi="Arial" w:cs="Arial"/>
          <w:kern w:val="0"/>
          <w:sz w:val="22"/>
          <w:szCs w:val="22"/>
          <w14:ligatures w14:val="none"/>
        </w:rPr>
        <w:t xml:space="preserve"> within Staffordshire NHS Group, highlighting it as a critical quality concern with significant implications for patient outcomes, organisational performance, and public confidence (Kings Fund, 2020) Through a structured analysis using </w:t>
      </w:r>
      <w:r w:rsidRPr="006A65F8">
        <w:rPr>
          <w:rFonts w:ascii="Arial" w:hAnsi="Arial" w:cs="Arial"/>
          <w:b/>
          <w:bCs/>
          <w:kern w:val="0"/>
          <w:sz w:val="22"/>
          <w:szCs w:val="22"/>
          <w14:ligatures w14:val="none"/>
        </w:rPr>
        <w:t>the Fishbone Diagram, 5 Whys, Donabedian Model, and SWOT analysis,</w:t>
      </w:r>
      <w:r w:rsidRPr="008764FF">
        <w:rPr>
          <w:rFonts w:ascii="Arial" w:hAnsi="Arial" w:cs="Arial"/>
          <w:kern w:val="0"/>
          <w:sz w:val="22"/>
          <w:szCs w:val="22"/>
          <w14:ligatures w14:val="none"/>
        </w:rPr>
        <w:t xml:space="preserve"> the report has identified communication failures, staffing pressures, weak leadership engagement, inefficient processes, and environmental limitations as core root causes of dissatisfaction (Redman et al., 2021) These models provided a comprehensive understanding of how structural, process-related, and cultural factors interact to influence patient perceptions of care (Donabedian, 1980)</w:t>
      </w:r>
      <w:r w:rsidR="00C96E7A" w:rsidRPr="008764FF">
        <w:rPr>
          <w:rFonts w:ascii="Arial" w:hAnsi="Arial" w:cs="Arial"/>
          <w:kern w:val="0"/>
          <w:sz w:val="22"/>
          <w:szCs w:val="22"/>
          <w14:ligatures w14:val="none"/>
        </w:rPr>
        <w:t xml:space="preserve">. </w:t>
      </w:r>
      <w:r w:rsidRPr="008764FF">
        <w:rPr>
          <w:rFonts w:ascii="Arial" w:hAnsi="Arial" w:cs="Arial"/>
          <w:kern w:val="0"/>
          <w:sz w:val="22"/>
          <w:szCs w:val="22"/>
          <w14:ligatures w14:val="none"/>
        </w:rPr>
        <w:t xml:space="preserve">The synthesis of findings demonstrates that patient experience challenges within Staffordshire NHS Group are systemic and multidimensional rather than isolated issues (Batalden </w:t>
      </w:r>
      <w:r w:rsidR="00D64E90" w:rsidRPr="008764FF">
        <w:rPr>
          <w:rFonts w:ascii="Arial" w:hAnsi="Arial" w:cs="Arial"/>
          <w:kern w:val="0"/>
          <w:sz w:val="22"/>
          <w:szCs w:val="22"/>
          <w14:ligatures w14:val="none"/>
        </w:rPr>
        <w:t>and</w:t>
      </w:r>
      <w:r w:rsidRPr="008764FF">
        <w:rPr>
          <w:rFonts w:ascii="Arial" w:hAnsi="Arial" w:cs="Arial"/>
          <w:kern w:val="0"/>
          <w:sz w:val="22"/>
          <w:szCs w:val="22"/>
          <w14:ligatures w14:val="none"/>
        </w:rPr>
        <w:t xml:space="preserve"> Davidoff, 2007)</w:t>
      </w:r>
      <w:r w:rsidR="00D64E90" w:rsidRPr="008764FF">
        <w:rPr>
          <w:rFonts w:ascii="Arial" w:hAnsi="Arial" w:cs="Arial"/>
          <w:kern w:val="0"/>
          <w:sz w:val="22"/>
          <w:szCs w:val="22"/>
          <w14:ligatures w14:val="none"/>
        </w:rPr>
        <w:t>.</w:t>
      </w:r>
      <w:r w:rsidRPr="008764FF">
        <w:rPr>
          <w:rFonts w:ascii="Arial" w:hAnsi="Arial" w:cs="Arial"/>
          <w:kern w:val="0"/>
          <w:sz w:val="22"/>
          <w:szCs w:val="22"/>
          <w14:ligatures w14:val="none"/>
        </w:rPr>
        <w:t xml:space="preserve"> </w:t>
      </w:r>
    </w:p>
    <w:p w14:paraId="59A7398E" w14:textId="2838C822" w:rsidR="00D64E90" w:rsidRPr="008764FF" w:rsidRDefault="00797431"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The Donabedian framework highlighted that weaknesses in structural components—such as staffing levels, training, physical environment, and digital systems—directly compromised the </w:t>
      </w:r>
      <w:r w:rsidR="00D64E90" w:rsidRPr="008764FF">
        <w:rPr>
          <w:rFonts w:ascii="Arial" w:hAnsi="Arial" w:cs="Arial"/>
          <w:kern w:val="0"/>
          <w:sz w:val="22"/>
          <w:szCs w:val="22"/>
          <w14:ligatures w14:val="none"/>
        </w:rPr>
        <w:t>quality-of-care</w:t>
      </w:r>
      <w:r w:rsidRPr="008764FF">
        <w:rPr>
          <w:rFonts w:ascii="Arial" w:hAnsi="Arial" w:cs="Arial"/>
          <w:kern w:val="0"/>
          <w:sz w:val="22"/>
          <w:szCs w:val="22"/>
          <w14:ligatures w14:val="none"/>
        </w:rPr>
        <w:t xml:space="preserve"> processes, leading to negative patient outcomes (AHRQ, 2019) Similarly, the Fishbone Diagram and 5 Whys revealed deeper organisational issues behind recurring complaints, such as workforce shortages and process inefficiencies (Taylor et al., 2014)</w:t>
      </w:r>
      <w:r w:rsidR="00C96E7A" w:rsidRPr="008764FF">
        <w:rPr>
          <w:rFonts w:ascii="Arial" w:hAnsi="Arial" w:cs="Arial"/>
          <w:kern w:val="0"/>
          <w:sz w:val="22"/>
          <w:szCs w:val="22"/>
          <w14:ligatures w14:val="none"/>
        </w:rPr>
        <w:t xml:space="preserve">. </w:t>
      </w:r>
      <w:r w:rsidRPr="008764FF">
        <w:rPr>
          <w:rFonts w:ascii="Arial" w:hAnsi="Arial" w:cs="Arial"/>
          <w:kern w:val="0"/>
          <w:sz w:val="22"/>
          <w:szCs w:val="22"/>
          <w14:ligatures w14:val="none"/>
        </w:rPr>
        <w:t xml:space="preserve">The recommendations presented in this report offer evidence-based strategies aimed at improving communication, strengthening leadership, enhancing staff wellbeing, redesigning care processes, and improving the physical environment (Fulop </w:t>
      </w:r>
      <w:r w:rsidR="00C96E7A" w:rsidRPr="008764FF">
        <w:rPr>
          <w:rFonts w:ascii="Arial" w:hAnsi="Arial" w:cs="Arial"/>
          <w:kern w:val="0"/>
          <w:sz w:val="22"/>
          <w:szCs w:val="22"/>
          <w14:ligatures w14:val="none"/>
        </w:rPr>
        <w:t>and</w:t>
      </w:r>
      <w:r w:rsidRPr="008764FF">
        <w:rPr>
          <w:rFonts w:ascii="Arial" w:hAnsi="Arial" w:cs="Arial"/>
          <w:kern w:val="0"/>
          <w:sz w:val="22"/>
          <w:szCs w:val="22"/>
          <w14:ligatures w14:val="none"/>
        </w:rPr>
        <w:t xml:space="preserve"> Robert, 2015)</w:t>
      </w:r>
      <w:r w:rsidR="00D64E90" w:rsidRPr="008764FF">
        <w:rPr>
          <w:rFonts w:ascii="Arial" w:hAnsi="Arial" w:cs="Arial"/>
          <w:kern w:val="0"/>
          <w:sz w:val="22"/>
          <w:szCs w:val="22"/>
          <w14:ligatures w14:val="none"/>
        </w:rPr>
        <w:t>.</w:t>
      </w:r>
      <w:r w:rsidRPr="008764FF">
        <w:rPr>
          <w:rFonts w:ascii="Arial" w:hAnsi="Arial" w:cs="Arial"/>
          <w:kern w:val="0"/>
          <w:sz w:val="22"/>
          <w:szCs w:val="22"/>
          <w14:ligatures w14:val="none"/>
        </w:rPr>
        <w:t xml:space="preserve"> Quality improvement tools such as PDSA, Lean, and Six Sigma provide structured methods for implementing and sustaining these changes at scale (Institute for Healthcare Improvement, 2020)</w:t>
      </w:r>
      <w:r w:rsidR="00D64E90" w:rsidRPr="008764FF">
        <w:rPr>
          <w:rFonts w:ascii="Arial" w:hAnsi="Arial" w:cs="Arial"/>
          <w:kern w:val="0"/>
          <w:sz w:val="22"/>
          <w:szCs w:val="22"/>
          <w14:ligatures w14:val="none"/>
        </w:rPr>
        <w:t>.</w:t>
      </w:r>
      <w:r w:rsidRPr="008764FF">
        <w:rPr>
          <w:rFonts w:ascii="Arial" w:hAnsi="Arial" w:cs="Arial"/>
          <w:kern w:val="0"/>
          <w:sz w:val="22"/>
          <w:szCs w:val="22"/>
          <w14:ligatures w14:val="none"/>
        </w:rPr>
        <w:t xml:space="preserve"> Real-time feedback systems and enhanced patient involvement are also essential for </w:t>
      </w:r>
      <w:r w:rsidRPr="008764FF">
        <w:rPr>
          <w:rFonts w:ascii="Arial" w:hAnsi="Arial" w:cs="Arial"/>
          <w:kern w:val="0"/>
          <w:sz w:val="22"/>
          <w:szCs w:val="22"/>
          <w14:ligatures w14:val="none"/>
        </w:rPr>
        <w:lastRenderedPageBreak/>
        <w:t>maintaining an ongoing cycle of improvement</w:t>
      </w:r>
      <w:r w:rsidR="00D64E90" w:rsidRPr="008764FF">
        <w:rPr>
          <w:rFonts w:ascii="Arial" w:hAnsi="Arial" w:cs="Arial"/>
          <w:kern w:val="0"/>
          <w:sz w:val="22"/>
          <w:szCs w:val="22"/>
          <w14:ligatures w14:val="none"/>
        </w:rPr>
        <w:t xml:space="preserve"> </w:t>
      </w:r>
      <w:r w:rsidRPr="008764FF">
        <w:rPr>
          <w:rFonts w:ascii="Arial" w:hAnsi="Arial" w:cs="Arial"/>
          <w:kern w:val="0"/>
          <w:sz w:val="22"/>
          <w:szCs w:val="22"/>
          <w14:ligatures w14:val="none"/>
        </w:rPr>
        <w:t>(NHS Digital, 2022)</w:t>
      </w:r>
      <w:r w:rsidR="00C96E7A" w:rsidRPr="008764FF">
        <w:rPr>
          <w:rFonts w:ascii="Arial" w:hAnsi="Arial" w:cs="Arial"/>
          <w:kern w:val="0"/>
          <w:sz w:val="22"/>
          <w:szCs w:val="22"/>
          <w14:ligatures w14:val="none"/>
        </w:rPr>
        <w:t xml:space="preserve">. </w:t>
      </w:r>
      <w:r w:rsidRPr="008764FF">
        <w:rPr>
          <w:rFonts w:ascii="Arial" w:hAnsi="Arial" w:cs="Arial"/>
          <w:kern w:val="0"/>
          <w:sz w:val="22"/>
          <w:szCs w:val="22"/>
          <w14:ligatures w14:val="none"/>
        </w:rPr>
        <w:t>In conclusion, addressing poor patient experience within Staffordshire NHS Group requires coordinated, multilevel interventions that engage staff, leadership, and patients (Kings Fund, 2020)</w:t>
      </w:r>
      <w:r w:rsidR="00D64E90" w:rsidRPr="008764FF">
        <w:rPr>
          <w:rFonts w:ascii="Arial" w:hAnsi="Arial" w:cs="Arial"/>
          <w:kern w:val="0"/>
          <w:sz w:val="22"/>
          <w:szCs w:val="22"/>
          <w14:ligatures w14:val="none"/>
        </w:rPr>
        <w:t>.</w:t>
      </w:r>
      <w:r w:rsidRPr="008764FF">
        <w:rPr>
          <w:rFonts w:ascii="Arial" w:hAnsi="Arial" w:cs="Arial"/>
          <w:kern w:val="0"/>
          <w:sz w:val="22"/>
          <w:szCs w:val="22"/>
          <w14:ligatures w14:val="none"/>
        </w:rPr>
        <w:t xml:space="preserve"> By applying robust quality improvement methodologies and investing in organisational development, the NHS Group can create a more patient-centred, compassionate, and responsive healthcare environment (Batalden </w:t>
      </w:r>
      <w:r w:rsidR="00AA40D7" w:rsidRPr="008764FF">
        <w:rPr>
          <w:rFonts w:ascii="Arial" w:hAnsi="Arial" w:cs="Arial"/>
          <w:kern w:val="0"/>
          <w:sz w:val="22"/>
          <w:szCs w:val="22"/>
          <w14:ligatures w14:val="none"/>
        </w:rPr>
        <w:t>and</w:t>
      </w:r>
      <w:r w:rsidRPr="008764FF">
        <w:rPr>
          <w:rFonts w:ascii="Arial" w:hAnsi="Arial" w:cs="Arial"/>
          <w:kern w:val="0"/>
          <w:sz w:val="22"/>
          <w:szCs w:val="22"/>
          <w14:ligatures w14:val="none"/>
        </w:rPr>
        <w:t xml:space="preserve"> Davidoff, 2007)</w:t>
      </w:r>
      <w:r w:rsidR="00D64E90" w:rsidRPr="008764FF">
        <w:rPr>
          <w:rFonts w:ascii="Arial" w:hAnsi="Arial" w:cs="Arial"/>
          <w:kern w:val="0"/>
          <w:sz w:val="22"/>
          <w:szCs w:val="22"/>
          <w14:ligatures w14:val="none"/>
        </w:rPr>
        <w:t>.</w:t>
      </w:r>
    </w:p>
    <w:p w14:paraId="6880B8F4" w14:textId="6ABB0362" w:rsidR="00B94F95" w:rsidRPr="008764FF" w:rsidRDefault="00D64E90" w:rsidP="008764FF">
      <w:pPr>
        <w:spacing w:before="100" w:beforeAutospacing="1" w:after="100" w:afterAutospacing="1" w:line="360" w:lineRule="auto"/>
        <w:jc w:val="both"/>
        <w:rPr>
          <w:rFonts w:ascii="Arial" w:hAnsi="Arial" w:cs="Arial"/>
          <w:b/>
          <w:bCs/>
          <w:kern w:val="0"/>
          <w:sz w:val="22"/>
          <w:szCs w:val="22"/>
          <w14:ligatures w14:val="none"/>
        </w:rPr>
      </w:pPr>
      <w:r w:rsidRPr="008764FF">
        <w:rPr>
          <w:rFonts w:ascii="Arial" w:hAnsi="Arial" w:cs="Arial"/>
          <w:b/>
          <w:bCs/>
          <w:kern w:val="0"/>
          <w:sz w:val="22"/>
          <w:szCs w:val="22"/>
          <w14:ligatures w14:val="none"/>
        </w:rPr>
        <w:t>5.</w:t>
      </w:r>
      <w:r w:rsidR="00B94F95" w:rsidRPr="008764FF">
        <w:rPr>
          <w:rFonts w:ascii="Arial" w:eastAsia="Times New Roman" w:hAnsi="Arial" w:cs="Arial"/>
          <w:b/>
          <w:bCs/>
          <w:kern w:val="36"/>
          <w:sz w:val="22"/>
          <w:szCs w:val="22"/>
          <w14:ligatures w14:val="none"/>
        </w:rPr>
        <w:t xml:space="preserve"> Reference List </w:t>
      </w:r>
    </w:p>
    <w:p w14:paraId="32B96C30"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Antony, J., Snee, R. and Hoerl, R. (2018) Lean Six Sigma for Public Sector Organisations. London: Routledge.</w:t>
      </w:r>
    </w:p>
    <w:p w14:paraId="353F7864"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Agency for Healthcare Research and Quality (AHRQ) (2019) Understanding Quality Improvement. Available at: https://www.ahrq.gov/ (Accessed: 10 January 2025).</w:t>
      </w:r>
    </w:p>
    <w:p w14:paraId="511757FA" w14:textId="77777777" w:rsidR="00A3611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Batalden, P. and Davidoff, F. (2007) ‘What is “quality improvement” and how can it transform healthcare?’, Quality </w:t>
      </w:r>
      <w:r w:rsidR="00AA40D7" w:rsidRPr="008764FF">
        <w:rPr>
          <w:rFonts w:ascii="Arial" w:hAnsi="Arial" w:cs="Arial"/>
          <w:kern w:val="0"/>
          <w:sz w:val="22"/>
          <w:szCs w:val="22"/>
          <w14:ligatures w14:val="none"/>
        </w:rPr>
        <w:t>and</w:t>
      </w:r>
      <w:r w:rsidRPr="008764FF">
        <w:rPr>
          <w:rFonts w:ascii="Arial" w:hAnsi="Arial" w:cs="Arial"/>
          <w:kern w:val="0"/>
          <w:sz w:val="22"/>
          <w:szCs w:val="22"/>
          <w14:ligatures w14:val="none"/>
        </w:rPr>
        <w:t xml:space="preserve"> Safety in Health Care, 16(1), pp. 2–3.</w:t>
      </w:r>
    </w:p>
    <w:p w14:paraId="3E69BC0B" w14:textId="7C833864"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Buchan, J., Charlesworth, A. and Gershlick, B. (2019) Falling Short: The NHS Workforce Challenge. London: The Health Foundation.</w:t>
      </w:r>
    </w:p>
    <w:p w14:paraId="6BF8F874"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Care Quality Commission (CQC) (2023) Staffordshire NHS Group: Inspection Report. London: CQC.</w:t>
      </w:r>
    </w:p>
    <w:p w14:paraId="13A46657"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Darzi, A. (2008) High Quality Care for All: NHS Next Stage Review Final Report. London: Department of Health.</w:t>
      </w:r>
    </w:p>
    <w:p w14:paraId="2E85AC03"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Department of Health and Social Care (2021) The NHS Constitution for England. London: DHSC.</w:t>
      </w:r>
    </w:p>
    <w:p w14:paraId="72710D50"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Donabedian, A. (1980) Explorations in Quality Assessment and Monitoring: The Definition of Quality and Approaches to Its Assessment. Michigan: Health Administration Press.</w:t>
      </w:r>
    </w:p>
    <w:p w14:paraId="2ADED9DB" w14:textId="4E7E7FB5"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Fulop, N. and Robert, G. (2015) ‘Context in complex interventions: Framework for understanding quality improvement’, BMJ Quality </w:t>
      </w:r>
      <w:r w:rsidR="00AA40D7" w:rsidRPr="008764FF">
        <w:rPr>
          <w:rFonts w:ascii="Arial" w:hAnsi="Arial" w:cs="Arial"/>
          <w:kern w:val="0"/>
          <w:sz w:val="22"/>
          <w:szCs w:val="22"/>
          <w14:ligatures w14:val="none"/>
        </w:rPr>
        <w:t xml:space="preserve">and </w:t>
      </w:r>
      <w:r w:rsidRPr="008764FF">
        <w:rPr>
          <w:rFonts w:ascii="Arial" w:hAnsi="Arial" w:cs="Arial"/>
          <w:kern w:val="0"/>
          <w:sz w:val="22"/>
          <w:szCs w:val="22"/>
          <w14:ligatures w14:val="none"/>
        </w:rPr>
        <w:t>Safety, 24(4), pp. 123–131.</w:t>
      </w:r>
    </w:p>
    <w:p w14:paraId="536312DA"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Gibson, A., Barlow, T. and Doolan-Noble, F. (2020) ‘Using root cause analysis and systems thinking in improving healthcare quality’, International Journal of Health Planning and Management, 35(2), pp. 399–413.</w:t>
      </w:r>
    </w:p>
    <w:p w14:paraId="79510DD3" w14:textId="1E6C4602"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lastRenderedPageBreak/>
        <w:t>Gürel, E. and Tat, M. (2017) ‘SWOT analysis: A theoretical review’, The Journal of International Social Research, 10(51), pp. 994–1006.</w:t>
      </w:r>
    </w:p>
    <w:p w14:paraId="629AAF2C" w14:textId="4AAF433C"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Institute for Healthcare Improvement (2020) Quality Improvement Essentials Toolkit. Boston: IHI.</w:t>
      </w:r>
    </w:p>
    <w:p w14:paraId="04020052" w14:textId="29A8122A"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Ishikawa, K. (1985) What Is Total Quality Control? The Japanese Way. Englewood Cliffs: Prentice-Hall.</w:t>
      </w:r>
    </w:p>
    <w:p w14:paraId="4653E202" w14:textId="70EBF904"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Kings Fund (2020) Understanding Patient Experience. London: The King’s Fund.</w:t>
      </w:r>
    </w:p>
    <w:p w14:paraId="250A7A72" w14:textId="07E8F442"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Marmot, M. (2020) Health Equity in England: The Marmot Review 10 Years On. London: Institute of Health Equity.</w:t>
      </w:r>
    </w:p>
    <w:p w14:paraId="3BFEA055" w14:textId="43DDBBFE"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McLean, S., Charlesworth, A. and Maybin, J. (2017) Improving NHS Processes: A Lean Approach. London: Nuffield Trust.</w:t>
      </w:r>
    </w:p>
    <w:p w14:paraId="34AFBA71" w14:textId="213A11C0"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NHS Confederation (2021) NHS Workforce Pressures: System Overview. London: NHS Confederation.</w:t>
      </w:r>
    </w:p>
    <w:p w14:paraId="54905592" w14:textId="603189EB"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NHS Digital (2022) Digital Transformation in the NHS: Progress and Challenges. Leeds: NHS </w:t>
      </w:r>
      <w:r w:rsidR="00A3611F">
        <w:rPr>
          <w:rFonts w:ascii="Arial" w:hAnsi="Arial" w:cs="Arial"/>
          <w:kern w:val="0"/>
          <w:sz w:val="22"/>
          <w:szCs w:val="22"/>
          <w14:ligatures w14:val="none"/>
        </w:rPr>
        <w:t>Digital</w:t>
      </w:r>
      <w:r w:rsidRPr="008764FF">
        <w:rPr>
          <w:rFonts w:ascii="Arial" w:hAnsi="Arial" w:cs="Arial"/>
          <w:kern w:val="0"/>
          <w:sz w:val="22"/>
          <w:szCs w:val="22"/>
          <w14:ligatures w14:val="none"/>
        </w:rPr>
        <w:t>.</w:t>
      </w:r>
    </w:p>
    <w:p w14:paraId="7CDADFA6"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NHS England (2019) The NHS Long Term Plan. London: NHS England.</w:t>
      </w:r>
    </w:p>
    <w:p w14:paraId="16A483B8"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NHS England (2022) Hospital Complaints Annual Report. London: NHS England.</w:t>
      </w:r>
    </w:p>
    <w:p w14:paraId="6BC1274E"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Ohno, T. (1988) The Toyota Production System: Beyond Large-Scale Production. Portland: Productivity Press.</w:t>
      </w:r>
    </w:p>
    <w:p w14:paraId="66F1B9D0"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Redman, V., Jones, L. and Murray, C. (2021) ‘Patient experience as a measure of quality: A systematic review’, International Journal of Nursing Studies, 115, pp. 103–121.</w:t>
      </w:r>
    </w:p>
    <w:p w14:paraId="58059BBD" w14:textId="4FDA588B"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Taylor, M.J., McNicholas, C. and Nicolay, C. (2014) ‘Systematic review of the application of PDSA cycles in healthcare’, BMJ Quality </w:t>
      </w:r>
      <w:r w:rsidR="00AA40D7" w:rsidRPr="008764FF">
        <w:rPr>
          <w:rFonts w:ascii="Arial" w:hAnsi="Arial" w:cs="Arial"/>
          <w:kern w:val="0"/>
          <w:sz w:val="22"/>
          <w:szCs w:val="22"/>
          <w14:ligatures w14:val="none"/>
        </w:rPr>
        <w:t>and</w:t>
      </w:r>
      <w:r w:rsidRPr="008764FF">
        <w:rPr>
          <w:rFonts w:ascii="Arial" w:hAnsi="Arial" w:cs="Arial"/>
          <w:kern w:val="0"/>
          <w:sz w:val="22"/>
          <w:szCs w:val="22"/>
          <w14:ligatures w14:val="none"/>
        </w:rPr>
        <w:t xml:space="preserve"> Safety, 23(4), pp. 290–298.</w:t>
      </w:r>
    </w:p>
    <w:p w14:paraId="7A83EE65"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West, M., Bailey, S. and Williams, E. (2020) The Courage of Compassion: Supporting Nurses and Midwives. London: The King’s Fund.</w:t>
      </w:r>
    </w:p>
    <w:p w14:paraId="47F98664" w14:textId="77777777"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lastRenderedPageBreak/>
        <w:t>Wolf, J., Niederhauser, V., Marshburn, D. and LaVela, S. (2014) ‘Defining patient experience’, Patient Experience Journal, 1(1), pp. 7–19.</w:t>
      </w:r>
    </w:p>
    <w:p w14:paraId="4C5045D5" w14:textId="4737389B" w:rsidR="00B94F95" w:rsidRPr="008764FF" w:rsidRDefault="00B94F95" w:rsidP="008764FF">
      <w:pPr>
        <w:spacing w:before="100" w:beforeAutospacing="1" w:after="100" w:afterAutospacing="1" w:line="360" w:lineRule="auto"/>
        <w:jc w:val="both"/>
        <w:rPr>
          <w:rFonts w:ascii="Arial" w:hAnsi="Arial" w:cs="Arial"/>
          <w:kern w:val="0"/>
          <w:sz w:val="22"/>
          <w:szCs w:val="22"/>
          <w14:ligatures w14:val="none"/>
        </w:rPr>
      </w:pPr>
      <w:r w:rsidRPr="008764FF">
        <w:rPr>
          <w:rFonts w:ascii="Arial" w:hAnsi="Arial" w:cs="Arial"/>
          <w:kern w:val="0"/>
          <w:sz w:val="22"/>
          <w:szCs w:val="22"/>
          <w14:ligatures w14:val="none"/>
        </w:rPr>
        <w:t xml:space="preserve">Womack, J. and Jones, D. (2003) Lean Thinking: Banish Waste and Create Wealth in Your Organisation. London: Simon </w:t>
      </w:r>
      <w:r w:rsidR="00AA40D7" w:rsidRPr="008764FF">
        <w:rPr>
          <w:rFonts w:ascii="Arial" w:hAnsi="Arial" w:cs="Arial"/>
          <w:kern w:val="0"/>
          <w:sz w:val="22"/>
          <w:szCs w:val="22"/>
          <w14:ligatures w14:val="none"/>
        </w:rPr>
        <w:t xml:space="preserve">and </w:t>
      </w:r>
      <w:r w:rsidRPr="008764FF">
        <w:rPr>
          <w:rFonts w:ascii="Arial" w:hAnsi="Arial" w:cs="Arial"/>
          <w:kern w:val="0"/>
          <w:sz w:val="22"/>
          <w:szCs w:val="22"/>
          <w14:ligatures w14:val="none"/>
        </w:rPr>
        <w:t>Schuster.</w:t>
      </w:r>
    </w:p>
    <w:p w14:paraId="0E8590B0" w14:textId="77777777" w:rsidR="00B94F95" w:rsidRPr="008764FF" w:rsidRDefault="00B94F95" w:rsidP="008764FF">
      <w:pPr>
        <w:spacing w:line="360" w:lineRule="auto"/>
        <w:jc w:val="both"/>
        <w:rPr>
          <w:rFonts w:ascii="Arial" w:hAnsi="Arial" w:cs="Arial"/>
          <w:sz w:val="22"/>
          <w:szCs w:val="22"/>
        </w:rPr>
      </w:pPr>
    </w:p>
    <w:sectPr w:rsidR="00B94F95" w:rsidRPr="00876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FA4B7A"/>
    <w:multiLevelType w:val="hybridMultilevel"/>
    <w:tmpl w:val="3E4672D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C431AAE"/>
    <w:multiLevelType w:val="hybridMultilevel"/>
    <w:tmpl w:val="C7F6A27C"/>
    <w:lvl w:ilvl="0" w:tplc="ECA4CEA2">
      <w:start w:val="5"/>
      <w:numFmt w:val="decimal"/>
      <w:lvlText w:val="%1."/>
      <w:lvlJc w:val="left"/>
      <w:pPr>
        <w:ind w:left="720" w:hanging="360"/>
      </w:pPr>
      <w:rPr>
        <w:rFonts w:eastAsia="Times New Roman"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35810986">
    <w:abstractNumId w:val="0"/>
  </w:num>
  <w:num w:numId="2" w16cid:durableId="1729916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9A4"/>
    <w:rsid w:val="000242B5"/>
    <w:rsid w:val="000334A6"/>
    <w:rsid w:val="000B6173"/>
    <w:rsid w:val="0016719D"/>
    <w:rsid w:val="001862FB"/>
    <w:rsid w:val="001E1BD2"/>
    <w:rsid w:val="001E65F0"/>
    <w:rsid w:val="002841DF"/>
    <w:rsid w:val="002913CE"/>
    <w:rsid w:val="002A7385"/>
    <w:rsid w:val="002B56E4"/>
    <w:rsid w:val="00340DBD"/>
    <w:rsid w:val="0034601C"/>
    <w:rsid w:val="004149D8"/>
    <w:rsid w:val="00447C1D"/>
    <w:rsid w:val="0045792A"/>
    <w:rsid w:val="00497B55"/>
    <w:rsid w:val="004B45EB"/>
    <w:rsid w:val="004C2CF1"/>
    <w:rsid w:val="005B2875"/>
    <w:rsid w:val="005C56E4"/>
    <w:rsid w:val="005F3BC1"/>
    <w:rsid w:val="0061242B"/>
    <w:rsid w:val="006615AC"/>
    <w:rsid w:val="00664DAE"/>
    <w:rsid w:val="006A65F8"/>
    <w:rsid w:val="006B1EB9"/>
    <w:rsid w:val="00712AAA"/>
    <w:rsid w:val="00741D04"/>
    <w:rsid w:val="00797431"/>
    <w:rsid w:val="007B2DEC"/>
    <w:rsid w:val="007D3166"/>
    <w:rsid w:val="008364D0"/>
    <w:rsid w:val="008429E1"/>
    <w:rsid w:val="00870406"/>
    <w:rsid w:val="008764FF"/>
    <w:rsid w:val="0088610B"/>
    <w:rsid w:val="008B62F2"/>
    <w:rsid w:val="009032F3"/>
    <w:rsid w:val="00951903"/>
    <w:rsid w:val="00A12900"/>
    <w:rsid w:val="00A3611F"/>
    <w:rsid w:val="00AA40D7"/>
    <w:rsid w:val="00AF3522"/>
    <w:rsid w:val="00B27AB2"/>
    <w:rsid w:val="00B4294E"/>
    <w:rsid w:val="00B6433E"/>
    <w:rsid w:val="00B94F95"/>
    <w:rsid w:val="00B96745"/>
    <w:rsid w:val="00BA3C17"/>
    <w:rsid w:val="00BB7468"/>
    <w:rsid w:val="00BB773E"/>
    <w:rsid w:val="00C735A3"/>
    <w:rsid w:val="00C819FC"/>
    <w:rsid w:val="00C839A4"/>
    <w:rsid w:val="00C96E7A"/>
    <w:rsid w:val="00CD437D"/>
    <w:rsid w:val="00CE7B4C"/>
    <w:rsid w:val="00D126D7"/>
    <w:rsid w:val="00D41BA9"/>
    <w:rsid w:val="00D60BBE"/>
    <w:rsid w:val="00D64E90"/>
    <w:rsid w:val="00DC30FF"/>
    <w:rsid w:val="00DF39B1"/>
    <w:rsid w:val="00E22410"/>
    <w:rsid w:val="00E61159"/>
    <w:rsid w:val="00EB3AAB"/>
    <w:rsid w:val="00F203C5"/>
    <w:rsid w:val="00FB1F66"/>
    <w:rsid w:val="00FC0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DF83CE"/>
  <w15:chartTrackingRefBased/>
  <w15:docId w15:val="{F3C7D11C-E388-FC4B-8541-88A787D1F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9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39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839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39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39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3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9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39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39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39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39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3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9A4"/>
    <w:rPr>
      <w:rFonts w:eastAsiaTheme="majorEastAsia" w:cstheme="majorBidi"/>
      <w:color w:val="272727" w:themeColor="text1" w:themeTint="D8"/>
    </w:rPr>
  </w:style>
  <w:style w:type="paragraph" w:styleId="Title">
    <w:name w:val="Title"/>
    <w:basedOn w:val="Normal"/>
    <w:next w:val="Normal"/>
    <w:link w:val="TitleChar"/>
    <w:uiPriority w:val="10"/>
    <w:qFormat/>
    <w:rsid w:val="00C83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9A4"/>
    <w:pPr>
      <w:spacing w:before="160"/>
      <w:jc w:val="center"/>
    </w:pPr>
    <w:rPr>
      <w:i/>
      <w:iCs/>
      <w:color w:val="404040" w:themeColor="text1" w:themeTint="BF"/>
    </w:rPr>
  </w:style>
  <w:style w:type="character" w:customStyle="1" w:styleId="QuoteChar">
    <w:name w:val="Quote Char"/>
    <w:basedOn w:val="DefaultParagraphFont"/>
    <w:link w:val="Quote"/>
    <w:uiPriority w:val="29"/>
    <w:rsid w:val="00C839A4"/>
    <w:rPr>
      <w:i/>
      <w:iCs/>
      <w:color w:val="404040" w:themeColor="text1" w:themeTint="BF"/>
    </w:rPr>
  </w:style>
  <w:style w:type="paragraph" w:styleId="ListParagraph">
    <w:name w:val="List Paragraph"/>
    <w:basedOn w:val="Normal"/>
    <w:uiPriority w:val="34"/>
    <w:qFormat/>
    <w:rsid w:val="00C839A4"/>
    <w:pPr>
      <w:ind w:left="720"/>
      <w:contextualSpacing/>
    </w:pPr>
  </w:style>
  <w:style w:type="character" w:styleId="IntenseEmphasis">
    <w:name w:val="Intense Emphasis"/>
    <w:basedOn w:val="DefaultParagraphFont"/>
    <w:uiPriority w:val="21"/>
    <w:qFormat/>
    <w:rsid w:val="00C839A4"/>
    <w:rPr>
      <w:i/>
      <w:iCs/>
      <w:color w:val="2F5496" w:themeColor="accent1" w:themeShade="BF"/>
    </w:rPr>
  </w:style>
  <w:style w:type="paragraph" w:styleId="IntenseQuote">
    <w:name w:val="Intense Quote"/>
    <w:basedOn w:val="Normal"/>
    <w:next w:val="Normal"/>
    <w:link w:val="IntenseQuoteChar"/>
    <w:uiPriority w:val="30"/>
    <w:qFormat/>
    <w:rsid w:val="00C839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39A4"/>
    <w:rPr>
      <w:i/>
      <w:iCs/>
      <w:color w:val="2F5496" w:themeColor="accent1" w:themeShade="BF"/>
    </w:rPr>
  </w:style>
  <w:style w:type="character" w:styleId="IntenseReference">
    <w:name w:val="Intense Reference"/>
    <w:basedOn w:val="DefaultParagraphFont"/>
    <w:uiPriority w:val="32"/>
    <w:qFormat/>
    <w:rsid w:val="00C839A4"/>
    <w:rPr>
      <w:b/>
      <w:bCs/>
      <w:smallCaps/>
      <w:color w:val="2F5496" w:themeColor="accent1" w:themeShade="BF"/>
      <w:spacing w:val="5"/>
    </w:rPr>
  </w:style>
  <w:style w:type="character" w:customStyle="1" w:styleId="s1">
    <w:name w:val="s1"/>
    <w:basedOn w:val="DefaultParagraphFont"/>
    <w:rsid w:val="00C839A4"/>
  </w:style>
  <w:style w:type="paragraph" w:customStyle="1" w:styleId="p2">
    <w:name w:val="p2"/>
    <w:basedOn w:val="Normal"/>
    <w:rsid w:val="008429E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429E1"/>
  </w:style>
  <w:style w:type="paragraph" w:customStyle="1" w:styleId="p3">
    <w:name w:val="p3"/>
    <w:basedOn w:val="Normal"/>
    <w:rsid w:val="008429E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AF3522"/>
  </w:style>
  <w:style w:type="paragraph" w:customStyle="1" w:styleId="p1">
    <w:name w:val="p1"/>
    <w:basedOn w:val="Normal"/>
    <w:rsid w:val="0088610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CF705-AA45-40E4-ADA6-F45D251E3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17</Pages>
  <Words>3185</Words>
  <Characters>20642</Characters>
  <Application>Microsoft Office Word</Application>
  <DocSecurity>0</DocSecurity>
  <Lines>172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chaudhary</dc:creator>
  <cp:keywords/>
  <dc:description/>
  <cp:lastModifiedBy>Viren Sathwara</cp:lastModifiedBy>
  <cp:revision>37</cp:revision>
  <dcterms:created xsi:type="dcterms:W3CDTF">2025-11-29T12:28:00Z</dcterms:created>
  <dcterms:modified xsi:type="dcterms:W3CDTF">2025-12-07T12:59:00Z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cb2eef22-706b-4322-ba4a-d91eb66f7f97</vt:lpwstr>
  </property>
</Properties>
</file>