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AA4E3" w14:textId="77777777" w:rsidR="0084257F" w:rsidRDefault="0084257F" w:rsidP="0084257F">
      <w:pPr>
        <w:jc w:val="center"/>
      </w:pPr>
      <w:r w:rsidRPr="00B20273">
        <w:rPr>
          <w:noProof/>
        </w:rPr>
        <w:drawing>
          <wp:inline distT="0" distB="0" distL="0" distR="0" wp14:anchorId="70CA8B8A" wp14:editId="25581B6E">
            <wp:extent cx="4055407" cy="1955800"/>
            <wp:effectExtent l="0" t="0" r="2540" b="6350"/>
            <wp:docPr id="1766573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573544" name=""/>
                    <pic:cNvPicPr/>
                  </pic:nvPicPr>
                  <pic:blipFill>
                    <a:blip r:embed="rId8"/>
                    <a:stretch>
                      <a:fillRect/>
                    </a:stretch>
                  </pic:blipFill>
                  <pic:spPr>
                    <a:xfrm>
                      <a:off x="0" y="0"/>
                      <a:ext cx="4057675" cy="1956894"/>
                    </a:xfrm>
                    <a:prstGeom prst="rect">
                      <a:avLst/>
                    </a:prstGeom>
                  </pic:spPr>
                </pic:pic>
              </a:graphicData>
            </a:graphic>
          </wp:inline>
        </w:drawing>
      </w:r>
    </w:p>
    <w:p w14:paraId="2A2F5D02" w14:textId="11BF3C8F" w:rsidR="0084257F" w:rsidRPr="00B20273" w:rsidRDefault="0084257F" w:rsidP="00326E74">
      <w:pPr>
        <w:pBdr>
          <w:bottom w:val="single" w:sz="18" w:space="1" w:color="auto"/>
        </w:pBdr>
        <w:shd w:val="clear" w:color="auto" w:fill="DAEEF3" w:themeFill="accent5" w:themeFillTint="33"/>
        <w:rPr>
          <w:b/>
          <w:bCs/>
          <w:i/>
          <w:iCs/>
          <w:sz w:val="40"/>
          <w:szCs w:val="40"/>
        </w:rPr>
      </w:pPr>
    </w:p>
    <w:p w14:paraId="760FDD6E" w14:textId="77777777" w:rsidR="0084257F" w:rsidRDefault="0084257F" w:rsidP="0084257F">
      <w:pPr>
        <w:pBdr>
          <w:bottom w:val="single" w:sz="18" w:space="1" w:color="auto"/>
        </w:pBdr>
        <w:shd w:val="clear" w:color="auto" w:fill="DAEEF3" w:themeFill="accent5" w:themeFillTint="33"/>
        <w:jc w:val="center"/>
        <w:rPr>
          <w:sz w:val="40"/>
          <w:szCs w:val="40"/>
        </w:rPr>
      </w:pPr>
      <w:r w:rsidRPr="00B20273">
        <w:rPr>
          <w:b/>
          <w:bCs/>
          <w:i/>
          <w:iCs/>
          <w:sz w:val="40"/>
          <w:szCs w:val="40"/>
        </w:rPr>
        <w:t>Strategic CFO Challenge: Saving a Failing Global Firm</w:t>
      </w:r>
      <w:r w:rsidRPr="00B20273">
        <w:rPr>
          <w:sz w:val="40"/>
          <w:szCs w:val="40"/>
        </w:rPr>
        <w:t xml:space="preserve"> </w:t>
      </w:r>
    </w:p>
    <w:p w14:paraId="59AEBEA5" w14:textId="77777777" w:rsidR="0084257F" w:rsidRDefault="0084257F" w:rsidP="0084257F">
      <w:pPr>
        <w:jc w:val="center"/>
        <w:rPr>
          <w:sz w:val="40"/>
          <w:szCs w:val="40"/>
        </w:rPr>
      </w:pPr>
    </w:p>
    <w:p w14:paraId="1FD4992F" w14:textId="77777777" w:rsidR="0084257F" w:rsidRDefault="0084257F" w:rsidP="0084257F">
      <w:pPr>
        <w:jc w:val="center"/>
        <w:rPr>
          <w:sz w:val="40"/>
          <w:szCs w:val="40"/>
        </w:rPr>
      </w:pPr>
    </w:p>
    <w:p w14:paraId="34DDD26E" w14:textId="77777777" w:rsidR="00C74196" w:rsidRDefault="00C74196" w:rsidP="00C74196">
      <w:pPr>
        <w:jc w:val="center"/>
      </w:pPr>
      <w:r>
        <w:t xml:space="preserve">         </w:t>
      </w:r>
      <w:proofErr w:type="spellStart"/>
      <w:proofErr w:type="gramStart"/>
      <w:r>
        <w:t>Programme</w:t>
      </w:r>
      <w:proofErr w:type="spellEnd"/>
      <w:r>
        <w:t xml:space="preserve"> :Master</w:t>
      </w:r>
      <w:proofErr w:type="gramEnd"/>
      <w:r>
        <w:t xml:space="preserve"> of business Administration </w:t>
      </w:r>
    </w:p>
    <w:p w14:paraId="3CDEA1D3" w14:textId="77777777" w:rsidR="00C74196" w:rsidRDefault="00C74196" w:rsidP="00C74196">
      <w:pPr>
        <w:jc w:val="center"/>
      </w:pPr>
    </w:p>
    <w:p w14:paraId="43F2E9A7" w14:textId="109FB3CC" w:rsidR="00C74196" w:rsidRDefault="00C74196" w:rsidP="00C74196">
      <w:pPr>
        <w:jc w:val="center"/>
      </w:pPr>
      <w:r>
        <w:t xml:space="preserve">Module Name: Financial Management </w:t>
      </w:r>
    </w:p>
    <w:p w14:paraId="58FA88E1" w14:textId="6844E0EB" w:rsidR="00C74196" w:rsidRDefault="00C74196" w:rsidP="00C74196">
      <w:pPr>
        <w:jc w:val="center"/>
      </w:pPr>
      <w:r>
        <w:t xml:space="preserve"> Module Code: LCMB7020</w:t>
      </w:r>
    </w:p>
    <w:p w14:paraId="1E61F815" w14:textId="77777777" w:rsidR="00C74196" w:rsidRDefault="00C74196" w:rsidP="00C74196">
      <w:pPr>
        <w:jc w:val="center"/>
      </w:pPr>
      <w:r>
        <w:t xml:space="preserve">Student Name: Md </w:t>
      </w:r>
      <w:proofErr w:type="spellStart"/>
      <w:r>
        <w:t>Sohidul</w:t>
      </w:r>
      <w:proofErr w:type="spellEnd"/>
      <w:r>
        <w:t xml:space="preserve"> Islam</w:t>
      </w:r>
    </w:p>
    <w:p w14:paraId="2F76F706" w14:textId="77777777" w:rsidR="00C74196" w:rsidRDefault="00C74196" w:rsidP="00C74196">
      <w:pPr>
        <w:jc w:val="center"/>
      </w:pPr>
      <w:r>
        <w:t>Student ID:  2504070</w:t>
      </w:r>
    </w:p>
    <w:p w14:paraId="427F0BA9" w14:textId="77777777" w:rsidR="00C74196" w:rsidRDefault="00C74196" w:rsidP="00C74196">
      <w:pPr>
        <w:jc w:val="center"/>
      </w:pPr>
      <w:r>
        <w:t xml:space="preserve">Lecturer’s Name: Isaiah </w:t>
      </w:r>
      <w:proofErr w:type="spellStart"/>
      <w:r>
        <w:t>Oino</w:t>
      </w:r>
      <w:proofErr w:type="spellEnd"/>
    </w:p>
    <w:p w14:paraId="31AAC926" w14:textId="172C963D" w:rsidR="00C74196" w:rsidRDefault="00C74196" w:rsidP="00C74196">
      <w:pPr>
        <w:jc w:val="center"/>
      </w:pPr>
      <w:r>
        <w:t xml:space="preserve"> </w:t>
      </w:r>
      <w:proofErr w:type="gramStart"/>
      <w:r>
        <w:t>Group :</w:t>
      </w:r>
      <w:proofErr w:type="gramEnd"/>
      <w:r>
        <w:t xml:space="preserve"> 03 ,Term 1</w:t>
      </w:r>
    </w:p>
    <w:p w14:paraId="248C715D" w14:textId="1124FA72" w:rsidR="00326E74" w:rsidRDefault="00326E74" w:rsidP="00C74196">
      <w:pPr>
        <w:jc w:val="center"/>
      </w:pPr>
      <w:r>
        <w:t>Word count:5205</w:t>
      </w:r>
    </w:p>
    <w:p w14:paraId="7FF38FE4" w14:textId="4F414CD0" w:rsidR="00C74196" w:rsidRDefault="00C74196" w:rsidP="00C74196">
      <w:pPr>
        <w:jc w:val="center"/>
      </w:pPr>
      <w:r>
        <w:t>Submission Date:</w:t>
      </w:r>
      <w:r w:rsidR="00326E74">
        <w:t xml:space="preserve"> 22</w:t>
      </w:r>
      <w:r>
        <w:t xml:space="preserve"> </w:t>
      </w:r>
      <w:r w:rsidR="00326E74">
        <w:t>december</w:t>
      </w:r>
      <w:r>
        <w:t>,2025</w:t>
      </w:r>
    </w:p>
    <w:p w14:paraId="3DE41CE8" w14:textId="77777777" w:rsidR="00C74196" w:rsidRDefault="00C74196" w:rsidP="00C74196">
      <w:pPr>
        <w:jc w:val="center"/>
      </w:pPr>
      <w:r>
        <w:t xml:space="preserve">     </w:t>
      </w:r>
    </w:p>
    <w:p w14:paraId="3A05605D" w14:textId="77777777" w:rsidR="0084257F" w:rsidRDefault="0084257F" w:rsidP="0084257F">
      <w:pPr>
        <w:jc w:val="center"/>
        <w:rPr>
          <w:sz w:val="40"/>
          <w:szCs w:val="40"/>
        </w:rPr>
      </w:pPr>
    </w:p>
    <w:p w14:paraId="7B4EA3C7" w14:textId="77777777" w:rsidR="0084257F" w:rsidRPr="00B20273" w:rsidRDefault="0084257F" w:rsidP="0084257F">
      <w:pPr>
        <w:jc w:val="center"/>
        <w:rPr>
          <w:b/>
          <w:bCs/>
          <w:sz w:val="36"/>
          <w:szCs w:val="36"/>
        </w:rPr>
      </w:pPr>
    </w:p>
    <w:p w14:paraId="12EDFAE3" w14:textId="4A0BD7CB" w:rsidR="0084257F" w:rsidRPr="00B20273" w:rsidRDefault="0084257F" w:rsidP="0084257F">
      <w:pPr>
        <w:jc w:val="center"/>
        <w:rPr>
          <w:b/>
          <w:bCs/>
          <w:sz w:val="36"/>
          <w:szCs w:val="36"/>
        </w:rPr>
      </w:pPr>
    </w:p>
    <w:p w14:paraId="6C72A5CD" w14:textId="03394BFE" w:rsidR="0084257F" w:rsidRPr="00326E74" w:rsidRDefault="0084257F" w:rsidP="00326E74">
      <w:pPr>
        <w:rPr>
          <w:b/>
          <w:bCs/>
          <w:sz w:val="36"/>
          <w:szCs w:val="36"/>
        </w:rPr>
      </w:pPr>
      <w:r>
        <w:br w:type="page"/>
      </w:r>
    </w:p>
    <w:sdt>
      <w:sdtPr>
        <w:rPr>
          <w:rFonts w:ascii="Arial" w:eastAsia="Arial" w:hAnsi="Arial" w:cs="Arial"/>
          <w:color w:val="auto"/>
          <w:sz w:val="24"/>
          <w:szCs w:val="24"/>
          <w:lang w:val="en" w:eastAsia="en-GB"/>
        </w:rPr>
        <w:id w:val="-917939053"/>
        <w:docPartObj>
          <w:docPartGallery w:val="Table of Contents"/>
          <w:docPartUnique/>
        </w:docPartObj>
      </w:sdtPr>
      <w:sdtEndPr>
        <w:rPr>
          <w:b/>
          <w:bCs/>
          <w:noProof/>
        </w:rPr>
      </w:sdtEndPr>
      <w:sdtContent>
        <w:p w14:paraId="53F52DAA" w14:textId="60241E24" w:rsidR="0084257F" w:rsidRPr="0084257F" w:rsidRDefault="0084257F" w:rsidP="0084257F">
          <w:pPr>
            <w:pStyle w:val="TOCHeading"/>
            <w:pBdr>
              <w:top w:val="single" w:sz="18" w:space="1" w:color="auto"/>
              <w:left w:val="single" w:sz="18" w:space="4" w:color="auto"/>
              <w:bottom w:val="single" w:sz="18" w:space="1" w:color="auto"/>
              <w:right w:val="single" w:sz="18" w:space="4" w:color="auto"/>
              <w:between w:val="single" w:sz="18" w:space="1" w:color="auto"/>
              <w:bar w:val="single" w:sz="18" w:color="auto"/>
            </w:pBdr>
            <w:shd w:val="clear" w:color="auto" w:fill="DAEEF3" w:themeFill="accent5" w:themeFillTint="33"/>
            <w:rPr>
              <w:rFonts w:ascii="Arial" w:hAnsi="Arial" w:cs="Arial"/>
              <w:b/>
              <w:bCs/>
            </w:rPr>
          </w:pPr>
          <w:r w:rsidRPr="0084257F">
            <w:rPr>
              <w:rFonts w:ascii="Arial" w:hAnsi="Arial" w:cs="Arial"/>
              <w:b/>
              <w:bCs/>
            </w:rPr>
            <w:t>Table of Contents</w:t>
          </w:r>
        </w:p>
        <w:p w14:paraId="08867A1A" w14:textId="4CED4E82" w:rsidR="0084257F" w:rsidRDefault="0084257F">
          <w:pPr>
            <w:pStyle w:val="TOC1"/>
            <w:tabs>
              <w:tab w:val="right" w:leader="dot" w:pos="9016"/>
            </w:tabs>
            <w:rPr>
              <w:noProof/>
            </w:rPr>
          </w:pPr>
          <w:r>
            <w:fldChar w:fldCharType="begin"/>
          </w:r>
          <w:r>
            <w:instrText xml:space="preserve"> TOC \o "1-3" \h \z \u </w:instrText>
          </w:r>
          <w:r>
            <w:fldChar w:fldCharType="separate"/>
          </w:r>
          <w:hyperlink w:anchor="_Toc215418631" w:history="1">
            <w:r w:rsidRPr="0059218C">
              <w:rPr>
                <w:rStyle w:val="Hyperlink"/>
                <w:noProof/>
              </w:rPr>
              <w:t>1.0 Introduction</w:t>
            </w:r>
            <w:r>
              <w:rPr>
                <w:noProof/>
                <w:webHidden/>
              </w:rPr>
              <w:tab/>
            </w:r>
            <w:r>
              <w:rPr>
                <w:noProof/>
                <w:webHidden/>
              </w:rPr>
              <w:fldChar w:fldCharType="begin"/>
            </w:r>
            <w:r>
              <w:rPr>
                <w:noProof/>
                <w:webHidden/>
              </w:rPr>
              <w:instrText xml:space="preserve"> PAGEREF _Toc215418631 \h </w:instrText>
            </w:r>
            <w:r>
              <w:rPr>
                <w:noProof/>
                <w:webHidden/>
              </w:rPr>
            </w:r>
            <w:r>
              <w:rPr>
                <w:noProof/>
                <w:webHidden/>
              </w:rPr>
              <w:fldChar w:fldCharType="separate"/>
            </w:r>
            <w:r>
              <w:rPr>
                <w:noProof/>
                <w:webHidden/>
              </w:rPr>
              <w:t>1</w:t>
            </w:r>
            <w:r>
              <w:rPr>
                <w:noProof/>
                <w:webHidden/>
              </w:rPr>
              <w:fldChar w:fldCharType="end"/>
            </w:r>
          </w:hyperlink>
        </w:p>
        <w:p w14:paraId="2A06F69D" w14:textId="0E938E7F" w:rsidR="0084257F" w:rsidRDefault="00A10132">
          <w:pPr>
            <w:pStyle w:val="TOC1"/>
            <w:tabs>
              <w:tab w:val="right" w:leader="dot" w:pos="9016"/>
            </w:tabs>
            <w:rPr>
              <w:noProof/>
            </w:rPr>
          </w:pPr>
          <w:hyperlink w:anchor="_Toc215418632" w:history="1">
            <w:r w:rsidR="0084257F" w:rsidRPr="0059218C">
              <w:rPr>
                <w:rStyle w:val="Hyperlink"/>
                <w:noProof/>
              </w:rPr>
              <w:t>2.0 Financial Health Check</w:t>
            </w:r>
            <w:r w:rsidR="0084257F">
              <w:rPr>
                <w:noProof/>
                <w:webHidden/>
              </w:rPr>
              <w:tab/>
            </w:r>
            <w:r w:rsidR="0084257F">
              <w:rPr>
                <w:noProof/>
                <w:webHidden/>
              </w:rPr>
              <w:fldChar w:fldCharType="begin"/>
            </w:r>
            <w:r w:rsidR="0084257F">
              <w:rPr>
                <w:noProof/>
                <w:webHidden/>
              </w:rPr>
              <w:instrText xml:space="preserve"> PAGEREF _Toc215418632 \h </w:instrText>
            </w:r>
            <w:r w:rsidR="0084257F">
              <w:rPr>
                <w:noProof/>
                <w:webHidden/>
              </w:rPr>
            </w:r>
            <w:r w:rsidR="0084257F">
              <w:rPr>
                <w:noProof/>
                <w:webHidden/>
              </w:rPr>
              <w:fldChar w:fldCharType="separate"/>
            </w:r>
            <w:r w:rsidR="0084257F">
              <w:rPr>
                <w:noProof/>
                <w:webHidden/>
              </w:rPr>
              <w:t>2</w:t>
            </w:r>
            <w:r w:rsidR="0084257F">
              <w:rPr>
                <w:noProof/>
                <w:webHidden/>
              </w:rPr>
              <w:fldChar w:fldCharType="end"/>
            </w:r>
          </w:hyperlink>
        </w:p>
        <w:p w14:paraId="682F9D3B" w14:textId="7F7CA170" w:rsidR="0084257F" w:rsidRDefault="00A10132">
          <w:pPr>
            <w:pStyle w:val="TOC2"/>
            <w:tabs>
              <w:tab w:val="right" w:leader="dot" w:pos="9016"/>
            </w:tabs>
            <w:rPr>
              <w:noProof/>
            </w:rPr>
          </w:pPr>
          <w:hyperlink w:anchor="_Toc215418633" w:history="1">
            <w:r w:rsidR="0084257F" w:rsidRPr="0059218C">
              <w:rPr>
                <w:rStyle w:val="Hyperlink"/>
                <w:noProof/>
              </w:rPr>
              <w:t>Amply Prudential Report of Companies.</w:t>
            </w:r>
            <w:r w:rsidR="0084257F">
              <w:rPr>
                <w:noProof/>
                <w:webHidden/>
              </w:rPr>
              <w:tab/>
            </w:r>
            <w:r w:rsidR="0084257F">
              <w:rPr>
                <w:noProof/>
                <w:webHidden/>
              </w:rPr>
              <w:fldChar w:fldCharType="begin"/>
            </w:r>
            <w:r w:rsidR="0084257F">
              <w:rPr>
                <w:noProof/>
                <w:webHidden/>
              </w:rPr>
              <w:instrText xml:space="preserve"> PAGEREF _Toc215418633 \h </w:instrText>
            </w:r>
            <w:r w:rsidR="0084257F">
              <w:rPr>
                <w:noProof/>
                <w:webHidden/>
              </w:rPr>
            </w:r>
            <w:r w:rsidR="0084257F">
              <w:rPr>
                <w:noProof/>
                <w:webHidden/>
              </w:rPr>
              <w:fldChar w:fldCharType="separate"/>
            </w:r>
            <w:r w:rsidR="0084257F">
              <w:rPr>
                <w:noProof/>
                <w:webHidden/>
              </w:rPr>
              <w:t>2</w:t>
            </w:r>
            <w:r w:rsidR="0084257F">
              <w:rPr>
                <w:noProof/>
                <w:webHidden/>
              </w:rPr>
              <w:fldChar w:fldCharType="end"/>
            </w:r>
          </w:hyperlink>
        </w:p>
        <w:p w14:paraId="05AFC31E" w14:textId="1834D283" w:rsidR="0084257F" w:rsidRDefault="00A10132">
          <w:pPr>
            <w:pStyle w:val="TOC2"/>
            <w:tabs>
              <w:tab w:val="right" w:leader="dot" w:pos="9016"/>
            </w:tabs>
            <w:rPr>
              <w:noProof/>
            </w:rPr>
          </w:pPr>
          <w:hyperlink w:anchor="_Toc215418634" w:history="1">
            <w:r w:rsidR="0084257F" w:rsidRPr="0059218C">
              <w:rPr>
                <w:rStyle w:val="Hyperlink"/>
                <w:noProof/>
              </w:rPr>
              <w:t>Perform Ratio Analysis</w:t>
            </w:r>
            <w:r w:rsidR="0084257F">
              <w:rPr>
                <w:noProof/>
                <w:webHidden/>
              </w:rPr>
              <w:tab/>
            </w:r>
            <w:r w:rsidR="0084257F">
              <w:rPr>
                <w:noProof/>
                <w:webHidden/>
              </w:rPr>
              <w:fldChar w:fldCharType="begin"/>
            </w:r>
            <w:r w:rsidR="0084257F">
              <w:rPr>
                <w:noProof/>
                <w:webHidden/>
              </w:rPr>
              <w:instrText xml:space="preserve"> PAGEREF _Toc215418634 \h </w:instrText>
            </w:r>
            <w:r w:rsidR="0084257F">
              <w:rPr>
                <w:noProof/>
                <w:webHidden/>
              </w:rPr>
            </w:r>
            <w:r w:rsidR="0084257F">
              <w:rPr>
                <w:noProof/>
                <w:webHidden/>
              </w:rPr>
              <w:fldChar w:fldCharType="separate"/>
            </w:r>
            <w:r w:rsidR="0084257F">
              <w:rPr>
                <w:noProof/>
                <w:webHidden/>
              </w:rPr>
              <w:t>4</w:t>
            </w:r>
            <w:r w:rsidR="0084257F">
              <w:rPr>
                <w:noProof/>
                <w:webHidden/>
              </w:rPr>
              <w:fldChar w:fldCharType="end"/>
            </w:r>
          </w:hyperlink>
        </w:p>
        <w:p w14:paraId="42DD11D7" w14:textId="70C122EA" w:rsidR="0084257F" w:rsidRDefault="00A10132">
          <w:pPr>
            <w:pStyle w:val="TOC2"/>
            <w:tabs>
              <w:tab w:val="right" w:leader="dot" w:pos="9016"/>
            </w:tabs>
            <w:rPr>
              <w:noProof/>
            </w:rPr>
          </w:pPr>
          <w:hyperlink w:anchor="_Toc215418635" w:history="1">
            <w:r w:rsidR="0084257F" w:rsidRPr="0059218C">
              <w:rPr>
                <w:rStyle w:val="Hyperlink"/>
                <w:noProof/>
              </w:rPr>
              <w:t>Get Trends, Strengths, and Threats.</w:t>
            </w:r>
            <w:r w:rsidR="0084257F">
              <w:rPr>
                <w:noProof/>
                <w:webHidden/>
              </w:rPr>
              <w:tab/>
            </w:r>
            <w:r w:rsidR="0084257F">
              <w:rPr>
                <w:noProof/>
                <w:webHidden/>
              </w:rPr>
              <w:fldChar w:fldCharType="begin"/>
            </w:r>
            <w:r w:rsidR="0084257F">
              <w:rPr>
                <w:noProof/>
                <w:webHidden/>
              </w:rPr>
              <w:instrText xml:space="preserve"> PAGEREF _Toc215418635 \h </w:instrText>
            </w:r>
            <w:r w:rsidR="0084257F">
              <w:rPr>
                <w:noProof/>
                <w:webHidden/>
              </w:rPr>
            </w:r>
            <w:r w:rsidR="0084257F">
              <w:rPr>
                <w:noProof/>
                <w:webHidden/>
              </w:rPr>
              <w:fldChar w:fldCharType="separate"/>
            </w:r>
            <w:r w:rsidR="0084257F">
              <w:rPr>
                <w:noProof/>
                <w:webHidden/>
              </w:rPr>
              <w:t>5</w:t>
            </w:r>
            <w:r w:rsidR="0084257F">
              <w:rPr>
                <w:noProof/>
                <w:webHidden/>
              </w:rPr>
              <w:fldChar w:fldCharType="end"/>
            </w:r>
          </w:hyperlink>
        </w:p>
        <w:p w14:paraId="36024AEF" w14:textId="181F9BC4" w:rsidR="0084257F" w:rsidRDefault="00A10132">
          <w:pPr>
            <w:pStyle w:val="TOC2"/>
            <w:tabs>
              <w:tab w:val="right" w:leader="dot" w:pos="9016"/>
            </w:tabs>
            <w:rPr>
              <w:noProof/>
            </w:rPr>
          </w:pPr>
          <w:hyperlink w:anchor="_Toc215418636" w:history="1">
            <w:r w:rsidR="0084257F" w:rsidRPr="0059218C">
              <w:rPr>
                <w:rStyle w:val="Hyperlink"/>
                <w:noProof/>
              </w:rPr>
              <w:t>Prediction Models Application Corporate Failure (Altman Z-Score).</w:t>
            </w:r>
            <w:r w:rsidR="0084257F">
              <w:rPr>
                <w:noProof/>
                <w:webHidden/>
              </w:rPr>
              <w:tab/>
            </w:r>
            <w:r w:rsidR="0084257F">
              <w:rPr>
                <w:noProof/>
                <w:webHidden/>
              </w:rPr>
              <w:fldChar w:fldCharType="begin"/>
            </w:r>
            <w:r w:rsidR="0084257F">
              <w:rPr>
                <w:noProof/>
                <w:webHidden/>
              </w:rPr>
              <w:instrText xml:space="preserve"> PAGEREF _Toc215418636 \h </w:instrText>
            </w:r>
            <w:r w:rsidR="0084257F">
              <w:rPr>
                <w:noProof/>
                <w:webHidden/>
              </w:rPr>
            </w:r>
            <w:r w:rsidR="0084257F">
              <w:rPr>
                <w:noProof/>
                <w:webHidden/>
              </w:rPr>
              <w:fldChar w:fldCharType="separate"/>
            </w:r>
            <w:r w:rsidR="0084257F">
              <w:rPr>
                <w:noProof/>
                <w:webHidden/>
              </w:rPr>
              <w:t>5</w:t>
            </w:r>
            <w:r w:rsidR="0084257F">
              <w:rPr>
                <w:noProof/>
                <w:webHidden/>
              </w:rPr>
              <w:fldChar w:fldCharType="end"/>
            </w:r>
          </w:hyperlink>
        </w:p>
        <w:p w14:paraId="110186E6" w14:textId="24FBEF22" w:rsidR="0084257F" w:rsidRDefault="00A10132">
          <w:pPr>
            <w:pStyle w:val="TOC1"/>
            <w:tabs>
              <w:tab w:val="right" w:leader="dot" w:pos="9016"/>
            </w:tabs>
            <w:rPr>
              <w:noProof/>
            </w:rPr>
          </w:pPr>
          <w:hyperlink w:anchor="_Toc215418637" w:history="1">
            <w:r w:rsidR="0084257F" w:rsidRPr="0059218C">
              <w:rPr>
                <w:rStyle w:val="Hyperlink"/>
                <w:noProof/>
              </w:rPr>
              <w:t>3.0 Working Capital Management Analysis</w:t>
            </w:r>
            <w:r w:rsidR="0084257F">
              <w:rPr>
                <w:noProof/>
                <w:webHidden/>
              </w:rPr>
              <w:tab/>
            </w:r>
            <w:r w:rsidR="0084257F">
              <w:rPr>
                <w:noProof/>
                <w:webHidden/>
              </w:rPr>
              <w:fldChar w:fldCharType="begin"/>
            </w:r>
            <w:r w:rsidR="0084257F">
              <w:rPr>
                <w:noProof/>
                <w:webHidden/>
              </w:rPr>
              <w:instrText xml:space="preserve"> PAGEREF _Toc215418637 \h </w:instrText>
            </w:r>
            <w:r w:rsidR="0084257F">
              <w:rPr>
                <w:noProof/>
                <w:webHidden/>
              </w:rPr>
            </w:r>
            <w:r w:rsidR="0084257F">
              <w:rPr>
                <w:noProof/>
                <w:webHidden/>
              </w:rPr>
              <w:fldChar w:fldCharType="separate"/>
            </w:r>
            <w:r w:rsidR="0084257F">
              <w:rPr>
                <w:noProof/>
                <w:webHidden/>
              </w:rPr>
              <w:t>7</w:t>
            </w:r>
            <w:r w:rsidR="0084257F">
              <w:rPr>
                <w:noProof/>
                <w:webHidden/>
              </w:rPr>
              <w:fldChar w:fldCharType="end"/>
            </w:r>
          </w:hyperlink>
        </w:p>
        <w:p w14:paraId="02A0D164" w14:textId="71658166" w:rsidR="0084257F" w:rsidRDefault="00A10132">
          <w:pPr>
            <w:pStyle w:val="TOC2"/>
            <w:tabs>
              <w:tab w:val="right" w:leader="dot" w:pos="9016"/>
            </w:tabs>
            <w:rPr>
              <w:noProof/>
            </w:rPr>
          </w:pPr>
          <w:hyperlink w:anchor="_Toc215418638" w:history="1">
            <w:r w:rsidR="0084257F" w:rsidRPr="0059218C">
              <w:rPr>
                <w:rStyle w:val="Hyperlink"/>
                <w:noProof/>
              </w:rPr>
              <w:t>Suggestion of Liquidity-Enhancing Strategy.</w:t>
            </w:r>
            <w:r w:rsidR="0084257F">
              <w:rPr>
                <w:noProof/>
                <w:webHidden/>
              </w:rPr>
              <w:tab/>
            </w:r>
            <w:r w:rsidR="0084257F">
              <w:rPr>
                <w:noProof/>
                <w:webHidden/>
              </w:rPr>
              <w:fldChar w:fldCharType="begin"/>
            </w:r>
            <w:r w:rsidR="0084257F">
              <w:rPr>
                <w:noProof/>
                <w:webHidden/>
              </w:rPr>
              <w:instrText xml:space="preserve"> PAGEREF _Toc215418638 \h </w:instrText>
            </w:r>
            <w:r w:rsidR="0084257F">
              <w:rPr>
                <w:noProof/>
                <w:webHidden/>
              </w:rPr>
            </w:r>
            <w:r w:rsidR="0084257F">
              <w:rPr>
                <w:noProof/>
                <w:webHidden/>
              </w:rPr>
              <w:fldChar w:fldCharType="separate"/>
            </w:r>
            <w:r w:rsidR="0084257F">
              <w:rPr>
                <w:noProof/>
                <w:webHidden/>
              </w:rPr>
              <w:t>7</w:t>
            </w:r>
            <w:r w:rsidR="0084257F">
              <w:rPr>
                <w:noProof/>
                <w:webHidden/>
              </w:rPr>
              <w:fldChar w:fldCharType="end"/>
            </w:r>
          </w:hyperlink>
        </w:p>
        <w:p w14:paraId="6E8DA6C4" w14:textId="5B3FF078" w:rsidR="0084257F" w:rsidRDefault="00A10132">
          <w:pPr>
            <w:pStyle w:val="TOC2"/>
            <w:tabs>
              <w:tab w:val="right" w:leader="dot" w:pos="9016"/>
            </w:tabs>
            <w:rPr>
              <w:noProof/>
            </w:rPr>
          </w:pPr>
          <w:hyperlink w:anchor="_Toc215418639" w:history="1">
            <w:r w:rsidR="0084257F" w:rsidRPr="0059218C">
              <w:rPr>
                <w:rStyle w:val="Hyperlink"/>
                <w:noProof/>
              </w:rPr>
              <w:t>Compare Short-Term vs Long-Term Financing Options</w:t>
            </w:r>
            <w:r w:rsidR="0084257F">
              <w:rPr>
                <w:noProof/>
                <w:webHidden/>
              </w:rPr>
              <w:tab/>
            </w:r>
            <w:r w:rsidR="0084257F">
              <w:rPr>
                <w:noProof/>
                <w:webHidden/>
              </w:rPr>
              <w:fldChar w:fldCharType="begin"/>
            </w:r>
            <w:r w:rsidR="0084257F">
              <w:rPr>
                <w:noProof/>
                <w:webHidden/>
              </w:rPr>
              <w:instrText xml:space="preserve"> PAGEREF _Toc215418639 \h </w:instrText>
            </w:r>
            <w:r w:rsidR="0084257F">
              <w:rPr>
                <w:noProof/>
                <w:webHidden/>
              </w:rPr>
            </w:r>
            <w:r w:rsidR="0084257F">
              <w:rPr>
                <w:noProof/>
                <w:webHidden/>
              </w:rPr>
              <w:fldChar w:fldCharType="separate"/>
            </w:r>
            <w:r w:rsidR="0084257F">
              <w:rPr>
                <w:noProof/>
                <w:webHidden/>
              </w:rPr>
              <w:t>8</w:t>
            </w:r>
            <w:r w:rsidR="0084257F">
              <w:rPr>
                <w:noProof/>
                <w:webHidden/>
              </w:rPr>
              <w:fldChar w:fldCharType="end"/>
            </w:r>
          </w:hyperlink>
        </w:p>
        <w:p w14:paraId="4B43AB4F" w14:textId="74438E9F" w:rsidR="0084257F" w:rsidRDefault="00A10132">
          <w:pPr>
            <w:pStyle w:val="TOC3"/>
            <w:tabs>
              <w:tab w:val="right" w:leader="dot" w:pos="9016"/>
            </w:tabs>
            <w:rPr>
              <w:noProof/>
            </w:rPr>
          </w:pPr>
          <w:hyperlink w:anchor="_Toc215418640" w:history="1">
            <w:r w:rsidR="0084257F" w:rsidRPr="0059218C">
              <w:rPr>
                <w:rStyle w:val="Hyperlink"/>
                <w:noProof/>
              </w:rPr>
              <w:t>Short-Term Financing:</w:t>
            </w:r>
            <w:r w:rsidR="0084257F">
              <w:rPr>
                <w:noProof/>
                <w:webHidden/>
              </w:rPr>
              <w:tab/>
            </w:r>
            <w:r w:rsidR="0084257F">
              <w:rPr>
                <w:noProof/>
                <w:webHidden/>
              </w:rPr>
              <w:fldChar w:fldCharType="begin"/>
            </w:r>
            <w:r w:rsidR="0084257F">
              <w:rPr>
                <w:noProof/>
                <w:webHidden/>
              </w:rPr>
              <w:instrText xml:space="preserve"> PAGEREF _Toc215418640 \h </w:instrText>
            </w:r>
            <w:r w:rsidR="0084257F">
              <w:rPr>
                <w:noProof/>
                <w:webHidden/>
              </w:rPr>
            </w:r>
            <w:r w:rsidR="0084257F">
              <w:rPr>
                <w:noProof/>
                <w:webHidden/>
              </w:rPr>
              <w:fldChar w:fldCharType="separate"/>
            </w:r>
            <w:r w:rsidR="0084257F">
              <w:rPr>
                <w:noProof/>
                <w:webHidden/>
              </w:rPr>
              <w:t>8</w:t>
            </w:r>
            <w:r w:rsidR="0084257F">
              <w:rPr>
                <w:noProof/>
                <w:webHidden/>
              </w:rPr>
              <w:fldChar w:fldCharType="end"/>
            </w:r>
          </w:hyperlink>
        </w:p>
        <w:p w14:paraId="7E0FDB13" w14:textId="06584200" w:rsidR="0084257F" w:rsidRDefault="00A10132">
          <w:pPr>
            <w:pStyle w:val="TOC3"/>
            <w:tabs>
              <w:tab w:val="right" w:leader="dot" w:pos="9016"/>
            </w:tabs>
            <w:rPr>
              <w:noProof/>
            </w:rPr>
          </w:pPr>
          <w:hyperlink w:anchor="_Toc215418641" w:history="1">
            <w:r w:rsidR="0084257F" w:rsidRPr="0059218C">
              <w:rPr>
                <w:rStyle w:val="Hyperlink"/>
                <w:noProof/>
              </w:rPr>
              <w:t>Long-Term Financing:</w:t>
            </w:r>
            <w:r w:rsidR="0084257F">
              <w:rPr>
                <w:noProof/>
                <w:webHidden/>
              </w:rPr>
              <w:tab/>
            </w:r>
            <w:r w:rsidR="0084257F">
              <w:rPr>
                <w:noProof/>
                <w:webHidden/>
              </w:rPr>
              <w:fldChar w:fldCharType="begin"/>
            </w:r>
            <w:r w:rsidR="0084257F">
              <w:rPr>
                <w:noProof/>
                <w:webHidden/>
              </w:rPr>
              <w:instrText xml:space="preserve"> PAGEREF _Toc215418641 \h </w:instrText>
            </w:r>
            <w:r w:rsidR="0084257F">
              <w:rPr>
                <w:noProof/>
                <w:webHidden/>
              </w:rPr>
            </w:r>
            <w:r w:rsidR="0084257F">
              <w:rPr>
                <w:noProof/>
                <w:webHidden/>
              </w:rPr>
              <w:fldChar w:fldCharType="separate"/>
            </w:r>
            <w:r w:rsidR="0084257F">
              <w:rPr>
                <w:noProof/>
                <w:webHidden/>
              </w:rPr>
              <w:t>9</w:t>
            </w:r>
            <w:r w:rsidR="0084257F">
              <w:rPr>
                <w:noProof/>
                <w:webHidden/>
              </w:rPr>
              <w:fldChar w:fldCharType="end"/>
            </w:r>
          </w:hyperlink>
        </w:p>
        <w:p w14:paraId="41545EE4" w14:textId="33FD8B5D" w:rsidR="0084257F" w:rsidRDefault="00A10132">
          <w:pPr>
            <w:pStyle w:val="TOC1"/>
            <w:tabs>
              <w:tab w:val="right" w:leader="dot" w:pos="9016"/>
            </w:tabs>
            <w:rPr>
              <w:noProof/>
            </w:rPr>
          </w:pPr>
          <w:hyperlink w:anchor="_Toc215418642" w:history="1">
            <w:r w:rsidR="0084257F" w:rsidRPr="0059218C">
              <w:rPr>
                <w:rStyle w:val="Hyperlink"/>
                <w:noProof/>
              </w:rPr>
              <w:t>4.0 Strategic Financial Restructuring Plan</w:t>
            </w:r>
            <w:r w:rsidR="0084257F">
              <w:rPr>
                <w:noProof/>
                <w:webHidden/>
              </w:rPr>
              <w:tab/>
            </w:r>
            <w:r w:rsidR="0084257F">
              <w:rPr>
                <w:noProof/>
                <w:webHidden/>
              </w:rPr>
              <w:fldChar w:fldCharType="begin"/>
            </w:r>
            <w:r w:rsidR="0084257F">
              <w:rPr>
                <w:noProof/>
                <w:webHidden/>
              </w:rPr>
              <w:instrText xml:space="preserve"> PAGEREF _Toc215418642 \h </w:instrText>
            </w:r>
            <w:r w:rsidR="0084257F">
              <w:rPr>
                <w:noProof/>
                <w:webHidden/>
              </w:rPr>
            </w:r>
            <w:r w:rsidR="0084257F">
              <w:rPr>
                <w:noProof/>
                <w:webHidden/>
              </w:rPr>
              <w:fldChar w:fldCharType="separate"/>
            </w:r>
            <w:r w:rsidR="0084257F">
              <w:rPr>
                <w:noProof/>
                <w:webHidden/>
              </w:rPr>
              <w:t>11</w:t>
            </w:r>
            <w:r w:rsidR="0084257F">
              <w:rPr>
                <w:noProof/>
                <w:webHidden/>
              </w:rPr>
              <w:fldChar w:fldCharType="end"/>
            </w:r>
          </w:hyperlink>
        </w:p>
        <w:p w14:paraId="5CC91563" w14:textId="226481F4" w:rsidR="0084257F" w:rsidRDefault="00A10132">
          <w:pPr>
            <w:pStyle w:val="TOC2"/>
            <w:tabs>
              <w:tab w:val="right" w:leader="dot" w:pos="9016"/>
            </w:tabs>
            <w:rPr>
              <w:noProof/>
            </w:rPr>
          </w:pPr>
          <w:hyperlink w:anchor="_Toc215418643" w:history="1">
            <w:r w:rsidR="0084257F" w:rsidRPr="0059218C">
              <w:rPr>
                <w:rStyle w:val="Hyperlink"/>
                <w:noProof/>
              </w:rPr>
              <w:t>4.1 Propose Financial Restructuring Alternatives.</w:t>
            </w:r>
            <w:r w:rsidR="0084257F">
              <w:rPr>
                <w:noProof/>
                <w:webHidden/>
              </w:rPr>
              <w:tab/>
            </w:r>
            <w:r w:rsidR="0084257F">
              <w:rPr>
                <w:noProof/>
                <w:webHidden/>
              </w:rPr>
              <w:fldChar w:fldCharType="begin"/>
            </w:r>
            <w:r w:rsidR="0084257F">
              <w:rPr>
                <w:noProof/>
                <w:webHidden/>
              </w:rPr>
              <w:instrText xml:space="preserve"> PAGEREF _Toc215418643 \h </w:instrText>
            </w:r>
            <w:r w:rsidR="0084257F">
              <w:rPr>
                <w:noProof/>
                <w:webHidden/>
              </w:rPr>
            </w:r>
            <w:r w:rsidR="0084257F">
              <w:rPr>
                <w:noProof/>
                <w:webHidden/>
              </w:rPr>
              <w:fldChar w:fldCharType="separate"/>
            </w:r>
            <w:r w:rsidR="0084257F">
              <w:rPr>
                <w:noProof/>
                <w:webHidden/>
              </w:rPr>
              <w:t>11</w:t>
            </w:r>
            <w:r w:rsidR="0084257F">
              <w:rPr>
                <w:noProof/>
                <w:webHidden/>
              </w:rPr>
              <w:fldChar w:fldCharType="end"/>
            </w:r>
          </w:hyperlink>
        </w:p>
        <w:p w14:paraId="29465886" w14:textId="3F188EDD" w:rsidR="0084257F" w:rsidRDefault="00A10132">
          <w:pPr>
            <w:pStyle w:val="TOC2"/>
            <w:tabs>
              <w:tab w:val="right" w:leader="dot" w:pos="9016"/>
            </w:tabs>
            <w:rPr>
              <w:noProof/>
            </w:rPr>
          </w:pPr>
          <w:hyperlink w:anchor="_Toc215418644" w:history="1">
            <w:r w:rsidR="0084257F" w:rsidRPr="0059218C">
              <w:rPr>
                <w:rStyle w:val="Hyperlink"/>
                <w:noProof/>
              </w:rPr>
              <w:t>4.2 Evaluate Impact on Shareholder Value, Debt Structure, and Operational Flexibility</w:t>
            </w:r>
            <w:r w:rsidR="0084257F">
              <w:rPr>
                <w:noProof/>
                <w:webHidden/>
              </w:rPr>
              <w:tab/>
            </w:r>
            <w:r w:rsidR="0084257F">
              <w:rPr>
                <w:noProof/>
                <w:webHidden/>
              </w:rPr>
              <w:fldChar w:fldCharType="begin"/>
            </w:r>
            <w:r w:rsidR="0084257F">
              <w:rPr>
                <w:noProof/>
                <w:webHidden/>
              </w:rPr>
              <w:instrText xml:space="preserve"> PAGEREF _Toc215418644 \h </w:instrText>
            </w:r>
            <w:r w:rsidR="0084257F">
              <w:rPr>
                <w:noProof/>
                <w:webHidden/>
              </w:rPr>
            </w:r>
            <w:r w:rsidR="0084257F">
              <w:rPr>
                <w:noProof/>
                <w:webHidden/>
              </w:rPr>
              <w:fldChar w:fldCharType="separate"/>
            </w:r>
            <w:r w:rsidR="0084257F">
              <w:rPr>
                <w:noProof/>
                <w:webHidden/>
              </w:rPr>
              <w:t>13</w:t>
            </w:r>
            <w:r w:rsidR="0084257F">
              <w:rPr>
                <w:noProof/>
                <w:webHidden/>
              </w:rPr>
              <w:fldChar w:fldCharType="end"/>
            </w:r>
          </w:hyperlink>
        </w:p>
        <w:p w14:paraId="0ABED331" w14:textId="6B0E2F28" w:rsidR="0084257F" w:rsidRDefault="00A10132">
          <w:pPr>
            <w:pStyle w:val="TOC2"/>
            <w:tabs>
              <w:tab w:val="right" w:leader="dot" w:pos="9016"/>
            </w:tabs>
            <w:rPr>
              <w:noProof/>
            </w:rPr>
          </w:pPr>
          <w:hyperlink w:anchor="_Toc215418645" w:history="1">
            <w:r w:rsidR="0084257F" w:rsidRPr="0059218C">
              <w:rPr>
                <w:rStyle w:val="Hyperlink"/>
                <w:noProof/>
              </w:rPr>
              <w:t>4.3 International and Ethical Considerations</w:t>
            </w:r>
            <w:r w:rsidR="0084257F">
              <w:rPr>
                <w:noProof/>
                <w:webHidden/>
              </w:rPr>
              <w:tab/>
            </w:r>
            <w:r w:rsidR="0084257F">
              <w:rPr>
                <w:noProof/>
                <w:webHidden/>
              </w:rPr>
              <w:fldChar w:fldCharType="begin"/>
            </w:r>
            <w:r w:rsidR="0084257F">
              <w:rPr>
                <w:noProof/>
                <w:webHidden/>
              </w:rPr>
              <w:instrText xml:space="preserve"> PAGEREF _Toc215418645 \h </w:instrText>
            </w:r>
            <w:r w:rsidR="0084257F">
              <w:rPr>
                <w:noProof/>
                <w:webHidden/>
              </w:rPr>
            </w:r>
            <w:r w:rsidR="0084257F">
              <w:rPr>
                <w:noProof/>
                <w:webHidden/>
              </w:rPr>
              <w:fldChar w:fldCharType="separate"/>
            </w:r>
            <w:r w:rsidR="0084257F">
              <w:rPr>
                <w:noProof/>
                <w:webHidden/>
              </w:rPr>
              <w:t>13</w:t>
            </w:r>
            <w:r w:rsidR="0084257F">
              <w:rPr>
                <w:noProof/>
                <w:webHidden/>
              </w:rPr>
              <w:fldChar w:fldCharType="end"/>
            </w:r>
          </w:hyperlink>
        </w:p>
        <w:p w14:paraId="55B8AF5A" w14:textId="580408CA" w:rsidR="0084257F" w:rsidRDefault="00A10132">
          <w:pPr>
            <w:pStyle w:val="TOC1"/>
            <w:tabs>
              <w:tab w:val="right" w:leader="dot" w:pos="9016"/>
            </w:tabs>
            <w:rPr>
              <w:noProof/>
            </w:rPr>
          </w:pPr>
          <w:hyperlink w:anchor="_Toc215418646" w:history="1">
            <w:r w:rsidR="0084257F" w:rsidRPr="0059218C">
              <w:rPr>
                <w:rStyle w:val="Hyperlink"/>
                <w:noProof/>
              </w:rPr>
              <w:t>5.0 Investment Appraisal and Capital Budgeting</w:t>
            </w:r>
            <w:r w:rsidR="0084257F">
              <w:rPr>
                <w:noProof/>
                <w:webHidden/>
              </w:rPr>
              <w:tab/>
            </w:r>
            <w:r w:rsidR="0084257F">
              <w:rPr>
                <w:noProof/>
                <w:webHidden/>
              </w:rPr>
              <w:fldChar w:fldCharType="begin"/>
            </w:r>
            <w:r w:rsidR="0084257F">
              <w:rPr>
                <w:noProof/>
                <w:webHidden/>
              </w:rPr>
              <w:instrText xml:space="preserve"> PAGEREF _Toc215418646 \h </w:instrText>
            </w:r>
            <w:r w:rsidR="0084257F">
              <w:rPr>
                <w:noProof/>
                <w:webHidden/>
              </w:rPr>
            </w:r>
            <w:r w:rsidR="0084257F">
              <w:rPr>
                <w:noProof/>
                <w:webHidden/>
              </w:rPr>
              <w:fldChar w:fldCharType="separate"/>
            </w:r>
            <w:r w:rsidR="0084257F">
              <w:rPr>
                <w:noProof/>
                <w:webHidden/>
              </w:rPr>
              <w:t>16</w:t>
            </w:r>
            <w:r w:rsidR="0084257F">
              <w:rPr>
                <w:noProof/>
                <w:webHidden/>
              </w:rPr>
              <w:fldChar w:fldCharType="end"/>
            </w:r>
          </w:hyperlink>
        </w:p>
        <w:p w14:paraId="292C0483" w14:textId="6CB6CF86" w:rsidR="0084257F" w:rsidRDefault="00A10132">
          <w:pPr>
            <w:pStyle w:val="TOC2"/>
            <w:tabs>
              <w:tab w:val="right" w:leader="dot" w:pos="9016"/>
            </w:tabs>
            <w:rPr>
              <w:noProof/>
            </w:rPr>
          </w:pPr>
          <w:hyperlink w:anchor="_Toc215418647" w:history="1">
            <w:r w:rsidR="0084257F" w:rsidRPr="0059218C">
              <w:rPr>
                <w:rStyle w:val="Hyperlink"/>
                <w:noProof/>
              </w:rPr>
              <w:t>5.1 Comments on Proposed Investment Projects Using PBP, ARR, and NPV</w:t>
            </w:r>
            <w:r w:rsidR="0084257F">
              <w:rPr>
                <w:noProof/>
                <w:webHidden/>
              </w:rPr>
              <w:tab/>
            </w:r>
            <w:r w:rsidR="0084257F">
              <w:rPr>
                <w:noProof/>
                <w:webHidden/>
              </w:rPr>
              <w:fldChar w:fldCharType="begin"/>
            </w:r>
            <w:r w:rsidR="0084257F">
              <w:rPr>
                <w:noProof/>
                <w:webHidden/>
              </w:rPr>
              <w:instrText xml:space="preserve"> PAGEREF _Toc215418647 \h </w:instrText>
            </w:r>
            <w:r w:rsidR="0084257F">
              <w:rPr>
                <w:noProof/>
                <w:webHidden/>
              </w:rPr>
            </w:r>
            <w:r w:rsidR="0084257F">
              <w:rPr>
                <w:noProof/>
                <w:webHidden/>
              </w:rPr>
              <w:fldChar w:fldCharType="separate"/>
            </w:r>
            <w:r w:rsidR="0084257F">
              <w:rPr>
                <w:noProof/>
                <w:webHidden/>
              </w:rPr>
              <w:t>16</w:t>
            </w:r>
            <w:r w:rsidR="0084257F">
              <w:rPr>
                <w:noProof/>
                <w:webHidden/>
              </w:rPr>
              <w:fldChar w:fldCharType="end"/>
            </w:r>
          </w:hyperlink>
        </w:p>
        <w:p w14:paraId="18B5CFE3" w14:textId="211F2B17" w:rsidR="0084257F" w:rsidRDefault="00A10132">
          <w:pPr>
            <w:pStyle w:val="TOC2"/>
            <w:tabs>
              <w:tab w:val="right" w:leader="dot" w:pos="9016"/>
            </w:tabs>
            <w:rPr>
              <w:noProof/>
            </w:rPr>
          </w:pPr>
          <w:hyperlink w:anchor="_Toc215418648" w:history="1">
            <w:r w:rsidR="0084257F" w:rsidRPr="0059218C">
              <w:rPr>
                <w:rStyle w:val="Hyperlink"/>
                <w:noProof/>
              </w:rPr>
              <w:t>5.2 Final Investment Recommendation: Assuming Capital Rationing</w:t>
            </w:r>
            <w:r w:rsidR="0084257F">
              <w:rPr>
                <w:noProof/>
                <w:webHidden/>
              </w:rPr>
              <w:tab/>
            </w:r>
            <w:r w:rsidR="0084257F">
              <w:rPr>
                <w:noProof/>
                <w:webHidden/>
              </w:rPr>
              <w:fldChar w:fldCharType="begin"/>
            </w:r>
            <w:r w:rsidR="0084257F">
              <w:rPr>
                <w:noProof/>
                <w:webHidden/>
              </w:rPr>
              <w:instrText xml:space="preserve"> PAGEREF _Toc215418648 \h </w:instrText>
            </w:r>
            <w:r w:rsidR="0084257F">
              <w:rPr>
                <w:noProof/>
                <w:webHidden/>
              </w:rPr>
            </w:r>
            <w:r w:rsidR="0084257F">
              <w:rPr>
                <w:noProof/>
                <w:webHidden/>
              </w:rPr>
              <w:fldChar w:fldCharType="separate"/>
            </w:r>
            <w:r w:rsidR="0084257F">
              <w:rPr>
                <w:noProof/>
                <w:webHidden/>
              </w:rPr>
              <w:t>17</w:t>
            </w:r>
            <w:r w:rsidR="0084257F">
              <w:rPr>
                <w:noProof/>
                <w:webHidden/>
              </w:rPr>
              <w:fldChar w:fldCharType="end"/>
            </w:r>
          </w:hyperlink>
        </w:p>
        <w:p w14:paraId="11F4F715" w14:textId="733ADD72" w:rsidR="0084257F" w:rsidRDefault="00A10132">
          <w:pPr>
            <w:pStyle w:val="TOC2"/>
            <w:tabs>
              <w:tab w:val="right" w:leader="dot" w:pos="9016"/>
            </w:tabs>
            <w:rPr>
              <w:noProof/>
            </w:rPr>
          </w:pPr>
          <w:hyperlink w:anchor="_Toc215418649" w:history="1">
            <w:r w:rsidR="0084257F" w:rsidRPr="0059218C">
              <w:rPr>
                <w:rStyle w:val="Hyperlink"/>
                <w:noProof/>
              </w:rPr>
              <w:t>5.3 Justification for the Recommendation</w:t>
            </w:r>
            <w:r w:rsidR="0084257F">
              <w:rPr>
                <w:noProof/>
                <w:webHidden/>
              </w:rPr>
              <w:tab/>
            </w:r>
            <w:r w:rsidR="0084257F">
              <w:rPr>
                <w:noProof/>
                <w:webHidden/>
              </w:rPr>
              <w:fldChar w:fldCharType="begin"/>
            </w:r>
            <w:r w:rsidR="0084257F">
              <w:rPr>
                <w:noProof/>
                <w:webHidden/>
              </w:rPr>
              <w:instrText xml:space="preserve"> PAGEREF _Toc215418649 \h </w:instrText>
            </w:r>
            <w:r w:rsidR="0084257F">
              <w:rPr>
                <w:noProof/>
                <w:webHidden/>
              </w:rPr>
            </w:r>
            <w:r w:rsidR="0084257F">
              <w:rPr>
                <w:noProof/>
                <w:webHidden/>
              </w:rPr>
              <w:fldChar w:fldCharType="separate"/>
            </w:r>
            <w:r w:rsidR="0084257F">
              <w:rPr>
                <w:noProof/>
                <w:webHidden/>
              </w:rPr>
              <w:t>18</w:t>
            </w:r>
            <w:r w:rsidR="0084257F">
              <w:rPr>
                <w:noProof/>
                <w:webHidden/>
              </w:rPr>
              <w:fldChar w:fldCharType="end"/>
            </w:r>
          </w:hyperlink>
        </w:p>
        <w:p w14:paraId="7DB79C45" w14:textId="3E4B7CAA" w:rsidR="0084257F" w:rsidRDefault="00A10132">
          <w:pPr>
            <w:pStyle w:val="TOC1"/>
            <w:tabs>
              <w:tab w:val="right" w:leader="dot" w:pos="9016"/>
            </w:tabs>
            <w:rPr>
              <w:noProof/>
            </w:rPr>
          </w:pPr>
          <w:hyperlink w:anchor="_Toc215418650" w:history="1">
            <w:r w:rsidR="0084257F" w:rsidRPr="0059218C">
              <w:rPr>
                <w:rStyle w:val="Hyperlink"/>
                <w:noProof/>
              </w:rPr>
              <w:t>6.0 Conclusion</w:t>
            </w:r>
            <w:r w:rsidR="0084257F">
              <w:rPr>
                <w:noProof/>
                <w:webHidden/>
              </w:rPr>
              <w:tab/>
            </w:r>
            <w:r w:rsidR="0084257F">
              <w:rPr>
                <w:noProof/>
                <w:webHidden/>
              </w:rPr>
              <w:fldChar w:fldCharType="begin"/>
            </w:r>
            <w:r w:rsidR="0084257F">
              <w:rPr>
                <w:noProof/>
                <w:webHidden/>
              </w:rPr>
              <w:instrText xml:space="preserve"> PAGEREF _Toc215418650 \h </w:instrText>
            </w:r>
            <w:r w:rsidR="0084257F">
              <w:rPr>
                <w:noProof/>
                <w:webHidden/>
              </w:rPr>
            </w:r>
            <w:r w:rsidR="0084257F">
              <w:rPr>
                <w:noProof/>
                <w:webHidden/>
              </w:rPr>
              <w:fldChar w:fldCharType="separate"/>
            </w:r>
            <w:r w:rsidR="0084257F">
              <w:rPr>
                <w:noProof/>
                <w:webHidden/>
              </w:rPr>
              <w:t>20</w:t>
            </w:r>
            <w:r w:rsidR="0084257F">
              <w:rPr>
                <w:noProof/>
                <w:webHidden/>
              </w:rPr>
              <w:fldChar w:fldCharType="end"/>
            </w:r>
          </w:hyperlink>
        </w:p>
        <w:p w14:paraId="07F2F363" w14:textId="503AE1DE" w:rsidR="0084257F" w:rsidRDefault="00A10132">
          <w:pPr>
            <w:pStyle w:val="TOC1"/>
            <w:tabs>
              <w:tab w:val="right" w:leader="dot" w:pos="9016"/>
            </w:tabs>
            <w:rPr>
              <w:noProof/>
            </w:rPr>
          </w:pPr>
          <w:hyperlink w:anchor="_Toc215418651" w:history="1">
            <w:r w:rsidR="0084257F" w:rsidRPr="0059218C">
              <w:rPr>
                <w:rStyle w:val="Hyperlink"/>
                <w:noProof/>
              </w:rPr>
              <w:t>7.0 References</w:t>
            </w:r>
            <w:r w:rsidR="0084257F">
              <w:rPr>
                <w:noProof/>
                <w:webHidden/>
              </w:rPr>
              <w:tab/>
            </w:r>
            <w:r w:rsidR="0084257F">
              <w:rPr>
                <w:noProof/>
                <w:webHidden/>
              </w:rPr>
              <w:fldChar w:fldCharType="begin"/>
            </w:r>
            <w:r w:rsidR="0084257F">
              <w:rPr>
                <w:noProof/>
                <w:webHidden/>
              </w:rPr>
              <w:instrText xml:space="preserve"> PAGEREF _Toc215418651 \h </w:instrText>
            </w:r>
            <w:r w:rsidR="0084257F">
              <w:rPr>
                <w:noProof/>
                <w:webHidden/>
              </w:rPr>
            </w:r>
            <w:r w:rsidR="0084257F">
              <w:rPr>
                <w:noProof/>
                <w:webHidden/>
              </w:rPr>
              <w:fldChar w:fldCharType="separate"/>
            </w:r>
            <w:r w:rsidR="0084257F">
              <w:rPr>
                <w:noProof/>
                <w:webHidden/>
              </w:rPr>
              <w:t>21</w:t>
            </w:r>
            <w:r w:rsidR="0084257F">
              <w:rPr>
                <w:noProof/>
                <w:webHidden/>
              </w:rPr>
              <w:fldChar w:fldCharType="end"/>
            </w:r>
          </w:hyperlink>
        </w:p>
        <w:p w14:paraId="0E6FDB3C" w14:textId="26C37212" w:rsidR="0084257F" w:rsidRDefault="00A10132">
          <w:pPr>
            <w:pStyle w:val="TOC1"/>
            <w:tabs>
              <w:tab w:val="right" w:leader="dot" w:pos="9016"/>
            </w:tabs>
            <w:rPr>
              <w:noProof/>
            </w:rPr>
          </w:pPr>
          <w:hyperlink w:anchor="_Toc215418652" w:history="1">
            <w:r w:rsidR="0084257F" w:rsidRPr="0059218C">
              <w:rPr>
                <w:rStyle w:val="Hyperlink"/>
                <w:noProof/>
              </w:rPr>
              <w:t>Appendix</w:t>
            </w:r>
            <w:r w:rsidR="0084257F">
              <w:rPr>
                <w:noProof/>
                <w:webHidden/>
              </w:rPr>
              <w:tab/>
            </w:r>
            <w:r w:rsidR="0084257F">
              <w:rPr>
                <w:noProof/>
                <w:webHidden/>
              </w:rPr>
              <w:fldChar w:fldCharType="begin"/>
            </w:r>
            <w:r w:rsidR="0084257F">
              <w:rPr>
                <w:noProof/>
                <w:webHidden/>
              </w:rPr>
              <w:instrText xml:space="preserve"> PAGEREF _Toc215418652 \h </w:instrText>
            </w:r>
            <w:r w:rsidR="0084257F">
              <w:rPr>
                <w:noProof/>
                <w:webHidden/>
              </w:rPr>
            </w:r>
            <w:r w:rsidR="0084257F">
              <w:rPr>
                <w:noProof/>
                <w:webHidden/>
              </w:rPr>
              <w:fldChar w:fldCharType="separate"/>
            </w:r>
            <w:r w:rsidR="0084257F">
              <w:rPr>
                <w:noProof/>
                <w:webHidden/>
              </w:rPr>
              <w:t>24</w:t>
            </w:r>
            <w:r w:rsidR="0084257F">
              <w:rPr>
                <w:noProof/>
                <w:webHidden/>
              </w:rPr>
              <w:fldChar w:fldCharType="end"/>
            </w:r>
          </w:hyperlink>
        </w:p>
        <w:p w14:paraId="743A3E19" w14:textId="02D7EA93" w:rsidR="0084257F" w:rsidRDefault="00A10132">
          <w:pPr>
            <w:pStyle w:val="TOC2"/>
            <w:tabs>
              <w:tab w:val="right" w:leader="dot" w:pos="9016"/>
            </w:tabs>
            <w:rPr>
              <w:noProof/>
            </w:rPr>
          </w:pPr>
          <w:hyperlink w:anchor="_Toc215418653" w:history="1">
            <w:r w:rsidR="0084257F" w:rsidRPr="0059218C">
              <w:rPr>
                <w:rStyle w:val="Hyperlink"/>
                <w:noProof/>
              </w:rPr>
              <w:t>Appendix A- Ratio Analysis</w:t>
            </w:r>
            <w:r w:rsidR="0084257F">
              <w:rPr>
                <w:noProof/>
                <w:webHidden/>
              </w:rPr>
              <w:tab/>
            </w:r>
            <w:r w:rsidR="0084257F">
              <w:rPr>
                <w:noProof/>
                <w:webHidden/>
              </w:rPr>
              <w:fldChar w:fldCharType="begin"/>
            </w:r>
            <w:r w:rsidR="0084257F">
              <w:rPr>
                <w:noProof/>
                <w:webHidden/>
              </w:rPr>
              <w:instrText xml:space="preserve"> PAGEREF _Toc215418653 \h </w:instrText>
            </w:r>
            <w:r w:rsidR="0084257F">
              <w:rPr>
                <w:noProof/>
                <w:webHidden/>
              </w:rPr>
            </w:r>
            <w:r w:rsidR="0084257F">
              <w:rPr>
                <w:noProof/>
                <w:webHidden/>
              </w:rPr>
              <w:fldChar w:fldCharType="separate"/>
            </w:r>
            <w:r w:rsidR="0084257F">
              <w:rPr>
                <w:noProof/>
                <w:webHidden/>
              </w:rPr>
              <w:t>24</w:t>
            </w:r>
            <w:r w:rsidR="0084257F">
              <w:rPr>
                <w:noProof/>
                <w:webHidden/>
              </w:rPr>
              <w:fldChar w:fldCharType="end"/>
            </w:r>
          </w:hyperlink>
        </w:p>
        <w:p w14:paraId="796D32D9" w14:textId="590F85A2" w:rsidR="0084257F" w:rsidRDefault="00A10132">
          <w:pPr>
            <w:pStyle w:val="TOC2"/>
            <w:tabs>
              <w:tab w:val="right" w:leader="dot" w:pos="9016"/>
            </w:tabs>
            <w:rPr>
              <w:noProof/>
            </w:rPr>
          </w:pPr>
          <w:hyperlink w:anchor="_Toc215418654" w:history="1">
            <w:r w:rsidR="0084257F" w:rsidRPr="0059218C">
              <w:rPr>
                <w:rStyle w:val="Hyperlink"/>
                <w:noProof/>
              </w:rPr>
              <w:t>Appendix B Working Capital Analysis</w:t>
            </w:r>
            <w:r w:rsidR="0084257F">
              <w:rPr>
                <w:noProof/>
                <w:webHidden/>
              </w:rPr>
              <w:tab/>
            </w:r>
            <w:r w:rsidR="0084257F">
              <w:rPr>
                <w:noProof/>
                <w:webHidden/>
              </w:rPr>
              <w:fldChar w:fldCharType="begin"/>
            </w:r>
            <w:r w:rsidR="0084257F">
              <w:rPr>
                <w:noProof/>
                <w:webHidden/>
              </w:rPr>
              <w:instrText xml:space="preserve"> PAGEREF _Toc215418654 \h </w:instrText>
            </w:r>
            <w:r w:rsidR="0084257F">
              <w:rPr>
                <w:noProof/>
                <w:webHidden/>
              </w:rPr>
            </w:r>
            <w:r w:rsidR="0084257F">
              <w:rPr>
                <w:noProof/>
                <w:webHidden/>
              </w:rPr>
              <w:fldChar w:fldCharType="separate"/>
            </w:r>
            <w:r w:rsidR="0084257F">
              <w:rPr>
                <w:noProof/>
                <w:webHidden/>
              </w:rPr>
              <w:t>31</w:t>
            </w:r>
            <w:r w:rsidR="0084257F">
              <w:rPr>
                <w:noProof/>
                <w:webHidden/>
              </w:rPr>
              <w:fldChar w:fldCharType="end"/>
            </w:r>
          </w:hyperlink>
        </w:p>
        <w:p w14:paraId="6D44B314" w14:textId="1A8A6508" w:rsidR="0084257F" w:rsidRDefault="00A10132">
          <w:pPr>
            <w:pStyle w:val="TOC2"/>
            <w:tabs>
              <w:tab w:val="right" w:leader="dot" w:pos="9016"/>
            </w:tabs>
            <w:rPr>
              <w:noProof/>
            </w:rPr>
          </w:pPr>
          <w:hyperlink w:anchor="_Toc215418655" w:history="1">
            <w:r w:rsidR="0084257F" w:rsidRPr="0059218C">
              <w:rPr>
                <w:rStyle w:val="Hyperlink"/>
                <w:noProof/>
              </w:rPr>
              <w:t>Appendix C Capital Budgeting Analysis</w:t>
            </w:r>
            <w:r w:rsidR="0084257F">
              <w:rPr>
                <w:noProof/>
                <w:webHidden/>
              </w:rPr>
              <w:tab/>
            </w:r>
            <w:r w:rsidR="0084257F">
              <w:rPr>
                <w:noProof/>
                <w:webHidden/>
              </w:rPr>
              <w:fldChar w:fldCharType="begin"/>
            </w:r>
            <w:r w:rsidR="0084257F">
              <w:rPr>
                <w:noProof/>
                <w:webHidden/>
              </w:rPr>
              <w:instrText xml:space="preserve"> PAGEREF _Toc215418655 \h </w:instrText>
            </w:r>
            <w:r w:rsidR="0084257F">
              <w:rPr>
                <w:noProof/>
                <w:webHidden/>
              </w:rPr>
            </w:r>
            <w:r w:rsidR="0084257F">
              <w:rPr>
                <w:noProof/>
                <w:webHidden/>
              </w:rPr>
              <w:fldChar w:fldCharType="separate"/>
            </w:r>
            <w:r w:rsidR="0084257F">
              <w:rPr>
                <w:noProof/>
                <w:webHidden/>
              </w:rPr>
              <w:t>34</w:t>
            </w:r>
            <w:r w:rsidR="0084257F">
              <w:rPr>
                <w:noProof/>
                <w:webHidden/>
              </w:rPr>
              <w:fldChar w:fldCharType="end"/>
            </w:r>
          </w:hyperlink>
        </w:p>
        <w:p w14:paraId="054F9812" w14:textId="075B8FB2" w:rsidR="0084257F" w:rsidRDefault="0084257F" w:rsidP="0084257F">
          <w:pPr>
            <w:sectPr w:rsidR="0084257F" w:rsidSect="0084257F">
              <w:footerReference w:type="default" r:id="rId9"/>
              <w:pgSz w:w="11906" w:h="16838"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fmt="lowerRoman" w:start="1"/>
              <w:cols w:space="720"/>
              <w:docGrid w:linePitch="326"/>
            </w:sectPr>
          </w:pPr>
          <w:r>
            <w:rPr>
              <w:b/>
              <w:bCs/>
              <w:noProof/>
            </w:rPr>
            <w:fldChar w:fldCharType="end"/>
          </w:r>
        </w:p>
      </w:sdtContent>
    </w:sdt>
    <w:bookmarkStart w:id="0" w:name="_ftbsn8uelcyh" w:colFirst="0" w:colLast="0" w:displacedByCustomXml="prev"/>
    <w:bookmarkEnd w:id="0" w:displacedByCustomXml="prev"/>
    <w:p w14:paraId="1A449E5F" w14:textId="77777777" w:rsidR="0023218E" w:rsidRPr="0084257F" w:rsidRDefault="00EE7669" w:rsidP="0084257F">
      <w:pPr>
        <w:pStyle w:val="Heading1"/>
      </w:pPr>
      <w:bookmarkStart w:id="1" w:name="_Toc215418631"/>
      <w:r w:rsidRPr="0084257F">
        <w:lastRenderedPageBreak/>
        <w:t>1.0 Introduction</w:t>
      </w:r>
      <w:bookmarkEnd w:id="1"/>
    </w:p>
    <w:p w14:paraId="557C6978" w14:textId="75039D66" w:rsidR="0023218E" w:rsidRPr="0084257F" w:rsidRDefault="00EE7669">
      <w:r w:rsidRPr="0084257F">
        <w:t>The given report aims to examine the financial durability and investment potential of General Electronics, which suffers from financial difficulties and capital rationing, with the highest potential investment of £60 million. The analysis will be done with the financial statements of the company on the basis of the income statement, balance sheet, and the statement of cash flow to derive the present financial position and financial performance. The ratio analysis, founded on the most significant indicators, profitability, liquidity, and efficiency, is also discussed to bring about the trends, the strengths, and the potential threats. A model of corporate failure projections, including Altman Z-Score, is also applied to the risk of bankruptcy of a company in the report. It is based on the cash operating cycle of the company and how the working capital can be better managed to create a more optimal liquidity, which led to the working capital management analysis. Lastly, the report is the assessment of investment appraisal and capital budgeting on three proposed investment projects, and some recommendations for the financial performance and risk of the project were made.</w:t>
      </w:r>
    </w:p>
    <w:p w14:paraId="20E6FAF6" w14:textId="77777777" w:rsidR="0023218E" w:rsidRPr="0084257F" w:rsidRDefault="0023218E"/>
    <w:p w14:paraId="58366517" w14:textId="3B4CE235" w:rsidR="0023218E" w:rsidRPr="0084257F" w:rsidRDefault="00EE7669">
      <w:r w:rsidRPr="0084257F">
        <w:br w:type="page"/>
      </w:r>
      <w:r w:rsidR="00036F14">
        <w:lastRenderedPageBreak/>
        <w:t>mm</w:t>
      </w:r>
    </w:p>
    <w:p w14:paraId="39D10643" w14:textId="77777777" w:rsidR="0023218E" w:rsidRPr="0084257F" w:rsidRDefault="00EE7669" w:rsidP="0084257F">
      <w:pPr>
        <w:pStyle w:val="Heading1"/>
      </w:pPr>
      <w:bookmarkStart w:id="2" w:name="_wbavhg6664wk" w:colFirst="0" w:colLast="0"/>
      <w:bookmarkStart w:id="3" w:name="_Toc215418632"/>
      <w:bookmarkEnd w:id="2"/>
      <w:r w:rsidRPr="0084257F">
        <w:t>2.0 Financial Health Check</w:t>
      </w:r>
      <w:bookmarkEnd w:id="3"/>
    </w:p>
    <w:p w14:paraId="22EA0931" w14:textId="77777777" w:rsidR="0023218E" w:rsidRPr="0084257F" w:rsidRDefault="00EE7669">
      <w:pPr>
        <w:pStyle w:val="Heading2"/>
      </w:pPr>
      <w:bookmarkStart w:id="4" w:name="_9rjgazg0xqxy" w:colFirst="0" w:colLast="0"/>
      <w:bookmarkStart w:id="5" w:name="_Toc215418633"/>
      <w:bookmarkEnd w:id="4"/>
      <w:r w:rsidRPr="0084257F">
        <w:t>Amply Prudential Report of Companies.</w:t>
      </w:r>
      <w:bookmarkEnd w:id="5"/>
    </w:p>
    <w:p w14:paraId="076F4FE8" w14:textId="1AE62BB8" w:rsidR="0023218E" w:rsidRPr="0084257F" w:rsidRDefault="00EE7669">
      <w:r w:rsidRPr="0084257F">
        <w:t xml:space="preserve">The Income Statement of the company in the previous year indicates that the firm has experienced stable growth regarding its revenues, which has led to £394,879, representing 5% growth in the current year. The growth, however, has not been matched with a corresponding increase in the operating income, as it has been minimized significantly by increasing operational costs. This is what helped the net profit margin drop in recent years, though the company has been capable of limiting the losses in 2024 as compared to 2023. The Balance Sheet has also added to the total assets of the firms up to £323,354, which is an indicator that the assets have improved. Nonetheless, the cumulative liabilities increase, to be more precise, the short-term debt, which is the symptom of the issue of financial leverage. The equity of the company shareholders is not too high, and this is a signifier of a good financial base. Its operations have recorded a positive cash flow since it has experienced a positive cash flow in its operations, as seen in the Cash Flow, and therefore, it is an indicator that the company can use the cash to fund its daily operations. </w:t>
      </w:r>
    </w:p>
    <w:p w14:paraId="18EBE26D" w14:textId="428BBD23" w:rsidR="00EC7E10" w:rsidRPr="0084257F" w:rsidRDefault="00EC7E10" w:rsidP="00EC7E10">
      <w:pPr>
        <w:pStyle w:val="Caption"/>
      </w:pPr>
      <w:r w:rsidRPr="0084257F">
        <w:t xml:space="preserve">Table </w:t>
      </w:r>
      <w:r w:rsidR="00A10132">
        <w:fldChar w:fldCharType="begin"/>
      </w:r>
      <w:r w:rsidR="00A10132">
        <w:instrText xml:space="preserve"> SEQ Table \* ARABIC </w:instrText>
      </w:r>
      <w:r w:rsidR="00A10132">
        <w:fldChar w:fldCharType="separate"/>
      </w:r>
      <w:r w:rsidRPr="0084257F">
        <w:rPr>
          <w:noProof/>
        </w:rPr>
        <w:t>1</w:t>
      </w:r>
      <w:r w:rsidR="00A10132">
        <w:rPr>
          <w:noProof/>
        </w:rPr>
        <w:fldChar w:fldCharType="end"/>
      </w:r>
      <w:r w:rsidRPr="0084257F">
        <w:t xml:space="preserve"> Ratio Analysis.</w:t>
      </w:r>
    </w:p>
    <w:tbl>
      <w:tblPr>
        <w:tblStyle w:val="GridTable3-Accent6"/>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Look w:val="04A0" w:firstRow="1" w:lastRow="0" w:firstColumn="1" w:lastColumn="0" w:noHBand="0" w:noVBand="1"/>
      </w:tblPr>
      <w:tblGrid>
        <w:gridCol w:w="1705"/>
        <w:gridCol w:w="7645"/>
      </w:tblGrid>
      <w:tr w:rsidR="00EC7E10" w:rsidRPr="0084257F" w14:paraId="77FCDED7" w14:textId="77777777" w:rsidTr="00EC7E1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05" w:type="dxa"/>
            <w:tcBorders>
              <w:top w:val="none" w:sz="0" w:space="0" w:color="auto"/>
              <w:left w:val="none" w:sz="0" w:space="0" w:color="auto"/>
              <w:bottom w:val="none" w:sz="0" w:space="0" w:color="auto"/>
              <w:right w:val="none" w:sz="0" w:space="0" w:color="auto"/>
            </w:tcBorders>
          </w:tcPr>
          <w:p w14:paraId="65EBBC39" w14:textId="2AA13DAD" w:rsidR="00EC7E10" w:rsidRPr="0084257F" w:rsidRDefault="00EC7E10">
            <w:r w:rsidRPr="0084257F">
              <w:t>Ratio Type</w:t>
            </w:r>
          </w:p>
        </w:tc>
        <w:tc>
          <w:tcPr>
            <w:tcW w:w="7645" w:type="dxa"/>
            <w:tcBorders>
              <w:top w:val="none" w:sz="0" w:space="0" w:color="auto"/>
              <w:left w:val="none" w:sz="0" w:space="0" w:color="auto"/>
              <w:right w:val="none" w:sz="0" w:space="0" w:color="auto"/>
            </w:tcBorders>
          </w:tcPr>
          <w:p w14:paraId="1FA0D44A" w14:textId="08F8187F" w:rsidR="00EC7E10" w:rsidRPr="0084257F" w:rsidRDefault="00EC7E10">
            <w:pPr>
              <w:cnfStyle w:val="100000000000" w:firstRow="1" w:lastRow="0" w:firstColumn="0" w:lastColumn="0" w:oddVBand="0" w:evenVBand="0" w:oddHBand="0" w:evenHBand="0" w:firstRowFirstColumn="0" w:firstRowLastColumn="0" w:lastRowFirstColumn="0" w:lastRowLastColumn="0"/>
            </w:pPr>
            <w:r w:rsidRPr="0084257F">
              <w:t>Diagram</w:t>
            </w:r>
          </w:p>
        </w:tc>
      </w:tr>
      <w:tr w:rsidR="00EC7E10" w:rsidRPr="0084257F" w14:paraId="6AC3CFBF" w14:textId="77777777" w:rsidTr="00EC7E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Borders>
              <w:top w:val="none" w:sz="0" w:space="0" w:color="auto"/>
              <w:left w:val="none" w:sz="0" w:space="0" w:color="auto"/>
              <w:bottom w:val="none" w:sz="0" w:space="0" w:color="auto"/>
            </w:tcBorders>
          </w:tcPr>
          <w:p w14:paraId="00451B3D" w14:textId="77777777" w:rsidR="00EC7E10" w:rsidRPr="00EC7E10" w:rsidRDefault="00EC7E10" w:rsidP="00EC7E10">
            <w:pPr>
              <w:jc w:val="both"/>
              <w:rPr>
                <w:b/>
                <w:bCs/>
                <w:lang w:val="en-GB"/>
              </w:rPr>
            </w:pPr>
            <w:r w:rsidRPr="00EC7E10">
              <w:rPr>
                <w:b/>
                <w:bCs/>
                <w:lang w:val="en-GB"/>
              </w:rPr>
              <w:t>Profitability Ratios</w:t>
            </w:r>
          </w:p>
          <w:p w14:paraId="3AFDD4A5" w14:textId="77777777" w:rsidR="00EC7E10" w:rsidRPr="0084257F" w:rsidRDefault="00EC7E10"/>
        </w:tc>
        <w:tc>
          <w:tcPr>
            <w:tcW w:w="7645" w:type="dxa"/>
          </w:tcPr>
          <w:p w14:paraId="36D37F34" w14:textId="7579B041" w:rsidR="00EC7E10" w:rsidRPr="0084257F" w:rsidRDefault="00EC7E10">
            <w:pPr>
              <w:cnfStyle w:val="000000100000" w:firstRow="0" w:lastRow="0" w:firstColumn="0" w:lastColumn="0" w:oddVBand="0" w:evenVBand="0" w:oddHBand="1" w:evenHBand="0" w:firstRowFirstColumn="0" w:firstRowLastColumn="0" w:lastRowFirstColumn="0" w:lastRowLastColumn="0"/>
            </w:pPr>
            <w:r w:rsidRPr="0084257F">
              <w:rPr>
                <w:noProof/>
              </w:rPr>
              <w:drawing>
                <wp:inline distT="0" distB="0" distL="0" distR="0" wp14:anchorId="47F5DF73" wp14:editId="5DD6A4F1">
                  <wp:extent cx="4879817" cy="2942590"/>
                  <wp:effectExtent l="0" t="0" r="0" b="0"/>
                  <wp:docPr id="19944848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96157" cy="2952443"/>
                          </a:xfrm>
                          <a:prstGeom prst="rect">
                            <a:avLst/>
                          </a:prstGeom>
                          <a:noFill/>
                        </pic:spPr>
                      </pic:pic>
                    </a:graphicData>
                  </a:graphic>
                </wp:inline>
              </w:drawing>
            </w:r>
          </w:p>
        </w:tc>
      </w:tr>
      <w:tr w:rsidR="00EC7E10" w:rsidRPr="0084257F" w14:paraId="2410BFF3" w14:textId="77777777" w:rsidTr="00EC7E10">
        <w:tc>
          <w:tcPr>
            <w:cnfStyle w:val="001000000000" w:firstRow="0" w:lastRow="0" w:firstColumn="1" w:lastColumn="0" w:oddVBand="0" w:evenVBand="0" w:oddHBand="0" w:evenHBand="0" w:firstRowFirstColumn="0" w:firstRowLastColumn="0" w:lastRowFirstColumn="0" w:lastRowLastColumn="0"/>
            <w:tcW w:w="1705" w:type="dxa"/>
            <w:tcBorders>
              <w:top w:val="none" w:sz="0" w:space="0" w:color="auto"/>
              <w:left w:val="none" w:sz="0" w:space="0" w:color="auto"/>
              <w:bottom w:val="none" w:sz="0" w:space="0" w:color="auto"/>
            </w:tcBorders>
          </w:tcPr>
          <w:p w14:paraId="55D6B1A3" w14:textId="77777777" w:rsidR="00EC7E10" w:rsidRPr="00EC7E10" w:rsidRDefault="00EC7E10" w:rsidP="00EC7E10">
            <w:pPr>
              <w:jc w:val="both"/>
              <w:rPr>
                <w:lang w:val="en-GB"/>
              </w:rPr>
            </w:pPr>
            <w:r w:rsidRPr="00EC7E10">
              <w:rPr>
                <w:b/>
                <w:bCs/>
                <w:lang w:val="en-GB"/>
              </w:rPr>
              <w:lastRenderedPageBreak/>
              <w:t>Liquidity Ratios</w:t>
            </w:r>
          </w:p>
          <w:p w14:paraId="7505B4C4" w14:textId="77777777" w:rsidR="00EC7E10" w:rsidRPr="0084257F" w:rsidRDefault="00EC7E10"/>
        </w:tc>
        <w:tc>
          <w:tcPr>
            <w:tcW w:w="7645" w:type="dxa"/>
          </w:tcPr>
          <w:p w14:paraId="76F4AFFF" w14:textId="4CB39755" w:rsidR="00EC7E10" w:rsidRPr="0084257F" w:rsidRDefault="00EC7E10">
            <w:pPr>
              <w:cnfStyle w:val="000000000000" w:firstRow="0" w:lastRow="0" w:firstColumn="0" w:lastColumn="0" w:oddVBand="0" w:evenVBand="0" w:oddHBand="0" w:evenHBand="0" w:firstRowFirstColumn="0" w:firstRowLastColumn="0" w:lastRowFirstColumn="0" w:lastRowLastColumn="0"/>
            </w:pPr>
            <w:r w:rsidRPr="0084257F">
              <w:rPr>
                <w:noProof/>
              </w:rPr>
              <w:drawing>
                <wp:inline distT="0" distB="0" distL="0" distR="0" wp14:anchorId="33D8B531" wp14:editId="6750B48A">
                  <wp:extent cx="4952246" cy="2508647"/>
                  <wp:effectExtent l="0" t="0" r="1270" b="6350"/>
                  <wp:docPr id="20440461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65105" cy="2515161"/>
                          </a:xfrm>
                          <a:prstGeom prst="rect">
                            <a:avLst/>
                          </a:prstGeom>
                          <a:noFill/>
                        </pic:spPr>
                      </pic:pic>
                    </a:graphicData>
                  </a:graphic>
                </wp:inline>
              </w:drawing>
            </w:r>
          </w:p>
        </w:tc>
      </w:tr>
      <w:tr w:rsidR="00EC7E10" w:rsidRPr="0084257F" w14:paraId="535333ED" w14:textId="77777777" w:rsidTr="00EC7E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Borders>
              <w:top w:val="none" w:sz="0" w:space="0" w:color="auto"/>
              <w:left w:val="none" w:sz="0" w:space="0" w:color="auto"/>
              <w:bottom w:val="none" w:sz="0" w:space="0" w:color="auto"/>
            </w:tcBorders>
          </w:tcPr>
          <w:p w14:paraId="1AB29687" w14:textId="77777777" w:rsidR="00EC7E10" w:rsidRPr="00EC7E10" w:rsidRDefault="00EC7E10" w:rsidP="00EC7E10">
            <w:pPr>
              <w:jc w:val="both"/>
              <w:rPr>
                <w:lang w:val="en-GB"/>
              </w:rPr>
            </w:pPr>
            <w:r w:rsidRPr="00EC7E10">
              <w:rPr>
                <w:b/>
                <w:bCs/>
                <w:lang w:val="en-GB"/>
              </w:rPr>
              <w:t>Efficiency Ratios</w:t>
            </w:r>
          </w:p>
          <w:p w14:paraId="31A09FED" w14:textId="77777777" w:rsidR="00EC7E10" w:rsidRPr="0084257F" w:rsidRDefault="00EC7E10"/>
        </w:tc>
        <w:tc>
          <w:tcPr>
            <w:tcW w:w="7645" w:type="dxa"/>
          </w:tcPr>
          <w:p w14:paraId="7A2407FB" w14:textId="6A1B9660" w:rsidR="00EC7E10" w:rsidRPr="0084257F" w:rsidRDefault="00EC7E10">
            <w:pPr>
              <w:cnfStyle w:val="000000100000" w:firstRow="0" w:lastRow="0" w:firstColumn="0" w:lastColumn="0" w:oddVBand="0" w:evenVBand="0" w:oddHBand="1" w:evenHBand="0" w:firstRowFirstColumn="0" w:firstRowLastColumn="0" w:lastRowFirstColumn="0" w:lastRowLastColumn="0"/>
            </w:pPr>
            <w:r w:rsidRPr="0084257F">
              <w:rPr>
                <w:noProof/>
              </w:rPr>
              <w:drawing>
                <wp:inline distT="0" distB="0" distL="0" distR="0" wp14:anchorId="384C94BB" wp14:editId="77F197E1">
                  <wp:extent cx="4784984" cy="2755900"/>
                  <wp:effectExtent l="0" t="0" r="0" b="6350"/>
                  <wp:docPr id="11678562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98324" cy="2763583"/>
                          </a:xfrm>
                          <a:prstGeom prst="rect">
                            <a:avLst/>
                          </a:prstGeom>
                          <a:noFill/>
                        </pic:spPr>
                      </pic:pic>
                    </a:graphicData>
                  </a:graphic>
                </wp:inline>
              </w:drawing>
            </w:r>
          </w:p>
        </w:tc>
      </w:tr>
      <w:tr w:rsidR="00EC7E10" w:rsidRPr="0084257F" w14:paraId="462206A6" w14:textId="77777777" w:rsidTr="00EC7E10">
        <w:tc>
          <w:tcPr>
            <w:cnfStyle w:val="001000000000" w:firstRow="0" w:lastRow="0" w:firstColumn="1" w:lastColumn="0" w:oddVBand="0" w:evenVBand="0" w:oddHBand="0" w:evenHBand="0" w:firstRowFirstColumn="0" w:firstRowLastColumn="0" w:lastRowFirstColumn="0" w:lastRowLastColumn="0"/>
            <w:tcW w:w="1705" w:type="dxa"/>
            <w:tcBorders>
              <w:top w:val="none" w:sz="0" w:space="0" w:color="auto"/>
              <w:left w:val="none" w:sz="0" w:space="0" w:color="auto"/>
              <w:bottom w:val="none" w:sz="0" w:space="0" w:color="auto"/>
            </w:tcBorders>
          </w:tcPr>
          <w:p w14:paraId="50FD76A8" w14:textId="77777777" w:rsidR="00EC7E10" w:rsidRPr="00EC7E10" w:rsidRDefault="00EC7E10" w:rsidP="00EC7E10">
            <w:pPr>
              <w:jc w:val="both"/>
              <w:rPr>
                <w:lang w:val="en-GB"/>
              </w:rPr>
            </w:pPr>
            <w:r w:rsidRPr="00EC7E10">
              <w:rPr>
                <w:b/>
                <w:bCs/>
                <w:lang w:val="en-GB"/>
              </w:rPr>
              <w:t>Gearing (Leverage) Ratios</w:t>
            </w:r>
          </w:p>
          <w:p w14:paraId="39FBDBCC" w14:textId="77777777" w:rsidR="00EC7E10" w:rsidRPr="0084257F" w:rsidRDefault="00EC7E10"/>
        </w:tc>
        <w:tc>
          <w:tcPr>
            <w:tcW w:w="7645" w:type="dxa"/>
          </w:tcPr>
          <w:p w14:paraId="0E2BECA4" w14:textId="3CD558CF" w:rsidR="00EC7E10" w:rsidRPr="0084257F" w:rsidRDefault="00EC7E10">
            <w:pPr>
              <w:cnfStyle w:val="000000000000" w:firstRow="0" w:lastRow="0" w:firstColumn="0" w:lastColumn="0" w:oddVBand="0" w:evenVBand="0" w:oddHBand="0" w:evenHBand="0" w:firstRowFirstColumn="0" w:firstRowLastColumn="0" w:lastRowFirstColumn="0" w:lastRowLastColumn="0"/>
            </w:pPr>
            <w:r w:rsidRPr="0084257F">
              <w:rPr>
                <w:noProof/>
              </w:rPr>
              <w:drawing>
                <wp:inline distT="0" distB="0" distL="0" distR="0" wp14:anchorId="5FB50232" wp14:editId="661E8B5D">
                  <wp:extent cx="4584700" cy="2731135"/>
                  <wp:effectExtent l="0" t="0" r="6350" b="0"/>
                  <wp:docPr id="4713357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31135"/>
                          </a:xfrm>
                          <a:prstGeom prst="rect">
                            <a:avLst/>
                          </a:prstGeom>
                          <a:noFill/>
                        </pic:spPr>
                      </pic:pic>
                    </a:graphicData>
                  </a:graphic>
                </wp:inline>
              </w:drawing>
            </w:r>
          </w:p>
        </w:tc>
      </w:tr>
      <w:tr w:rsidR="00EC7E10" w:rsidRPr="0084257F" w14:paraId="632E24EB" w14:textId="77777777" w:rsidTr="00EC7E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Borders>
              <w:top w:val="none" w:sz="0" w:space="0" w:color="auto"/>
              <w:left w:val="none" w:sz="0" w:space="0" w:color="auto"/>
              <w:bottom w:val="none" w:sz="0" w:space="0" w:color="auto"/>
            </w:tcBorders>
          </w:tcPr>
          <w:p w14:paraId="632C68AF" w14:textId="77777777" w:rsidR="00EC7E10" w:rsidRPr="00EC7E10" w:rsidRDefault="00EC7E10" w:rsidP="00EC7E10">
            <w:pPr>
              <w:jc w:val="both"/>
              <w:rPr>
                <w:lang w:val="en-GB"/>
              </w:rPr>
            </w:pPr>
            <w:r w:rsidRPr="00EC7E10">
              <w:rPr>
                <w:lang w:val="en-US"/>
              </w:rPr>
              <w:lastRenderedPageBreak/>
              <w:t>Operating Cash Flow Ratio</w:t>
            </w:r>
          </w:p>
          <w:p w14:paraId="4B585286" w14:textId="77777777" w:rsidR="00EC7E10" w:rsidRPr="0084257F" w:rsidRDefault="00EC7E10"/>
        </w:tc>
        <w:tc>
          <w:tcPr>
            <w:tcW w:w="7645" w:type="dxa"/>
          </w:tcPr>
          <w:p w14:paraId="1662B107" w14:textId="1FF6BC82" w:rsidR="00EC7E10" w:rsidRPr="0084257F" w:rsidRDefault="00EC7E10">
            <w:pPr>
              <w:cnfStyle w:val="000000100000" w:firstRow="0" w:lastRow="0" w:firstColumn="0" w:lastColumn="0" w:oddVBand="0" w:evenVBand="0" w:oddHBand="1" w:evenHBand="0" w:firstRowFirstColumn="0" w:firstRowLastColumn="0" w:lastRowFirstColumn="0" w:lastRowLastColumn="0"/>
              <w:rPr>
                <w:noProof/>
              </w:rPr>
            </w:pPr>
            <w:r w:rsidRPr="0084257F">
              <w:rPr>
                <w:noProof/>
              </w:rPr>
              <w:drawing>
                <wp:inline distT="0" distB="0" distL="0" distR="0" wp14:anchorId="012A5E3A" wp14:editId="42CD2E76">
                  <wp:extent cx="5423025" cy="2755900"/>
                  <wp:effectExtent l="0" t="0" r="6350" b="6350"/>
                  <wp:docPr id="3065078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24589" cy="2756695"/>
                          </a:xfrm>
                          <a:prstGeom prst="rect">
                            <a:avLst/>
                          </a:prstGeom>
                          <a:noFill/>
                        </pic:spPr>
                      </pic:pic>
                    </a:graphicData>
                  </a:graphic>
                </wp:inline>
              </w:drawing>
            </w:r>
          </w:p>
        </w:tc>
      </w:tr>
    </w:tbl>
    <w:p w14:paraId="5459261C" w14:textId="77777777" w:rsidR="0023218E" w:rsidRPr="0084257F" w:rsidRDefault="0023218E"/>
    <w:p w14:paraId="7B17EE2A" w14:textId="77777777" w:rsidR="0023218E" w:rsidRPr="0084257F" w:rsidRDefault="00EE7669">
      <w:pPr>
        <w:pStyle w:val="Heading2"/>
      </w:pPr>
      <w:bookmarkStart w:id="6" w:name="_yz0wrvy4u9ir" w:colFirst="0" w:colLast="0"/>
      <w:bookmarkStart w:id="7" w:name="_Toc215418634"/>
      <w:bookmarkEnd w:id="6"/>
      <w:r w:rsidRPr="0084257F">
        <w:t>Perform Ratio Analysis</w:t>
      </w:r>
      <w:bookmarkEnd w:id="7"/>
    </w:p>
    <w:p w14:paraId="6018B3F9" w14:textId="77777777" w:rsidR="0023218E" w:rsidRPr="0084257F" w:rsidRDefault="00EE7669">
      <w:r w:rsidRPr="0084257F">
        <w:t>The first one is the Gross Profit Margin, which is a key indicator of the effectiveness of the company in managing the direct expenses of producing goods or services. The gross profit margin in 2024 is 28.87, as compared to 23.23 in 2023. This growth is an indicator that the company has taken some steps; either it has decreased the cost of goods sold or the company has been able to increase its price power, which is a favorable indicator of profitability. Nonetheless, a decrease in 2023 would be experienced, and this was mainly because of the increase in the costs of the operations. Passing to the liquidity ratios, the current 2024 was lower by 1.53 to 2023 -1.60. It is also superb bearing in mind that it is at a position that is above 1, which implies that the business can pay its short-term liabilities.</w:t>
      </w:r>
    </w:p>
    <w:p w14:paraId="2EBD34E5" w14:textId="77777777" w:rsidR="0023218E" w:rsidRPr="0084257F" w:rsidRDefault="0023218E"/>
    <w:p w14:paraId="2BA2FC13" w14:textId="77777777" w:rsidR="0023218E" w:rsidRPr="0084257F" w:rsidRDefault="00EE7669">
      <w:r w:rsidRPr="0084257F">
        <w:t>The inventory turnover ratio indicates the efficiency of the management of the inventory in the company. The 3.37 increase in inventory turnover was higher than the 2.82 in 2023. This growth will suggest that the company will be in a better position to sell and replenish the merchandise with minimal chances of holding outdated inventory, and increase the cash flow (Hansen, 2024). The higher the management of the inventory, the better it is. In leverage terms, the debt-to-equity ratio grew to 1.11 in 2024 as compared to 0.99 in 2023. This growth is an indicator of increased reliance on debt, and this may be an issue of concern unless it is handled well. Despite the reality that the ratio stands at less than two, a sign that the company is not over-</w:t>
      </w:r>
      <w:r w:rsidRPr="0084257F">
        <w:lastRenderedPageBreak/>
        <w:t xml:space="preserve">levered, a further advancement of the company's debts may expose the firm to a higher financial risk. </w:t>
      </w:r>
    </w:p>
    <w:p w14:paraId="26AD384D" w14:textId="77777777" w:rsidR="0023218E" w:rsidRPr="0084257F" w:rsidRDefault="00EE7669">
      <w:r w:rsidRPr="0084257F">
        <w:t xml:space="preserve"> </w:t>
      </w:r>
    </w:p>
    <w:p w14:paraId="5E559BD1" w14:textId="77777777" w:rsidR="0023218E" w:rsidRPr="0084257F" w:rsidRDefault="00EE7669">
      <w:pPr>
        <w:pStyle w:val="Heading2"/>
      </w:pPr>
      <w:bookmarkStart w:id="8" w:name="_75m173ybfx94" w:colFirst="0" w:colLast="0"/>
      <w:bookmarkStart w:id="9" w:name="_Toc215418635"/>
      <w:bookmarkEnd w:id="8"/>
      <w:r w:rsidRPr="0084257F">
        <w:t>Get Trends, Strengths, and Threats.</w:t>
      </w:r>
      <w:bookmarkEnd w:id="9"/>
    </w:p>
    <w:p w14:paraId="15478376" w14:textId="77777777" w:rsidR="0023218E" w:rsidRPr="0084257F" w:rsidRDefault="00EE7669">
      <w:r w:rsidRPr="0084257F">
        <w:t>Some of these good trends that the company has attained in 2024 are the rise in revenue and the growth in gross profit margin, which indicate that this company has improved its cost management and price control (GE, 2025). Nevertheless, these returns do not guarantee high profitability of the company since it is evident that this is not the case in the years 2023 and 2024, according to the negative net profit margin. The operating income is not experiencing stable growth, and it has experienced overall declines in the two preceding years, which may depict inefficient operation or an increase in cost. As to the liquidity, the current ratio is not low, which means that the company can handle current liabilities (Wang, 2024). The ratio, however, in the 2023 2024 period has decreased, and it can be assumed to be a sign of liquidity risk in the future in the event the trend moves in that direction.</w:t>
      </w:r>
    </w:p>
    <w:p w14:paraId="738AF3DF" w14:textId="77777777" w:rsidR="0023218E" w:rsidRPr="0084257F" w:rsidRDefault="0023218E"/>
    <w:p w14:paraId="34BAA015" w14:textId="77777777" w:rsidR="0023218E" w:rsidRPr="0084257F" w:rsidRDefault="00EE7669">
      <w:r w:rsidRPr="0084257F">
        <w:t xml:space="preserve">The high ratio of inventory turnover shows the strength of the company in terms of inventory management. This implies that the company has been using its stock effectively and may learn to transform it into revenue within a shorter duration of time. The gross profit margin also goes up, demonstrating that the enterprise can correct the cost of production. The debt-to-equity ratio is also balanced as the debt leverage ratio of the company is average. But the firm faces threats to its financial well-being (Hansen, 2024). The most outstanding one is the negative profitability with the net profit margin. The company should consider cost-cutting, the growth in revenues, or subsequent improvement in its efficiency to enable it to change its financial sustainability in the long run. The other issue is increasing debt ratios that could be computed in terms of the debt-to-equity ratio. </w:t>
      </w:r>
    </w:p>
    <w:p w14:paraId="769C1905" w14:textId="77777777" w:rsidR="0023218E" w:rsidRPr="0084257F" w:rsidRDefault="0023218E"/>
    <w:p w14:paraId="5D78DB63" w14:textId="77777777" w:rsidR="0023218E" w:rsidRPr="0084257F" w:rsidRDefault="00EE7669">
      <w:pPr>
        <w:pStyle w:val="Heading2"/>
      </w:pPr>
      <w:bookmarkStart w:id="10" w:name="_4pf6tsz9im14" w:colFirst="0" w:colLast="0"/>
      <w:bookmarkStart w:id="11" w:name="_Toc215418636"/>
      <w:bookmarkEnd w:id="10"/>
      <w:r w:rsidRPr="0084257F">
        <w:t>Prediction Models Application Corporate Failure (Altman Z-Score).</w:t>
      </w:r>
      <w:bookmarkEnd w:id="11"/>
    </w:p>
    <w:p w14:paraId="00854780" w14:textId="77777777" w:rsidR="0023218E" w:rsidRPr="0084257F" w:rsidRDefault="00EE7669">
      <w:r w:rsidRPr="0084257F">
        <w:t xml:space="preserve">The score is a wonderful instrument used to determine the bankruptcy risk (Altman et al., 2017). The Z-score of the firm at the 2024 and 2023 information of the financial status is within the </w:t>
      </w:r>
      <w:proofErr w:type="gramStart"/>
      <w:r w:rsidRPr="0084257F">
        <w:t>Red</w:t>
      </w:r>
      <w:proofErr w:type="gramEnd"/>
      <w:r w:rsidRPr="0084257F">
        <w:t xml:space="preserve"> zone, which means that the firm is encountering dire straits or the threat of being pushed out of business (GE, 2025). For 2024, the Z-score is -</w:t>
      </w:r>
      <w:r w:rsidRPr="0084257F">
        <w:lastRenderedPageBreak/>
        <w:t>0.8254, and for 2023, it is -0.6004. Both values are lower than the critical value of 1.81, which indicates that the company is indeed in a state of financial crisis and that it is highly probable that it will go bankrupt.</w:t>
      </w:r>
    </w:p>
    <w:p w14:paraId="1414A782" w14:textId="77777777" w:rsidR="0023218E" w:rsidRPr="0084257F" w:rsidRDefault="0023218E"/>
    <w:p w14:paraId="776AEDEE" w14:textId="77777777" w:rsidR="0023218E" w:rsidRPr="0084257F" w:rsidRDefault="00EE7669">
      <w:r w:rsidRPr="0084257F">
        <w:t>The following constituents are used to determine the Z-score: working capital, retained earnings, EBIT, market value of equity, and sales. In this case, however, there is a negative Z-score on 2024 since the profitability is low and the debt is high, which itself is an ill eponym. The negative value of the Z-score can be attributed to the negative value of both the EBIT and net income in the two years (Altman et al., 2017). Moreover, the growing dependency of debt funding by the company has also contributed to the higher financial risk of the company as depicted by the debt-equity ratio. The company will be subject to fluctuating financial position as long as it does not reduce the use of debt immediately, and as long as the company focuses on raising its profits. Z-Score analysis is a positive indicator that the company is in danger of plunging into a financial crisis with no possibility of improvement in the profitability.</w:t>
      </w:r>
    </w:p>
    <w:p w14:paraId="5C36C8A5" w14:textId="77777777" w:rsidR="0023218E" w:rsidRPr="0084257F" w:rsidRDefault="00EE7669">
      <w:r w:rsidRPr="0084257F">
        <w:br w:type="page"/>
      </w:r>
    </w:p>
    <w:p w14:paraId="3CBC49DE" w14:textId="77777777" w:rsidR="0023218E" w:rsidRPr="0084257F" w:rsidRDefault="00EE7669" w:rsidP="0084257F">
      <w:pPr>
        <w:pStyle w:val="Heading1"/>
      </w:pPr>
      <w:bookmarkStart w:id="12" w:name="_qgoef86jknmy" w:colFirst="0" w:colLast="0"/>
      <w:bookmarkStart w:id="13" w:name="_Toc215418637"/>
      <w:bookmarkEnd w:id="12"/>
      <w:r w:rsidRPr="0084257F">
        <w:lastRenderedPageBreak/>
        <w:t>3.0 Working Capital Management Analysis</w:t>
      </w:r>
      <w:bookmarkEnd w:id="13"/>
    </w:p>
    <w:p w14:paraId="1E6AA104" w14:textId="77777777" w:rsidR="0023218E" w:rsidRPr="0084257F" w:rsidRDefault="00EE7669">
      <w:r w:rsidRPr="0084257F">
        <w:t>As we move about the Cash Operating Cycle (COC) of the company, it can be observed that the firm takes about a month to convert investments it has made in the inventory and receivables into cash. The current COC of the said company is 115.06 days, implying that the company is a long way from turning resources into cash flow. It is common money; however, it can be increased to have maximum cash management. Both Days Inventory Outstanding (DIO) and Days Sales Outstanding (DSO) indicate that the company has been holding the inventory and receiving payment on the inventory for a very long period of time.</w:t>
      </w:r>
    </w:p>
    <w:p w14:paraId="7BAFE859" w14:textId="78097281" w:rsidR="0023218E" w:rsidRPr="0084257F" w:rsidRDefault="00EC7E10" w:rsidP="00EC7E10">
      <w:pPr>
        <w:pStyle w:val="Caption"/>
      </w:pPr>
      <w:r w:rsidRPr="0084257F">
        <w:t xml:space="preserve">Table </w:t>
      </w:r>
      <w:r w:rsidR="00A10132">
        <w:fldChar w:fldCharType="begin"/>
      </w:r>
      <w:r w:rsidR="00A10132">
        <w:instrText xml:space="preserve"> SEQ Table \* ARABIC </w:instrText>
      </w:r>
      <w:r w:rsidR="00A10132">
        <w:fldChar w:fldCharType="separate"/>
      </w:r>
      <w:r w:rsidRPr="0084257F">
        <w:rPr>
          <w:noProof/>
        </w:rPr>
        <w:t>2</w:t>
      </w:r>
      <w:r w:rsidR="00A10132">
        <w:rPr>
          <w:noProof/>
        </w:rPr>
        <w:fldChar w:fldCharType="end"/>
      </w:r>
      <w:r w:rsidRPr="0084257F">
        <w:t xml:space="preserve"> Working Capital </w:t>
      </w:r>
      <w:proofErr w:type="gramStart"/>
      <w:r w:rsidRPr="0084257F">
        <w:t>Management .</w:t>
      </w:r>
      <w:proofErr w:type="gramEnd"/>
    </w:p>
    <w:tbl>
      <w:tblPr>
        <w:tblStyle w:val="a"/>
        <w:tblW w:w="930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215"/>
        <w:gridCol w:w="975"/>
        <w:gridCol w:w="975"/>
        <w:gridCol w:w="975"/>
        <w:gridCol w:w="975"/>
        <w:gridCol w:w="1185"/>
      </w:tblGrid>
      <w:tr w:rsidR="0023218E" w:rsidRPr="0084257F" w14:paraId="65210F30" w14:textId="77777777">
        <w:trPr>
          <w:trHeight w:val="450"/>
        </w:trPr>
        <w:tc>
          <w:tcPr>
            <w:tcW w:w="421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6718CA1" w14:textId="77777777" w:rsidR="0023218E" w:rsidRPr="0084257F" w:rsidRDefault="00EE7669">
            <w:pPr>
              <w:spacing w:before="240" w:after="160" w:line="256" w:lineRule="auto"/>
              <w:rPr>
                <w:b/>
                <w:bCs/>
              </w:rPr>
            </w:pPr>
            <w:r w:rsidRPr="0084257F">
              <w:rPr>
                <w:b/>
                <w:bCs/>
              </w:rPr>
              <w:t>Component</w:t>
            </w:r>
          </w:p>
        </w:tc>
        <w:tc>
          <w:tcPr>
            <w:tcW w:w="9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D2CBE59" w14:textId="77777777" w:rsidR="0023218E" w:rsidRPr="0084257F" w:rsidRDefault="00EE7669">
            <w:pPr>
              <w:spacing w:before="240" w:after="160" w:line="256" w:lineRule="auto"/>
              <w:rPr>
                <w:b/>
                <w:bCs/>
              </w:rPr>
            </w:pPr>
            <w:r w:rsidRPr="0084257F">
              <w:rPr>
                <w:b/>
                <w:bCs/>
              </w:rPr>
              <w:t>2024</w:t>
            </w:r>
          </w:p>
        </w:tc>
        <w:tc>
          <w:tcPr>
            <w:tcW w:w="9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88F4F92" w14:textId="77777777" w:rsidR="0023218E" w:rsidRPr="0084257F" w:rsidRDefault="00EE7669">
            <w:pPr>
              <w:spacing w:before="240" w:after="160" w:line="256" w:lineRule="auto"/>
              <w:rPr>
                <w:b/>
                <w:bCs/>
              </w:rPr>
            </w:pPr>
            <w:r w:rsidRPr="0084257F">
              <w:rPr>
                <w:b/>
                <w:bCs/>
              </w:rPr>
              <w:t>2023</w:t>
            </w:r>
          </w:p>
        </w:tc>
        <w:tc>
          <w:tcPr>
            <w:tcW w:w="9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CEC7BF7" w14:textId="77777777" w:rsidR="0023218E" w:rsidRPr="0084257F" w:rsidRDefault="00EE7669">
            <w:pPr>
              <w:spacing w:before="240" w:after="160" w:line="256" w:lineRule="auto"/>
              <w:rPr>
                <w:b/>
                <w:bCs/>
              </w:rPr>
            </w:pPr>
            <w:r w:rsidRPr="0084257F">
              <w:rPr>
                <w:b/>
                <w:bCs/>
              </w:rPr>
              <w:t>2022</w:t>
            </w:r>
          </w:p>
        </w:tc>
        <w:tc>
          <w:tcPr>
            <w:tcW w:w="9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75C8A18" w14:textId="77777777" w:rsidR="0023218E" w:rsidRPr="0084257F" w:rsidRDefault="00EE7669">
            <w:pPr>
              <w:spacing w:before="240" w:after="160" w:line="256" w:lineRule="auto"/>
              <w:rPr>
                <w:b/>
                <w:bCs/>
              </w:rPr>
            </w:pPr>
            <w:r w:rsidRPr="0084257F">
              <w:rPr>
                <w:b/>
                <w:bCs/>
              </w:rPr>
              <w:t>2021</w:t>
            </w:r>
          </w:p>
        </w:tc>
        <w:tc>
          <w:tcPr>
            <w:tcW w:w="118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42AB2FB" w14:textId="77777777" w:rsidR="0023218E" w:rsidRPr="0084257F" w:rsidRDefault="00EE7669">
            <w:pPr>
              <w:spacing w:before="240" w:after="160" w:line="256" w:lineRule="auto"/>
              <w:rPr>
                <w:b/>
                <w:bCs/>
              </w:rPr>
            </w:pPr>
            <w:r w:rsidRPr="0084257F">
              <w:rPr>
                <w:b/>
                <w:bCs/>
              </w:rPr>
              <w:t>2020</w:t>
            </w:r>
          </w:p>
        </w:tc>
      </w:tr>
      <w:tr w:rsidR="0023218E" w:rsidRPr="0084257F" w14:paraId="15DE99AF" w14:textId="77777777">
        <w:trPr>
          <w:trHeight w:val="465"/>
        </w:trPr>
        <w:tc>
          <w:tcPr>
            <w:tcW w:w="42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05093A2" w14:textId="77777777" w:rsidR="0023218E" w:rsidRPr="0084257F" w:rsidRDefault="00EE7669">
            <w:pPr>
              <w:spacing w:before="240" w:after="160" w:line="256" w:lineRule="auto"/>
              <w:rPr>
                <w:b/>
                <w:bCs/>
              </w:rPr>
            </w:pPr>
            <w:r w:rsidRPr="0084257F">
              <w:rPr>
                <w:b/>
                <w:bCs/>
              </w:rPr>
              <w:t>Days Inventory Outstanding (DIO)</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6E3C769B" w14:textId="77777777" w:rsidR="0023218E" w:rsidRPr="0084257F" w:rsidRDefault="00EE7669">
            <w:pPr>
              <w:spacing w:before="240" w:after="160" w:line="256" w:lineRule="auto"/>
            </w:pPr>
            <w:r w:rsidRPr="0084257F">
              <w:t>103.12</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209F0076" w14:textId="77777777" w:rsidR="0023218E" w:rsidRPr="0084257F" w:rsidRDefault="00EE7669">
            <w:pPr>
              <w:spacing w:before="240" w:after="160" w:line="256" w:lineRule="auto"/>
            </w:pPr>
            <w:r w:rsidRPr="0084257F">
              <w:t>99.67</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0EE174EE" w14:textId="77777777" w:rsidR="0023218E" w:rsidRPr="0084257F" w:rsidRDefault="00EE7669">
            <w:pPr>
              <w:spacing w:before="240" w:after="160" w:line="256" w:lineRule="auto"/>
            </w:pPr>
            <w:r w:rsidRPr="0084257F">
              <w:t>130.51</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7A4F7B91" w14:textId="77777777" w:rsidR="0023218E" w:rsidRPr="0084257F" w:rsidRDefault="00EE7669">
            <w:pPr>
              <w:spacing w:before="240" w:after="160" w:line="256" w:lineRule="auto"/>
            </w:pPr>
            <w:r w:rsidRPr="0084257F">
              <w:t>114.53</w:t>
            </w:r>
          </w:p>
        </w:tc>
        <w:tc>
          <w:tcPr>
            <w:tcW w:w="1185" w:type="dxa"/>
            <w:tcBorders>
              <w:top w:val="nil"/>
              <w:left w:val="nil"/>
              <w:bottom w:val="single" w:sz="6" w:space="0" w:color="000000"/>
              <w:right w:val="single" w:sz="6" w:space="0" w:color="000000"/>
            </w:tcBorders>
            <w:tcMar>
              <w:top w:w="0" w:type="dxa"/>
              <w:left w:w="100" w:type="dxa"/>
              <w:bottom w:w="0" w:type="dxa"/>
              <w:right w:w="100" w:type="dxa"/>
            </w:tcMar>
          </w:tcPr>
          <w:p w14:paraId="564450DA" w14:textId="77777777" w:rsidR="0023218E" w:rsidRPr="0084257F" w:rsidRDefault="00EE7669">
            <w:pPr>
              <w:spacing w:before="240" w:after="160" w:line="256" w:lineRule="auto"/>
            </w:pPr>
            <w:r w:rsidRPr="0084257F">
              <w:t>100.05</w:t>
            </w:r>
          </w:p>
        </w:tc>
      </w:tr>
      <w:tr w:rsidR="0023218E" w:rsidRPr="0084257F" w14:paraId="787C0F60" w14:textId="77777777">
        <w:trPr>
          <w:trHeight w:val="450"/>
        </w:trPr>
        <w:tc>
          <w:tcPr>
            <w:tcW w:w="42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7BA83ED" w14:textId="77777777" w:rsidR="0023218E" w:rsidRPr="0084257F" w:rsidRDefault="00EE7669">
            <w:pPr>
              <w:spacing w:before="240" w:after="160" w:line="256" w:lineRule="auto"/>
              <w:rPr>
                <w:b/>
                <w:bCs/>
              </w:rPr>
            </w:pPr>
            <w:r w:rsidRPr="0084257F">
              <w:rPr>
                <w:b/>
                <w:bCs/>
              </w:rPr>
              <w:t>Days Sales Outstanding (DSO)</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6963DB29" w14:textId="77777777" w:rsidR="0023218E" w:rsidRPr="0084257F" w:rsidRDefault="00EE7669">
            <w:pPr>
              <w:spacing w:before="240" w:after="160" w:line="256" w:lineRule="auto"/>
            </w:pPr>
            <w:r w:rsidRPr="0084257F">
              <w:t>105.54</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36DB9959" w14:textId="77777777" w:rsidR="0023218E" w:rsidRPr="0084257F" w:rsidRDefault="00EE7669">
            <w:pPr>
              <w:spacing w:before="240" w:after="160" w:line="256" w:lineRule="auto"/>
            </w:pPr>
            <w:r w:rsidRPr="0084257F">
              <w:t>97.49</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2196C2ED" w14:textId="77777777" w:rsidR="0023218E" w:rsidRPr="0084257F" w:rsidRDefault="00EE7669">
            <w:pPr>
              <w:spacing w:before="240" w:after="160" w:line="256" w:lineRule="auto"/>
            </w:pPr>
            <w:r w:rsidRPr="0084257F">
              <w:t>75.43</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2FC0BE8A" w14:textId="77777777" w:rsidR="0023218E" w:rsidRPr="0084257F" w:rsidRDefault="00EE7669">
            <w:pPr>
              <w:spacing w:before="240" w:after="160" w:line="256" w:lineRule="auto"/>
            </w:pPr>
            <w:r w:rsidRPr="0084257F">
              <w:t>78.50</w:t>
            </w:r>
          </w:p>
        </w:tc>
        <w:tc>
          <w:tcPr>
            <w:tcW w:w="1185" w:type="dxa"/>
            <w:tcBorders>
              <w:top w:val="nil"/>
              <w:left w:val="nil"/>
              <w:bottom w:val="single" w:sz="6" w:space="0" w:color="000000"/>
              <w:right w:val="single" w:sz="6" w:space="0" w:color="000000"/>
            </w:tcBorders>
            <w:tcMar>
              <w:top w:w="0" w:type="dxa"/>
              <w:left w:w="100" w:type="dxa"/>
              <w:bottom w:w="0" w:type="dxa"/>
              <w:right w:w="100" w:type="dxa"/>
            </w:tcMar>
          </w:tcPr>
          <w:p w14:paraId="105A6FB4" w14:textId="77777777" w:rsidR="0023218E" w:rsidRPr="0084257F" w:rsidRDefault="00EE7669">
            <w:pPr>
              <w:spacing w:before="240" w:after="160" w:line="256" w:lineRule="auto"/>
            </w:pPr>
            <w:r w:rsidRPr="0084257F">
              <w:t>76.65</w:t>
            </w:r>
          </w:p>
        </w:tc>
      </w:tr>
      <w:tr w:rsidR="0023218E" w:rsidRPr="0084257F" w14:paraId="7724C29A" w14:textId="77777777">
        <w:trPr>
          <w:trHeight w:val="465"/>
        </w:trPr>
        <w:tc>
          <w:tcPr>
            <w:tcW w:w="42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A66BE8D" w14:textId="77777777" w:rsidR="0023218E" w:rsidRPr="0084257F" w:rsidRDefault="00EE7669">
            <w:pPr>
              <w:spacing w:before="240" w:after="160" w:line="256" w:lineRule="auto"/>
              <w:rPr>
                <w:b/>
                <w:bCs/>
              </w:rPr>
            </w:pPr>
            <w:r w:rsidRPr="0084257F">
              <w:rPr>
                <w:b/>
                <w:bCs/>
              </w:rPr>
              <w:t>Days Payables Outstanding (DPO)</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62A8F79E" w14:textId="77777777" w:rsidR="0023218E" w:rsidRPr="0084257F" w:rsidRDefault="00EE7669">
            <w:pPr>
              <w:spacing w:before="240" w:after="160" w:line="256" w:lineRule="auto"/>
            </w:pPr>
            <w:r w:rsidRPr="0084257F">
              <w:t>93.60</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073064C8" w14:textId="77777777" w:rsidR="0023218E" w:rsidRPr="0084257F" w:rsidRDefault="00EE7669">
            <w:pPr>
              <w:spacing w:before="240" w:after="160" w:line="256" w:lineRule="auto"/>
            </w:pPr>
            <w:r w:rsidRPr="0084257F">
              <w:t>64.44</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66971436" w14:textId="77777777" w:rsidR="0023218E" w:rsidRPr="0084257F" w:rsidRDefault="00EE7669">
            <w:pPr>
              <w:spacing w:before="240" w:after="160" w:line="256" w:lineRule="auto"/>
            </w:pPr>
            <w:r w:rsidRPr="0084257F">
              <w:t>66.65</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4CEF475D" w14:textId="77777777" w:rsidR="0023218E" w:rsidRPr="0084257F" w:rsidRDefault="00EE7669">
            <w:pPr>
              <w:spacing w:before="240" w:after="160" w:line="256" w:lineRule="auto"/>
            </w:pPr>
            <w:r w:rsidRPr="0084257F">
              <w:t>78.80</w:t>
            </w:r>
          </w:p>
        </w:tc>
        <w:tc>
          <w:tcPr>
            <w:tcW w:w="1185" w:type="dxa"/>
            <w:tcBorders>
              <w:top w:val="nil"/>
              <w:left w:val="nil"/>
              <w:bottom w:val="single" w:sz="6" w:space="0" w:color="000000"/>
              <w:right w:val="single" w:sz="6" w:space="0" w:color="000000"/>
            </w:tcBorders>
            <w:tcMar>
              <w:top w:w="0" w:type="dxa"/>
              <w:left w:w="100" w:type="dxa"/>
              <w:bottom w:w="0" w:type="dxa"/>
              <w:right w:w="100" w:type="dxa"/>
            </w:tcMar>
          </w:tcPr>
          <w:p w14:paraId="12919C45" w14:textId="77777777" w:rsidR="0023218E" w:rsidRPr="0084257F" w:rsidRDefault="00EE7669">
            <w:pPr>
              <w:spacing w:before="240" w:after="160" w:line="256" w:lineRule="auto"/>
            </w:pPr>
            <w:r w:rsidRPr="0084257F">
              <w:t>68.81</w:t>
            </w:r>
          </w:p>
        </w:tc>
      </w:tr>
      <w:tr w:rsidR="0023218E" w:rsidRPr="0084257F" w14:paraId="7A0A0F55" w14:textId="77777777">
        <w:trPr>
          <w:trHeight w:val="450"/>
        </w:trPr>
        <w:tc>
          <w:tcPr>
            <w:tcW w:w="421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84A8F58" w14:textId="77777777" w:rsidR="0023218E" w:rsidRPr="0084257F" w:rsidRDefault="00EE7669">
            <w:pPr>
              <w:spacing w:before="240" w:after="160" w:line="256" w:lineRule="auto"/>
              <w:rPr>
                <w:b/>
                <w:bCs/>
              </w:rPr>
            </w:pPr>
            <w:r w:rsidRPr="0084257F">
              <w:rPr>
                <w:b/>
                <w:bCs/>
              </w:rPr>
              <w:t>Cash Operating Cycle (COC)</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3F6A177C" w14:textId="77777777" w:rsidR="0023218E" w:rsidRPr="0084257F" w:rsidRDefault="00EE7669">
            <w:pPr>
              <w:spacing w:before="240" w:after="160" w:line="256" w:lineRule="auto"/>
            </w:pPr>
            <w:r w:rsidRPr="0084257F">
              <w:t>115.06</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6413B4D4" w14:textId="77777777" w:rsidR="0023218E" w:rsidRPr="0084257F" w:rsidRDefault="00EE7669">
            <w:pPr>
              <w:spacing w:before="240" w:after="160" w:line="256" w:lineRule="auto"/>
            </w:pPr>
            <w:r w:rsidRPr="0084257F">
              <w:t>132.72</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630D1F7A" w14:textId="77777777" w:rsidR="0023218E" w:rsidRPr="0084257F" w:rsidRDefault="00EE7669">
            <w:pPr>
              <w:spacing w:before="240" w:after="160" w:line="256" w:lineRule="auto"/>
            </w:pPr>
            <w:r w:rsidRPr="0084257F">
              <w:t>139.29</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097D6BD5" w14:textId="77777777" w:rsidR="0023218E" w:rsidRPr="0084257F" w:rsidRDefault="00EE7669">
            <w:pPr>
              <w:spacing w:before="240" w:after="160" w:line="256" w:lineRule="auto"/>
            </w:pPr>
            <w:r w:rsidRPr="0084257F">
              <w:t>114.23</w:t>
            </w:r>
          </w:p>
        </w:tc>
        <w:tc>
          <w:tcPr>
            <w:tcW w:w="1185" w:type="dxa"/>
            <w:tcBorders>
              <w:top w:val="nil"/>
              <w:left w:val="nil"/>
              <w:bottom w:val="single" w:sz="6" w:space="0" w:color="000000"/>
              <w:right w:val="single" w:sz="6" w:space="0" w:color="000000"/>
            </w:tcBorders>
            <w:tcMar>
              <w:top w:w="0" w:type="dxa"/>
              <w:left w:w="100" w:type="dxa"/>
              <w:bottom w:w="0" w:type="dxa"/>
              <w:right w:w="100" w:type="dxa"/>
            </w:tcMar>
          </w:tcPr>
          <w:p w14:paraId="2B9E7C0F" w14:textId="77777777" w:rsidR="0023218E" w:rsidRPr="0084257F" w:rsidRDefault="00EE7669">
            <w:pPr>
              <w:spacing w:before="240" w:after="160" w:line="256" w:lineRule="auto"/>
            </w:pPr>
            <w:r w:rsidRPr="0084257F">
              <w:t>107.89</w:t>
            </w:r>
          </w:p>
        </w:tc>
      </w:tr>
    </w:tbl>
    <w:p w14:paraId="6EFB1F72" w14:textId="77777777" w:rsidR="0023218E" w:rsidRPr="0084257F" w:rsidRDefault="0023218E"/>
    <w:p w14:paraId="32F24416" w14:textId="5AA2F565" w:rsidR="0023218E" w:rsidRPr="0084257F" w:rsidRDefault="00EC7E10">
      <w:pPr>
        <w:pStyle w:val="Heading2"/>
      </w:pPr>
      <w:bookmarkStart w:id="14" w:name="_mjxd0u9cw7u0" w:colFirst="0" w:colLast="0"/>
      <w:bookmarkStart w:id="15" w:name="_Toc215418638"/>
      <w:bookmarkEnd w:id="14"/>
      <w:r w:rsidRPr="0084257F">
        <w:t>Suggestion of Liquidity-Enhancing Strategy.</w:t>
      </w:r>
      <w:bookmarkEnd w:id="15"/>
    </w:p>
    <w:p w14:paraId="132ADA95" w14:textId="77777777" w:rsidR="0023218E" w:rsidRPr="0084257F" w:rsidRDefault="00EE7669">
      <w:r w:rsidRPr="0084257F">
        <w:t>To increase liquidity, the company may be interested in increasing its efficiency in the administration of the inventory, the accounts receivable collection, and the payables administration (Singh et al., 2017). The company's current ratio is in excess of 1, which implies that the company is well liquidated, but the Cash Operating Cycle is high. Stabilizations of reducing the cycle are liquidity improvement measures:</w:t>
      </w:r>
    </w:p>
    <w:p w14:paraId="6E1050C1" w14:textId="6B2ACFAD" w:rsidR="0023218E" w:rsidRPr="0084257F" w:rsidRDefault="00EC7E10" w:rsidP="00EC7E10">
      <w:pPr>
        <w:pStyle w:val="Caption"/>
      </w:pPr>
      <w:r w:rsidRPr="0084257F">
        <w:t xml:space="preserve">Table </w:t>
      </w:r>
      <w:r w:rsidR="00A10132">
        <w:fldChar w:fldCharType="begin"/>
      </w:r>
      <w:r w:rsidR="00A10132">
        <w:instrText xml:space="preserve"> SEQ Table \* ARABIC </w:instrText>
      </w:r>
      <w:r w:rsidR="00A10132">
        <w:fldChar w:fldCharType="separate"/>
      </w:r>
      <w:r w:rsidRPr="0084257F">
        <w:rPr>
          <w:noProof/>
        </w:rPr>
        <w:t>3</w:t>
      </w:r>
      <w:r w:rsidR="00A10132">
        <w:rPr>
          <w:noProof/>
        </w:rPr>
        <w:fldChar w:fldCharType="end"/>
      </w:r>
      <w:r w:rsidRPr="0084257F">
        <w:t xml:space="preserve"> Suggestion of Liquidity-Enhancing Strategy.</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60"/>
        <w:gridCol w:w="3675"/>
        <w:gridCol w:w="3525"/>
      </w:tblGrid>
      <w:tr w:rsidR="0023218E" w:rsidRPr="0084257F" w14:paraId="7A0B2927" w14:textId="77777777">
        <w:trPr>
          <w:trHeight w:val="435"/>
        </w:trPr>
        <w:tc>
          <w:tcPr>
            <w:tcW w:w="216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2F6F906" w14:textId="77777777" w:rsidR="0023218E" w:rsidRPr="0084257F" w:rsidRDefault="00EE7669">
            <w:pPr>
              <w:spacing w:before="240" w:after="160" w:line="256" w:lineRule="auto"/>
              <w:rPr>
                <w:b/>
                <w:bCs/>
              </w:rPr>
            </w:pPr>
            <w:r w:rsidRPr="0084257F">
              <w:rPr>
                <w:b/>
                <w:bCs/>
              </w:rPr>
              <w:t>Strategy</w:t>
            </w:r>
          </w:p>
        </w:tc>
        <w:tc>
          <w:tcPr>
            <w:tcW w:w="36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7BC06DD" w14:textId="77777777" w:rsidR="0023218E" w:rsidRPr="0084257F" w:rsidRDefault="00EE7669">
            <w:pPr>
              <w:spacing w:before="240" w:after="160" w:line="256" w:lineRule="auto"/>
              <w:rPr>
                <w:b/>
                <w:bCs/>
              </w:rPr>
            </w:pPr>
            <w:r w:rsidRPr="0084257F">
              <w:rPr>
                <w:b/>
                <w:bCs/>
              </w:rPr>
              <w:t>Description</w:t>
            </w:r>
          </w:p>
        </w:tc>
        <w:tc>
          <w:tcPr>
            <w:tcW w:w="352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3602227" w14:textId="77777777" w:rsidR="0023218E" w:rsidRPr="0084257F" w:rsidRDefault="00EE7669">
            <w:pPr>
              <w:spacing w:before="240" w:after="160" w:line="256" w:lineRule="auto"/>
              <w:rPr>
                <w:b/>
                <w:bCs/>
              </w:rPr>
            </w:pPr>
            <w:r w:rsidRPr="0084257F">
              <w:rPr>
                <w:b/>
                <w:bCs/>
              </w:rPr>
              <w:t>Expected Outcome</w:t>
            </w:r>
          </w:p>
        </w:tc>
      </w:tr>
      <w:tr w:rsidR="0023218E" w:rsidRPr="0084257F" w14:paraId="671B96C2" w14:textId="77777777">
        <w:trPr>
          <w:trHeight w:val="1455"/>
        </w:trPr>
        <w:tc>
          <w:tcPr>
            <w:tcW w:w="21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936A818" w14:textId="77777777" w:rsidR="0023218E" w:rsidRPr="0084257F" w:rsidRDefault="00EE7669">
            <w:pPr>
              <w:spacing w:before="240" w:after="160" w:line="256" w:lineRule="auto"/>
              <w:rPr>
                <w:b/>
                <w:bCs/>
              </w:rPr>
            </w:pPr>
            <w:r w:rsidRPr="0084257F">
              <w:rPr>
                <w:b/>
                <w:bCs/>
              </w:rPr>
              <w:t>Optimize Inventory Management</w:t>
            </w:r>
          </w:p>
        </w:tc>
        <w:tc>
          <w:tcPr>
            <w:tcW w:w="3675" w:type="dxa"/>
            <w:tcBorders>
              <w:top w:val="nil"/>
              <w:left w:val="nil"/>
              <w:bottom w:val="single" w:sz="6" w:space="0" w:color="000000"/>
              <w:right w:val="single" w:sz="6" w:space="0" w:color="000000"/>
            </w:tcBorders>
            <w:tcMar>
              <w:top w:w="0" w:type="dxa"/>
              <w:left w:w="100" w:type="dxa"/>
              <w:bottom w:w="0" w:type="dxa"/>
              <w:right w:w="100" w:type="dxa"/>
            </w:tcMar>
          </w:tcPr>
          <w:p w14:paraId="60DB5BFC" w14:textId="77777777" w:rsidR="0023218E" w:rsidRPr="0084257F" w:rsidRDefault="00EE7669">
            <w:pPr>
              <w:spacing w:before="240" w:after="160" w:line="256" w:lineRule="auto"/>
            </w:pPr>
            <w:r w:rsidRPr="0084257F">
              <w:t xml:space="preserve">Adopt </w:t>
            </w:r>
            <w:r w:rsidRPr="0084257F">
              <w:rPr>
                <w:b/>
                <w:bCs/>
              </w:rPr>
              <w:t>just-in-time (JIT)</w:t>
            </w:r>
            <w:r w:rsidRPr="0084257F">
              <w:t xml:space="preserve"> practices and </w:t>
            </w:r>
            <w:r w:rsidRPr="0084257F">
              <w:rPr>
                <w:b/>
                <w:bCs/>
              </w:rPr>
              <w:t>automated demand forecasting</w:t>
            </w:r>
            <w:r w:rsidRPr="0084257F">
              <w:t xml:space="preserve"> to ensure </w:t>
            </w:r>
            <w:r w:rsidRPr="0084257F">
              <w:lastRenderedPageBreak/>
              <w:t>inventory levels are aligned with actual sales (Perez et al., 2021).</w:t>
            </w:r>
          </w:p>
        </w:tc>
        <w:tc>
          <w:tcPr>
            <w:tcW w:w="3525" w:type="dxa"/>
            <w:tcBorders>
              <w:top w:val="nil"/>
              <w:left w:val="nil"/>
              <w:bottom w:val="single" w:sz="6" w:space="0" w:color="000000"/>
              <w:right w:val="single" w:sz="6" w:space="0" w:color="000000"/>
            </w:tcBorders>
            <w:tcMar>
              <w:top w:w="0" w:type="dxa"/>
              <w:left w:w="100" w:type="dxa"/>
              <w:bottom w:w="0" w:type="dxa"/>
              <w:right w:w="100" w:type="dxa"/>
            </w:tcMar>
          </w:tcPr>
          <w:p w14:paraId="5A64C662" w14:textId="77777777" w:rsidR="0023218E" w:rsidRPr="0084257F" w:rsidRDefault="00EE7669">
            <w:pPr>
              <w:spacing w:before="240" w:after="160" w:line="256" w:lineRule="auto"/>
            </w:pPr>
            <w:r w:rsidRPr="0084257F">
              <w:lastRenderedPageBreak/>
              <w:t>Reduces excess stock, lowers holding costs, improves inventory turnover, and frees up cash.</w:t>
            </w:r>
          </w:p>
        </w:tc>
      </w:tr>
      <w:tr w:rsidR="0023218E" w:rsidRPr="0084257F" w14:paraId="6C0EF157" w14:textId="77777777">
        <w:trPr>
          <w:trHeight w:val="1455"/>
        </w:trPr>
        <w:tc>
          <w:tcPr>
            <w:tcW w:w="21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87385AB" w14:textId="77777777" w:rsidR="0023218E" w:rsidRPr="0084257F" w:rsidRDefault="00EE7669">
            <w:pPr>
              <w:spacing w:before="240" w:after="160" w:line="256" w:lineRule="auto"/>
              <w:rPr>
                <w:b/>
                <w:bCs/>
              </w:rPr>
            </w:pPr>
            <w:r w:rsidRPr="0084257F">
              <w:rPr>
                <w:b/>
                <w:bCs/>
              </w:rPr>
              <w:t>Speed Up Receivables Collection</w:t>
            </w:r>
          </w:p>
        </w:tc>
        <w:tc>
          <w:tcPr>
            <w:tcW w:w="3675" w:type="dxa"/>
            <w:tcBorders>
              <w:top w:val="nil"/>
              <w:left w:val="nil"/>
              <w:bottom w:val="single" w:sz="6" w:space="0" w:color="000000"/>
              <w:right w:val="single" w:sz="6" w:space="0" w:color="000000"/>
            </w:tcBorders>
            <w:tcMar>
              <w:top w:w="0" w:type="dxa"/>
              <w:left w:w="100" w:type="dxa"/>
              <w:bottom w:w="0" w:type="dxa"/>
              <w:right w:w="100" w:type="dxa"/>
            </w:tcMar>
          </w:tcPr>
          <w:p w14:paraId="72DBA7E4" w14:textId="77777777" w:rsidR="0023218E" w:rsidRPr="0084257F" w:rsidRDefault="00EE7669">
            <w:pPr>
              <w:spacing w:before="240" w:after="160" w:line="256" w:lineRule="auto"/>
            </w:pPr>
            <w:r w:rsidRPr="0084257F">
              <w:t xml:space="preserve">Tighten </w:t>
            </w:r>
            <w:r w:rsidRPr="0084257F">
              <w:rPr>
                <w:b/>
                <w:bCs/>
              </w:rPr>
              <w:t>credit policies</w:t>
            </w:r>
            <w:r w:rsidRPr="0084257F">
              <w:t xml:space="preserve">, offer </w:t>
            </w:r>
            <w:r w:rsidRPr="0084257F">
              <w:rPr>
                <w:b/>
                <w:bCs/>
              </w:rPr>
              <w:t>early payment discounts</w:t>
            </w:r>
            <w:r w:rsidRPr="0084257F">
              <w:t xml:space="preserve">, and implement </w:t>
            </w:r>
            <w:r w:rsidRPr="0084257F">
              <w:rPr>
                <w:b/>
                <w:bCs/>
              </w:rPr>
              <w:t>automated invoicing systems</w:t>
            </w:r>
            <w:r w:rsidRPr="0084257F">
              <w:t xml:space="preserve"> to ensure faster collections.</w:t>
            </w:r>
          </w:p>
        </w:tc>
        <w:tc>
          <w:tcPr>
            <w:tcW w:w="3525" w:type="dxa"/>
            <w:tcBorders>
              <w:top w:val="nil"/>
              <w:left w:val="nil"/>
              <w:bottom w:val="single" w:sz="6" w:space="0" w:color="000000"/>
              <w:right w:val="single" w:sz="6" w:space="0" w:color="000000"/>
            </w:tcBorders>
            <w:tcMar>
              <w:top w:w="0" w:type="dxa"/>
              <w:left w:w="100" w:type="dxa"/>
              <w:bottom w:w="0" w:type="dxa"/>
              <w:right w:w="100" w:type="dxa"/>
            </w:tcMar>
          </w:tcPr>
          <w:p w14:paraId="6FC4CD90" w14:textId="77777777" w:rsidR="0023218E" w:rsidRPr="0084257F" w:rsidRDefault="00EE7669">
            <w:pPr>
              <w:spacing w:before="240" w:after="160" w:line="256" w:lineRule="auto"/>
            </w:pPr>
            <w:r w:rsidRPr="0084257F">
              <w:t xml:space="preserve">Reduces </w:t>
            </w:r>
            <w:r w:rsidRPr="0084257F">
              <w:rPr>
                <w:b/>
                <w:bCs/>
              </w:rPr>
              <w:t>Days Sales Outstanding (DSO)</w:t>
            </w:r>
            <w:r w:rsidRPr="0084257F">
              <w:t>, improves cash flow, and ensures timely collection from customers.</w:t>
            </w:r>
          </w:p>
        </w:tc>
      </w:tr>
      <w:tr w:rsidR="0023218E" w:rsidRPr="0084257F" w14:paraId="6EE4DAF6" w14:textId="77777777">
        <w:trPr>
          <w:trHeight w:val="1200"/>
        </w:trPr>
        <w:tc>
          <w:tcPr>
            <w:tcW w:w="21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44D8354" w14:textId="77777777" w:rsidR="0023218E" w:rsidRPr="0084257F" w:rsidRDefault="00EE7669">
            <w:pPr>
              <w:spacing w:before="240" w:after="160" w:line="256" w:lineRule="auto"/>
              <w:rPr>
                <w:b/>
                <w:bCs/>
              </w:rPr>
            </w:pPr>
            <w:r w:rsidRPr="0084257F">
              <w:rPr>
                <w:b/>
                <w:bCs/>
              </w:rPr>
              <w:t>Negotiate Better Payment Terms with Suppliers</w:t>
            </w:r>
          </w:p>
        </w:tc>
        <w:tc>
          <w:tcPr>
            <w:tcW w:w="3675" w:type="dxa"/>
            <w:tcBorders>
              <w:top w:val="nil"/>
              <w:left w:val="nil"/>
              <w:bottom w:val="single" w:sz="6" w:space="0" w:color="000000"/>
              <w:right w:val="single" w:sz="6" w:space="0" w:color="000000"/>
            </w:tcBorders>
            <w:tcMar>
              <w:top w:w="0" w:type="dxa"/>
              <w:left w:w="100" w:type="dxa"/>
              <w:bottom w:w="0" w:type="dxa"/>
              <w:right w:w="100" w:type="dxa"/>
            </w:tcMar>
          </w:tcPr>
          <w:p w14:paraId="7CB3F691" w14:textId="77777777" w:rsidR="0023218E" w:rsidRPr="0084257F" w:rsidRDefault="00EE7669">
            <w:pPr>
              <w:spacing w:before="240" w:after="160" w:line="256" w:lineRule="auto"/>
            </w:pPr>
            <w:r w:rsidRPr="0084257F">
              <w:t xml:space="preserve">Negotiate </w:t>
            </w:r>
            <w:r w:rsidRPr="0084257F">
              <w:rPr>
                <w:b/>
                <w:bCs/>
              </w:rPr>
              <w:t>extended payment terms</w:t>
            </w:r>
            <w:r w:rsidRPr="0084257F">
              <w:t xml:space="preserve"> with suppliers to delay outflows without harming relationships (Kovach et al., 2022).</w:t>
            </w:r>
          </w:p>
        </w:tc>
        <w:tc>
          <w:tcPr>
            <w:tcW w:w="3525" w:type="dxa"/>
            <w:tcBorders>
              <w:top w:val="nil"/>
              <w:left w:val="nil"/>
              <w:bottom w:val="single" w:sz="6" w:space="0" w:color="000000"/>
              <w:right w:val="single" w:sz="6" w:space="0" w:color="000000"/>
            </w:tcBorders>
            <w:tcMar>
              <w:top w:w="0" w:type="dxa"/>
              <w:left w:w="100" w:type="dxa"/>
              <w:bottom w:w="0" w:type="dxa"/>
              <w:right w:w="100" w:type="dxa"/>
            </w:tcMar>
          </w:tcPr>
          <w:p w14:paraId="1F071CB4" w14:textId="77777777" w:rsidR="0023218E" w:rsidRPr="0084257F" w:rsidRDefault="00EE7669">
            <w:pPr>
              <w:spacing w:before="240" w:after="160" w:line="256" w:lineRule="auto"/>
            </w:pPr>
            <w:r w:rsidRPr="0084257F">
              <w:t xml:space="preserve">Increases available cash by extending the </w:t>
            </w:r>
            <w:r w:rsidRPr="0084257F">
              <w:rPr>
                <w:b/>
                <w:bCs/>
              </w:rPr>
              <w:t>Days Payables Outstanding (DPO)</w:t>
            </w:r>
            <w:r w:rsidRPr="0084257F">
              <w:t>, improving short-term liquidity.</w:t>
            </w:r>
          </w:p>
        </w:tc>
      </w:tr>
      <w:tr w:rsidR="0023218E" w:rsidRPr="0084257F" w14:paraId="2D4F100E" w14:textId="77777777">
        <w:trPr>
          <w:trHeight w:val="1455"/>
        </w:trPr>
        <w:tc>
          <w:tcPr>
            <w:tcW w:w="21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CB10AB3" w14:textId="77777777" w:rsidR="0023218E" w:rsidRPr="0084257F" w:rsidRDefault="00EE7669">
            <w:pPr>
              <w:spacing w:before="240" w:after="160" w:line="256" w:lineRule="auto"/>
              <w:rPr>
                <w:b/>
                <w:bCs/>
              </w:rPr>
            </w:pPr>
            <w:r w:rsidRPr="0084257F">
              <w:rPr>
                <w:b/>
                <w:bCs/>
              </w:rPr>
              <w:t>Improve Cash Flow Forecasting</w:t>
            </w:r>
          </w:p>
        </w:tc>
        <w:tc>
          <w:tcPr>
            <w:tcW w:w="3675" w:type="dxa"/>
            <w:tcBorders>
              <w:top w:val="nil"/>
              <w:left w:val="nil"/>
              <w:bottom w:val="single" w:sz="6" w:space="0" w:color="000000"/>
              <w:right w:val="single" w:sz="6" w:space="0" w:color="000000"/>
            </w:tcBorders>
            <w:tcMar>
              <w:top w:w="0" w:type="dxa"/>
              <w:left w:w="100" w:type="dxa"/>
              <w:bottom w:w="0" w:type="dxa"/>
              <w:right w:w="100" w:type="dxa"/>
            </w:tcMar>
          </w:tcPr>
          <w:p w14:paraId="0EF44E45" w14:textId="77777777" w:rsidR="0023218E" w:rsidRPr="0084257F" w:rsidRDefault="00EE7669">
            <w:pPr>
              <w:spacing w:before="240" w:after="160" w:line="256" w:lineRule="auto"/>
            </w:pPr>
            <w:r w:rsidRPr="0084257F">
              <w:t xml:space="preserve">Use </w:t>
            </w:r>
            <w:r w:rsidRPr="0084257F">
              <w:rPr>
                <w:b/>
                <w:bCs/>
              </w:rPr>
              <w:t>accurate cash flow projections</w:t>
            </w:r>
            <w:r w:rsidRPr="0084257F">
              <w:t xml:space="preserve"> to better align cash inflows with outflows, and anticipate liquidity shortages early (</w:t>
            </w:r>
            <w:proofErr w:type="spellStart"/>
            <w:r w:rsidRPr="0084257F">
              <w:t>Glaum</w:t>
            </w:r>
            <w:proofErr w:type="spellEnd"/>
            <w:r w:rsidRPr="0084257F">
              <w:t xml:space="preserve"> et al., 2018).</w:t>
            </w:r>
          </w:p>
        </w:tc>
        <w:tc>
          <w:tcPr>
            <w:tcW w:w="3525" w:type="dxa"/>
            <w:tcBorders>
              <w:top w:val="nil"/>
              <w:left w:val="nil"/>
              <w:bottom w:val="single" w:sz="6" w:space="0" w:color="000000"/>
              <w:right w:val="single" w:sz="6" w:space="0" w:color="000000"/>
            </w:tcBorders>
            <w:tcMar>
              <w:top w:w="0" w:type="dxa"/>
              <w:left w:w="100" w:type="dxa"/>
              <w:bottom w:w="0" w:type="dxa"/>
              <w:right w:w="100" w:type="dxa"/>
            </w:tcMar>
          </w:tcPr>
          <w:p w14:paraId="4D6B6D5B" w14:textId="77777777" w:rsidR="0023218E" w:rsidRPr="0084257F" w:rsidRDefault="00EE7669">
            <w:pPr>
              <w:spacing w:before="240" w:after="160" w:line="256" w:lineRule="auto"/>
            </w:pPr>
            <w:r w:rsidRPr="0084257F">
              <w:t>Provides proactive insight into potential cash shortages, allowing for better liquidity management.</w:t>
            </w:r>
          </w:p>
        </w:tc>
      </w:tr>
      <w:tr w:rsidR="0023218E" w:rsidRPr="0084257F" w14:paraId="2A731AB1" w14:textId="77777777">
        <w:trPr>
          <w:trHeight w:val="1455"/>
        </w:trPr>
        <w:tc>
          <w:tcPr>
            <w:tcW w:w="216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D27B450" w14:textId="77777777" w:rsidR="0023218E" w:rsidRPr="0084257F" w:rsidRDefault="00EE7669">
            <w:pPr>
              <w:spacing w:before="240" w:after="160" w:line="256" w:lineRule="auto"/>
              <w:rPr>
                <w:b/>
                <w:bCs/>
              </w:rPr>
            </w:pPr>
            <w:r w:rsidRPr="0084257F">
              <w:rPr>
                <w:b/>
                <w:bCs/>
              </w:rPr>
              <w:t>Use Short-Term Financing for Flexibility</w:t>
            </w:r>
          </w:p>
        </w:tc>
        <w:tc>
          <w:tcPr>
            <w:tcW w:w="3675" w:type="dxa"/>
            <w:tcBorders>
              <w:top w:val="nil"/>
              <w:left w:val="nil"/>
              <w:bottom w:val="single" w:sz="6" w:space="0" w:color="000000"/>
              <w:right w:val="single" w:sz="6" w:space="0" w:color="000000"/>
            </w:tcBorders>
            <w:tcMar>
              <w:top w:w="0" w:type="dxa"/>
              <w:left w:w="100" w:type="dxa"/>
              <w:bottom w:w="0" w:type="dxa"/>
              <w:right w:w="100" w:type="dxa"/>
            </w:tcMar>
          </w:tcPr>
          <w:p w14:paraId="073D48FE" w14:textId="77777777" w:rsidR="0023218E" w:rsidRPr="0084257F" w:rsidRDefault="00EE7669">
            <w:pPr>
              <w:spacing w:before="240" w:after="160" w:line="256" w:lineRule="auto"/>
            </w:pPr>
            <w:r w:rsidRPr="0084257F">
              <w:t xml:space="preserve">Utilize </w:t>
            </w:r>
            <w:r w:rsidRPr="0084257F">
              <w:rPr>
                <w:b/>
                <w:bCs/>
              </w:rPr>
              <w:t>lines of credit</w:t>
            </w:r>
            <w:r w:rsidRPr="0084257F">
              <w:t xml:space="preserve">, </w:t>
            </w:r>
            <w:r w:rsidRPr="0084257F">
              <w:rPr>
                <w:b/>
                <w:bCs/>
              </w:rPr>
              <w:t>invoice factoring</w:t>
            </w:r>
            <w:r w:rsidRPr="0084257F">
              <w:t xml:space="preserve">, or </w:t>
            </w:r>
            <w:r w:rsidRPr="0084257F">
              <w:rPr>
                <w:b/>
                <w:bCs/>
              </w:rPr>
              <w:t>working capital loans</w:t>
            </w:r>
            <w:r w:rsidRPr="0084257F">
              <w:t xml:space="preserve"> to access funds quickly without long-term debt obligations.</w:t>
            </w:r>
          </w:p>
        </w:tc>
        <w:tc>
          <w:tcPr>
            <w:tcW w:w="3525" w:type="dxa"/>
            <w:tcBorders>
              <w:top w:val="nil"/>
              <w:left w:val="nil"/>
              <w:bottom w:val="single" w:sz="6" w:space="0" w:color="000000"/>
              <w:right w:val="single" w:sz="6" w:space="0" w:color="000000"/>
            </w:tcBorders>
            <w:tcMar>
              <w:top w:w="0" w:type="dxa"/>
              <w:left w:w="100" w:type="dxa"/>
              <w:bottom w:w="0" w:type="dxa"/>
              <w:right w:w="100" w:type="dxa"/>
            </w:tcMar>
          </w:tcPr>
          <w:p w14:paraId="5525E947" w14:textId="77777777" w:rsidR="0023218E" w:rsidRPr="0084257F" w:rsidRDefault="00EE7669">
            <w:pPr>
              <w:spacing w:before="240" w:after="160" w:line="256" w:lineRule="auto"/>
            </w:pPr>
            <w:r w:rsidRPr="0084257F">
              <w:t>Provides immediate liquidity, helping to cover short-term cash flow gaps without jeopardizing long-term financial health.</w:t>
            </w:r>
          </w:p>
        </w:tc>
      </w:tr>
    </w:tbl>
    <w:p w14:paraId="1CD3C03C" w14:textId="77777777" w:rsidR="0023218E" w:rsidRPr="0084257F" w:rsidRDefault="0023218E"/>
    <w:p w14:paraId="02827FAA" w14:textId="77777777" w:rsidR="0023218E" w:rsidRPr="0084257F" w:rsidRDefault="0023218E"/>
    <w:p w14:paraId="63684345" w14:textId="77777777" w:rsidR="0023218E" w:rsidRPr="0084257F" w:rsidRDefault="00EE7669">
      <w:pPr>
        <w:pStyle w:val="Heading2"/>
      </w:pPr>
      <w:bookmarkStart w:id="16" w:name="_fdrtabjyvsp" w:colFirst="0" w:colLast="0"/>
      <w:bookmarkStart w:id="17" w:name="_Toc215418639"/>
      <w:bookmarkEnd w:id="16"/>
      <w:r w:rsidRPr="0084257F">
        <w:t>Compare Short-Term vs Long-Term Financing Options</w:t>
      </w:r>
      <w:bookmarkEnd w:id="17"/>
    </w:p>
    <w:p w14:paraId="31E995D8" w14:textId="77777777" w:rsidR="0023218E" w:rsidRPr="0084257F" w:rsidRDefault="00EE7669">
      <w:r w:rsidRPr="0084257F">
        <w:t>The different financing sources that the company might use to deal with working and liquidity financing include short-term and long-term financing (</w:t>
      </w:r>
      <w:proofErr w:type="spellStart"/>
      <w:r w:rsidRPr="0084257F">
        <w:t>Baresa</w:t>
      </w:r>
      <w:proofErr w:type="spellEnd"/>
      <w:r w:rsidRPr="0084257F">
        <w:t xml:space="preserve"> et al., 2017). All of them possess their advantages and disadvantages based on the needs of the corporation, its financial background, and its developmental stage.</w:t>
      </w:r>
    </w:p>
    <w:p w14:paraId="69265FE6" w14:textId="77777777" w:rsidR="0023218E" w:rsidRPr="0084257F" w:rsidRDefault="0023218E"/>
    <w:p w14:paraId="0039F1FF" w14:textId="77777777" w:rsidR="0023218E" w:rsidRPr="0084257F" w:rsidRDefault="00EE7669">
      <w:pPr>
        <w:pStyle w:val="Heading3"/>
      </w:pPr>
      <w:bookmarkStart w:id="18" w:name="_hmoexyudc1xf" w:colFirst="0" w:colLast="0"/>
      <w:bookmarkStart w:id="19" w:name="_Toc215418640"/>
      <w:bookmarkEnd w:id="18"/>
      <w:r w:rsidRPr="0084257F">
        <w:t>Short-Term Financing:</w:t>
      </w:r>
      <w:bookmarkEnd w:id="19"/>
    </w:p>
    <w:p w14:paraId="4A056547" w14:textId="77777777" w:rsidR="0023218E" w:rsidRPr="0084257F" w:rsidRDefault="00EE7669">
      <w:r w:rsidRPr="0084257F">
        <w:t xml:space="preserve">Its short financing is regularly accepted to clear the operational expenses of short-term or the cash shortfall in the short term (Zhang et al., 2017). It adapts best to the variations that do exist in the working capital in which the seasonal change in the sales </w:t>
      </w:r>
      <w:r w:rsidRPr="0084257F">
        <w:lastRenderedPageBreak/>
        <w:t>takes place, or due to the unexpected costs, or inefficient collections of the receivables.</w:t>
      </w:r>
    </w:p>
    <w:p w14:paraId="4C0B43FD" w14:textId="77777777" w:rsidR="0023218E" w:rsidRPr="0084257F" w:rsidRDefault="0023218E"/>
    <w:p w14:paraId="673C180D" w14:textId="77777777" w:rsidR="0023218E" w:rsidRPr="0084257F" w:rsidRDefault="00EE7669">
      <w:pPr>
        <w:numPr>
          <w:ilvl w:val="0"/>
          <w:numId w:val="7"/>
        </w:numPr>
      </w:pPr>
      <w:r w:rsidRPr="0084257F">
        <w:rPr>
          <w:b/>
          <w:bCs/>
          <w:i/>
          <w:iCs/>
        </w:rPr>
        <w:t xml:space="preserve">Lines of Credit: </w:t>
      </w:r>
      <w:r w:rsidRPr="0084257F">
        <w:t xml:space="preserve">A Line of credit is a short-term facility, an optional and flexible method of borrowing whereby the company can borrow money when the need arises, but it is up to a limit (Gandhi and </w:t>
      </w:r>
      <w:proofErr w:type="spellStart"/>
      <w:r w:rsidRPr="0084257F">
        <w:t>Nasit</w:t>
      </w:r>
      <w:proofErr w:type="spellEnd"/>
      <w:r w:rsidRPr="0084257F">
        <w:t>, 2022). It may be applied in the management of short-term liquidity requirements that are urgently required, like stock buy or payroll. It is flexible, and unlike the long-term loans, it has a high interest rate that is always high.</w:t>
      </w:r>
    </w:p>
    <w:p w14:paraId="07738E15" w14:textId="77777777" w:rsidR="0023218E" w:rsidRPr="0084257F" w:rsidRDefault="00EE7669">
      <w:pPr>
        <w:numPr>
          <w:ilvl w:val="0"/>
          <w:numId w:val="7"/>
        </w:numPr>
      </w:pPr>
      <w:r w:rsidRPr="0084257F">
        <w:rPr>
          <w:b/>
          <w:bCs/>
        </w:rPr>
        <w:t xml:space="preserve">Invoice Factoring: </w:t>
      </w:r>
      <w:r w:rsidRPr="0084257F">
        <w:t>Invoice factoring merely translates to the sale of the accounts payable to a third party, at a given discount. It is a fast method of accessing money at a cost, since the factoring company determines the percentage that will be charged on the value of the receivable (Wang, 2024). The variant will be useful in situations when companies have long DSO and require money to operate.</w:t>
      </w:r>
    </w:p>
    <w:p w14:paraId="771E698F" w14:textId="77777777" w:rsidR="0023218E" w:rsidRPr="0084257F" w:rsidRDefault="00EE7669">
      <w:pPr>
        <w:numPr>
          <w:ilvl w:val="0"/>
          <w:numId w:val="7"/>
        </w:numPr>
      </w:pPr>
      <w:r w:rsidRPr="0084257F">
        <w:rPr>
          <w:b/>
          <w:bCs/>
        </w:rPr>
        <w:t xml:space="preserve">Short-Term Loans: </w:t>
      </w:r>
      <w:r w:rsidRPr="0084257F">
        <w:t>The working capital loans may also be classified as short-term loans that can help the company get the money in a year (</w:t>
      </w:r>
      <w:proofErr w:type="spellStart"/>
      <w:r w:rsidRPr="0084257F">
        <w:t>Baresa</w:t>
      </w:r>
      <w:proofErr w:type="spellEnd"/>
      <w:r w:rsidRPr="0084257F">
        <w:t xml:space="preserve"> et al., 2017). The interest rates are lower than the lines of credit require paying them off in the short term, hence they will not be applicable in a long-term investment, but in the short-term need.</w:t>
      </w:r>
    </w:p>
    <w:p w14:paraId="64C47A0C" w14:textId="77777777" w:rsidR="0023218E" w:rsidRPr="0084257F" w:rsidRDefault="0023218E"/>
    <w:p w14:paraId="608B1C2A" w14:textId="77777777" w:rsidR="0023218E" w:rsidRPr="0084257F" w:rsidRDefault="00EE7669">
      <w:r w:rsidRPr="0084257F">
        <w:t>The short-term financing is good because it is not strict and may also be employed to get funds within a very short period of time. The drawback, though, is that these may come at a high cost since with high interests, in addition to fees, the company will have to ensure that it is able to repay it within a comparatively short time lapse, or it will have to liquidate outside its resources.</w:t>
      </w:r>
    </w:p>
    <w:p w14:paraId="53C4501F" w14:textId="77777777" w:rsidR="0023218E" w:rsidRPr="0084257F" w:rsidRDefault="0023218E"/>
    <w:p w14:paraId="2D429F70" w14:textId="77777777" w:rsidR="0023218E" w:rsidRPr="0084257F" w:rsidRDefault="00EE7669">
      <w:pPr>
        <w:pStyle w:val="Heading3"/>
      </w:pPr>
      <w:bookmarkStart w:id="20" w:name="_bdcn3mo976tg" w:colFirst="0" w:colLast="0"/>
      <w:bookmarkStart w:id="21" w:name="_Toc215418641"/>
      <w:bookmarkEnd w:id="20"/>
      <w:r w:rsidRPr="0084257F">
        <w:t>Long-Term Financing:</w:t>
      </w:r>
      <w:bookmarkEnd w:id="21"/>
    </w:p>
    <w:p w14:paraId="6FEB4DEC" w14:textId="77777777" w:rsidR="0023218E" w:rsidRPr="0084257F" w:rsidRDefault="00EE7669">
      <w:r w:rsidRPr="0084257F">
        <w:t xml:space="preserve">The long-term finance applies mainly in large-scale investments like capital investment, growth of the business, or long-term projects (Gandhi and </w:t>
      </w:r>
      <w:proofErr w:type="spellStart"/>
      <w:r w:rsidRPr="0084257F">
        <w:t>Nasit</w:t>
      </w:r>
      <w:proofErr w:type="spellEnd"/>
      <w:r w:rsidRPr="0084257F">
        <w:t>, 2022). These funds are stabilizing and can be paid in a limited number of years without necessarily requesting such money flow within a short period of time.</w:t>
      </w:r>
    </w:p>
    <w:p w14:paraId="31194674" w14:textId="77777777" w:rsidR="0023218E" w:rsidRPr="0084257F" w:rsidRDefault="0023218E"/>
    <w:p w14:paraId="31B0A363" w14:textId="77777777" w:rsidR="0023218E" w:rsidRPr="0084257F" w:rsidRDefault="00EE7669">
      <w:pPr>
        <w:numPr>
          <w:ilvl w:val="0"/>
          <w:numId w:val="6"/>
        </w:numPr>
      </w:pPr>
      <w:r w:rsidRPr="0084257F">
        <w:rPr>
          <w:b/>
          <w:bCs/>
        </w:rPr>
        <w:lastRenderedPageBreak/>
        <w:t xml:space="preserve">Term Loans: </w:t>
      </w:r>
      <w:r w:rsidRPr="0084257F">
        <w:t>A term loan involves building an amount of money within some specific period of time (90 days- 10 years). Interest rate is often lower than that of those options that are taken on a short-term basis and are repaid with certainty. A business that requires financing for long-term investments like property acquisition or expansion can best suit with the term loans.</w:t>
      </w:r>
    </w:p>
    <w:p w14:paraId="6078DF3C" w14:textId="77777777" w:rsidR="0023218E" w:rsidRPr="0084257F" w:rsidRDefault="00EE7669">
      <w:pPr>
        <w:numPr>
          <w:ilvl w:val="0"/>
          <w:numId w:val="6"/>
        </w:numPr>
      </w:pPr>
      <w:r w:rsidRPr="0084257F">
        <w:rPr>
          <w:b/>
          <w:bCs/>
        </w:rPr>
        <w:t xml:space="preserve">Bonds and Debentures: </w:t>
      </w:r>
      <w:r w:rsidRPr="0084257F">
        <w:t>The companies can venture into bonds or debentures and attract vast sums of money from the investors. These are rolled over to big projects, and the payback period gets stretched (5 to 30 years). Adequate capital through bonds is stable, yet it is associated with consistent interest payments, which would affect the cash flow (The Case Centre, 2022).</w:t>
      </w:r>
    </w:p>
    <w:p w14:paraId="1818EB93" w14:textId="77777777" w:rsidR="0023218E" w:rsidRPr="0084257F" w:rsidRDefault="00EE7669">
      <w:pPr>
        <w:numPr>
          <w:ilvl w:val="0"/>
          <w:numId w:val="6"/>
        </w:numPr>
      </w:pPr>
      <w:r w:rsidRPr="0084257F">
        <w:rPr>
          <w:b/>
          <w:bCs/>
        </w:rPr>
        <w:t xml:space="preserve">Equity Financing: </w:t>
      </w:r>
      <w:r w:rsidRPr="0084257F">
        <w:t>These are the sales of the shares of the company that can be called Equity financing. This is not repayable, and it is only it that dilutes the ownership and control of the business (Zhang et al., 2017). This will be appropriate for firms that do not intend to extend debt, as well as firms that intend to raise a huge amount of capital.</w:t>
      </w:r>
    </w:p>
    <w:p w14:paraId="0F1213AA" w14:textId="77777777" w:rsidR="0023218E" w:rsidRPr="0084257F" w:rsidRDefault="0023218E"/>
    <w:p w14:paraId="43890925" w14:textId="77777777" w:rsidR="0023218E" w:rsidRPr="0084257F" w:rsidRDefault="00EE7669">
      <w:r w:rsidRPr="0084257F">
        <w:t xml:space="preserve">The merit of substantial funding is that it will give a company financial stability and a long-term strategy to fund its expansion. The drawback, however, is a higher expense in cash in the long </w:t>
      </w:r>
      <w:proofErr w:type="gramStart"/>
      <w:r w:rsidRPr="0084257F">
        <w:t>run in</w:t>
      </w:r>
      <w:proofErr w:type="gramEnd"/>
      <w:r w:rsidRPr="0084257F">
        <w:t xml:space="preserve"> terms of compensating for fixed interest, and in the instance of equity financing, there is no control.</w:t>
      </w:r>
    </w:p>
    <w:p w14:paraId="7B30A69B" w14:textId="77777777" w:rsidR="0023218E" w:rsidRPr="0084257F" w:rsidRDefault="00EE7669">
      <w:r w:rsidRPr="0084257F">
        <w:br w:type="page"/>
      </w:r>
    </w:p>
    <w:p w14:paraId="1474842B" w14:textId="77777777" w:rsidR="0023218E" w:rsidRPr="0084257F" w:rsidRDefault="00EE7669" w:rsidP="0084257F">
      <w:pPr>
        <w:pStyle w:val="Heading1"/>
      </w:pPr>
      <w:bookmarkStart w:id="22" w:name="_g2h8whz6jmig" w:colFirst="0" w:colLast="0"/>
      <w:bookmarkStart w:id="23" w:name="_Toc215418642"/>
      <w:bookmarkEnd w:id="22"/>
      <w:r w:rsidRPr="0084257F">
        <w:lastRenderedPageBreak/>
        <w:t>4.0 Strategic Financial Restructuring Plan</w:t>
      </w:r>
      <w:bookmarkEnd w:id="23"/>
    </w:p>
    <w:p w14:paraId="54FF22D6" w14:textId="77777777" w:rsidR="0023218E" w:rsidRPr="0084257F" w:rsidRDefault="00EE7669">
      <w:r w:rsidRPr="0084257F">
        <w:t xml:space="preserve">In the financial analysis, the company may face the threat of bankruptcy, especially because the negative net profit margin of the company can be observed, and the Z-score indicates extreme financial strain (PwC, 2024). To correct these financial issues, there is a necessity to redesign the strategic financial structure to enhance financial health, value of the stockholders, and the long-term existence of the company. </w:t>
      </w:r>
    </w:p>
    <w:p w14:paraId="5AE854F1" w14:textId="77777777" w:rsidR="0023218E" w:rsidRPr="0084257F" w:rsidRDefault="0023218E"/>
    <w:p w14:paraId="1E0F7C4B" w14:textId="77777777" w:rsidR="0023218E" w:rsidRPr="0084257F" w:rsidRDefault="00EE7669">
      <w:pPr>
        <w:pStyle w:val="Heading2"/>
      </w:pPr>
      <w:bookmarkStart w:id="24" w:name="_b6s1u36jd3lw" w:colFirst="0" w:colLast="0"/>
      <w:bookmarkStart w:id="25" w:name="_Toc215418643"/>
      <w:bookmarkEnd w:id="24"/>
      <w:r w:rsidRPr="0084257F">
        <w:t>4.1 Propose Financial Restructuring Alternatives.</w:t>
      </w:r>
      <w:bookmarkEnd w:id="25"/>
    </w:p>
    <w:p w14:paraId="531FFB72" w14:textId="77777777" w:rsidR="0023218E" w:rsidRPr="0084257F" w:rsidRDefault="00EE7669">
      <w:r w:rsidRPr="0084257F">
        <w:t>To overcome the economically disadvantaged condition and to transform the company into a healthier one, one can suggest the following versions of the financial reorganization:</w:t>
      </w:r>
    </w:p>
    <w:p w14:paraId="0CFE3915" w14:textId="77777777" w:rsidR="0023218E" w:rsidRPr="0084257F" w:rsidRDefault="0023218E"/>
    <w:p w14:paraId="0FE086FD" w14:textId="77777777" w:rsidR="0023218E" w:rsidRPr="0084257F" w:rsidRDefault="00EE7669">
      <w:pPr>
        <w:rPr>
          <w:b/>
          <w:bCs/>
        </w:rPr>
      </w:pPr>
      <w:r w:rsidRPr="0084257F">
        <w:rPr>
          <w:b/>
          <w:bCs/>
        </w:rPr>
        <w:t>Reporting of Non-core Assets.</w:t>
      </w:r>
    </w:p>
    <w:p w14:paraId="33A75FC4" w14:textId="77777777" w:rsidR="0023218E" w:rsidRPr="0084257F" w:rsidRDefault="00EE7669">
      <w:r w:rsidRPr="0084257F">
        <w:t>Divestiture can be defined as the process of selling the non-essential or below-average assets, which can result in the influx of cash in the moment and can be used to cover the debts (Barth and Miller, 2018). The company will be able to dispose of its non-core assets to increase the liquidity levels, reduce those that carry a high interest rate, and reinvest the proceeds back into the actual business activity. As the move will diminish the asset base of the company, it will, more importantly, bring about a reduction in the financial pressure caused by the high leverage.</w:t>
      </w:r>
    </w:p>
    <w:p w14:paraId="3711C376" w14:textId="77777777" w:rsidR="0023218E" w:rsidRPr="0084257F" w:rsidRDefault="0023218E"/>
    <w:p w14:paraId="3F8456DD" w14:textId="77777777" w:rsidR="0023218E" w:rsidRPr="0084257F" w:rsidRDefault="00EE7669">
      <w:pPr>
        <w:rPr>
          <w:b/>
          <w:bCs/>
        </w:rPr>
      </w:pPr>
      <w:r w:rsidRPr="0084257F">
        <w:rPr>
          <w:b/>
          <w:bCs/>
        </w:rPr>
        <w:t>Merger or Acquisition (M&amp;A)</w:t>
      </w:r>
    </w:p>
    <w:p w14:paraId="530543AF" w14:textId="77777777" w:rsidR="0023218E" w:rsidRPr="0084257F" w:rsidRDefault="00EE7669">
      <w:r w:rsidRPr="0084257F">
        <w:t>Merger with a bigger and steadier company in terms of finances and experience may provide them with the capital and the experience that can alter the company (Twin, 2024). An alternative like this would enable the company to:</w:t>
      </w:r>
    </w:p>
    <w:p w14:paraId="0C0283E4" w14:textId="77777777" w:rsidR="0023218E" w:rsidRPr="0084257F" w:rsidRDefault="0023218E"/>
    <w:p w14:paraId="578A8A35" w14:textId="77777777" w:rsidR="0023218E" w:rsidRPr="0084257F" w:rsidRDefault="00EE7669">
      <w:pPr>
        <w:numPr>
          <w:ilvl w:val="0"/>
          <w:numId w:val="2"/>
        </w:numPr>
      </w:pPr>
      <w:r w:rsidRPr="0084257F">
        <w:t>Get access to more capital through the assistance of the partners in the merger.</w:t>
      </w:r>
    </w:p>
    <w:p w14:paraId="78E4FEEC" w14:textId="77777777" w:rsidR="0023218E" w:rsidRPr="0084257F" w:rsidRDefault="00EE7669">
      <w:pPr>
        <w:numPr>
          <w:ilvl w:val="0"/>
          <w:numId w:val="2"/>
        </w:numPr>
      </w:pPr>
      <w:r w:rsidRPr="0084257F">
        <w:t>Enhance the efficiency of the operations and utilize the synergies, which eliminates redundant operations while keeping the expenses in check (PwC, 2024).</w:t>
      </w:r>
    </w:p>
    <w:p w14:paraId="0414A49D" w14:textId="77777777" w:rsidR="0023218E" w:rsidRPr="0084257F" w:rsidRDefault="0023218E"/>
    <w:p w14:paraId="26FBDEB2" w14:textId="77777777" w:rsidR="0023218E" w:rsidRPr="0084257F" w:rsidRDefault="00EE7669">
      <w:r w:rsidRPr="0084257F">
        <w:lastRenderedPageBreak/>
        <w:t>Another possibility that the company can explore is that of being acquired by a stronger company that will accept the debt of the company in addition to providing a better strategic direction. The acquisition can also consist of a safety valve cash infusion.</w:t>
      </w:r>
    </w:p>
    <w:p w14:paraId="279B2D54" w14:textId="77777777" w:rsidR="0023218E" w:rsidRPr="0084257F" w:rsidRDefault="0023218E"/>
    <w:p w14:paraId="0726C11E" w14:textId="77777777" w:rsidR="0023218E" w:rsidRPr="0084257F" w:rsidRDefault="00EE7669">
      <w:pPr>
        <w:rPr>
          <w:b/>
          <w:bCs/>
        </w:rPr>
      </w:pPr>
      <w:r w:rsidRPr="0084257F">
        <w:rPr>
          <w:b/>
          <w:bCs/>
        </w:rPr>
        <w:t>Equity Injection</w:t>
      </w:r>
    </w:p>
    <w:p w14:paraId="74CB47F4" w14:textId="77777777" w:rsidR="0023218E" w:rsidRPr="0084257F" w:rsidRDefault="00EE7669">
      <w:r w:rsidRPr="0084257F">
        <w:t>The injection of equity would entail raising capital by issuing new shares either by:</w:t>
      </w:r>
    </w:p>
    <w:p w14:paraId="3594545A" w14:textId="77777777" w:rsidR="0023218E" w:rsidRPr="0084257F" w:rsidRDefault="00EE7669">
      <w:pPr>
        <w:numPr>
          <w:ilvl w:val="0"/>
          <w:numId w:val="4"/>
        </w:numPr>
      </w:pPr>
      <w:r w:rsidRPr="0084257F">
        <w:t>They are the privately owned equity investors who make a cash contribution in terms of owning a stake in the company.</w:t>
      </w:r>
    </w:p>
    <w:p w14:paraId="1674CC27" w14:textId="77777777" w:rsidR="0023218E" w:rsidRPr="0084257F" w:rsidRDefault="00EE7669">
      <w:pPr>
        <w:numPr>
          <w:ilvl w:val="0"/>
          <w:numId w:val="4"/>
        </w:numPr>
      </w:pPr>
      <w:r w:rsidRPr="0084257F">
        <w:t>The fundraising is based on a direct market approach (Twin, 2024).</w:t>
      </w:r>
    </w:p>
    <w:p w14:paraId="19C8A446" w14:textId="77777777" w:rsidR="0023218E" w:rsidRPr="0084257F" w:rsidRDefault="0023218E"/>
    <w:p w14:paraId="4152DC6F" w14:textId="77777777" w:rsidR="0023218E" w:rsidRPr="0084257F" w:rsidRDefault="00EE7669">
      <w:r w:rsidRPr="0084257F">
        <w:t>The opportunity of its equity injection will be to raise the much-needed capital to cover the debt, in addition to financing the changes in operations without taking on additional debt. It can, as well, dilute existing shareholders' equity.</w:t>
      </w:r>
    </w:p>
    <w:p w14:paraId="22DF6159" w14:textId="77777777" w:rsidR="0023218E" w:rsidRPr="0084257F" w:rsidRDefault="0023218E"/>
    <w:p w14:paraId="6EA650B2" w14:textId="77777777" w:rsidR="0023218E" w:rsidRPr="0084257F" w:rsidRDefault="00EE7669">
      <w:pPr>
        <w:rPr>
          <w:b/>
          <w:bCs/>
        </w:rPr>
      </w:pPr>
      <w:r w:rsidRPr="0084257F">
        <w:rPr>
          <w:b/>
          <w:bCs/>
        </w:rPr>
        <w:t>Restructuring of its debt and Refinancing.</w:t>
      </w:r>
    </w:p>
    <w:p w14:paraId="7D72B3CC" w14:textId="77777777" w:rsidR="0023218E" w:rsidRPr="0084257F" w:rsidRDefault="00EE7669">
      <w:r w:rsidRPr="0084257F">
        <w:t>The restructuring of the debt is essential, bearing in mind the increasing rates of debt as a way of representing the debt. The company will be able to negotiate with the creditors and:</w:t>
      </w:r>
    </w:p>
    <w:p w14:paraId="3468921F" w14:textId="77777777" w:rsidR="0023218E" w:rsidRPr="0084257F" w:rsidRDefault="0023218E"/>
    <w:p w14:paraId="2ABA703A" w14:textId="77777777" w:rsidR="0023218E" w:rsidRPr="0084257F" w:rsidRDefault="00EE7669">
      <w:pPr>
        <w:numPr>
          <w:ilvl w:val="0"/>
          <w:numId w:val="1"/>
        </w:numPr>
      </w:pPr>
      <w:r w:rsidRPr="0084257F">
        <w:t>The credit limit action or a reduction in the interest rates due to the insufficiency of debt (Barth and Miller, 2018).</w:t>
      </w:r>
    </w:p>
    <w:p w14:paraId="4D70270E" w14:textId="77777777" w:rsidR="0023218E" w:rsidRPr="0084257F" w:rsidRDefault="00EE7669">
      <w:pPr>
        <w:numPr>
          <w:ilvl w:val="0"/>
          <w:numId w:val="1"/>
        </w:numPr>
      </w:pPr>
      <w:r w:rsidRPr="0084257F">
        <w:t>Reorganize on a debt-to-equity foundation through the purchase of the ownership rights and diluting the debt burden of the business (The Strategic CFO, 2024).</w:t>
      </w:r>
    </w:p>
    <w:p w14:paraId="62971096" w14:textId="77777777" w:rsidR="0023218E" w:rsidRPr="0084257F" w:rsidRDefault="0023218E"/>
    <w:p w14:paraId="586435CA" w14:textId="77777777" w:rsidR="0023218E" w:rsidRPr="0084257F" w:rsidRDefault="00EE7669">
      <w:r w:rsidRPr="0084257F">
        <w:t>Besides, they are able to access lower-interest loans via refinancing, which will assist the company's replenishment of the high-interest short-term obligations into a more comfortable long-term obligation. Minimizes liquidity pressure in the short-term, lowers the total cost of debt, and offers the terms of less repayment.</w:t>
      </w:r>
    </w:p>
    <w:p w14:paraId="1770646C" w14:textId="77777777" w:rsidR="0023218E" w:rsidRPr="0084257F" w:rsidRDefault="0023218E"/>
    <w:p w14:paraId="4DC93523" w14:textId="77777777" w:rsidR="0023218E" w:rsidRPr="0084257F" w:rsidRDefault="00EE7669">
      <w:pPr>
        <w:pStyle w:val="Heading2"/>
      </w:pPr>
      <w:bookmarkStart w:id="26" w:name="_i496l0qcx9jv" w:colFirst="0" w:colLast="0"/>
      <w:bookmarkStart w:id="27" w:name="_Toc215418644"/>
      <w:bookmarkEnd w:id="26"/>
      <w:r w:rsidRPr="0084257F">
        <w:lastRenderedPageBreak/>
        <w:t>4.2 Evaluate Impact on Shareholder Value, Debt Structure, and Operational Flexibility</w:t>
      </w:r>
      <w:bookmarkEnd w:id="27"/>
    </w:p>
    <w:p w14:paraId="3B085881" w14:textId="77777777" w:rsidR="0023218E" w:rsidRPr="0084257F" w:rsidRDefault="00EE7669">
      <w:r w:rsidRPr="0084257F">
        <w:t>The restructuring alternatives under consideration will cause many varied impacts on shareholder values, debt mix, and the operational flexibility of the firm:</w:t>
      </w:r>
    </w:p>
    <w:p w14:paraId="4A383011" w14:textId="06F516A5" w:rsidR="0023218E" w:rsidRPr="0084257F" w:rsidRDefault="00EC7E10" w:rsidP="00EC7E10">
      <w:pPr>
        <w:pStyle w:val="Caption"/>
      </w:pPr>
      <w:r w:rsidRPr="0084257F">
        <w:t xml:space="preserve">Table </w:t>
      </w:r>
      <w:r w:rsidR="00A10132">
        <w:fldChar w:fldCharType="begin"/>
      </w:r>
      <w:r w:rsidR="00A10132">
        <w:instrText xml:space="preserve"> SEQ Table</w:instrText>
      </w:r>
      <w:r w:rsidR="00A10132">
        <w:instrText xml:space="preserve"> \* ARABIC </w:instrText>
      </w:r>
      <w:r w:rsidR="00A10132">
        <w:fldChar w:fldCharType="separate"/>
      </w:r>
      <w:r w:rsidRPr="0084257F">
        <w:rPr>
          <w:noProof/>
        </w:rPr>
        <w:t>4</w:t>
      </w:r>
      <w:r w:rsidR="00A10132">
        <w:rPr>
          <w:noProof/>
        </w:rPr>
        <w:fldChar w:fldCharType="end"/>
      </w:r>
      <w:r w:rsidRPr="0084257F">
        <w:t xml:space="preserve"> Evaluate Impact on Shareholder Value, Debt Structure, and Operational Flexibility.</w:t>
      </w:r>
    </w:p>
    <w:tbl>
      <w:tblPr>
        <w:tblStyle w:val="a1"/>
        <w:tblW w:w="96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10"/>
        <w:gridCol w:w="7980"/>
      </w:tblGrid>
      <w:tr w:rsidR="0023218E" w:rsidRPr="0084257F" w14:paraId="1A21C677" w14:textId="77777777">
        <w:trPr>
          <w:trHeight w:val="435"/>
        </w:trPr>
        <w:tc>
          <w:tcPr>
            <w:tcW w:w="171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898E8E5" w14:textId="77777777" w:rsidR="0023218E" w:rsidRPr="0084257F" w:rsidRDefault="00EE7669">
            <w:pPr>
              <w:spacing w:before="240" w:after="160" w:line="256" w:lineRule="auto"/>
              <w:rPr>
                <w:b/>
                <w:bCs/>
              </w:rPr>
            </w:pPr>
            <w:r w:rsidRPr="0084257F">
              <w:rPr>
                <w:b/>
                <w:bCs/>
              </w:rPr>
              <w:t>Factor</w:t>
            </w:r>
          </w:p>
        </w:tc>
        <w:tc>
          <w:tcPr>
            <w:tcW w:w="798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D2B8889" w14:textId="77777777" w:rsidR="0023218E" w:rsidRPr="0084257F" w:rsidRDefault="00EE7669">
            <w:pPr>
              <w:spacing w:before="240" w:after="160" w:line="256" w:lineRule="auto"/>
              <w:rPr>
                <w:b/>
                <w:bCs/>
              </w:rPr>
            </w:pPr>
            <w:r w:rsidRPr="0084257F">
              <w:rPr>
                <w:b/>
                <w:bCs/>
              </w:rPr>
              <w:t>Impact</w:t>
            </w:r>
          </w:p>
        </w:tc>
      </w:tr>
      <w:tr w:rsidR="0023218E" w:rsidRPr="0084257F" w14:paraId="2F66E322" w14:textId="77777777">
        <w:trPr>
          <w:trHeight w:val="1200"/>
        </w:trPr>
        <w:tc>
          <w:tcPr>
            <w:tcW w:w="17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CC77CC7" w14:textId="77777777" w:rsidR="0023218E" w:rsidRPr="0084257F" w:rsidRDefault="00EE7669">
            <w:pPr>
              <w:spacing w:before="240" w:after="160" w:line="256" w:lineRule="auto"/>
              <w:rPr>
                <w:b/>
                <w:bCs/>
              </w:rPr>
            </w:pPr>
            <w:r w:rsidRPr="0084257F">
              <w:rPr>
                <w:b/>
                <w:bCs/>
              </w:rPr>
              <w:t>Shareholder Value</w:t>
            </w:r>
          </w:p>
        </w:tc>
        <w:tc>
          <w:tcPr>
            <w:tcW w:w="7980" w:type="dxa"/>
            <w:tcBorders>
              <w:top w:val="nil"/>
              <w:left w:val="nil"/>
              <w:bottom w:val="single" w:sz="6" w:space="0" w:color="000000"/>
              <w:right w:val="single" w:sz="6" w:space="0" w:color="000000"/>
            </w:tcBorders>
            <w:tcMar>
              <w:top w:w="0" w:type="dxa"/>
              <w:left w:w="100" w:type="dxa"/>
              <w:bottom w:w="0" w:type="dxa"/>
              <w:right w:w="100" w:type="dxa"/>
            </w:tcMar>
          </w:tcPr>
          <w:p w14:paraId="2C0AA4F4" w14:textId="77777777" w:rsidR="0023218E" w:rsidRPr="0084257F" w:rsidRDefault="00EE7669">
            <w:pPr>
              <w:spacing w:before="240" w:after="160" w:line="256" w:lineRule="auto"/>
            </w:pPr>
            <w:r w:rsidRPr="0084257F">
              <w:t>A merger or equity injection will dilute existing shareholders but may provide long-term growth opportunities. Divestiture can improve financial health and possibly lead to higher share value if the company’s focus is narrowed (Maverick, 2024).</w:t>
            </w:r>
          </w:p>
        </w:tc>
      </w:tr>
      <w:tr w:rsidR="0023218E" w:rsidRPr="0084257F" w14:paraId="0992F1FF" w14:textId="77777777">
        <w:trPr>
          <w:trHeight w:val="945"/>
        </w:trPr>
        <w:tc>
          <w:tcPr>
            <w:tcW w:w="17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9245590" w14:textId="77777777" w:rsidR="0023218E" w:rsidRPr="0084257F" w:rsidRDefault="00EE7669">
            <w:pPr>
              <w:spacing w:before="240" w:after="160" w:line="256" w:lineRule="auto"/>
              <w:rPr>
                <w:b/>
                <w:bCs/>
              </w:rPr>
            </w:pPr>
            <w:r w:rsidRPr="0084257F">
              <w:rPr>
                <w:b/>
                <w:bCs/>
              </w:rPr>
              <w:t>Debt Structure</w:t>
            </w:r>
          </w:p>
        </w:tc>
        <w:tc>
          <w:tcPr>
            <w:tcW w:w="7980" w:type="dxa"/>
            <w:tcBorders>
              <w:top w:val="nil"/>
              <w:left w:val="nil"/>
              <w:bottom w:val="single" w:sz="6" w:space="0" w:color="000000"/>
              <w:right w:val="single" w:sz="6" w:space="0" w:color="000000"/>
            </w:tcBorders>
            <w:tcMar>
              <w:top w:w="0" w:type="dxa"/>
              <w:left w:w="100" w:type="dxa"/>
              <w:bottom w:w="0" w:type="dxa"/>
              <w:right w:w="100" w:type="dxa"/>
            </w:tcMar>
          </w:tcPr>
          <w:p w14:paraId="21F3305C" w14:textId="77777777" w:rsidR="0023218E" w:rsidRPr="0084257F" w:rsidRDefault="00EE7669">
            <w:pPr>
              <w:spacing w:before="240" w:after="160" w:line="256" w:lineRule="auto"/>
            </w:pPr>
            <w:r w:rsidRPr="0084257F">
              <w:t>Debt restructuring and refinancing will reduce interest payments, lower overall debt, and improve the company’s financial stability, allowing more resources for operations rather than servicing debt (</w:t>
            </w:r>
            <w:proofErr w:type="spellStart"/>
            <w:r w:rsidRPr="0084257F">
              <w:t>Sitinjak</w:t>
            </w:r>
            <w:proofErr w:type="spellEnd"/>
            <w:r w:rsidRPr="0084257F">
              <w:t xml:space="preserve"> et al., 2023).</w:t>
            </w:r>
          </w:p>
        </w:tc>
      </w:tr>
      <w:tr w:rsidR="0023218E" w:rsidRPr="0084257F" w14:paraId="38F6D9E2" w14:textId="77777777">
        <w:trPr>
          <w:trHeight w:val="1455"/>
        </w:trPr>
        <w:tc>
          <w:tcPr>
            <w:tcW w:w="17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55A7C6E" w14:textId="77777777" w:rsidR="0023218E" w:rsidRPr="0084257F" w:rsidRDefault="00EE7669">
            <w:pPr>
              <w:spacing w:before="240" w:after="160" w:line="256" w:lineRule="auto"/>
              <w:rPr>
                <w:b/>
                <w:bCs/>
              </w:rPr>
            </w:pPr>
            <w:r w:rsidRPr="0084257F">
              <w:rPr>
                <w:b/>
                <w:bCs/>
              </w:rPr>
              <w:t>Operational Flexibility</w:t>
            </w:r>
          </w:p>
        </w:tc>
        <w:tc>
          <w:tcPr>
            <w:tcW w:w="7980" w:type="dxa"/>
            <w:tcBorders>
              <w:top w:val="nil"/>
              <w:left w:val="nil"/>
              <w:bottom w:val="single" w:sz="6" w:space="0" w:color="000000"/>
              <w:right w:val="single" w:sz="6" w:space="0" w:color="000000"/>
            </w:tcBorders>
            <w:tcMar>
              <w:top w:w="0" w:type="dxa"/>
              <w:left w:w="100" w:type="dxa"/>
              <w:bottom w:w="0" w:type="dxa"/>
              <w:right w:w="100" w:type="dxa"/>
            </w:tcMar>
          </w:tcPr>
          <w:p w14:paraId="5B647C06" w14:textId="77777777" w:rsidR="0023218E" w:rsidRPr="0084257F" w:rsidRDefault="00EE7669">
            <w:pPr>
              <w:spacing w:before="240" w:after="160" w:line="256" w:lineRule="auto"/>
            </w:pPr>
            <w:r w:rsidRPr="0084257F">
              <w:t>Divestiture and merger will provide resources to refocus on core operations, improve management flexibility, and enhance the ability to adapt to market changes. Equity injection and refinancing will provide the working capital needed for expansion or operational improvements (</w:t>
            </w:r>
            <w:proofErr w:type="spellStart"/>
            <w:r w:rsidRPr="0084257F">
              <w:t>Dehghanfard</w:t>
            </w:r>
            <w:proofErr w:type="spellEnd"/>
            <w:r w:rsidRPr="0084257F">
              <w:t xml:space="preserve"> and </w:t>
            </w:r>
            <w:proofErr w:type="spellStart"/>
            <w:r w:rsidRPr="0084257F">
              <w:t>Moslemi</w:t>
            </w:r>
            <w:proofErr w:type="spellEnd"/>
            <w:r w:rsidRPr="0084257F">
              <w:t>, 2020).</w:t>
            </w:r>
          </w:p>
        </w:tc>
      </w:tr>
    </w:tbl>
    <w:p w14:paraId="7111758F" w14:textId="77777777" w:rsidR="0023218E" w:rsidRPr="0084257F" w:rsidRDefault="0023218E"/>
    <w:p w14:paraId="45D7F393" w14:textId="77777777" w:rsidR="0023218E" w:rsidRPr="0084257F" w:rsidRDefault="00EE7669">
      <w:r w:rsidRPr="0084257F">
        <w:t xml:space="preserve">The first result of the merger/ equity injection could be the dilution of the shareholders and it will serve to offer the company the capital to stabilize as well as to go out to develop.  These will change and restructuring and refinancing of debt can assist the company to be a lot less </w:t>
      </w:r>
      <w:proofErr w:type="spellStart"/>
      <w:r w:rsidRPr="0084257F">
        <w:t>debte</w:t>
      </w:r>
      <w:proofErr w:type="spellEnd"/>
      <w:r w:rsidRPr="0084257F">
        <w:t xml:space="preserve"> to the level that the interest to be paid becomes lower, and the better debt to equity ratio will be attained (The Strategic CFO, 2024). This will give the company adequate area to expand without necessarily indebting itself on a massive scale. This sale will enable the </w:t>
      </w:r>
      <w:proofErr w:type="spellStart"/>
      <w:r w:rsidRPr="0084257F">
        <w:t>organisation</w:t>
      </w:r>
      <w:proofErr w:type="spellEnd"/>
      <w:r w:rsidRPr="0084257F">
        <w:t xml:space="preserve"> to service the core competencies that will render the running of the </w:t>
      </w:r>
      <w:proofErr w:type="spellStart"/>
      <w:r w:rsidRPr="0084257F">
        <w:t>organisation</w:t>
      </w:r>
      <w:proofErr w:type="spellEnd"/>
      <w:r w:rsidRPr="0084257F">
        <w:t xml:space="preserve"> cheap and more efficient. </w:t>
      </w:r>
    </w:p>
    <w:p w14:paraId="08A8155D" w14:textId="77777777" w:rsidR="0023218E" w:rsidRPr="0084257F" w:rsidRDefault="0023218E"/>
    <w:p w14:paraId="334844C9" w14:textId="77777777" w:rsidR="0023218E" w:rsidRPr="0084257F" w:rsidRDefault="00EE7669">
      <w:pPr>
        <w:pStyle w:val="Heading2"/>
      </w:pPr>
      <w:bookmarkStart w:id="28" w:name="_vqj7qewwmw35" w:colFirst="0" w:colLast="0"/>
      <w:bookmarkStart w:id="29" w:name="_Toc215418645"/>
      <w:bookmarkEnd w:id="28"/>
      <w:r w:rsidRPr="0084257F">
        <w:t>4.3 International and Ethical Considerations</w:t>
      </w:r>
      <w:bookmarkEnd w:id="29"/>
    </w:p>
    <w:p w14:paraId="7683AF1A" w14:textId="77777777" w:rsidR="0023218E" w:rsidRPr="0084257F" w:rsidRDefault="00EE7669">
      <w:r w:rsidRPr="0084257F">
        <w:t>In the environment of the idea of financial restructuring, their attention should not be disregarded toward such international and ethical issues as taxation, currency risks, inflation, and Corporate Social Responsibility (CSR):</w:t>
      </w:r>
    </w:p>
    <w:p w14:paraId="34E181B7" w14:textId="77777777" w:rsidR="0023218E" w:rsidRPr="0084257F" w:rsidRDefault="0023218E"/>
    <w:p w14:paraId="4A3A1A54" w14:textId="77777777" w:rsidR="0023218E" w:rsidRPr="0084257F" w:rsidRDefault="00EE7669">
      <w:pPr>
        <w:rPr>
          <w:b/>
          <w:bCs/>
        </w:rPr>
      </w:pPr>
      <w:r w:rsidRPr="0084257F">
        <w:rPr>
          <w:b/>
          <w:bCs/>
        </w:rPr>
        <w:t>Taxation Considerations</w:t>
      </w:r>
    </w:p>
    <w:p w14:paraId="3210E1FB" w14:textId="77777777" w:rsidR="0023218E" w:rsidRPr="0084257F" w:rsidRDefault="00EE7669">
      <w:r w:rsidRPr="0084257F">
        <w:t>In the event that the company ventures into cross-border mergers or cross-border divestitures, it will suffer the maze of international taxes (Maverick, 2024). The company is taxable, and to alleviate the burden, it can be taken to the tax advisors, who may be tax advisors based on jurisdictions, to make the transactions tax efficient, so that the post-tax profit of the restructuring strategy can be maximized.</w:t>
      </w:r>
    </w:p>
    <w:p w14:paraId="4CBA2F60" w14:textId="77777777" w:rsidR="0023218E" w:rsidRPr="0084257F" w:rsidRDefault="00EE7669">
      <w:pPr>
        <w:numPr>
          <w:ilvl w:val="0"/>
          <w:numId w:val="5"/>
        </w:numPr>
      </w:pPr>
      <w:r w:rsidRPr="0084257F">
        <w:t>There is a capital gains tax in the sale of assets during a divestiture (</w:t>
      </w:r>
      <w:proofErr w:type="spellStart"/>
      <w:r w:rsidRPr="0084257F">
        <w:t>Cebeci</w:t>
      </w:r>
      <w:proofErr w:type="spellEnd"/>
      <w:r w:rsidRPr="0084257F">
        <w:t xml:space="preserve"> Law, 2025).</w:t>
      </w:r>
    </w:p>
    <w:p w14:paraId="1DB863DF" w14:textId="77777777" w:rsidR="0023218E" w:rsidRPr="0084257F" w:rsidRDefault="00EE7669">
      <w:pPr>
        <w:numPr>
          <w:ilvl w:val="0"/>
          <w:numId w:val="5"/>
        </w:numPr>
      </w:pPr>
      <w:r w:rsidRPr="0084257F">
        <w:t>International stakeholders have interests in or dividend payment tax exemption.</w:t>
      </w:r>
    </w:p>
    <w:p w14:paraId="45DC2E5D" w14:textId="77777777" w:rsidR="0023218E" w:rsidRPr="0084257F" w:rsidRDefault="0023218E"/>
    <w:p w14:paraId="2AEB8326" w14:textId="77777777" w:rsidR="0023218E" w:rsidRPr="0084257F" w:rsidRDefault="00EE7669">
      <w:pPr>
        <w:rPr>
          <w:b/>
          <w:bCs/>
        </w:rPr>
      </w:pPr>
      <w:r w:rsidRPr="0084257F">
        <w:rPr>
          <w:b/>
          <w:bCs/>
        </w:rPr>
        <w:t>Currency Risk</w:t>
      </w:r>
    </w:p>
    <w:p w14:paraId="281308B8" w14:textId="77777777" w:rsidR="0023218E" w:rsidRPr="0084257F" w:rsidRDefault="00EE7669">
      <w:r w:rsidRPr="0084257F">
        <w:t>The currency risk is a grave issue, particularly when the company is in question or is involved in doing business in another currency, considering that there is a probability that the company may be carrying out international business (</w:t>
      </w:r>
      <w:proofErr w:type="spellStart"/>
      <w:r w:rsidRPr="0084257F">
        <w:t>Dehghanfard</w:t>
      </w:r>
      <w:proofErr w:type="spellEnd"/>
      <w:r w:rsidRPr="0084257F">
        <w:t xml:space="preserve"> and </w:t>
      </w:r>
      <w:proofErr w:type="spellStart"/>
      <w:r w:rsidRPr="0084257F">
        <w:t>Moslemi</w:t>
      </w:r>
      <w:proofErr w:type="spellEnd"/>
      <w:r w:rsidRPr="0084257F">
        <w:t xml:space="preserve">, 2020). The company expenses will be incurred in a foreign currency, and the variation in the exchange rates will then mean that the sales revenues will be lower when converted to the domestic currency. The currency of the area would be stronger than the imported material, and repaying the debts would be more expensive. </w:t>
      </w:r>
    </w:p>
    <w:p w14:paraId="7D42525B" w14:textId="77777777" w:rsidR="0023218E" w:rsidRPr="0084257F" w:rsidRDefault="0023218E"/>
    <w:p w14:paraId="745E7341" w14:textId="77777777" w:rsidR="0023218E" w:rsidRPr="0084257F" w:rsidRDefault="00EE7669">
      <w:pPr>
        <w:rPr>
          <w:b/>
          <w:bCs/>
        </w:rPr>
      </w:pPr>
      <w:r w:rsidRPr="0084257F">
        <w:rPr>
          <w:b/>
          <w:bCs/>
        </w:rPr>
        <w:t>Inflation</w:t>
      </w:r>
    </w:p>
    <w:p w14:paraId="66786ABD" w14:textId="77777777" w:rsidR="0023218E" w:rsidRPr="0084257F" w:rsidRDefault="00EE7669">
      <w:r w:rsidRPr="0084257F">
        <w:t>Inflation may also affect the cost of operation and the prices of sales, especially when the business is associated with high-inflation countries. To retain the margins, the company should consider price strategies and cost management, and consider the possibilities of cost-cutting strategies by considering the inflation factor.</w:t>
      </w:r>
    </w:p>
    <w:p w14:paraId="34A3C4AE" w14:textId="77777777" w:rsidR="0023218E" w:rsidRPr="0084257F" w:rsidRDefault="00EE7669">
      <w:pPr>
        <w:numPr>
          <w:ilvl w:val="0"/>
          <w:numId w:val="3"/>
        </w:numPr>
      </w:pPr>
      <w:r w:rsidRPr="0084257F">
        <w:t>Increase in price of goods sold (COGS) and price of inputs.</w:t>
      </w:r>
    </w:p>
    <w:p w14:paraId="09BD0FE5" w14:textId="77777777" w:rsidR="0023218E" w:rsidRPr="0084257F" w:rsidRDefault="00EE7669">
      <w:pPr>
        <w:numPr>
          <w:ilvl w:val="0"/>
          <w:numId w:val="3"/>
        </w:numPr>
      </w:pPr>
      <w:r w:rsidRPr="0084257F">
        <w:t>The buying power of the customers that can influence the sales is reduced to some extent.</w:t>
      </w:r>
    </w:p>
    <w:p w14:paraId="35177F03" w14:textId="77777777" w:rsidR="0023218E" w:rsidRPr="0084257F" w:rsidRDefault="0023218E"/>
    <w:p w14:paraId="6170601E" w14:textId="77777777" w:rsidR="0023218E" w:rsidRPr="0084257F" w:rsidRDefault="00EE7669">
      <w:pPr>
        <w:rPr>
          <w:b/>
          <w:bCs/>
        </w:rPr>
      </w:pPr>
      <w:r w:rsidRPr="0084257F">
        <w:rPr>
          <w:b/>
          <w:bCs/>
        </w:rPr>
        <w:t>Corporate Social Responsibility (CSR).</w:t>
      </w:r>
    </w:p>
    <w:p w14:paraId="2F244A6C" w14:textId="77777777" w:rsidR="0023218E" w:rsidRPr="0084257F" w:rsidRDefault="00EE7669">
      <w:r w:rsidRPr="0084257F">
        <w:t xml:space="preserve">In the restructuring process, the company should also take into consideration the enhanced CSR initiatives (Madura, 2021). In addition, the compliance with international standards of CSR can attract more investors and customers, resulting in ethical business functioning, which will provide the company with a better image </w:t>
      </w:r>
      <w:r w:rsidRPr="0084257F">
        <w:lastRenderedPageBreak/>
        <w:t>(</w:t>
      </w:r>
      <w:proofErr w:type="spellStart"/>
      <w:r w:rsidRPr="0084257F">
        <w:t>Cezarino</w:t>
      </w:r>
      <w:proofErr w:type="spellEnd"/>
      <w:r w:rsidRPr="0084257F">
        <w:t xml:space="preserve"> et al., 2022). On the one hand, sustainability in the restructuring process will significantly enhance the social contribution of the company also contribute to dealing with emerging cross-boundary regulatory demands. The company will make sure that the rights of the workers are not infringed and the environmental standards are maintained (Shapiro and </w:t>
      </w:r>
      <w:proofErr w:type="spellStart"/>
      <w:r w:rsidRPr="0084257F">
        <w:t>Hanouna</w:t>
      </w:r>
      <w:proofErr w:type="spellEnd"/>
      <w:r w:rsidRPr="0084257F">
        <w:t>, 2019).</w:t>
      </w:r>
    </w:p>
    <w:p w14:paraId="1E47DDD0" w14:textId="77777777" w:rsidR="0023218E" w:rsidRPr="0084257F" w:rsidRDefault="0023218E"/>
    <w:p w14:paraId="46154077" w14:textId="77777777" w:rsidR="0023218E" w:rsidRPr="0084257F" w:rsidRDefault="00EE7669">
      <w:r w:rsidRPr="0084257F">
        <w:t xml:space="preserve">Restructuring Plan is a map of enhancing the financial well-being of the firms, consisting of a conglomeration of divestitures, mergers, injections, and struggles with debts. The company will be placed in the strategic positioning of achieving the growth with a long-term focus, having the ability to stabilize its financial state, increase shareholder value, and improve the debt structure of the company, the flexibility of operations, as well as consider international and ethical considerations. </w:t>
      </w:r>
    </w:p>
    <w:p w14:paraId="3856EF25" w14:textId="77777777" w:rsidR="0023218E" w:rsidRPr="0084257F" w:rsidRDefault="00EE7669">
      <w:r w:rsidRPr="0084257F">
        <w:br w:type="page"/>
      </w:r>
    </w:p>
    <w:p w14:paraId="7A213714" w14:textId="77777777" w:rsidR="0023218E" w:rsidRPr="0084257F" w:rsidRDefault="00EE7669" w:rsidP="0084257F">
      <w:pPr>
        <w:pStyle w:val="Heading1"/>
      </w:pPr>
      <w:bookmarkStart w:id="30" w:name="_oy4pktfxj1qw" w:colFirst="0" w:colLast="0"/>
      <w:bookmarkStart w:id="31" w:name="_Toc215418646"/>
      <w:bookmarkEnd w:id="30"/>
      <w:r w:rsidRPr="0084257F">
        <w:lastRenderedPageBreak/>
        <w:t>5.0 Investment Appraisal and Capital Budgeting</w:t>
      </w:r>
      <w:bookmarkEnd w:id="31"/>
    </w:p>
    <w:p w14:paraId="674AF5E5" w14:textId="77777777" w:rsidR="0023218E" w:rsidRPr="0084257F" w:rsidRDefault="00EE7669">
      <w:pPr>
        <w:pStyle w:val="Heading2"/>
      </w:pPr>
      <w:bookmarkStart w:id="32" w:name="_egzq7v4nxox5" w:colFirst="0" w:colLast="0"/>
      <w:bookmarkStart w:id="33" w:name="_Toc215418647"/>
      <w:bookmarkEnd w:id="32"/>
      <w:r w:rsidRPr="0084257F">
        <w:t>5.1 Comments on Proposed Investment Projects Using PBP, ARR, and NPV</w:t>
      </w:r>
      <w:bookmarkEnd w:id="33"/>
    </w:p>
    <w:p w14:paraId="41C8474E" w14:textId="77777777" w:rsidR="0023218E" w:rsidRPr="0084257F" w:rsidRDefault="00EE7669">
      <w:pPr>
        <w:rPr>
          <w:b/>
          <w:bCs/>
        </w:rPr>
      </w:pPr>
      <w:r w:rsidRPr="0084257F">
        <w:rPr>
          <w:b/>
          <w:bCs/>
        </w:rPr>
        <w:t>Project A:</w:t>
      </w:r>
    </w:p>
    <w:p w14:paraId="3B645181" w14:textId="77777777" w:rsidR="0023218E" w:rsidRPr="0084257F" w:rsidRDefault="00EE7669">
      <w:r w:rsidRPr="0084257F">
        <w:t xml:space="preserve">The project A to be occupied by £40m will have a Payback Period of 3.6 Years, i.e., the investment to occupy the project will take a period of three to six months to break even. This is quite moderate in comparison to the other projects (Bierman, 2020). The project </w:t>
      </w:r>
      <w:proofErr w:type="gramStart"/>
      <w:r w:rsidRPr="0084257F">
        <w:t>Accounting</w:t>
      </w:r>
      <w:proofErr w:type="gramEnd"/>
      <w:r w:rsidRPr="0084257F">
        <w:t xml:space="preserve"> rate is 7 percent, and this means that every pound introduced in the project will earn the company 7 pence a month. This is a justifiable pay that is not extremely high, as in Project C (10%). Considering the estimate of the Net Present Value (NPV) of £41.33m at a discounted rate of 10%, the project will be profitable, i.e., will have positive value. Nevertheless, PBP and ARR indicate that the fact that it is a safe investment does not imply that the intensity of its returns is relatively lower in comparison to the Project C one (</w:t>
      </w:r>
      <w:proofErr w:type="spellStart"/>
      <w:r w:rsidRPr="0084257F">
        <w:t>Michelon</w:t>
      </w:r>
      <w:proofErr w:type="spellEnd"/>
      <w:r w:rsidRPr="0084257F">
        <w:t xml:space="preserve"> et al., 2020). The averaged cash flows of Project A can be seen to have minimized risk, thereby making the modular cash flow an acceptable alternative as far as constant returns </w:t>
      </w:r>
      <w:proofErr w:type="gramStart"/>
      <w:r w:rsidRPr="0084257F">
        <w:t>are</w:t>
      </w:r>
      <w:proofErr w:type="gramEnd"/>
      <w:r w:rsidRPr="0084257F">
        <w:t xml:space="preserve"> concerned.</w:t>
      </w:r>
    </w:p>
    <w:p w14:paraId="1297975C" w14:textId="77777777" w:rsidR="0023218E" w:rsidRPr="0084257F" w:rsidRDefault="0023218E"/>
    <w:p w14:paraId="5C966190" w14:textId="77777777" w:rsidR="0023218E" w:rsidRPr="0084257F" w:rsidRDefault="00EE7669">
      <w:pPr>
        <w:rPr>
          <w:b/>
          <w:bCs/>
        </w:rPr>
      </w:pPr>
      <w:r w:rsidRPr="0084257F">
        <w:rPr>
          <w:b/>
          <w:bCs/>
        </w:rPr>
        <w:t>Project B:</w:t>
      </w:r>
    </w:p>
    <w:p w14:paraId="1029B38C" w14:textId="77777777" w:rsidR="0023218E" w:rsidRPr="0084257F" w:rsidRDefault="00EE7669">
      <w:r w:rsidRPr="0084257F">
        <w:t>Project C continues to have a low ARR of 0, which implies that the project will never make any profit as far as accounting profits are considered (</w:t>
      </w:r>
      <w:proofErr w:type="spellStart"/>
      <w:r w:rsidRPr="0084257F">
        <w:t>Kontuš</w:t>
      </w:r>
      <w:proofErr w:type="spellEnd"/>
      <w:r w:rsidRPr="0084257F">
        <w:t>, 2017). The payback period would be long at 5 years, leading to a long recovery period of the project (incurred cost of £30m). These disastrous statistics have turned the project into having an NPV of £22.75m, which indicates that there will be some positive cash flow generated in order to account for the time value of money. Its non-profitability (0% ARR) of its projects, even when compounded with its long payback period, does mean that, whilst it is profitable in absolute terms, it is by no means attractive compared to the other options. It has a low ARR, and this implies that this project will result in a difference in declining returns in the company (</w:t>
      </w:r>
      <w:proofErr w:type="spellStart"/>
      <w:r w:rsidRPr="0084257F">
        <w:t>Kengatharan</w:t>
      </w:r>
      <w:proofErr w:type="spellEnd"/>
      <w:r w:rsidRPr="0084257F">
        <w:t>, 2016). Based on the above factors, Project B is not going to be recommended because it will be the least paid, and it will take a long time before it can break even.</w:t>
      </w:r>
    </w:p>
    <w:p w14:paraId="2AD9BA5B" w14:textId="77777777" w:rsidR="0023218E" w:rsidRPr="0084257F" w:rsidRDefault="00EE7669">
      <w:pPr>
        <w:rPr>
          <w:b/>
          <w:bCs/>
        </w:rPr>
      </w:pPr>
      <w:r w:rsidRPr="0084257F">
        <w:rPr>
          <w:b/>
          <w:bCs/>
        </w:rPr>
        <w:t>Project C:</w:t>
      </w:r>
    </w:p>
    <w:p w14:paraId="7DCF0D3F" w14:textId="77777777" w:rsidR="0023218E" w:rsidRPr="0084257F" w:rsidRDefault="00EE7669">
      <w:r w:rsidRPr="0084257F">
        <w:t xml:space="preserve">The person in project C will have the best investment returns and ARR of 10 percent and PBP of 4 years. This implies that after 4 </w:t>
      </w:r>
      <w:proofErr w:type="gramStart"/>
      <w:r w:rsidRPr="0084257F">
        <w:t>years,</w:t>
      </w:r>
      <w:proofErr w:type="gramEnd"/>
      <w:r w:rsidRPr="0084257F">
        <w:t xml:space="preserve"> the project will still not yield the </w:t>
      </w:r>
      <w:r w:rsidRPr="0084257F">
        <w:lastRenderedPageBreak/>
        <w:t>£50m capital in project C. This project is the highest of the three projects, which means that it contains a good share of the payback of the investment made. The NPV of £54.25m shows that the projects are profitable, and the PI of 1.085 shows the same about the initial costs of the project (Madura, 2021). The high operating margins, particularly in the subsequent years, give the project more operating flexibility and would put it in a position to survive in the market, unlike the other projects. The variability of the cash flow could, however, be high since the higher returns of the projects are more vulnerable during the initial years of their existence. Project C will be prioritized, however, since it will be making good returns and will be recovered in a short period.</w:t>
      </w:r>
    </w:p>
    <w:p w14:paraId="0B3C2213" w14:textId="77777777" w:rsidR="0023218E" w:rsidRPr="0084257F" w:rsidRDefault="0023218E"/>
    <w:p w14:paraId="1CF3F3DE" w14:textId="77777777" w:rsidR="0023218E" w:rsidRPr="0084257F" w:rsidRDefault="00EE7669">
      <w:pPr>
        <w:pStyle w:val="Heading2"/>
      </w:pPr>
      <w:bookmarkStart w:id="34" w:name="_1mcgpjf0qldu" w:colFirst="0" w:colLast="0"/>
      <w:bookmarkStart w:id="35" w:name="_Toc215418648"/>
      <w:bookmarkEnd w:id="34"/>
      <w:r w:rsidRPr="0084257F">
        <w:t>5.2 Final Investment Recommendation: Assuming Capital Rationing</w:t>
      </w:r>
      <w:bookmarkEnd w:id="35"/>
    </w:p>
    <w:p w14:paraId="55DF51A1" w14:textId="77777777" w:rsidR="0023218E" w:rsidRPr="0084257F" w:rsidRDefault="00EE7669">
      <w:r w:rsidRPr="0084257F">
        <w:t>The company should then choose Project C and allocate the balance to Project A as the capital is rationed and planned to contribute £60m (Bierman, 2020). The style also makes the firm enjoy maximum returns on investment without necessarily establishing financial flexibility.</w:t>
      </w:r>
    </w:p>
    <w:p w14:paraId="734B805A" w14:textId="77777777" w:rsidR="0023218E" w:rsidRPr="0084257F" w:rsidRDefault="0023218E"/>
    <w:p w14:paraId="3287E7FE" w14:textId="77777777" w:rsidR="0023218E" w:rsidRPr="0084257F" w:rsidRDefault="00EE7669">
      <w:r w:rsidRPr="0084257F">
        <w:t>The first project to choose is project C as it has the best ARR (10%), and Profitability Index (PI) of 1.085, which is the best acceptable in terms of value of money. It is also a decision that is perpetuated by the NPV of £54.25m that will make the project worth it to the company. Payback period stands at 4 years and, as such, is a fast payback period; therefore, a good alternative. The high risk makes it justifiable because the high return has high volatility since the inflows of cash are greater in the later stages (</w:t>
      </w:r>
      <w:proofErr w:type="spellStart"/>
      <w:r w:rsidRPr="0084257F">
        <w:t>Mme</w:t>
      </w:r>
      <w:proofErr w:type="spellEnd"/>
      <w:r w:rsidRPr="0084257F">
        <w:t xml:space="preserve"> et al., 2023). It would be appropriate for the requirements of the companies in the maximization of the capital investment, which is constrained by the £60m factor.</w:t>
      </w:r>
    </w:p>
    <w:p w14:paraId="22DBD950" w14:textId="77777777" w:rsidR="0023218E" w:rsidRPr="0084257F" w:rsidRDefault="0023218E"/>
    <w:p w14:paraId="672C83F6" w14:textId="77777777" w:rsidR="0023218E" w:rsidRPr="0084257F" w:rsidRDefault="00EE7669">
      <w:r w:rsidRPr="0084257F">
        <w:t xml:space="preserve">Second is project A with an ARR of 7 and a PBP of 3.6 years. Although the ARR of this project is lower compared to that of Project C, the NPV of £41.33m of the ARR projects of this project has positive value creation and cash flow (Khan, 2024). Project A has a relatively stable state with moderate cash inflows, and the fact that it would be an easy second-time investment, which would also be low-risk, is not good enough, as compared to Project C. This project can be allotted the budget of the company, </w:t>
      </w:r>
      <w:r w:rsidRPr="0084257F">
        <w:lastRenderedPageBreak/>
        <w:t>which will be left with £10m very easily. It is not as lucrative as Project C, but it has a bigger future and the possibility to sustain the situation in the long-term perspective.</w:t>
      </w:r>
    </w:p>
    <w:p w14:paraId="31CF7386" w14:textId="77777777" w:rsidR="0023218E" w:rsidRPr="0084257F" w:rsidRDefault="0023218E"/>
    <w:p w14:paraId="7E8F9885" w14:textId="77777777" w:rsidR="0023218E" w:rsidRPr="0084257F" w:rsidRDefault="00EE7669">
      <w:r w:rsidRPr="0084257F">
        <w:t xml:space="preserve">Project B should not be considered even when it has a good NPV of £22.75m. The project is 0% ARR, which means it is not making any substantial profit with respect to accounting profits. The 5-year payback period is not attractive, either. It enjoys good positive cash flow, but the payback of the project is low compared to that of the two other alternatives (Shapiro and </w:t>
      </w:r>
      <w:proofErr w:type="spellStart"/>
      <w:r w:rsidRPr="0084257F">
        <w:t>Hanouna</w:t>
      </w:r>
      <w:proofErr w:type="spellEnd"/>
      <w:r w:rsidRPr="0084257F">
        <w:t>, 2019). Moreover, this project would not appeal as much to the capital rationing of the company, as it will result in reduced profitability and recovery period in comparison to Project A and Project C.</w:t>
      </w:r>
    </w:p>
    <w:p w14:paraId="65DB1309" w14:textId="77777777" w:rsidR="0023218E" w:rsidRPr="0084257F" w:rsidRDefault="0023218E"/>
    <w:p w14:paraId="20762FB1" w14:textId="77777777" w:rsidR="0023218E" w:rsidRPr="0084257F" w:rsidRDefault="00EE7669">
      <w:pPr>
        <w:pStyle w:val="Heading2"/>
      </w:pPr>
      <w:bookmarkStart w:id="36" w:name="_ey9oqh4b9leq" w:colFirst="0" w:colLast="0"/>
      <w:bookmarkStart w:id="37" w:name="_Toc215418649"/>
      <w:bookmarkEnd w:id="36"/>
      <w:r w:rsidRPr="0084257F">
        <w:t>5.3 Justification for the Recommendation</w:t>
      </w:r>
      <w:bookmarkEnd w:id="37"/>
    </w:p>
    <w:p w14:paraId="71105098" w14:textId="77777777" w:rsidR="0023218E" w:rsidRPr="0084257F" w:rsidRDefault="00EE7669">
      <w:r w:rsidRPr="0084257F">
        <w:t>This recommendation is based on the financial performance of the company regarding profitability, liquidity, and variability of the cash flow:</w:t>
      </w:r>
    </w:p>
    <w:p w14:paraId="19F0D95F" w14:textId="77777777" w:rsidR="0023218E" w:rsidRPr="0084257F" w:rsidRDefault="0023218E"/>
    <w:p w14:paraId="47CFD89E" w14:textId="77777777" w:rsidR="0023218E" w:rsidRPr="0084257F" w:rsidRDefault="00EE7669">
      <w:pPr>
        <w:numPr>
          <w:ilvl w:val="0"/>
          <w:numId w:val="8"/>
        </w:numPr>
      </w:pPr>
      <w:r w:rsidRPr="0084257F">
        <w:rPr>
          <w:b/>
          <w:bCs/>
        </w:rPr>
        <w:t>Profitability:</w:t>
      </w:r>
      <w:r w:rsidRPr="0084257F">
        <w:t xml:space="preserve"> The core objective of the companies is to maximize the money invested. The most profitable project is project C due to the great ARR (10%) and PI (1.085). This would be crucial to the company, as it is dependent on a capital rationing constraint (</w:t>
      </w:r>
      <w:proofErr w:type="spellStart"/>
      <w:r w:rsidRPr="0084257F">
        <w:t>Kontuš</w:t>
      </w:r>
      <w:proofErr w:type="spellEnd"/>
      <w:r w:rsidRPr="0084257F">
        <w:t>, 2017). It is crucial that the firm ensure that its capital is put to effective use, such that it leads to the highest returns in a shorter period of time. The second option is project A with a good ARR of 7% and NPV of £41.33m, thus suggesting that the bottom line of the company will be positive.</w:t>
      </w:r>
    </w:p>
    <w:p w14:paraId="0BB60DB4" w14:textId="77777777" w:rsidR="0023218E" w:rsidRPr="0084257F" w:rsidRDefault="00EE7669">
      <w:pPr>
        <w:numPr>
          <w:ilvl w:val="0"/>
          <w:numId w:val="8"/>
        </w:numPr>
      </w:pPr>
      <w:r w:rsidRPr="0084257F">
        <w:rPr>
          <w:b/>
          <w:bCs/>
        </w:rPr>
        <w:t>Liquidity:</w:t>
      </w:r>
      <w:r w:rsidRPr="0084257F">
        <w:t xml:space="preserve"> One can say that the payback period of both Project A and Project C is comparatively shorter, 3.6 years and 4 years, respectively. The lower payback periods are favorable as the company is strategic as far as being liquid is concerned. Project C will provide higher benefits in the long </w:t>
      </w:r>
      <w:proofErr w:type="gramStart"/>
      <w:r w:rsidRPr="0084257F">
        <w:t>run in</w:t>
      </w:r>
      <w:proofErr w:type="gramEnd"/>
      <w:r w:rsidRPr="0084257F">
        <w:t xml:space="preserve"> comparison to Project A, which provides moderate returns and reduced risk (Hayes, 2022). The two undertakings will allow the company to recuperate its investment in the least amount of time possible, and this will enhance its solvency and ability to invest further in other opportunities.</w:t>
      </w:r>
    </w:p>
    <w:p w14:paraId="62385FDF" w14:textId="77777777" w:rsidR="0023218E" w:rsidRPr="0084257F" w:rsidRDefault="00EE7669">
      <w:pPr>
        <w:numPr>
          <w:ilvl w:val="0"/>
          <w:numId w:val="8"/>
        </w:numPr>
      </w:pPr>
      <w:r w:rsidRPr="0084257F">
        <w:rPr>
          <w:b/>
          <w:bCs/>
        </w:rPr>
        <w:t xml:space="preserve">Volatility of the Cash Flow: </w:t>
      </w:r>
      <w:r w:rsidRPr="0084257F">
        <w:t>Cash flow of Project C is more volatile as the cash inflows are realized in the later years (</w:t>
      </w:r>
      <w:proofErr w:type="spellStart"/>
      <w:r w:rsidRPr="0084257F">
        <w:t>Pendar</w:t>
      </w:r>
      <w:proofErr w:type="spellEnd"/>
      <w:r w:rsidRPr="0084257F">
        <w:t xml:space="preserve"> et al., 2019). This risk is </w:t>
      </w:r>
      <w:r w:rsidRPr="0084257F">
        <w:lastRenderedPageBreak/>
        <w:t xml:space="preserve">justifiable, though, by the increased production. In its turn, Project A has more predictable and moderate inflows within the 5 years, which makes it a less risky and less volatile option. The optimum ratio of risk reward puts a firm in capital rationing in the position to have projects with higher returns </w:t>
      </w:r>
      <w:proofErr w:type="gramStart"/>
      <w:r w:rsidRPr="0084257F">
        <w:t>e.g.</w:t>
      </w:r>
      <w:proofErr w:type="gramEnd"/>
      <w:r w:rsidRPr="0084257F">
        <w:t xml:space="preserve"> Project C, and predictable projects e.g., Project A.</w:t>
      </w:r>
    </w:p>
    <w:p w14:paraId="27C2D1AB" w14:textId="77777777" w:rsidR="0023218E" w:rsidRPr="0084257F" w:rsidRDefault="0023218E"/>
    <w:p w14:paraId="77F256EC" w14:textId="77777777" w:rsidR="0023218E" w:rsidRPr="0084257F" w:rsidRDefault="00EE7669">
      <w:r w:rsidRPr="0084257F">
        <w:t>Summing up all the analyses discussed above, it can be concluded that the best recommendation would be to maximize the financial performance, where we would select project C and project A and not project B which is not very profitable. Such a plan will ensure that the company achieves maximum returns, improvements in liquidity, and manages the risk within the budget allocated £60 m to them.</w:t>
      </w:r>
    </w:p>
    <w:p w14:paraId="26FD98B7" w14:textId="77777777" w:rsidR="0023218E" w:rsidRPr="0084257F" w:rsidRDefault="00EE7669">
      <w:r w:rsidRPr="0084257F">
        <w:br w:type="page"/>
      </w:r>
    </w:p>
    <w:p w14:paraId="69D87D6B" w14:textId="77777777" w:rsidR="0023218E" w:rsidRPr="0084257F" w:rsidRDefault="00EE7669" w:rsidP="0084257F">
      <w:pPr>
        <w:pStyle w:val="Heading1"/>
      </w:pPr>
      <w:bookmarkStart w:id="38" w:name="_8g7v3ygpr77q" w:colFirst="0" w:colLast="0"/>
      <w:bookmarkStart w:id="39" w:name="_Toc215418650"/>
      <w:bookmarkEnd w:id="38"/>
      <w:r w:rsidRPr="0084257F">
        <w:lastRenderedPageBreak/>
        <w:t>6.0 Conclusion</w:t>
      </w:r>
      <w:bookmarkEnd w:id="39"/>
    </w:p>
    <w:p w14:paraId="31506304" w14:textId="77777777" w:rsidR="0023218E" w:rsidRPr="0084257F" w:rsidRDefault="00EE7669">
      <w:r w:rsidRPr="0084257F">
        <w:t>The strengths and the great risks are identified according to the case study on General Electronics. The company has been recording consistent revenues yet experiences the challenge of low profitability as well as increased debt that needs some form of drastic measure. It is also evident that the company has a mid-high likelihood of financial crippling and, thus, requires strategic financial restructuring based on the monetary models- Altman Z</w:t>
      </w:r>
      <w:proofErr w:type="gramStart"/>
      <w:r w:rsidRPr="0084257F">
        <w:t>-,score</w:t>
      </w:r>
      <w:proofErr w:type="gramEnd"/>
      <w:r w:rsidRPr="0084257F">
        <w:t xml:space="preserve"> and other monetary models. The report further states that the divestiture, injections made on the equity, and restructuring of debts are among the solutions that can empower the company both in terms of liquidity and to reduce leverage and chances of future growth. Project C is the most suitable project amongst the proposed investment projects which can give the most suitable return on investment because capital rationing of the company. The proposed strategy will usually lie between the growth and financial stability to make sure that the long-term sustainability of General Electronics will be preserved.</w:t>
      </w:r>
    </w:p>
    <w:p w14:paraId="73F34E91" w14:textId="037263DA" w:rsidR="00EC7E10" w:rsidRPr="0084257F" w:rsidRDefault="00EC7E10">
      <w:r w:rsidRPr="0084257F">
        <w:br w:type="page"/>
      </w:r>
    </w:p>
    <w:p w14:paraId="566D669B" w14:textId="09D0BCA4" w:rsidR="0023218E" w:rsidRPr="0084257F" w:rsidRDefault="00EC7E10" w:rsidP="0084257F">
      <w:pPr>
        <w:pStyle w:val="Heading1"/>
      </w:pPr>
      <w:bookmarkStart w:id="40" w:name="_Toc215418651"/>
      <w:r w:rsidRPr="0084257F">
        <w:lastRenderedPageBreak/>
        <w:t>7.0 References</w:t>
      </w:r>
      <w:bookmarkEnd w:id="40"/>
    </w:p>
    <w:p w14:paraId="3CE48BD8" w14:textId="77777777" w:rsidR="00EC7E10" w:rsidRPr="00EC7E10" w:rsidRDefault="00EC7E10" w:rsidP="00EC7E10">
      <w:pPr>
        <w:rPr>
          <w:lang w:val="en-GB"/>
        </w:rPr>
      </w:pPr>
      <w:r w:rsidRPr="00EC7E10">
        <w:rPr>
          <w:lang w:val="en-GB"/>
        </w:rPr>
        <w:t xml:space="preserve">Altman, E.I., </w:t>
      </w:r>
      <w:proofErr w:type="spellStart"/>
      <w:r w:rsidRPr="00EC7E10">
        <w:rPr>
          <w:lang w:val="en-GB"/>
        </w:rPr>
        <w:t>Iwanicz-Drozdowska</w:t>
      </w:r>
      <w:proofErr w:type="spellEnd"/>
      <w:r w:rsidRPr="00EC7E10">
        <w:rPr>
          <w:lang w:val="en-GB"/>
        </w:rPr>
        <w:t xml:space="preserve">, M., </w:t>
      </w:r>
      <w:proofErr w:type="spellStart"/>
      <w:r w:rsidRPr="00EC7E10">
        <w:rPr>
          <w:lang w:val="en-GB"/>
        </w:rPr>
        <w:t>Laitinen</w:t>
      </w:r>
      <w:proofErr w:type="spellEnd"/>
      <w:r w:rsidRPr="00EC7E10">
        <w:rPr>
          <w:lang w:val="en-GB"/>
        </w:rPr>
        <w:t xml:space="preserve">, E.K. and </w:t>
      </w:r>
      <w:proofErr w:type="spellStart"/>
      <w:r w:rsidRPr="00EC7E10">
        <w:rPr>
          <w:lang w:val="en-GB"/>
        </w:rPr>
        <w:t>Suvas</w:t>
      </w:r>
      <w:proofErr w:type="spellEnd"/>
      <w:r w:rsidRPr="00EC7E10">
        <w:rPr>
          <w:lang w:val="en-GB"/>
        </w:rPr>
        <w:t xml:space="preserve">, A. (2017). Financial Distress Prediction in an International Context: A Review and Empirical Analysis of Altman’s Z- Score Model. </w:t>
      </w:r>
      <w:r w:rsidRPr="00EC7E10">
        <w:rPr>
          <w:i/>
          <w:iCs/>
          <w:lang w:val="en-GB"/>
        </w:rPr>
        <w:t>Journal of International Financial Management &amp; Accounting</w:t>
      </w:r>
      <w:r w:rsidRPr="00EC7E10">
        <w:rPr>
          <w:lang w:val="en-GB"/>
        </w:rPr>
        <w:t xml:space="preserve">, 28(2), pp.131–171. </w:t>
      </w:r>
      <w:proofErr w:type="spellStart"/>
      <w:proofErr w:type="gramStart"/>
      <w:r w:rsidRPr="00EC7E10">
        <w:rPr>
          <w:lang w:val="en-GB"/>
        </w:rPr>
        <w:t>doi:https</w:t>
      </w:r>
      <w:proofErr w:type="spellEnd"/>
      <w:r w:rsidRPr="00EC7E10">
        <w:rPr>
          <w:lang w:val="en-GB"/>
        </w:rPr>
        <w:t>://doi.org/10.1111/jifm.12053</w:t>
      </w:r>
      <w:proofErr w:type="gramEnd"/>
      <w:r w:rsidRPr="00EC7E10">
        <w:rPr>
          <w:lang w:val="en-GB"/>
        </w:rPr>
        <w:t>.</w:t>
      </w:r>
    </w:p>
    <w:p w14:paraId="26D5B67C" w14:textId="77777777" w:rsidR="00EC7E10" w:rsidRPr="00EC7E10" w:rsidRDefault="00EC7E10" w:rsidP="00EC7E10">
      <w:pPr>
        <w:rPr>
          <w:lang w:val="en-GB"/>
        </w:rPr>
      </w:pPr>
      <w:proofErr w:type="spellStart"/>
      <w:r w:rsidRPr="00EC7E10">
        <w:rPr>
          <w:lang w:val="en-GB"/>
        </w:rPr>
        <w:t>Baresa</w:t>
      </w:r>
      <w:proofErr w:type="spellEnd"/>
      <w:r w:rsidRPr="00EC7E10">
        <w:rPr>
          <w:lang w:val="en-GB"/>
        </w:rPr>
        <w:t xml:space="preserve">, S., Bogdan, S. and Ivanovic, Z. (2017). </w:t>
      </w:r>
      <w:proofErr w:type="spellStart"/>
      <w:r w:rsidRPr="00EC7E10">
        <w:rPr>
          <w:lang w:val="en-GB"/>
        </w:rPr>
        <w:t>Specefic</w:t>
      </w:r>
      <w:proofErr w:type="spellEnd"/>
      <w:r w:rsidRPr="00EC7E10">
        <w:rPr>
          <w:lang w:val="en-GB"/>
        </w:rPr>
        <w:t xml:space="preserve"> form of short-term financing. </w:t>
      </w:r>
      <w:r w:rsidRPr="00EC7E10">
        <w:rPr>
          <w:i/>
          <w:iCs/>
          <w:lang w:val="en-GB"/>
        </w:rPr>
        <w:t>UTMS Journal of Economics</w:t>
      </w:r>
      <w:r w:rsidRPr="00EC7E10">
        <w:rPr>
          <w:lang w:val="en-GB"/>
        </w:rPr>
        <w:t>, [online] 8(2), pp.119–129. Available at: https://www.econstor.eu/handle/10419/195300.</w:t>
      </w:r>
    </w:p>
    <w:p w14:paraId="6FC684CB" w14:textId="77777777" w:rsidR="00EC7E10" w:rsidRPr="00EC7E10" w:rsidRDefault="00EC7E10" w:rsidP="00EC7E10">
      <w:pPr>
        <w:rPr>
          <w:lang w:val="en-GB"/>
        </w:rPr>
      </w:pPr>
      <w:r w:rsidRPr="00EC7E10">
        <w:rPr>
          <w:lang w:val="en-GB"/>
        </w:rPr>
        <w:t xml:space="preserve">Barth, J.R. and Miller, S.M. (2018). Benefits and costs of a higher bank ‘leverage ratio’. </w:t>
      </w:r>
      <w:r w:rsidRPr="00EC7E10">
        <w:rPr>
          <w:i/>
          <w:iCs/>
          <w:lang w:val="en-GB"/>
        </w:rPr>
        <w:t>Journal of Financial Stability</w:t>
      </w:r>
      <w:r w:rsidRPr="00EC7E10">
        <w:rPr>
          <w:lang w:val="en-GB"/>
        </w:rPr>
        <w:t xml:space="preserve">, 38, pp.37–52. </w:t>
      </w:r>
      <w:proofErr w:type="spellStart"/>
      <w:proofErr w:type="gramStart"/>
      <w:r w:rsidRPr="00EC7E10">
        <w:rPr>
          <w:lang w:val="en-GB"/>
        </w:rPr>
        <w:t>doi:https</w:t>
      </w:r>
      <w:proofErr w:type="spellEnd"/>
      <w:r w:rsidRPr="00EC7E10">
        <w:rPr>
          <w:lang w:val="en-GB"/>
        </w:rPr>
        <w:t>://doi.org/10.1016/j.jfs.2018.07.001</w:t>
      </w:r>
      <w:proofErr w:type="gramEnd"/>
      <w:r w:rsidRPr="00EC7E10">
        <w:rPr>
          <w:lang w:val="en-GB"/>
        </w:rPr>
        <w:t>.</w:t>
      </w:r>
    </w:p>
    <w:p w14:paraId="2DE1401B" w14:textId="77777777" w:rsidR="00EC7E10" w:rsidRPr="00EC7E10" w:rsidRDefault="00EC7E10" w:rsidP="00EC7E10">
      <w:pPr>
        <w:rPr>
          <w:lang w:val="en-GB"/>
        </w:rPr>
      </w:pPr>
      <w:r w:rsidRPr="00EC7E10">
        <w:rPr>
          <w:lang w:val="en-GB"/>
        </w:rPr>
        <w:t xml:space="preserve">Bierman, H. (2020). Capital Budgeting. </w:t>
      </w:r>
      <w:r w:rsidRPr="00EC7E10">
        <w:rPr>
          <w:i/>
          <w:iCs/>
          <w:lang w:val="en-GB"/>
        </w:rPr>
        <w:t>Handbook of Financial Planning and Control</w:t>
      </w:r>
      <w:r w:rsidRPr="00EC7E10">
        <w:rPr>
          <w:lang w:val="en-GB"/>
        </w:rPr>
        <w:t xml:space="preserve">, pp.77–89. </w:t>
      </w:r>
      <w:proofErr w:type="spellStart"/>
      <w:proofErr w:type="gramStart"/>
      <w:r w:rsidRPr="00EC7E10">
        <w:rPr>
          <w:lang w:val="en-GB"/>
        </w:rPr>
        <w:t>doi:https</w:t>
      </w:r>
      <w:proofErr w:type="spellEnd"/>
      <w:r w:rsidRPr="00EC7E10">
        <w:rPr>
          <w:lang w:val="en-GB"/>
        </w:rPr>
        <w:t>://doi.org/10.4324/9781003062165-7</w:t>
      </w:r>
      <w:proofErr w:type="gramEnd"/>
      <w:r w:rsidRPr="00EC7E10">
        <w:rPr>
          <w:lang w:val="en-GB"/>
        </w:rPr>
        <w:t>.</w:t>
      </w:r>
    </w:p>
    <w:p w14:paraId="35651610" w14:textId="77777777" w:rsidR="00EC7E10" w:rsidRPr="00EC7E10" w:rsidRDefault="00EC7E10" w:rsidP="00EC7E10">
      <w:pPr>
        <w:rPr>
          <w:lang w:val="en-GB"/>
        </w:rPr>
      </w:pPr>
      <w:proofErr w:type="spellStart"/>
      <w:r w:rsidRPr="00EC7E10">
        <w:rPr>
          <w:lang w:val="en-GB"/>
        </w:rPr>
        <w:t>Cebeci</w:t>
      </w:r>
      <w:proofErr w:type="spellEnd"/>
      <w:r w:rsidRPr="00EC7E10">
        <w:rPr>
          <w:lang w:val="en-GB"/>
        </w:rPr>
        <w:t xml:space="preserve"> Law (2025). </w:t>
      </w:r>
      <w:r w:rsidRPr="00EC7E10">
        <w:rPr>
          <w:i/>
          <w:iCs/>
          <w:lang w:val="en-GB"/>
        </w:rPr>
        <w:t xml:space="preserve">Financial Restructuring: Strategies for Improving Corporate Financial Condition - </w:t>
      </w:r>
      <w:proofErr w:type="spellStart"/>
      <w:r w:rsidRPr="00EC7E10">
        <w:rPr>
          <w:i/>
          <w:iCs/>
          <w:lang w:val="en-GB"/>
        </w:rPr>
        <w:t>Cebeci</w:t>
      </w:r>
      <w:proofErr w:type="spellEnd"/>
      <w:r w:rsidRPr="00EC7E10">
        <w:rPr>
          <w:i/>
          <w:iCs/>
          <w:lang w:val="en-GB"/>
        </w:rPr>
        <w:t xml:space="preserve"> Law | Professional Legal Consultancy</w:t>
      </w:r>
      <w:r w:rsidRPr="00EC7E10">
        <w:rPr>
          <w:lang w:val="en-GB"/>
        </w:rPr>
        <w:t xml:space="preserve">. [online] </w:t>
      </w:r>
      <w:proofErr w:type="spellStart"/>
      <w:r w:rsidRPr="00EC7E10">
        <w:rPr>
          <w:lang w:val="en-GB"/>
        </w:rPr>
        <w:t>Cebeci</w:t>
      </w:r>
      <w:proofErr w:type="spellEnd"/>
      <w:r w:rsidRPr="00EC7E10">
        <w:rPr>
          <w:lang w:val="en-GB"/>
        </w:rPr>
        <w:t xml:space="preserve"> Law. Available at: https://www.cebecihukuk.com/en/article/financial-restructuring-strategies-for-improving-corporate-financial-condition [Accessed 30 Nov. 2025].</w:t>
      </w:r>
    </w:p>
    <w:p w14:paraId="020C3DE1" w14:textId="77777777" w:rsidR="00EC7E10" w:rsidRPr="00EC7E10" w:rsidRDefault="00EC7E10" w:rsidP="00EC7E10">
      <w:pPr>
        <w:rPr>
          <w:lang w:val="en-GB"/>
        </w:rPr>
      </w:pPr>
      <w:proofErr w:type="spellStart"/>
      <w:r w:rsidRPr="00EC7E10">
        <w:rPr>
          <w:lang w:val="en-GB"/>
        </w:rPr>
        <w:t>Cezarino</w:t>
      </w:r>
      <w:proofErr w:type="spellEnd"/>
      <w:r w:rsidRPr="00EC7E10">
        <w:rPr>
          <w:lang w:val="en-GB"/>
        </w:rPr>
        <w:t xml:space="preserve">, L.O., </w:t>
      </w:r>
      <w:proofErr w:type="spellStart"/>
      <w:r w:rsidRPr="00EC7E10">
        <w:rPr>
          <w:lang w:val="en-GB"/>
        </w:rPr>
        <w:t>Liboni</w:t>
      </w:r>
      <w:proofErr w:type="spellEnd"/>
      <w:r w:rsidRPr="00EC7E10">
        <w:rPr>
          <w:lang w:val="en-GB"/>
        </w:rPr>
        <w:t xml:space="preserve">, L.B., Hunter, T., Pacheco, L.M. and Martins, F.P. (2022). Corporate social responsibility in emerging markets: Opportunities and challenges for sustainability integration. </w:t>
      </w:r>
      <w:r w:rsidRPr="00EC7E10">
        <w:rPr>
          <w:i/>
          <w:iCs/>
          <w:lang w:val="en-GB"/>
        </w:rPr>
        <w:t>Journal of Cleaner Production</w:t>
      </w:r>
      <w:r w:rsidRPr="00EC7E10">
        <w:rPr>
          <w:lang w:val="en-GB"/>
        </w:rPr>
        <w:t>, 362, p.132224.</w:t>
      </w:r>
    </w:p>
    <w:p w14:paraId="2AAEA0F4" w14:textId="77777777" w:rsidR="00EC7E10" w:rsidRPr="00EC7E10" w:rsidRDefault="00EC7E10" w:rsidP="00EC7E10">
      <w:pPr>
        <w:rPr>
          <w:lang w:val="en-GB"/>
        </w:rPr>
      </w:pPr>
      <w:proofErr w:type="spellStart"/>
      <w:r w:rsidRPr="00EC7E10">
        <w:rPr>
          <w:lang w:val="en-GB"/>
        </w:rPr>
        <w:t>Dehghanfard</w:t>
      </w:r>
      <w:proofErr w:type="spellEnd"/>
      <w:r w:rsidRPr="00EC7E10">
        <w:rPr>
          <w:lang w:val="en-GB"/>
        </w:rPr>
        <w:t xml:space="preserve">, K. and </w:t>
      </w:r>
      <w:proofErr w:type="spellStart"/>
      <w:r w:rsidRPr="00EC7E10">
        <w:rPr>
          <w:lang w:val="en-GB"/>
        </w:rPr>
        <w:t>Moslemi</w:t>
      </w:r>
      <w:proofErr w:type="spellEnd"/>
      <w:r w:rsidRPr="00EC7E10">
        <w:rPr>
          <w:lang w:val="en-GB"/>
        </w:rPr>
        <w:t xml:space="preserve">, A. (2020). </w:t>
      </w:r>
      <w:r w:rsidRPr="00EC7E10">
        <w:rPr>
          <w:i/>
          <w:iCs/>
          <w:lang w:val="en-GB"/>
        </w:rPr>
        <w:t>Inflation, Operating Cycle, Cash Holding</w:t>
      </w:r>
      <w:r w:rsidRPr="00EC7E10">
        <w:rPr>
          <w:lang w:val="en-GB"/>
        </w:rPr>
        <w:t>. [online] Available at: https://www.sid.ir/fileserver/je/53002420170307.pdf [Accessed 29 Nov. 2025].</w:t>
      </w:r>
    </w:p>
    <w:p w14:paraId="08617DAC" w14:textId="77777777" w:rsidR="00EC7E10" w:rsidRPr="00EC7E10" w:rsidRDefault="00EC7E10" w:rsidP="00EC7E10">
      <w:pPr>
        <w:rPr>
          <w:lang w:val="en-GB"/>
        </w:rPr>
      </w:pPr>
      <w:r w:rsidRPr="00EC7E10">
        <w:rPr>
          <w:lang w:val="en-GB"/>
        </w:rPr>
        <w:t xml:space="preserve">Gandhi, J. and </w:t>
      </w:r>
      <w:proofErr w:type="spellStart"/>
      <w:r w:rsidRPr="00EC7E10">
        <w:rPr>
          <w:lang w:val="en-GB"/>
        </w:rPr>
        <w:t>Nasit</w:t>
      </w:r>
      <w:proofErr w:type="spellEnd"/>
      <w:r w:rsidRPr="00EC7E10">
        <w:rPr>
          <w:lang w:val="en-GB"/>
        </w:rPr>
        <w:t xml:space="preserve">, A. (2022). </w:t>
      </w:r>
      <w:r w:rsidRPr="00EC7E10">
        <w:rPr>
          <w:i/>
          <w:iCs/>
          <w:lang w:val="en-GB"/>
        </w:rPr>
        <w:t>COMPARISON OF SHORT-TERM FINANCING OPTIONS; FACTORING AS THE BEST ALTERNATIVE</w:t>
      </w:r>
      <w:r w:rsidRPr="00EC7E10">
        <w:rPr>
          <w:lang w:val="en-GB"/>
        </w:rPr>
        <w:t>. [online] Available at: https://rku.ac.in/icostart2022/books/14-management-jenil-gandhi-(127-141).pdf [Accessed 30 Nov. 2025].</w:t>
      </w:r>
    </w:p>
    <w:p w14:paraId="1F1EEF7A" w14:textId="77777777" w:rsidR="00EC7E10" w:rsidRPr="00EC7E10" w:rsidRDefault="00EC7E10" w:rsidP="00EC7E10">
      <w:pPr>
        <w:rPr>
          <w:lang w:val="en-GB"/>
        </w:rPr>
      </w:pPr>
      <w:r w:rsidRPr="00EC7E10">
        <w:rPr>
          <w:lang w:val="en-GB"/>
        </w:rPr>
        <w:t xml:space="preserve">GE (2025). </w:t>
      </w:r>
      <w:r w:rsidRPr="00EC7E10">
        <w:rPr>
          <w:i/>
          <w:iCs/>
          <w:lang w:val="en-GB"/>
        </w:rPr>
        <w:t>2024 Annual Report</w:t>
      </w:r>
      <w:r w:rsidRPr="00EC7E10">
        <w:rPr>
          <w:lang w:val="en-GB"/>
        </w:rPr>
        <w:t>. [online] Available at: https://www.ge.com/sites/default/files/GE_AR20_AnnualReport.pdf [Accessed 30 Nov. 2025].</w:t>
      </w:r>
    </w:p>
    <w:p w14:paraId="00D5D372" w14:textId="77777777" w:rsidR="00EC7E10" w:rsidRPr="00EC7E10" w:rsidRDefault="00EC7E10" w:rsidP="00EC7E10">
      <w:pPr>
        <w:rPr>
          <w:lang w:val="en-GB"/>
        </w:rPr>
      </w:pPr>
      <w:r w:rsidRPr="00EC7E10">
        <w:rPr>
          <w:lang w:val="en-GB"/>
        </w:rPr>
        <w:t xml:space="preserve">Glaum, M., Schmidt, P. and </w:t>
      </w:r>
      <w:proofErr w:type="spellStart"/>
      <w:r w:rsidRPr="00EC7E10">
        <w:rPr>
          <w:lang w:val="en-GB"/>
        </w:rPr>
        <w:t>Schnürer</w:t>
      </w:r>
      <w:proofErr w:type="spellEnd"/>
      <w:r w:rsidRPr="00EC7E10">
        <w:rPr>
          <w:lang w:val="en-GB"/>
        </w:rPr>
        <w:t xml:space="preserve">, K. (2018). Processes and Accuracy of Cash Flow Forecasting: A Case Study of a Multinational Corporation. </w:t>
      </w:r>
      <w:r w:rsidRPr="00EC7E10">
        <w:rPr>
          <w:i/>
          <w:iCs/>
          <w:lang w:val="en-GB"/>
        </w:rPr>
        <w:t>Journal of Applied Corporate Finance</w:t>
      </w:r>
      <w:r w:rsidRPr="00EC7E10">
        <w:rPr>
          <w:lang w:val="en-GB"/>
        </w:rPr>
        <w:t xml:space="preserve">, 30(2), pp.65–82. </w:t>
      </w:r>
      <w:proofErr w:type="spellStart"/>
      <w:proofErr w:type="gramStart"/>
      <w:r w:rsidRPr="00EC7E10">
        <w:rPr>
          <w:lang w:val="en-GB"/>
        </w:rPr>
        <w:t>doi:https</w:t>
      </w:r>
      <w:proofErr w:type="spellEnd"/>
      <w:r w:rsidRPr="00EC7E10">
        <w:rPr>
          <w:lang w:val="en-GB"/>
        </w:rPr>
        <w:t>://doi.org/10.1111/jacf.12301</w:t>
      </w:r>
      <w:proofErr w:type="gramEnd"/>
      <w:r w:rsidRPr="00EC7E10">
        <w:rPr>
          <w:lang w:val="en-GB"/>
        </w:rPr>
        <w:t>.</w:t>
      </w:r>
    </w:p>
    <w:p w14:paraId="261D71C4" w14:textId="77777777" w:rsidR="00EC7E10" w:rsidRPr="00EC7E10" w:rsidRDefault="00EC7E10" w:rsidP="00EC7E10">
      <w:pPr>
        <w:rPr>
          <w:lang w:val="en-GB"/>
        </w:rPr>
      </w:pPr>
      <w:r w:rsidRPr="00EC7E10">
        <w:rPr>
          <w:lang w:val="en-GB"/>
        </w:rPr>
        <w:lastRenderedPageBreak/>
        <w:t xml:space="preserve">Hansen, S. (2024). </w:t>
      </w:r>
      <w:r w:rsidRPr="00EC7E10">
        <w:rPr>
          <w:i/>
          <w:iCs/>
          <w:lang w:val="en-GB"/>
        </w:rPr>
        <w:t>The Rise and Fall of General Electric</w:t>
      </w:r>
      <w:r w:rsidRPr="00EC7E10">
        <w:rPr>
          <w:lang w:val="en-GB"/>
        </w:rPr>
        <w:t>. [online] Investopedia. Available at: https://www.investopedia.com/insights/rise-and-fall-ge/ [Accessed 30 Nov. 2025].</w:t>
      </w:r>
    </w:p>
    <w:p w14:paraId="52A22C44" w14:textId="77777777" w:rsidR="00EC7E10" w:rsidRPr="00EC7E10" w:rsidRDefault="00EC7E10" w:rsidP="00EC7E10">
      <w:pPr>
        <w:rPr>
          <w:lang w:val="en-GB"/>
        </w:rPr>
      </w:pPr>
      <w:r w:rsidRPr="00EC7E10">
        <w:rPr>
          <w:lang w:val="en-GB"/>
        </w:rPr>
        <w:t xml:space="preserve">Hayes, A. (2022). </w:t>
      </w:r>
      <w:r w:rsidRPr="00EC7E10">
        <w:rPr>
          <w:i/>
          <w:iCs/>
          <w:lang w:val="en-GB"/>
        </w:rPr>
        <w:t>Introduction to Capital Rationing</w:t>
      </w:r>
      <w:r w:rsidRPr="00EC7E10">
        <w:rPr>
          <w:lang w:val="en-GB"/>
        </w:rPr>
        <w:t>. [online] Investopedia. Available at: https://www.investopedia.com/terms/c/capitalrationing.asp [Accessed 30 Nov. 2025].</w:t>
      </w:r>
    </w:p>
    <w:p w14:paraId="32891DA9" w14:textId="77777777" w:rsidR="00EC7E10" w:rsidRPr="00EC7E10" w:rsidRDefault="00EC7E10" w:rsidP="00EC7E10">
      <w:pPr>
        <w:rPr>
          <w:lang w:val="en-GB"/>
        </w:rPr>
      </w:pPr>
      <w:proofErr w:type="spellStart"/>
      <w:r w:rsidRPr="00EC7E10">
        <w:rPr>
          <w:lang w:val="en-GB"/>
        </w:rPr>
        <w:t>Kengatharan</w:t>
      </w:r>
      <w:proofErr w:type="spellEnd"/>
      <w:r w:rsidRPr="00EC7E10">
        <w:rPr>
          <w:lang w:val="en-GB"/>
        </w:rPr>
        <w:t xml:space="preserve">, L. (2016). Capital Budgeting Theory and Practice: A Review and Agenda for Future Research. </w:t>
      </w:r>
      <w:r w:rsidRPr="00EC7E10">
        <w:rPr>
          <w:i/>
          <w:iCs/>
          <w:lang w:val="en-GB"/>
        </w:rPr>
        <w:t>Applied Economics and Finance</w:t>
      </w:r>
      <w:r w:rsidRPr="00EC7E10">
        <w:rPr>
          <w:lang w:val="en-GB"/>
        </w:rPr>
        <w:t>, [online] 3(2), pp.15–38. Available at: https://ideas.repec.org/a/rfa/aefjnl/v3y2016i2p15-38.html [Accessed 30 Nov. 2025].</w:t>
      </w:r>
    </w:p>
    <w:p w14:paraId="51439C3C" w14:textId="77777777" w:rsidR="00EC7E10" w:rsidRPr="00EC7E10" w:rsidRDefault="00EC7E10" w:rsidP="00EC7E10">
      <w:pPr>
        <w:rPr>
          <w:lang w:val="en-GB"/>
        </w:rPr>
      </w:pPr>
      <w:r w:rsidRPr="00EC7E10">
        <w:rPr>
          <w:lang w:val="en-GB"/>
        </w:rPr>
        <w:t xml:space="preserve">Khan, A. (2024). Capital Rationing and Budget Allocation. </w:t>
      </w:r>
      <w:r w:rsidRPr="00EC7E10">
        <w:rPr>
          <w:i/>
          <w:iCs/>
          <w:lang w:val="en-GB"/>
        </w:rPr>
        <w:t>Springer eBooks</w:t>
      </w:r>
      <w:r w:rsidRPr="00EC7E10">
        <w:rPr>
          <w:lang w:val="en-GB"/>
        </w:rPr>
        <w:t xml:space="preserve">, pp.329–367. </w:t>
      </w:r>
      <w:proofErr w:type="spellStart"/>
      <w:proofErr w:type="gramStart"/>
      <w:r w:rsidRPr="00EC7E10">
        <w:rPr>
          <w:lang w:val="en-GB"/>
        </w:rPr>
        <w:t>doi:https</w:t>
      </w:r>
      <w:proofErr w:type="spellEnd"/>
      <w:r w:rsidRPr="00EC7E10">
        <w:rPr>
          <w:lang w:val="en-GB"/>
        </w:rPr>
        <w:t>://doi.org/10.1007/978-3-031-53674-8_9</w:t>
      </w:r>
      <w:proofErr w:type="gramEnd"/>
      <w:r w:rsidRPr="00EC7E10">
        <w:rPr>
          <w:lang w:val="en-GB"/>
        </w:rPr>
        <w:t>.</w:t>
      </w:r>
    </w:p>
    <w:p w14:paraId="29CD7A59" w14:textId="77777777" w:rsidR="00EC7E10" w:rsidRPr="00EC7E10" w:rsidRDefault="00EC7E10" w:rsidP="00EC7E10">
      <w:pPr>
        <w:rPr>
          <w:lang w:val="en-GB"/>
        </w:rPr>
      </w:pPr>
      <w:proofErr w:type="spellStart"/>
      <w:r w:rsidRPr="00EC7E10">
        <w:rPr>
          <w:lang w:val="en-GB"/>
        </w:rPr>
        <w:t>Kontuš</w:t>
      </w:r>
      <w:proofErr w:type="spellEnd"/>
      <w:r w:rsidRPr="00EC7E10">
        <w:rPr>
          <w:lang w:val="en-GB"/>
        </w:rPr>
        <w:t xml:space="preserve">, E. (2017). Financing Management of Companies. </w:t>
      </w:r>
      <w:r w:rsidRPr="00EC7E10">
        <w:rPr>
          <w:i/>
          <w:iCs/>
          <w:lang w:val="en-GB"/>
        </w:rPr>
        <w:t>Governing Business Systems</w:t>
      </w:r>
      <w:r w:rsidRPr="00EC7E10">
        <w:rPr>
          <w:lang w:val="en-GB"/>
        </w:rPr>
        <w:t xml:space="preserve">, pp.1–23. </w:t>
      </w:r>
      <w:proofErr w:type="spellStart"/>
      <w:proofErr w:type="gramStart"/>
      <w:r w:rsidRPr="00EC7E10">
        <w:rPr>
          <w:lang w:val="en-GB"/>
        </w:rPr>
        <w:t>doi:https</w:t>
      </w:r>
      <w:proofErr w:type="spellEnd"/>
      <w:r w:rsidRPr="00EC7E10">
        <w:rPr>
          <w:lang w:val="en-GB"/>
        </w:rPr>
        <w:t>://doi.org/10.1007/978-3-319-66036-3_1</w:t>
      </w:r>
      <w:proofErr w:type="gramEnd"/>
      <w:r w:rsidRPr="00EC7E10">
        <w:rPr>
          <w:lang w:val="en-GB"/>
        </w:rPr>
        <w:t>.</w:t>
      </w:r>
    </w:p>
    <w:p w14:paraId="4ADB65EC" w14:textId="77777777" w:rsidR="00EC7E10" w:rsidRPr="00EC7E10" w:rsidRDefault="00EC7E10" w:rsidP="00EC7E10">
      <w:pPr>
        <w:rPr>
          <w:lang w:val="en-GB"/>
        </w:rPr>
      </w:pPr>
      <w:r w:rsidRPr="00EC7E10">
        <w:rPr>
          <w:lang w:val="en-GB"/>
        </w:rPr>
        <w:t xml:space="preserve">Kovach, J.J., Swink, M. and Rodriguez, M. (2022). Delaying Supplier Payments to Increase Buyer Profits. </w:t>
      </w:r>
      <w:r w:rsidRPr="00EC7E10">
        <w:rPr>
          <w:i/>
          <w:iCs/>
          <w:lang w:val="en-GB"/>
        </w:rPr>
        <w:t>Journal of Supply Chain Management</w:t>
      </w:r>
      <w:r w:rsidRPr="00EC7E10">
        <w:rPr>
          <w:lang w:val="en-GB"/>
        </w:rPr>
        <w:t xml:space="preserve">, 59(1). </w:t>
      </w:r>
      <w:proofErr w:type="spellStart"/>
      <w:proofErr w:type="gramStart"/>
      <w:r w:rsidRPr="00EC7E10">
        <w:rPr>
          <w:lang w:val="en-GB"/>
        </w:rPr>
        <w:t>doi:https</w:t>
      </w:r>
      <w:proofErr w:type="spellEnd"/>
      <w:r w:rsidRPr="00EC7E10">
        <w:rPr>
          <w:lang w:val="en-GB"/>
        </w:rPr>
        <w:t>://doi.org/10.1111/jscm.12293</w:t>
      </w:r>
      <w:proofErr w:type="gramEnd"/>
      <w:r w:rsidRPr="00EC7E10">
        <w:rPr>
          <w:lang w:val="en-GB"/>
        </w:rPr>
        <w:t>.</w:t>
      </w:r>
    </w:p>
    <w:p w14:paraId="5DE1F469" w14:textId="77777777" w:rsidR="00EC7E10" w:rsidRPr="00EC7E10" w:rsidRDefault="00EC7E10" w:rsidP="00EC7E10">
      <w:pPr>
        <w:rPr>
          <w:lang w:val="en-GB"/>
        </w:rPr>
      </w:pPr>
      <w:r w:rsidRPr="00EC7E10">
        <w:rPr>
          <w:lang w:val="en-GB"/>
        </w:rPr>
        <w:t xml:space="preserve">Madura, J. (2021). </w:t>
      </w:r>
      <w:r w:rsidRPr="00EC7E10">
        <w:rPr>
          <w:i/>
          <w:iCs/>
          <w:lang w:val="en-GB"/>
        </w:rPr>
        <w:t>International Financial Management</w:t>
      </w:r>
      <w:r w:rsidRPr="00EC7E10">
        <w:rPr>
          <w:lang w:val="en-GB"/>
        </w:rPr>
        <w:t>. 14th ed. South Melbourne, Australia: Cengage Learning Australia.</w:t>
      </w:r>
    </w:p>
    <w:p w14:paraId="406A4CA4" w14:textId="77777777" w:rsidR="00EC7E10" w:rsidRPr="00EC7E10" w:rsidRDefault="00EC7E10" w:rsidP="00EC7E10">
      <w:pPr>
        <w:rPr>
          <w:lang w:val="en-GB"/>
        </w:rPr>
      </w:pPr>
      <w:r w:rsidRPr="00EC7E10">
        <w:rPr>
          <w:lang w:val="en-GB"/>
        </w:rPr>
        <w:t xml:space="preserve">Maverick, J.B. (2024). </w:t>
      </w:r>
      <w:r w:rsidRPr="00EC7E10">
        <w:rPr>
          <w:i/>
          <w:iCs/>
          <w:lang w:val="en-GB"/>
        </w:rPr>
        <w:t>How Can a Company Quickly Increase Its Liquidity Ratio?</w:t>
      </w:r>
      <w:r w:rsidRPr="00EC7E10">
        <w:rPr>
          <w:lang w:val="en-GB"/>
        </w:rPr>
        <w:t xml:space="preserve"> [online] Investopedia. Available at: https://www.investopedia.com/ask/answers/011215/how-can-company-quickly-increase-its-liquidity-ratio.asp [Accessed 30 Nov. 2025].</w:t>
      </w:r>
    </w:p>
    <w:p w14:paraId="490B0A04" w14:textId="77777777" w:rsidR="00EC7E10" w:rsidRPr="00EC7E10" w:rsidRDefault="00EC7E10" w:rsidP="00EC7E10">
      <w:pPr>
        <w:rPr>
          <w:lang w:val="en-GB"/>
        </w:rPr>
      </w:pPr>
      <w:proofErr w:type="spellStart"/>
      <w:r w:rsidRPr="00EC7E10">
        <w:rPr>
          <w:lang w:val="en-GB"/>
        </w:rPr>
        <w:t>Michelon</w:t>
      </w:r>
      <w:proofErr w:type="spellEnd"/>
      <w:r w:rsidRPr="00EC7E10">
        <w:rPr>
          <w:lang w:val="en-GB"/>
        </w:rPr>
        <w:t xml:space="preserve">, P. de S., </w:t>
      </w:r>
      <w:proofErr w:type="spellStart"/>
      <w:r w:rsidRPr="00EC7E10">
        <w:rPr>
          <w:lang w:val="en-GB"/>
        </w:rPr>
        <w:t>Lunkes</w:t>
      </w:r>
      <w:proofErr w:type="spellEnd"/>
      <w:r w:rsidRPr="00EC7E10">
        <w:rPr>
          <w:lang w:val="en-GB"/>
        </w:rPr>
        <w:t xml:space="preserve">, R.J. and </w:t>
      </w:r>
      <w:proofErr w:type="spellStart"/>
      <w:r w:rsidRPr="00EC7E10">
        <w:rPr>
          <w:lang w:val="en-GB"/>
        </w:rPr>
        <w:t>Bornia</w:t>
      </w:r>
      <w:proofErr w:type="spellEnd"/>
      <w:r w:rsidRPr="00EC7E10">
        <w:rPr>
          <w:lang w:val="en-GB"/>
        </w:rPr>
        <w:t xml:space="preserve">, A.C. (2020). Capital budgeting: a systematic review of the literature. </w:t>
      </w:r>
      <w:r w:rsidRPr="00EC7E10">
        <w:rPr>
          <w:i/>
          <w:iCs/>
          <w:lang w:val="en-GB"/>
        </w:rPr>
        <w:t>Production</w:t>
      </w:r>
      <w:r w:rsidRPr="00EC7E10">
        <w:rPr>
          <w:lang w:val="en-GB"/>
        </w:rPr>
        <w:t xml:space="preserve">, [online] 30(2). </w:t>
      </w:r>
      <w:proofErr w:type="spellStart"/>
      <w:proofErr w:type="gramStart"/>
      <w:r w:rsidRPr="00EC7E10">
        <w:rPr>
          <w:lang w:val="en-GB"/>
        </w:rPr>
        <w:t>doi:https</w:t>
      </w:r>
      <w:proofErr w:type="spellEnd"/>
      <w:r w:rsidRPr="00EC7E10">
        <w:rPr>
          <w:lang w:val="en-GB"/>
        </w:rPr>
        <w:t>://doi.org/10.1590/0103-6513.20190020</w:t>
      </w:r>
      <w:proofErr w:type="gramEnd"/>
      <w:r w:rsidRPr="00EC7E10">
        <w:rPr>
          <w:lang w:val="en-GB"/>
        </w:rPr>
        <w:t>.</w:t>
      </w:r>
    </w:p>
    <w:p w14:paraId="478C1E82" w14:textId="77777777" w:rsidR="00EC7E10" w:rsidRPr="00EC7E10" w:rsidRDefault="00EC7E10" w:rsidP="00EC7E10">
      <w:pPr>
        <w:rPr>
          <w:lang w:val="en-GB"/>
        </w:rPr>
      </w:pPr>
      <w:r w:rsidRPr="00EC7E10">
        <w:rPr>
          <w:lang w:val="en-GB"/>
        </w:rPr>
        <w:t xml:space="preserve">Mme, S., </w:t>
      </w:r>
      <w:proofErr w:type="spellStart"/>
      <w:r w:rsidRPr="00EC7E10">
        <w:rPr>
          <w:lang w:val="en-GB"/>
        </w:rPr>
        <w:t>Carré-Tallon</w:t>
      </w:r>
      <w:proofErr w:type="spellEnd"/>
      <w:r w:rsidRPr="00EC7E10">
        <w:rPr>
          <w:lang w:val="en-GB"/>
        </w:rPr>
        <w:t xml:space="preserve">, M., </w:t>
      </w:r>
      <w:proofErr w:type="spellStart"/>
      <w:r w:rsidRPr="00EC7E10">
        <w:rPr>
          <w:lang w:val="en-GB"/>
        </w:rPr>
        <w:t>Ssa</w:t>
      </w:r>
      <w:proofErr w:type="spellEnd"/>
      <w:r w:rsidRPr="00EC7E10">
        <w:rPr>
          <w:lang w:val="en-GB"/>
        </w:rPr>
        <w:t xml:space="preserve"> Monica, B., Student, G. and </w:t>
      </w:r>
      <w:proofErr w:type="spellStart"/>
      <w:r w:rsidRPr="00EC7E10">
        <w:rPr>
          <w:lang w:val="en-GB"/>
        </w:rPr>
        <w:t>Zaramella</w:t>
      </w:r>
      <w:proofErr w:type="spellEnd"/>
      <w:r w:rsidRPr="00EC7E10">
        <w:rPr>
          <w:lang w:val="en-GB"/>
        </w:rPr>
        <w:t xml:space="preserve"> (2023). </w:t>
      </w:r>
      <w:r w:rsidRPr="00EC7E10">
        <w:rPr>
          <w:i/>
          <w:iCs/>
          <w:lang w:val="en-GB"/>
        </w:rPr>
        <w:t>Financial Restructuring: analysis and applications</w:t>
      </w:r>
      <w:r w:rsidRPr="00EC7E10">
        <w:rPr>
          <w:lang w:val="en-GB"/>
        </w:rPr>
        <w:t>. [online] Available at: https://unitesi.unive.it/bitstream/20.500.14247/4284/1/872666-1280209.pdf.</w:t>
      </w:r>
    </w:p>
    <w:p w14:paraId="657B4002" w14:textId="77777777" w:rsidR="00EC7E10" w:rsidRPr="00EC7E10" w:rsidRDefault="00EC7E10" w:rsidP="00EC7E10">
      <w:pPr>
        <w:rPr>
          <w:lang w:val="en-GB"/>
        </w:rPr>
      </w:pPr>
      <w:proofErr w:type="spellStart"/>
      <w:r w:rsidRPr="00EC7E10">
        <w:rPr>
          <w:lang w:val="en-GB"/>
        </w:rPr>
        <w:t>Pendar</w:t>
      </w:r>
      <w:proofErr w:type="spellEnd"/>
      <w:r w:rsidRPr="00EC7E10">
        <w:rPr>
          <w:lang w:val="en-GB"/>
        </w:rPr>
        <w:t xml:space="preserve">, M., </w:t>
      </w:r>
      <w:proofErr w:type="spellStart"/>
      <w:r w:rsidRPr="00EC7E10">
        <w:rPr>
          <w:lang w:val="en-GB"/>
        </w:rPr>
        <w:t>Tayar</w:t>
      </w:r>
      <w:proofErr w:type="spellEnd"/>
      <w:r w:rsidRPr="00EC7E10">
        <w:rPr>
          <w:lang w:val="en-GB"/>
        </w:rPr>
        <w:t xml:space="preserve">, H. and </w:t>
      </w:r>
      <w:proofErr w:type="spellStart"/>
      <w:r w:rsidRPr="00EC7E10">
        <w:rPr>
          <w:lang w:val="en-GB"/>
        </w:rPr>
        <w:t>Karimeh</w:t>
      </w:r>
      <w:proofErr w:type="spellEnd"/>
      <w:r w:rsidRPr="00EC7E10">
        <w:rPr>
          <w:lang w:val="en-GB"/>
        </w:rPr>
        <w:t xml:space="preserve">, S. (2019). The impact of financial flexibility on capital structure decisions: Some empirical evidence. </w:t>
      </w:r>
      <w:r w:rsidRPr="00EC7E10">
        <w:rPr>
          <w:i/>
          <w:iCs/>
          <w:lang w:val="en-GB"/>
        </w:rPr>
        <w:t>Management Science Letters</w:t>
      </w:r>
      <w:r w:rsidRPr="00EC7E10">
        <w:rPr>
          <w:lang w:val="en-GB"/>
        </w:rPr>
        <w:t xml:space="preserve">, pp.133–138. </w:t>
      </w:r>
      <w:proofErr w:type="spellStart"/>
      <w:proofErr w:type="gramStart"/>
      <w:r w:rsidRPr="00EC7E10">
        <w:rPr>
          <w:lang w:val="en-GB"/>
        </w:rPr>
        <w:t>doi:https</w:t>
      </w:r>
      <w:proofErr w:type="spellEnd"/>
      <w:r w:rsidRPr="00EC7E10">
        <w:rPr>
          <w:lang w:val="en-GB"/>
        </w:rPr>
        <w:t>://doi.org/10.5267/j.msl.2018.10.010</w:t>
      </w:r>
      <w:proofErr w:type="gramEnd"/>
      <w:r w:rsidRPr="00EC7E10">
        <w:rPr>
          <w:lang w:val="en-GB"/>
        </w:rPr>
        <w:t>.</w:t>
      </w:r>
    </w:p>
    <w:p w14:paraId="44538450" w14:textId="77777777" w:rsidR="00EC7E10" w:rsidRPr="00EC7E10" w:rsidRDefault="00EC7E10" w:rsidP="00EC7E10">
      <w:pPr>
        <w:rPr>
          <w:lang w:val="en-GB"/>
        </w:rPr>
      </w:pPr>
      <w:r w:rsidRPr="00EC7E10">
        <w:rPr>
          <w:lang w:val="en-GB"/>
        </w:rPr>
        <w:t xml:space="preserve">Perez, H.D., Hubbs, C.D., Li, C. and Grossmann, I.E. (2021). Algorithmic Approaches to Inventory Management Optimization. </w:t>
      </w:r>
      <w:r w:rsidRPr="00EC7E10">
        <w:rPr>
          <w:i/>
          <w:iCs/>
          <w:lang w:val="en-GB"/>
        </w:rPr>
        <w:t>Processes</w:t>
      </w:r>
      <w:r w:rsidRPr="00EC7E10">
        <w:rPr>
          <w:lang w:val="en-GB"/>
        </w:rPr>
        <w:t xml:space="preserve">, 9(1), p.102. </w:t>
      </w:r>
      <w:proofErr w:type="spellStart"/>
      <w:proofErr w:type="gramStart"/>
      <w:r w:rsidRPr="00EC7E10">
        <w:rPr>
          <w:lang w:val="en-GB"/>
        </w:rPr>
        <w:t>doi:https</w:t>
      </w:r>
      <w:proofErr w:type="spellEnd"/>
      <w:r w:rsidRPr="00EC7E10">
        <w:rPr>
          <w:lang w:val="en-GB"/>
        </w:rPr>
        <w:t>://doi.org/10.3390/pr9010102</w:t>
      </w:r>
      <w:proofErr w:type="gramEnd"/>
      <w:r w:rsidRPr="00EC7E10">
        <w:rPr>
          <w:lang w:val="en-GB"/>
        </w:rPr>
        <w:t>.</w:t>
      </w:r>
    </w:p>
    <w:p w14:paraId="5307C701" w14:textId="77777777" w:rsidR="00EC7E10" w:rsidRPr="00EC7E10" w:rsidRDefault="00EC7E10" w:rsidP="00EC7E10">
      <w:pPr>
        <w:rPr>
          <w:lang w:val="en-GB"/>
        </w:rPr>
      </w:pPr>
      <w:r w:rsidRPr="00EC7E10">
        <w:rPr>
          <w:lang w:val="en-GB"/>
        </w:rPr>
        <w:lastRenderedPageBreak/>
        <w:t xml:space="preserve">PwC (2024). </w:t>
      </w:r>
      <w:r w:rsidRPr="00EC7E10">
        <w:rPr>
          <w:i/>
          <w:iCs/>
          <w:lang w:val="en-GB"/>
        </w:rPr>
        <w:t>Financial Restructuring</w:t>
      </w:r>
      <w:r w:rsidRPr="00EC7E10">
        <w:rPr>
          <w:lang w:val="en-GB"/>
        </w:rPr>
        <w:t>. [online] PwC. Available at: https://www.pwc.com/ke/en/services/deals/business-recovery-services/financial-restructuring.html [Accessed 30 Nov. 2025].</w:t>
      </w:r>
    </w:p>
    <w:p w14:paraId="6C6A5850" w14:textId="77777777" w:rsidR="00EC7E10" w:rsidRPr="00EC7E10" w:rsidRDefault="00EC7E10" w:rsidP="00EC7E10">
      <w:pPr>
        <w:rPr>
          <w:lang w:val="en-GB"/>
        </w:rPr>
      </w:pPr>
      <w:r w:rsidRPr="00EC7E10">
        <w:rPr>
          <w:lang w:val="en-GB"/>
        </w:rPr>
        <w:t xml:space="preserve">Shapiro, A.C. and </w:t>
      </w:r>
      <w:proofErr w:type="spellStart"/>
      <w:r w:rsidRPr="00EC7E10">
        <w:rPr>
          <w:lang w:val="en-GB"/>
        </w:rPr>
        <w:t>Hanouna</w:t>
      </w:r>
      <w:proofErr w:type="spellEnd"/>
      <w:r w:rsidRPr="00EC7E10">
        <w:rPr>
          <w:lang w:val="en-GB"/>
        </w:rPr>
        <w:t xml:space="preserve">, P. (2019). </w:t>
      </w:r>
      <w:r w:rsidRPr="00EC7E10">
        <w:rPr>
          <w:i/>
          <w:iCs/>
          <w:lang w:val="en-GB"/>
        </w:rPr>
        <w:t>Multinational Financial Management</w:t>
      </w:r>
      <w:r w:rsidRPr="00EC7E10">
        <w:rPr>
          <w:lang w:val="en-GB"/>
        </w:rPr>
        <w:t>. 11th ed. Hoboken, Nj: Wiley.</w:t>
      </w:r>
    </w:p>
    <w:p w14:paraId="46CAE4EE" w14:textId="77777777" w:rsidR="00EC7E10" w:rsidRPr="00EC7E10" w:rsidRDefault="00EC7E10" w:rsidP="00EC7E10">
      <w:pPr>
        <w:rPr>
          <w:lang w:val="en-GB"/>
        </w:rPr>
      </w:pPr>
      <w:r w:rsidRPr="00EC7E10">
        <w:rPr>
          <w:lang w:val="en-GB"/>
        </w:rPr>
        <w:t xml:space="preserve">Singh, H.P., Kumar, S. and </w:t>
      </w:r>
      <w:proofErr w:type="spellStart"/>
      <w:r w:rsidRPr="00EC7E10">
        <w:rPr>
          <w:lang w:val="en-GB"/>
        </w:rPr>
        <w:t>Colombage</w:t>
      </w:r>
      <w:proofErr w:type="spellEnd"/>
      <w:r w:rsidRPr="00EC7E10">
        <w:rPr>
          <w:lang w:val="en-GB"/>
        </w:rPr>
        <w:t xml:space="preserve">, S. (2017). Working capital management and firm profitability: a meta-analysis. </w:t>
      </w:r>
      <w:r w:rsidRPr="00EC7E10">
        <w:rPr>
          <w:i/>
          <w:iCs/>
          <w:lang w:val="en-GB"/>
        </w:rPr>
        <w:t>Qualitative Research in Financial Markets</w:t>
      </w:r>
      <w:r w:rsidRPr="00EC7E10">
        <w:rPr>
          <w:lang w:val="en-GB"/>
        </w:rPr>
        <w:t xml:space="preserve">, 9(1), pp.34–47. </w:t>
      </w:r>
      <w:proofErr w:type="spellStart"/>
      <w:proofErr w:type="gramStart"/>
      <w:r w:rsidRPr="00EC7E10">
        <w:rPr>
          <w:lang w:val="en-GB"/>
        </w:rPr>
        <w:t>doi:https</w:t>
      </w:r>
      <w:proofErr w:type="spellEnd"/>
      <w:r w:rsidRPr="00EC7E10">
        <w:rPr>
          <w:lang w:val="en-GB"/>
        </w:rPr>
        <w:t>://doi.org/10.1108/qrfm-06-2016-0018</w:t>
      </w:r>
      <w:proofErr w:type="gramEnd"/>
      <w:r w:rsidRPr="00EC7E10">
        <w:rPr>
          <w:lang w:val="en-GB"/>
        </w:rPr>
        <w:t>.</w:t>
      </w:r>
    </w:p>
    <w:p w14:paraId="70BD5FA4" w14:textId="77777777" w:rsidR="00EC7E10" w:rsidRPr="00EC7E10" w:rsidRDefault="00EC7E10" w:rsidP="00EC7E10">
      <w:pPr>
        <w:rPr>
          <w:lang w:val="en-GB"/>
        </w:rPr>
      </w:pPr>
      <w:proofErr w:type="spellStart"/>
      <w:r w:rsidRPr="00EC7E10">
        <w:rPr>
          <w:lang w:val="en-GB"/>
        </w:rPr>
        <w:t>Sitinjak</w:t>
      </w:r>
      <w:proofErr w:type="spellEnd"/>
      <w:r w:rsidRPr="00EC7E10">
        <w:rPr>
          <w:lang w:val="en-GB"/>
        </w:rPr>
        <w:t xml:space="preserve">, C., Johanna, A., </w:t>
      </w:r>
      <w:proofErr w:type="spellStart"/>
      <w:r w:rsidRPr="00EC7E10">
        <w:rPr>
          <w:lang w:val="en-GB"/>
        </w:rPr>
        <w:t>Avinash</w:t>
      </w:r>
      <w:proofErr w:type="spellEnd"/>
      <w:r w:rsidRPr="00EC7E10">
        <w:rPr>
          <w:lang w:val="en-GB"/>
        </w:rPr>
        <w:t xml:space="preserve">, B. and </w:t>
      </w:r>
      <w:proofErr w:type="spellStart"/>
      <w:r w:rsidRPr="00EC7E10">
        <w:rPr>
          <w:lang w:val="en-GB"/>
        </w:rPr>
        <w:t>Bevoor</w:t>
      </w:r>
      <w:proofErr w:type="spellEnd"/>
      <w:r w:rsidRPr="00EC7E10">
        <w:rPr>
          <w:lang w:val="en-GB"/>
        </w:rPr>
        <w:t xml:space="preserve">, B. (2023). Financial Management: A System of Relations for Optimizing Enterprise Finances – a Review. </w:t>
      </w:r>
      <w:r w:rsidRPr="00EC7E10">
        <w:rPr>
          <w:i/>
          <w:iCs/>
          <w:lang w:val="en-GB"/>
        </w:rPr>
        <w:t xml:space="preserve">Journal </w:t>
      </w:r>
      <w:proofErr w:type="spellStart"/>
      <w:r w:rsidRPr="00EC7E10">
        <w:rPr>
          <w:i/>
          <w:iCs/>
          <w:lang w:val="en-GB"/>
        </w:rPr>
        <w:t>Markcount</w:t>
      </w:r>
      <w:proofErr w:type="spellEnd"/>
      <w:r w:rsidRPr="00EC7E10">
        <w:rPr>
          <w:i/>
          <w:iCs/>
          <w:lang w:val="en-GB"/>
        </w:rPr>
        <w:t xml:space="preserve"> Finance</w:t>
      </w:r>
      <w:r w:rsidRPr="00EC7E10">
        <w:rPr>
          <w:lang w:val="en-GB"/>
        </w:rPr>
        <w:t xml:space="preserve">, 1(3), pp.160–170. </w:t>
      </w:r>
      <w:proofErr w:type="spellStart"/>
      <w:proofErr w:type="gramStart"/>
      <w:r w:rsidRPr="00EC7E10">
        <w:rPr>
          <w:lang w:val="en-GB"/>
        </w:rPr>
        <w:t>doi:https</w:t>
      </w:r>
      <w:proofErr w:type="spellEnd"/>
      <w:r w:rsidRPr="00EC7E10">
        <w:rPr>
          <w:lang w:val="en-GB"/>
        </w:rPr>
        <w:t>://doi.org/10.55849/jmf.v1i3.104</w:t>
      </w:r>
      <w:proofErr w:type="gramEnd"/>
      <w:r w:rsidRPr="00EC7E10">
        <w:rPr>
          <w:lang w:val="en-GB"/>
        </w:rPr>
        <w:t>.</w:t>
      </w:r>
    </w:p>
    <w:p w14:paraId="2C0B06F9" w14:textId="77777777" w:rsidR="00EC7E10" w:rsidRPr="00EC7E10" w:rsidRDefault="00EC7E10" w:rsidP="00EC7E10">
      <w:pPr>
        <w:rPr>
          <w:lang w:val="en-GB"/>
        </w:rPr>
      </w:pPr>
      <w:r w:rsidRPr="00EC7E10">
        <w:rPr>
          <w:lang w:val="en-GB"/>
        </w:rPr>
        <w:t xml:space="preserve">The Case Centre (2022). </w:t>
      </w:r>
      <w:r w:rsidRPr="00EC7E10">
        <w:rPr>
          <w:i/>
          <w:iCs/>
          <w:lang w:val="en-GB"/>
        </w:rPr>
        <w:t>General Electric’s Restructuring: A Strategic Move? - The Case Centre</w:t>
      </w:r>
      <w:r w:rsidRPr="00EC7E10">
        <w:rPr>
          <w:lang w:val="en-GB"/>
        </w:rPr>
        <w:t>. [online] The Case Centre. Available at: https://www.thecasecentre.org/products/view?id=183633 [Accessed 30 Nov. 2025].</w:t>
      </w:r>
    </w:p>
    <w:p w14:paraId="3E17439E" w14:textId="77777777" w:rsidR="00EC7E10" w:rsidRPr="00EC7E10" w:rsidRDefault="00EC7E10" w:rsidP="00EC7E10">
      <w:pPr>
        <w:rPr>
          <w:lang w:val="en-GB"/>
        </w:rPr>
      </w:pPr>
      <w:r w:rsidRPr="00EC7E10">
        <w:rPr>
          <w:lang w:val="en-GB"/>
        </w:rPr>
        <w:t xml:space="preserve">The Strategic CFO (2024). </w:t>
      </w:r>
      <w:r w:rsidRPr="00EC7E10">
        <w:rPr>
          <w:i/>
          <w:iCs/>
          <w:lang w:val="en-GB"/>
        </w:rPr>
        <w:t>What Is Financial Restructuring and How Can It Save Your Business? - The Strategic CFO®</w:t>
      </w:r>
      <w:r w:rsidRPr="00EC7E10">
        <w:rPr>
          <w:lang w:val="en-GB"/>
        </w:rPr>
        <w:t>. [online] The Strategic CFO®. Available at: https://strategiccfo.com/articles/restructuring-services/what-is-financial-restructuring-and-how-can-it-save-your-business/ [Accessed 30 Nov. 2025].</w:t>
      </w:r>
    </w:p>
    <w:p w14:paraId="1D89D0FA" w14:textId="77777777" w:rsidR="00EC7E10" w:rsidRPr="00EC7E10" w:rsidRDefault="00EC7E10" w:rsidP="00EC7E10">
      <w:pPr>
        <w:rPr>
          <w:lang w:val="en-GB"/>
        </w:rPr>
      </w:pPr>
      <w:r w:rsidRPr="00EC7E10">
        <w:rPr>
          <w:lang w:val="en-GB"/>
        </w:rPr>
        <w:t xml:space="preserve">Twin, A. (2024). </w:t>
      </w:r>
      <w:r w:rsidRPr="00EC7E10">
        <w:rPr>
          <w:i/>
          <w:iCs/>
          <w:lang w:val="en-GB"/>
        </w:rPr>
        <w:t>Restructuring: How to Limit Financial Loss and Improve Business</w:t>
      </w:r>
      <w:r w:rsidRPr="00EC7E10">
        <w:rPr>
          <w:lang w:val="en-GB"/>
        </w:rPr>
        <w:t>. [online] Investopedia. Available at: https://www.investopedia.com/terms/r/restructuring.asp [Accessed 30 Nov. 2025].</w:t>
      </w:r>
    </w:p>
    <w:p w14:paraId="4B22D2B9" w14:textId="77777777" w:rsidR="00EC7E10" w:rsidRPr="00EC7E10" w:rsidRDefault="00EC7E10" w:rsidP="00EC7E10">
      <w:pPr>
        <w:rPr>
          <w:lang w:val="en-GB"/>
        </w:rPr>
      </w:pPr>
      <w:r w:rsidRPr="00EC7E10">
        <w:rPr>
          <w:lang w:val="en-GB"/>
        </w:rPr>
        <w:t xml:space="preserve">Wang, D. (2024). The Role of Fair Value Accounting in Debt Structure Decisions: Evidence from Priority Structure and Financial Flexibility. </w:t>
      </w:r>
      <w:r w:rsidRPr="00EC7E10">
        <w:rPr>
          <w:i/>
          <w:iCs/>
          <w:lang w:val="en-GB"/>
        </w:rPr>
        <w:t>The International Journal of Accounting</w:t>
      </w:r>
      <w:r w:rsidRPr="00EC7E10">
        <w:rPr>
          <w:lang w:val="en-GB"/>
        </w:rPr>
        <w:t xml:space="preserve">, 59(03). </w:t>
      </w:r>
      <w:proofErr w:type="spellStart"/>
      <w:proofErr w:type="gramStart"/>
      <w:r w:rsidRPr="00EC7E10">
        <w:rPr>
          <w:lang w:val="en-GB"/>
        </w:rPr>
        <w:t>doi:https</w:t>
      </w:r>
      <w:proofErr w:type="spellEnd"/>
      <w:r w:rsidRPr="00EC7E10">
        <w:rPr>
          <w:lang w:val="en-GB"/>
        </w:rPr>
        <w:t>://doi.org/10.1142/s1094406024500173</w:t>
      </w:r>
      <w:proofErr w:type="gramEnd"/>
      <w:r w:rsidRPr="00EC7E10">
        <w:rPr>
          <w:lang w:val="en-GB"/>
        </w:rPr>
        <w:t>.</w:t>
      </w:r>
    </w:p>
    <w:p w14:paraId="11FADD20" w14:textId="77777777" w:rsidR="00EC7E10" w:rsidRPr="00EC7E10" w:rsidRDefault="00EC7E10" w:rsidP="00EC7E10">
      <w:pPr>
        <w:rPr>
          <w:lang w:val="en-GB"/>
        </w:rPr>
      </w:pPr>
      <w:r w:rsidRPr="00EC7E10">
        <w:rPr>
          <w:lang w:val="en-GB"/>
        </w:rPr>
        <w:t xml:space="preserve">Zhang, T., Hou, H., Yang, J., Li, X. and Wang, Y. (2017). Enterprises Short-Term Financing Management. </w:t>
      </w:r>
      <w:r w:rsidRPr="00EC7E10">
        <w:rPr>
          <w:i/>
          <w:iCs/>
          <w:lang w:val="en-GB"/>
        </w:rPr>
        <w:t>Proceedings of the 2017 2nd International Conference on Politics, Economics and Law (ICPEL 2017)</w:t>
      </w:r>
      <w:r w:rsidRPr="00EC7E10">
        <w:rPr>
          <w:lang w:val="en-GB"/>
        </w:rPr>
        <w:t xml:space="preserve">. </w:t>
      </w:r>
      <w:proofErr w:type="spellStart"/>
      <w:proofErr w:type="gramStart"/>
      <w:r w:rsidRPr="00EC7E10">
        <w:rPr>
          <w:lang w:val="en-GB"/>
        </w:rPr>
        <w:t>doi:https</w:t>
      </w:r>
      <w:proofErr w:type="spellEnd"/>
      <w:r w:rsidRPr="00EC7E10">
        <w:rPr>
          <w:lang w:val="en-GB"/>
        </w:rPr>
        <w:t>://doi.org/10.2991/icpel-17.2017.62</w:t>
      </w:r>
      <w:proofErr w:type="gramEnd"/>
      <w:r w:rsidRPr="00EC7E10">
        <w:rPr>
          <w:lang w:val="en-GB"/>
        </w:rPr>
        <w:t>.</w:t>
      </w:r>
    </w:p>
    <w:p w14:paraId="7CCB7789" w14:textId="791AC7C8" w:rsidR="00EC7E10" w:rsidRPr="0084257F" w:rsidRDefault="00EC7E10">
      <w:r w:rsidRPr="0084257F">
        <w:br w:type="page"/>
      </w:r>
    </w:p>
    <w:p w14:paraId="136F3D6B" w14:textId="5F9C8C2B" w:rsidR="00EC7E10" w:rsidRPr="0084257F" w:rsidRDefault="00EC7E10" w:rsidP="0084257F">
      <w:pPr>
        <w:pStyle w:val="Heading1"/>
      </w:pPr>
      <w:bookmarkStart w:id="41" w:name="_Toc215418652"/>
      <w:r w:rsidRPr="0084257F">
        <w:lastRenderedPageBreak/>
        <w:t>Appendix</w:t>
      </w:r>
      <w:bookmarkEnd w:id="41"/>
    </w:p>
    <w:p w14:paraId="4ED99C1B" w14:textId="2A9578E3" w:rsidR="00EC7E10" w:rsidRPr="0084257F" w:rsidRDefault="00EC7E10" w:rsidP="00EC7E10">
      <w:pPr>
        <w:pStyle w:val="Heading2"/>
      </w:pPr>
      <w:bookmarkStart w:id="42" w:name="_Toc215418653"/>
      <w:r w:rsidRPr="0084257F">
        <w:t>Appendix A- Ratio Analysis</w:t>
      </w:r>
      <w:bookmarkEnd w:id="42"/>
    </w:p>
    <w:p w14:paraId="3D070E0C" w14:textId="77777777" w:rsidR="00EC7E10" w:rsidRPr="0084257F" w:rsidRDefault="00EC7E10" w:rsidP="00EC7E10"/>
    <w:tbl>
      <w:tblPr>
        <w:tblStyle w:val="GridTable3-Accent2"/>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797"/>
        <w:gridCol w:w="1668"/>
        <w:gridCol w:w="1504"/>
        <w:gridCol w:w="2027"/>
      </w:tblGrid>
      <w:tr w:rsidR="00EC7E10" w:rsidRPr="0084257F" w14:paraId="7FFD9E1C" w14:textId="77777777" w:rsidTr="006C578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6DCC6842" w14:textId="77777777" w:rsidR="00EC7E10" w:rsidRPr="0084257F" w:rsidRDefault="00EC7E10" w:rsidP="006C578E">
            <w:pPr>
              <w:spacing w:after="160"/>
              <w:rPr>
                <w:rFonts w:ascii="Arial" w:hAnsi="Arial" w:cs="Arial"/>
              </w:rPr>
            </w:pPr>
            <w:r w:rsidRPr="0084257F">
              <w:rPr>
                <w:rFonts w:ascii="Arial" w:hAnsi="Arial" w:cs="Arial"/>
              </w:rPr>
              <w:t>Gross Profit Margin = (Gross Profit / Net Sales) × 100</w:t>
            </w:r>
          </w:p>
        </w:tc>
        <w:tc>
          <w:tcPr>
            <w:tcW w:w="0" w:type="auto"/>
            <w:tcBorders>
              <w:top w:val="none" w:sz="0" w:space="0" w:color="auto"/>
              <w:left w:val="none" w:sz="0" w:space="0" w:color="auto"/>
              <w:right w:val="none" w:sz="0" w:space="0" w:color="auto"/>
            </w:tcBorders>
            <w:hideMark/>
          </w:tcPr>
          <w:p w14:paraId="55C8A4AF" w14:textId="77777777" w:rsidR="00EC7E10" w:rsidRPr="0084257F" w:rsidRDefault="00EC7E10" w:rsidP="006C578E">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Gross Profit (£m)</w:t>
            </w:r>
          </w:p>
        </w:tc>
        <w:tc>
          <w:tcPr>
            <w:tcW w:w="0" w:type="auto"/>
            <w:tcBorders>
              <w:top w:val="none" w:sz="0" w:space="0" w:color="auto"/>
              <w:left w:val="none" w:sz="0" w:space="0" w:color="auto"/>
              <w:right w:val="none" w:sz="0" w:space="0" w:color="auto"/>
            </w:tcBorders>
            <w:hideMark/>
          </w:tcPr>
          <w:p w14:paraId="0D62BF65" w14:textId="77777777" w:rsidR="00EC7E10" w:rsidRPr="0084257F" w:rsidRDefault="00EC7E10" w:rsidP="006C578E">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Net Sales (£m)</w:t>
            </w:r>
          </w:p>
        </w:tc>
        <w:tc>
          <w:tcPr>
            <w:tcW w:w="0" w:type="auto"/>
            <w:tcBorders>
              <w:top w:val="none" w:sz="0" w:space="0" w:color="auto"/>
              <w:left w:val="none" w:sz="0" w:space="0" w:color="auto"/>
              <w:right w:val="none" w:sz="0" w:space="0" w:color="auto"/>
            </w:tcBorders>
            <w:hideMark/>
          </w:tcPr>
          <w:p w14:paraId="205535CC" w14:textId="77777777" w:rsidR="00EC7E10" w:rsidRPr="0084257F" w:rsidRDefault="00EC7E10" w:rsidP="006C578E">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Gross Profit Margin (%)</w:t>
            </w:r>
          </w:p>
        </w:tc>
      </w:tr>
      <w:tr w:rsidR="00EC7E10" w:rsidRPr="0084257F" w14:paraId="6749C67E" w14:textId="77777777" w:rsidTr="006C578E">
        <w:trPr>
          <w:cnfStyle w:val="000000100000" w:firstRow="0" w:lastRow="0" w:firstColumn="0" w:lastColumn="0" w:oddVBand="0" w:evenVBand="0" w:oddHBand="1"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3FA7918E" w14:textId="77777777" w:rsidR="00EC7E10" w:rsidRPr="0084257F" w:rsidRDefault="00EC7E10" w:rsidP="006C578E">
            <w:pPr>
              <w:spacing w:after="160"/>
              <w:rPr>
                <w:rFonts w:ascii="Arial" w:hAnsi="Arial" w:cs="Arial"/>
              </w:rPr>
            </w:pPr>
            <w:r w:rsidRPr="0084257F">
              <w:rPr>
                <w:rFonts w:ascii="Arial" w:hAnsi="Arial" w:cs="Arial"/>
              </w:rPr>
              <w:t>2024</w:t>
            </w:r>
          </w:p>
        </w:tc>
        <w:tc>
          <w:tcPr>
            <w:tcW w:w="0" w:type="auto"/>
            <w:hideMark/>
          </w:tcPr>
          <w:p w14:paraId="1A87D851" w14:textId="77777777" w:rsidR="00EC7E10" w:rsidRPr="0084257F" w:rsidRDefault="00EC7E10" w:rsidP="006C578E">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113,994</w:t>
            </w:r>
          </w:p>
        </w:tc>
        <w:tc>
          <w:tcPr>
            <w:tcW w:w="0" w:type="auto"/>
            <w:hideMark/>
          </w:tcPr>
          <w:p w14:paraId="68826C32" w14:textId="77777777" w:rsidR="00EC7E10" w:rsidRPr="0084257F" w:rsidRDefault="00EC7E10" w:rsidP="006C578E">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394,879</w:t>
            </w:r>
          </w:p>
        </w:tc>
        <w:tc>
          <w:tcPr>
            <w:tcW w:w="0" w:type="auto"/>
            <w:hideMark/>
          </w:tcPr>
          <w:p w14:paraId="6E7DB305" w14:textId="77777777" w:rsidR="00EC7E10" w:rsidRPr="0084257F" w:rsidRDefault="00EC7E10" w:rsidP="006C578E">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28.87%</w:t>
            </w:r>
          </w:p>
        </w:tc>
      </w:tr>
      <w:tr w:rsidR="00EC7E10" w:rsidRPr="0084257F" w14:paraId="3A6DEC29" w14:textId="77777777" w:rsidTr="006C578E">
        <w:trPr>
          <w:trHeight w:val="4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1450BD66" w14:textId="77777777" w:rsidR="00EC7E10" w:rsidRPr="0084257F" w:rsidRDefault="00EC7E10" w:rsidP="006C578E">
            <w:pPr>
              <w:spacing w:after="160"/>
              <w:rPr>
                <w:rFonts w:ascii="Arial" w:hAnsi="Arial" w:cs="Arial"/>
              </w:rPr>
            </w:pPr>
            <w:r w:rsidRPr="0084257F">
              <w:rPr>
                <w:rFonts w:ascii="Arial" w:hAnsi="Arial" w:cs="Arial"/>
              </w:rPr>
              <w:t>2023</w:t>
            </w:r>
          </w:p>
        </w:tc>
        <w:tc>
          <w:tcPr>
            <w:tcW w:w="0" w:type="auto"/>
            <w:hideMark/>
          </w:tcPr>
          <w:p w14:paraId="787E9B90" w14:textId="77777777" w:rsidR="00EC7E10" w:rsidRPr="0084257F" w:rsidRDefault="00EC7E10" w:rsidP="006C578E">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97,560</w:t>
            </w:r>
          </w:p>
        </w:tc>
        <w:tc>
          <w:tcPr>
            <w:tcW w:w="0" w:type="auto"/>
            <w:hideMark/>
          </w:tcPr>
          <w:p w14:paraId="2C22D548" w14:textId="77777777" w:rsidR="00EC7E10" w:rsidRPr="0084257F" w:rsidRDefault="00EC7E10" w:rsidP="006C578E">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420,457</w:t>
            </w:r>
          </w:p>
        </w:tc>
        <w:tc>
          <w:tcPr>
            <w:tcW w:w="0" w:type="auto"/>
            <w:hideMark/>
          </w:tcPr>
          <w:p w14:paraId="4F5CE945" w14:textId="77777777" w:rsidR="00EC7E10" w:rsidRPr="0084257F" w:rsidRDefault="00EC7E10" w:rsidP="006C578E">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23.23%</w:t>
            </w:r>
          </w:p>
        </w:tc>
      </w:tr>
      <w:tr w:rsidR="00EC7E10" w:rsidRPr="0084257F" w14:paraId="6874FBFF" w14:textId="77777777" w:rsidTr="006C5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2609B08C" w14:textId="77777777" w:rsidR="00EC7E10" w:rsidRPr="0084257F" w:rsidRDefault="00EC7E10" w:rsidP="006C578E">
            <w:pPr>
              <w:spacing w:after="160"/>
              <w:rPr>
                <w:rFonts w:ascii="Arial" w:hAnsi="Arial" w:cs="Arial"/>
              </w:rPr>
            </w:pPr>
            <w:r w:rsidRPr="0084257F">
              <w:rPr>
                <w:rFonts w:ascii="Arial" w:hAnsi="Arial" w:cs="Arial"/>
              </w:rPr>
              <w:t>2022</w:t>
            </w:r>
          </w:p>
        </w:tc>
        <w:tc>
          <w:tcPr>
            <w:tcW w:w="0" w:type="auto"/>
            <w:hideMark/>
          </w:tcPr>
          <w:p w14:paraId="5CC6A18E" w14:textId="77777777" w:rsidR="00EC7E10" w:rsidRPr="0084257F" w:rsidRDefault="00EC7E10" w:rsidP="006C578E">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152,292</w:t>
            </w:r>
          </w:p>
        </w:tc>
        <w:tc>
          <w:tcPr>
            <w:tcW w:w="0" w:type="auto"/>
            <w:hideMark/>
          </w:tcPr>
          <w:p w14:paraId="4B30B55A" w14:textId="77777777" w:rsidR="00EC7E10" w:rsidRPr="0084257F" w:rsidRDefault="00EC7E10" w:rsidP="006C578E">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542,751</w:t>
            </w:r>
          </w:p>
        </w:tc>
        <w:tc>
          <w:tcPr>
            <w:tcW w:w="0" w:type="auto"/>
            <w:hideMark/>
          </w:tcPr>
          <w:p w14:paraId="26AA25B3" w14:textId="77777777" w:rsidR="00EC7E10" w:rsidRPr="0084257F" w:rsidRDefault="00EC7E10" w:rsidP="006C578E">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28.06%</w:t>
            </w:r>
          </w:p>
        </w:tc>
      </w:tr>
      <w:tr w:rsidR="00EC7E10" w:rsidRPr="0084257F" w14:paraId="5853EBB5" w14:textId="77777777" w:rsidTr="006C578E">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6AF459C6" w14:textId="77777777" w:rsidR="00EC7E10" w:rsidRPr="0084257F" w:rsidRDefault="00EC7E10" w:rsidP="006C578E">
            <w:pPr>
              <w:spacing w:after="160"/>
              <w:rPr>
                <w:rFonts w:ascii="Arial" w:hAnsi="Arial" w:cs="Arial"/>
              </w:rPr>
            </w:pPr>
            <w:r w:rsidRPr="0084257F">
              <w:rPr>
                <w:rFonts w:ascii="Arial" w:hAnsi="Arial" w:cs="Arial"/>
              </w:rPr>
              <w:t>2021</w:t>
            </w:r>
          </w:p>
        </w:tc>
        <w:tc>
          <w:tcPr>
            <w:tcW w:w="0" w:type="auto"/>
            <w:hideMark/>
          </w:tcPr>
          <w:p w14:paraId="3B24EF99" w14:textId="77777777" w:rsidR="00EC7E10" w:rsidRPr="0084257F" w:rsidRDefault="00EC7E10" w:rsidP="006C578E">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173,016</w:t>
            </w:r>
          </w:p>
        </w:tc>
        <w:tc>
          <w:tcPr>
            <w:tcW w:w="0" w:type="auto"/>
            <w:hideMark/>
          </w:tcPr>
          <w:p w14:paraId="1308A55D" w14:textId="77777777" w:rsidR="00EC7E10" w:rsidRPr="0084257F" w:rsidRDefault="00EC7E10" w:rsidP="006C578E">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601,602</w:t>
            </w:r>
          </w:p>
        </w:tc>
        <w:tc>
          <w:tcPr>
            <w:tcW w:w="0" w:type="auto"/>
            <w:hideMark/>
          </w:tcPr>
          <w:p w14:paraId="4DBCA006" w14:textId="77777777" w:rsidR="00EC7E10" w:rsidRPr="0084257F" w:rsidRDefault="00EC7E10" w:rsidP="006C578E">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28.74%</w:t>
            </w:r>
          </w:p>
        </w:tc>
      </w:tr>
      <w:tr w:rsidR="00EC7E10" w:rsidRPr="0084257F" w14:paraId="623CCB1D" w14:textId="77777777" w:rsidTr="006C5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26865D51" w14:textId="77777777" w:rsidR="00EC7E10" w:rsidRPr="0084257F" w:rsidRDefault="00EC7E10" w:rsidP="006C578E">
            <w:pPr>
              <w:spacing w:after="160"/>
              <w:rPr>
                <w:rFonts w:ascii="Arial" w:hAnsi="Arial" w:cs="Arial"/>
              </w:rPr>
            </w:pPr>
            <w:r w:rsidRPr="0084257F">
              <w:rPr>
                <w:rFonts w:ascii="Arial" w:hAnsi="Arial" w:cs="Arial"/>
              </w:rPr>
              <w:t>2020</w:t>
            </w:r>
          </w:p>
        </w:tc>
        <w:tc>
          <w:tcPr>
            <w:tcW w:w="0" w:type="auto"/>
            <w:hideMark/>
          </w:tcPr>
          <w:p w14:paraId="0BB6A8BF" w14:textId="77777777" w:rsidR="00EC7E10" w:rsidRPr="0084257F" w:rsidRDefault="00EC7E10" w:rsidP="006C578E">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176,256</w:t>
            </w:r>
          </w:p>
        </w:tc>
        <w:tc>
          <w:tcPr>
            <w:tcW w:w="0" w:type="auto"/>
            <w:hideMark/>
          </w:tcPr>
          <w:p w14:paraId="79746354" w14:textId="77777777" w:rsidR="00EC7E10" w:rsidRPr="0084257F" w:rsidRDefault="00EC7E10" w:rsidP="006C578E">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614,680</w:t>
            </w:r>
          </w:p>
        </w:tc>
        <w:tc>
          <w:tcPr>
            <w:tcW w:w="0" w:type="auto"/>
            <w:hideMark/>
          </w:tcPr>
          <w:p w14:paraId="01137359" w14:textId="77777777" w:rsidR="00EC7E10" w:rsidRPr="0084257F" w:rsidRDefault="00EC7E10" w:rsidP="006C578E">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28.62%</w:t>
            </w:r>
          </w:p>
        </w:tc>
      </w:tr>
    </w:tbl>
    <w:p w14:paraId="5148F0B3" w14:textId="77777777" w:rsidR="00EC7E10" w:rsidRPr="0084257F" w:rsidRDefault="00EC7E10" w:rsidP="00EC7E10"/>
    <w:tbl>
      <w:tblPr>
        <w:tblStyle w:val="GridTable3-Accent2"/>
        <w:tblW w:w="9056"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060"/>
        <w:gridCol w:w="1468"/>
        <w:gridCol w:w="2097"/>
        <w:gridCol w:w="2431"/>
      </w:tblGrid>
      <w:tr w:rsidR="00EC7E10" w:rsidRPr="0084257F" w14:paraId="7734B211" w14:textId="77777777" w:rsidTr="006C578E">
        <w:trPr>
          <w:cnfStyle w:val="100000000000" w:firstRow="1" w:lastRow="0" w:firstColumn="0" w:lastColumn="0" w:oddVBand="0" w:evenVBand="0" w:oddHBand="0" w:evenHBand="0" w:firstRowFirstColumn="0" w:firstRowLastColumn="0" w:lastRowFirstColumn="0" w:lastRowLastColumn="0"/>
          <w:trHeight w:val="297"/>
        </w:trPr>
        <w:tc>
          <w:tcPr>
            <w:cnfStyle w:val="001000000100" w:firstRow="0" w:lastRow="0" w:firstColumn="1" w:lastColumn="0" w:oddVBand="0" w:evenVBand="0" w:oddHBand="0" w:evenHBand="0" w:firstRowFirstColumn="1" w:firstRowLastColumn="0" w:lastRowFirstColumn="0" w:lastRowLastColumn="0"/>
            <w:tcW w:w="3060" w:type="dxa"/>
            <w:tcBorders>
              <w:top w:val="none" w:sz="0" w:space="0" w:color="auto"/>
              <w:left w:val="none" w:sz="0" w:space="0" w:color="auto"/>
              <w:bottom w:val="none" w:sz="0" w:space="0" w:color="auto"/>
              <w:right w:val="none" w:sz="0" w:space="0" w:color="auto"/>
            </w:tcBorders>
            <w:noWrap/>
            <w:hideMark/>
          </w:tcPr>
          <w:p w14:paraId="7646EE2C"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Operating Profit Margin = (Operating Income / Net Sales) × 100</w:t>
            </w:r>
          </w:p>
        </w:tc>
        <w:tc>
          <w:tcPr>
            <w:tcW w:w="1468" w:type="dxa"/>
            <w:tcBorders>
              <w:top w:val="none" w:sz="0" w:space="0" w:color="auto"/>
              <w:left w:val="none" w:sz="0" w:space="0" w:color="auto"/>
              <w:right w:val="none" w:sz="0" w:space="0" w:color="auto"/>
            </w:tcBorders>
            <w:noWrap/>
            <w:hideMark/>
          </w:tcPr>
          <w:p w14:paraId="1A2C0473"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Operating Income (£m)</w:t>
            </w:r>
          </w:p>
        </w:tc>
        <w:tc>
          <w:tcPr>
            <w:tcW w:w="2097" w:type="dxa"/>
            <w:tcBorders>
              <w:top w:val="none" w:sz="0" w:space="0" w:color="auto"/>
              <w:left w:val="none" w:sz="0" w:space="0" w:color="auto"/>
              <w:right w:val="none" w:sz="0" w:space="0" w:color="auto"/>
            </w:tcBorders>
            <w:noWrap/>
            <w:hideMark/>
          </w:tcPr>
          <w:p w14:paraId="25B36A00"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Net Sales (£m)</w:t>
            </w:r>
          </w:p>
        </w:tc>
        <w:tc>
          <w:tcPr>
            <w:tcW w:w="2431" w:type="dxa"/>
            <w:tcBorders>
              <w:top w:val="none" w:sz="0" w:space="0" w:color="auto"/>
              <w:left w:val="none" w:sz="0" w:space="0" w:color="auto"/>
              <w:right w:val="none" w:sz="0" w:space="0" w:color="auto"/>
            </w:tcBorders>
            <w:noWrap/>
            <w:hideMark/>
          </w:tcPr>
          <w:p w14:paraId="6EF63AA5"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Operating Profit Margin (%)</w:t>
            </w:r>
          </w:p>
        </w:tc>
      </w:tr>
      <w:tr w:rsidR="00EC7E10" w:rsidRPr="0084257F" w14:paraId="44385364" w14:textId="77777777" w:rsidTr="006C578E">
        <w:trPr>
          <w:cnfStyle w:val="000000100000" w:firstRow="0" w:lastRow="0" w:firstColumn="0" w:lastColumn="0" w:oddVBand="0" w:evenVBand="0" w:oddHBand="1" w:evenHBand="0" w:firstRowFirstColumn="0" w:firstRowLastColumn="0" w:lastRowFirstColumn="0" w:lastRowLastColumn="0"/>
          <w:trHeight w:val="297"/>
        </w:trPr>
        <w:tc>
          <w:tcPr>
            <w:cnfStyle w:val="001000000000" w:firstRow="0" w:lastRow="0" w:firstColumn="1" w:lastColumn="0" w:oddVBand="0" w:evenVBand="0" w:oddHBand="0" w:evenHBand="0" w:firstRowFirstColumn="0" w:firstRowLastColumn="0" w:lastRowFirstColumn="0" w:lastRowLastColumn="0"/>
            <w:tcW w:w="3060" w:type="dxa"/>
            <w:tcBorders>
              <w:top w:val="none" w:sz="0" w:space="0" w:color="auto"/>
              <w:left w:val="none" w:sz="0" w:space="0" w:color="auto"/>
              <w:bottom w:val="none" w:sz="0" w:space="0" w:color="auto"/>
            </w:tcBorders>
            <w:noWrap/>
            <w:hideMark/>
          </w:tcPr>
          <w:p w14:paraId="3BA02632"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1468" w:type="dxa"/>
            <w:noWrap/>
            <w:hideMark/>
          </w:tcPr>
          <w:p w14:paraId="09E614EC"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-15,297</w:t>
            </w:r>
          </w:p>
        </w:tc>
        <w:tc>
          <w:tcPr>
            <w:tcW w:w="2097" w:type="dxa"/>
            <w:noWrap/>
            <w:hideMark/>
          </w:tcPr>
          <w:p w14:paraId="5ABD6385"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394,879</w:t>
            </w:r>
          </w:p>
        </w:tc>
        <w:tc>
          <w:tcPr>
            <w:tcW w:w="2431" w:type="dxa"/>
            <w:noWrap/>
            <w:hideMark/>
          </w:tcPr>
          <w:p w14:paraId="2E9FD197"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-3.88%</w:t>
            </w:r>
          </w:p>
        </w:tc>
      </w:tr>
      <w:tr w:rsidR="00EC7E10" w:rsidRPr="0084257F" w14:paraId="7A75D925" w14:textId="77777777" w:rsidTr="006C578E">
        <w:trPr>
          <w:trHeight w:val="297"/>
        </w:trPr>
        <w:tc>
          <w:tcPr>
            <w:cnfStyle w:val="001000000000" w:firstRow="0" w:lastRow="0" w:firstColumn="1" w:lastColumn="0" w:oddVBand="0" w:evenVBand="0" w:oddHBand="0" w:evenHBand="0" w:firstRowFirstColumn="0" w:firstRowLastColumn="0" w:lastRowFirstColumn="0" w:lastRowLastColumn="0"/>
            <w:tcW w:w="3060" w:type="dxa"/>
            <w:tcBorders>
              <w:top w:val="none" w:sz="0" w:space="0" w:color="auto"/>
              <w:left w:val="none" w:sz="0" w:space="0" w:color="auto"/>
              <w:bottom w:val="none" w:sz="0" w:space="0" w:color="auto"/>
            </w:tcBorders>
            <w:noWrap/>
            <w:hideMark/>
          </w:tcPr>
          <w:p w14:paraId="3FE3EC62"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2023</w:t>
            </w:r>
          </w:p>
        </w:tc>
        <w:tc>
          <w:tcPr>
            <w:tcW w:w="1468" w:type="dxa"/>
            <w:noWrap/>
            <w:hideMark/>
          </w:tcPr>
          <w:p w14:paraId="25F04944"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-85,301</w:t>
            </w:r>
          </w:p>
        </w:tc>
        <w:tc>
          <w:tcPr>
            <w:tcW w:w="2097" w:type="dxa"/>
            <w:noWrap/>
            <w:hideMark/>
          </w:tcPr>
          <w:p w14:paraId="0E376B21"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420,457</w:t>
            </w:r>
          </w:p>
        </w:tc>
        <w:tc>
          <w:tcPr>
            <w:tcW w:w="2431" w:type="dxa"/>
            <w:noWrap/>
            <w:hideMark/>
          </w:tcPr>
          <w:p w14:paraId="7F159804"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-20.29%</w:t>
            </w:r>
          </w:p>
        </w:tc>
      </w:tr>
      <w:tr w:rsidR="00EC7E10" w:rsidRPr="0084257F" w14:paraId="3C75B7C1" w14:textId="77777777" w:rsidTr="006C578E">
        <w:trPr>
          <w:cnfStyle w:val="000000100000" w:firstRow="0" w:lastRow="0" w:firstColumn="0" w:lastColumn="0" w:oddVBand="0" w:evenVBand="0" w:oddHBand="1" w:evenHBand="0" w:firstRowFirstColumn="0" w:firstRowLastColumn="0" w:lastRowFirstColumn="0" w:lastRowLastColumn="0"/>
          <w:trHeight w:val="297"/>
        </w:trPr>
        <w:tc>
          <w:tcPr>
            <w:cnfStyle w:val="001000000000" w:firstRow="0" w:lastRow="0" w:firstColumn="1" w:lastColumn="0" w:oddVBand="0" w:evenVBand="0" w:oddHBand="0" w:evenHBand="0" w:firstRowFirstColumn="0" w:firstRowLastColumn="0" w:lastRowFirstColumn="0" w:lastRowLastColumn="0"/>
            <w:tcW w:w="3060" w:type="dxa"/>
            <w:tcBorders>
              <w:top w:val="none" w:sz="0" w:space="0" w:color="auto"/>
              <w:left w:val="none" w:sz="0" w:space="0" w:color="auto"/>
              <w:bottom w:val="none" w:sz="0" w:space="0" w:color="auto"/>
            </w:tcBorders>
            <w:noWrap/>
            <w:hideMark/>
          </w:tcPr>
          <w:p w14:paraId="16185ED9"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1468" w:type="dxa"/>
            <w:noWrap/>
            <w:hideMark/>
          </w:tcPr>
          <w:p w14:paraId="3FFB6ECB"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14,548</w:t>
            </w:r>
          </w:p>
        </w:tc>
        <w:tc>
          <w:tcPr>
            <w:tcW w:w="2097" w:type="dxa"/>
            <w:noWrap/>
            <w:hideMark/>
          </w:tcPr>
          <w:p w14:paraId="2BD631EC"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542,751</w:t>
            </w:r>
          </w:p>
        </w:tc>
        <w:tc>
          <w:tcPr>
            <w:tcW w:w="2431" w:type="dxa"/>
            <w:noWrap/>
            <w:hideMark/>
          </w:tcPr>
          <w:p w14:paraId="5345EBD9"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2.68%</w:t>
            </w:r>
          </w:p>
        </w:tc>
      </w:tr>
      <w:tr w:rsidR="00EC7E10" w:rsidRPr="0084257F" w14:paraId="0D0037A2" w14:textId="77777777" w:rsidTr="006C578E">
        <w:trPr>
          <w:trHeight w:val="297"/>
        </w:trPr>
        <w:tc>
          <w:tcPr>
            <w:cnfStyle w:val="001000000000" w:firstRow="0" w:lastRow="0" w:firstColumn="1" w:lastColumn="0" w:oddVBand="0" w:evenVBand="0" w:oddHBand="0" w:evenHBand="0" w:firstRowFirstColumn="0" w:firstRowLastColumn="0" w:lastRowFirstColumn="0" w:lastRowLastColumn="0"/>
            <w:tcW w:w="3060" w:type="dxa"/>
            <w:tcBorders>
              <w:top w:val="none" w:sz="0" w:space="0" w:color="auto"/>
              <w:left w:val="none" w:sz="0" w:space="0" w:color="auto"/>
              <w:bottom w:val="none" w:sz="0" w:space="0" w:color="auto"/>
            </w:tcBorders>
            <w:noWrap/>
            <w:hideMark/>
          </w:tcPr>
          <w:p w14:paraId="0B172B60"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1468" w:type="dxa"/>
            <w:noWrap/>
            <w:hideMark/>
          </w:tcPr>
          <w:p w14:paraId="12E7C790"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23,253</w:t>
            </w:r>
          </w:p>
        </w:tc>
        <w:tc>
          <w:tcPr>
            <w:tcW w:w="2097" w:type="dxa"/>
            <w:noWrap/>
            <w:hideMark/>
          </w:tcPr>
          <w:p w14:paraId="60DF8FF0"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601,602</w:t>
            </w:r>
          </w:p>
        </w:tc>
        <w:tc>
          <w:tcPr>
            <w:tcW w:w="2431" w:type="dxa"/>
            <w:noWrap/>
            <w:hideMark/>
          </w:tcPr>
          <w:p w14:paraId="7BA1E5F7"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3.87%</w:t>
            </w:r>
          </w:p>
        </w:tc>
      </w:tr>
      <w:tr w:rsidR="00EC7E10" w:rsidRPr="0084257F" w14:paraId="6BE0BA44" w14:textId="77777777" w:rsidTr="006C578E">
        <w:trPr>
          <w:cnfStyle w:val="000000100000" w:firstRow="0" w:lastRow="0" w:firstColumn="0" w:lastColumn="0" w:oddVBand="0" w:evenVBand="0" w:oddHBand="1" w:evenHBand="0" w:firstRowFirstColumn="0" w:firstRowLastColumn="0" w:lastRowFirstColumn="0" w:lastRowLastColumn="0"/>
          <w:trHeight w:val="297"/>
        </w:trPr>
        <w:tc>
          <w:tcPr>
            <w:cnfStyle w:val="001000000000" w:firstRow="0" w:lastRow="0" w:firstColumn="1" w:lastColumn="0" w:oddVBand="0" w:evenVBand="0" w:oddHBand="0" w:evenHBand="0" w:firstRowFirstColumn="0" w:firstRowLastColumn="0" w:lastRowFirstColumn="0" w:lastRowLastColumn="0"/>
            <w:tcW w:w="3060" w:type="dxa"/>
            <w:tcBorders>
              <w:top w:val="none" w:sz="0" w:space="0" w:color="auto"/>
              <w:left w:val="none" w:sz="0" w:space="0" w:color="auto"/>
              <w:bottom w:val="none" w:sz="0" w:space="0" w:color="auto"/>
            </w:tcBorders>
            <w:noWrap/>
            <w:hideMark/>
          </w:tcPr>
          <w:p w14:paraId="5C6301EA"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2020</w:t>
            </w:r>
          </w:p>
        </w:tc>
        <w:tc>
          <w:tcPr>
            <w:tcW w:w="1468" w:type="dxa"/>
            <w:noWrap/>
            <w:hideMark/>
          </w:tcPr>
          <w:p w14:paraId="5D4D5376"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37,267</w:t>
            </w:r>
          </w:p>
        </w:tc>
        <w:tc>
          <w:tcPr>
            <w:tcW w:w="2097" w:type="dxa"/>
            <w:noWrap/>
            <w:hideMark/>
          </w:tcPr>
          <w:p w14:paraId="7A87AD75"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614,680</w:t>
            </w:r>
          </w:p>
        </w:tc>
        <w:tc>
          <w:tcPr>
            <w:tcW w:w="2431" w:type="dxa"/>
            <w:noWrap/>
            <w:hideMark/>
          </w:tcPr>
          <w:p w14:paraId="4216484E"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6.05%</w:t>
            </w:r>
          </w:p>
        </w:tc>
      </w:tr>
    </w:tbl>
    <w:p w14:paraId="2756AC0E" w14:textId="77777777" w:rsidR="00EC7E10" w:rsidRPr="0084257F" w:rsidRDefault="00EC7E10" w:rsidP="00EC7E10"/>
    <w:tbl>
      <w:tblPr>
        <w:tblStyle w:val="GridTable3-Accent2"/>
        <w:tblW w:w="9304"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326"/>
        <w:gridCol w:w="2326"/>
        <w:gridCol w:w="2326"/>
        <w:gridCol w:w="2326"/>
      </w:tblGrid>
      <w:tr w:rsidR="00EC7E10" w:rsidRPr="0084257F" w14:paraId="2CECBE10" w14:textId="77777777" w:rsidTr="006C578E">
        <w:trPr>
          <w:cnfStyle w:val="100000000000" w:firstRow="1" w:lastRow="0" w:firstColumn="0" w:lastColumn="0" w:oddVBand="0" w:evenVBand="0" w:oddHBand="0" w:evenHBand="0" w:firstRowFirstColumn="0" w:firstRowLastColumn="0" w:lastRowFirstColumn="0" w:lastRowLastColumn="0"/>
          <w:trHeight w:val="298"/>
        </w:trPr>
        <w:tc>
          <w:tcPr>
            <w:cnfStyle w:val="001000000100" w:firstRow="0" w:lastRow="0" w:firstColumn="1" w:lastColumn="0" w:oddVBand="0" w:evenVBand="0" w:oddHBand="0" w:evenHBand="0" w:firstRowFirstColumn="1" w:firstRowLastColumn="0" w:lastRowFirstColumn="0" w:lastRowLastColumn="0"/>
            <w:tcW w:w="2326" w:type="dxa"/>
            <w:tcBorders>
              <w:top w:val="none" w:sz="0" w:space="0" w:color="auto"/>
              <w:left w:val="none" w:sz="0" w:space="0" w:color="auto"/>
              <w:bottom w:val="none" w:sz="0" w:space="0" w:color="auto"/>
              <w:right w:val="none" w:sz="0" w:space="0" w:color="auto"/>
            </w:tcBorders>
            <w:noWrap/>
            <w:hideMark/>
          </w:tcPr>
          <w:p w14:paraId="4313578C"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Net Profit Margin = (Net Income / Net Sales) × 100</w:t>
            </w:r>
          </w:p>
        </w:tc>
        <w:tc>
          <w:tcPr>
            <w:tcW w:w="2326" w:type="dxa"/>
            <w:tcBorders>
              <w:top w:val="none" w:sz="0" w:space="0" w:color="auto"/>
              <w:left w:val="none" w:sz="0" w:space="0" w:color="auto"/>
              <w:right w:val="none" w:sz="0" w:space="0" w:color="auto"/>
            </w:tcBorders>
            <w:noWrap/>
            <w:hideMark/>
          </w:tcPr>
          <w:p w14:paraId="5812741E"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Net Income (£m)</w:t>
            </w:r>
          </w:p>
        </w:tc>
        <w:tc>
          <w:tcPr>
            <w:tcW w:w="2326" w:type="dxa"/>
            <w:tcBorders>
              <w:top w:val="none" w:sz="0" w:space="0" w:color="auto"/>
              <w:left w:val="none" w:sz="0" w:space="0" w:color="auto"/>
              <w:right w:val="none" w:sz="0" w:space="0" w:color="auto"/>
            </w:tcBorders>
            <w:noWrap/>
            <w:hideMark/>
          </w:tcPr>
          <w:p w14:paraId="56FD9011"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Net Sales (£m)</w:t>
            </w:r>
          </w:p>
        </w:tc>
        <w:tc>
          <w:tcPr>
            <w:tcW w:w="2326" w:type="dxa"/>
            <w:tcBorders>
              <w:top w:val="none" w:sz="0" w:space="0" w:color="auto"/>
              <w:left w:val="none" w:sz="0" w:space="0" w:color="auto"/>
              <w:right w:val="none" w:sz="0" w:space="0" w:color="auto"/>
            </w:tcBorders>
            <w:noWrap/>
            <w:hideMark/>
          </w:tcPr>
          <w:p w14:paraId="588CCEF7"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Net Profit Margin (%)</w:t>
            </w:r>
          </w:p>
        </w:tc>
      </w:tr>
      <w:tr w:rsidR="00EC7E10" w:rsidRPr="0084257F" w14:paraId="7F860211" w14:textId="77777777" w:rsidTr="006C578E">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2326" w:type="dxa"/>
            <w:tcBorders>
              <w:top w:val="none" w:sz="0" w:space="0" w:color="auto"/>
              <w:left w:val="none" w:sz="0" w:space="0" w:color="auto"/>
              <w:bottom w:val="none" w:sz="0" w:space="0" w:color="auto"/>
            </w:tcBorders>
            <w:noWrap/>
            <w:hideMark/>
          </w:tcPr>
          <w:p w14:paraId="1144279C"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2326" w:type="dxa"/>
            <w:noWrap/>
            <w:hideMark/>
          </w:tcPr>
          <w:p w14:paraId="7EB03D32"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-24,029</w:t>
            </w:r>
          </w:p>
        </w:tc>
        <w:tc>
          <w:tcPr>
            <w:tcW w:w="2326" w:type="dxa"/>
            <w:noWrap/>
            <w:hideMark/>
          </w:tcPr>
          <w:p w14:paraId="4A28A9D7"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394,879</w:t>
            </w:r>
          </w:p>
        </w:tc>
        <w:tc>
          <w:tcPr>
            <w:tcW w:w="2326" w:type="dxa"/>
            <w:noWrap/>
            <w:hideMark/>
          </w:tcPr>
          <w:p w14:paraId="15086E8E"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-6.09%</w:t>
            </w:r>
          </w:p>
        </w:tc>
      </w:tr>
      <w:tr w:rsidR="00EC7E10" w:rsidRPr="0084257F" w14:paraId="683D84C8" w14:textId="77777777" w:rsidTr="006C578E">
        <w:trPr>
          <w:trHeight w:val="298"/>
        </w:trPr>
        <w:tc>
          <w:tcPr>
            <w:cnfStyle w:val="001000000000" w:firstRow="0" w:lastRow="0" w:firstColumn="1" w:lastColumn="0" w:oddVBand="0" w:evenVBand="0" w:oddHBand="0" w:evenHBand="0" w:firstRowFirstColumn="0" w:firstRowLastColumn="0" w:lastRowFirstColumn="0" w:lastRowLastColumn="0"/>
            <w:tcW w:w="2326" w:type="dxa"/>
            <w:tcBorders>
              <w:top w:val="none" w:sz="0" w:space="0" w:color="auto"/>
              <w:left w:val="none" w:sz="0" w:space="0" w:color="auto"/>
              <w:bottom w:val="none" w:sz="0" w:space="0" w:color="auto"/>
            </w:tcBorders>
            <w:noWrap/>
            <w:hideMark/>
          </w:tcPr>
          <w:p w14:paraId="530A4720"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2023</w:t>
            </w:r>
          </w:p>
        </w:tc>
        <w:tc>
          <w:tcPr>
            <w:tcW w:w="2326" w:type="dxa"/>
            <w:noWrap/>
            <w:hideMark/>
          </w:tcPr>
          <w:p w14:paraId="4C5787B1"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-98,238</w:t>
            </w:r>
          </w:p>
        </w:tc>
        <w:tc>
          <w:tcPr>
            <w:tcW w:w="2326" w:type="dxa"/>
            <w:noWrap/>
            <w:hideMark/>
          </w:tcPr>
          <w:p w14:paraId="54FD6ECF"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420,457</w:t>
            </w:r>
          </w:p>
        </w:tc>
        <w:tc>
          <w:tcPr>
            <w:tcW w:w="2326" w:type="dxa"/>
            <w:noWrap/>
            <w:hideMark/>
          </w:tcPr>
          <w:p w14:paraId="1990EF6A"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-23.39%</w:t>
            </w:r>
          </w:p>
        </w:tc>
      </w:tr>
      <w:tr w:rsidR="00EC7E10" w:rsidRPr="0084257F" w14:paraId="3ACA2CBE" w14:textId="77777777" w:rsidTr="006C578E">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2326" w:type="dxa"/>
            <w:tcBorders>
              <w:top w:val="none" w:sz="0" w:space="0" w:color="auto"/>
              <w:left w:val="none" w:sz="0" w:space="0" w:color="auto"/>
              <w:bottom w:val="none" w:sz="0" w:space="0" w:color="auto"/>
            </w:tcBorders>
            <w:noWrap/>
            <w:hideMark/>
          </w:tcPr>
          <w:p w14:paraId="1B1BCD3E"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2326" w:type="dxa"/>
            <w:noWrap/>
            <w:hideMark/>
          </w:tcPr>
          <w:p w14:paraId="149D7C2C"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407</w:t>
            </w:r>
          </w:p>
        </w:tc>
        <w:tc>
          <w:tcPr>
            <w:tcW w:w="2326" w:type="dxa"/>
            <w:noWrap/>
            <w:hideMark/>
          </w:tcPr>
          <w:p w14:paraId="78B163BF"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542,751</w:t>
            </w:r>
          </w:p>
        </w:tc>
        <w:tc>
          <w:tcPr>
            <w:tcW w:w="2326" w:type="dxa"/>
            <w:noWrap/>
            <w:hideMark/>
          </w:tcPr>
          <w:p w14:paraId="484C8654"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0.08%</w:t>
            </w:r>
          </w:p>
        </w:tc>
      </w:tr>
      <w:tr w:rsidR="00EC7E10" w:rsidRPr="0084257F" w14:paraId="30977B2E" w14:textId="77777777" w:rsidTr="006C578E">
        <w:trPr>
          <w:trHeight w:val="298"/>
        </w:trPr>
        <w:tc>
          <w:tcPr>
            <w:cnfStyle w:val="001000000000" w:firstRow="0" w:lastRow="0" w:firstColumn="1" w:lastColumn="0" w:oddVBand="0" w:evenVBand="0" w:oddHBand="0" w:evenHBand="0" w:firstRowFirstColumn="0" w:firstRowLastColumn="0" w:lastRowFirstColumn="0" w:lastRowLastColumn="0"/>
            <w:tcW w:w="2326" w:type="dxa"/>
            <w:tcBorders>
              <w:top w:val="none" w:sz="0" w:space="0" w:color="auto"/>
              <w:left w:val="none" w:sz="0" w:space="0" w:color="auto"/>
              <w:bottom w:val="none" w:sz="0" w:space="0" w:color="auto"/>
            </w:tcBorders>
            <w:noWrap/>
            <w:hideMark/>
          </w:tcPr>
          <w:p w14:paraId="792341E6"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2326" w:type="dxa"/>
            <w:noWrap/>
            <w:hideMark/>
          </w:tcPr>
          <w:p w14:paraId="58A3FC54"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5,301</w:t>
            </w:r>
          </w:p>
        </w:tc>
        <w:tc>
          <w:tcPr>
            <w:tcW w:w="2326" w:type="dxa"/>
            <w:noWrap/>
            <w:hideMark/>
          </w:tcPr>
          <w:p w14:paraId="26141263"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601,602</w:t>
            </w:r>
          </w:p>
        </w:tc>
        <w:tc>
          <w:tcPr>
            <w:tcW w:w="2326" w:type="dxa"/>
            <w:noWrap/>
            <w:hideMark/>
          </w:tcPr>
          <w:p w14:paraId="6B121AB5"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0.88%</w:t>
            </w:r>
          </w:p>
        </w:tc>
      </w:tr>
      <w:tr w:rsidR="00EC7E10" w:rsidRPr="0084257F" w14:paraId="1F9564A2" w14:textId="77777777" w:rsidTr="006C578E">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2326" w:type="dxa"/>
            <w:tcBorders>
              <w:top w:val="none" w:sz="0" w:space="0" w:color="auto"/>
              <w:left w:val="none" w:sz="0" w:space="0" w:color="auto"/>
              <w:bottom w:val="none" w:sz="0" w:space="0" w:color="auto"/>
            </w:tcBorders>
            <w:noWrap/>
            <w:hideMark/>
          </w:tcPr>
          <w:p w14:paraId="3E5D5D11"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2020</w:t>
            </w:r>
          </w:p>
        </w:tc>
        <w:tc>
          <w:tcPr>
            <w:tcW w:w="2326" w:type="dxa"/>
            <w:noWrap/>
            <w:hideMark/>
          </w:tcPr>
          <w:p w14:paraId="1EC82859"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38,572</w:t>
            </w:r>
          </w:p>
        </w:tc>
        <w:tc>
          <w:tcPr>
            <w:tcW w:w="2326" w:type="dxa"/>
            <w:noWrap/>
            <w:hideMark/>
          </w:tcPr>
          <w:p w14:paraId="7FC0A9A2"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614,680</w:t>
            </w:r>
          </w:p>
        </w:tc>
        <w:tc>
          <w:tcPr>
            <w:tcW w:w="2326" w:type="dxa"/>
            <w:noWrap/>
            <w:hideMark/>
          </w:tcPr>
          <w:p w14:paraId="1D389ABF"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6.28%</w:t>
            </w:r>
          </w:p>
        </w:tc>
      </w:tr>
    </w:tbl>
    <w:p w14:paraId="41426D20" w14:textId="77777777" w:rsidR="00EC7E10" w:rsidRPr="0084257F" w:rsidRDefault="00EC7E10" w:rsidP="00EC7E10"/>
    <w:tbl>
      <w:tblPr>
        <w:tblStyle w:val="GridTable3-Accent2"/>
        <w:tblW w:w="9544"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386"/>
        <w:gridCol w:w="2386"/>
        <w:gridCol w:w="2386"/>
        <w:gridCol w:w="2386"/>
      </w:tblGrid>
      <w:tr w:rsidR="00EC7E10" w:rsidRPr="0084257F" w14:paraId="46899351" w14:textId="77777777" w:rsidTr="006C578E">
        <w:trPr>
          <w:cnfStyle w:val="100000000000" w:firstRow="1" w:lastRow="0" w:firstColumn="0" w:lastColumn="0" w:oddVBand="0" w:evenVBand="0" w:oddHBand="0" w:evenHBand="0" w:firstRowFirstColumn="0" w:firstRowLastColumn="0" w:lastRowFirstColumn="0" w:lastRowLastColumn="0"/>
          <w:trHeight w:val="510"/>
        </w:trPr>
        <w:tc>
          <w:tcPr>
            <w:cnfStyle w:val="001000000100" w:firstRow="0" w:lastRow="0" w:firstColumn="1" w:lastColumn="0" w:oddVBand="0" w:evenVBand="0" w:oddHBand="0" w:evenHBand="0" w:firstRowFirstColumn="1" w:firstRowLastColumn="0" w:lastRowFirstColumn="0" w:lastRowLastColumn="0"/>
            <w:tcW w:w="2386" w:type="dxa"/>
            <w:tcBorders>
              <w:top w:val="none" w:sz="0" w:space="0" w:color="auto"/>
              <w:left w:val="none" w:sz="0" w:space="0" w:color="auto"/>
              <w:bottom w:val="none" w:sz="0" w:space="0" w:color="auto"/>
              <w:right w:val="none" w:sz="0" w:space="0" w:color="auto"/>
            </w:tcBorders>
            <w:noWrap/>
            <w:hideMark/>
          </w:tcPr>
          <w:p w14:paraId="2C612909"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Return on Assets (ROA) = (Net Income / Total Assets) × 100</w:t>
            </w:r>
          </w:p>
        </w:tc>
        <w:tc>
          <w:tcPr>
            <w:tcW w:w="2386" w:type="dxa"/>
            <w:tcBorders>
              <w:top w:val="none" w:sz="0" w:space="0" w:color="auto"/>
              <w:left w:val="none" w:sz="0" w:space="0" w:color="auto"/>
              <w:right w:val="none" w:sz="0" w:space="0" w:color="auto"/>
            </w:tcBorders>
            <w:noWrap/>
            <w:hideMark/>
          </w:tcPr>
          <w:p w14:paraId="267011E4"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Net Income (£m)</w:t>
            </w:r>
          </w:p>
        </w:tc>
        <w:tc>
          <w:tcPr>
            <w:tcW w:w="2386" w:type="dxa"/>
            <w:tcBorders>
              <w:top w:val="none" w:sz="0" w:space="0" w:color="auto"/>
              <w:left w:val="none" w:sz="0" w:space="0" w:color="auto"/>
              <w:right w:val="none" w:sz="0" w:space="0" w:color="auto"/>
            </w:tcBorders>
            <w:noWrap/>
            <w:hideMark/>
          </w:tcPr>
          <w:p w14:paraId="346B2694"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Total Assets (£m)</w:t>
            </w:r>
          </w:p>
        </w:tc>
        <w:tc>
          <w:tcPr>
            <w:tcW w:w="2386" w:type="dxa"/>
            <w:tcBorders>
              <w:top w:val="none" w:sz="0" w:space="0" w:color="auto"/>
              <w:left w:val="none" w:sz="0" w:space="0" w:color="auto"/>
              <w:right w:val="none" w:sz="0" w:space="0" w:color="auto"/>
            </w:tcBorders>
            <w:noWrap/>
            <w:hideMark/>
          </w:tcPr>
          <w:p w14:paraId="0DB3D1F0"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Return on Assets (%)</w:t>
            </w:r>
          </w:p>
        </w:tc>
      </w:tr>
      <w:tr w:rsidR="00EC7E10" w:rsidRPr="0084257F" w14:paraId="0E7F0CE4" w14:textId="77777777" w:rsidTr="006C578E">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2386" w:type="dxa"/>
            <w:tcBorders>
              <w:top w:val="none" w:sz="0" w:space="0" w:color="auto"/>
              <w:left w:val="none" w:sz="0" w:space="0" w:color="auto"/>
              <w:bottom w:val="none" w:sz="0" w:space="0" w:color="auto"/>
            </w:tcBorders>
            <w:noWrap/>
            <w:hideMark/>
          </w:tcPr>
          <w:p w14:paraId="26E56DEF"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2386" w:type="dxa"/>
            <w:noWrap/>
            <w:hideMark/>
          </w:tcPr>
          <w:p w14:paraId="4AB725B1"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-24,029</w:t>
            </w:r>
          </w:p>
        </w:tc>
        <w:tc>
          <w:tcPr>
            <w:tcW w:w="2386" w:type="dxa"/>
            <w:noWrap/>
            <w:hideMark/>
          </w:tcPr>
          <w:p w14:paraId="6F2DD628"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323,354</w:t>
            </w:r>
          </w:p>
        </w:tc>
        <w:tc>
          <w:tcPr>
            <w:tcW w:w="2386" w:type="dxa"/>
            <w:noWrap/>
            <w:hideMark/>
          </w:tcPr>
          <w:p w14:paraId="4C7DBB16"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-7.43%</w:t>
            </w:r>
          </w:p>
        </w:tc>
      </w:tr>
      <w:tr w:rsidR="00EC7E10" w:rsidRPr="0084257F" w14:paraId="5FBCF61D" w14:textId="77777777" w:rsidTr="006C578E">
        <w:trPr>
          <w:trHeight w:val="40"/>
        </w:trPr>
        <w:tc>
          <w:tcPr>
            <w:cnfStyle w:val="001000000000" w:firstRow="0" w:lastRow="0" w:firstColumn="1" w:lastColumn="0" w:oddVBand="0" w:evenVBand="0" w:oddHBand="0" w:evenHBand="0" w:firstRowFirstColumn="0" w:firstRowLastColumn="0" w:lastRowFirstColumn="0" w:lastRowLastColumn="0"/>
            <w:tcW w:w="2386" w:type="dxa"/>
            <w:tcBorders>
              <w:top w:val="none" w:sz="0" w:space="0" w:color="auto"/>
              <w:left w:val="none" w:sz="0" w:space="0" w:color="auto"/>
              <w:bottom w:val="none" w:sz="0" w:space="0" w:color="auto"/>
            </w:tcBorders>
            <w:noWrap/>
            <w:hideMark/>
          </w:tcPr>
          <w:p w14:paraId="3B1E4EC3"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2023</w:t>
            </w:r>
          </w:p>
        </w:tc>
        <w:tc>
          <w:tcPr>
            <w:tcW w:w="2386" w:type="dxa"/>
            <w:noWrap/>
            <w:hideMark/>
          </w:tcPr>
          <w:p w14:paraId="14C050B4"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-98,238</w:t>
            </w:r>
          </w:p>
        </w:tc>
        <w:tc>
          <w:tcPr>
            <w:tcW w:w="2386" w:type="dxa"/>
            <w:noWrap/>
            <w:hideMark/>
          </w:tcPr>
          <w:p w14:paraId="30E4D645"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355,872</w:t>
            </w:r>
          </w:p>
        </w:tc>
        <w:tc>
          <w:tcPr>
            <w:tcW w:w="2386" w:type="dxa"/>
            <w:noWrap/>
            <w:hideMark/>
          </w:tcPr>
          <w:p w14:paraId="55FCD67A"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-27.63%</w:t>
            </w:r>
          </w:p>
        </w:tc>
      </w:tr>
      <w:tr w:rsidR="00EC7E10" w:rsidRPr="0084257F" w14:paraId="324AFE55" w14:textId="77777777" w:rsidTr="006C578E">
        <w:trPr>
          <w:cnfStyle w:val="000000100000" w:firstRow="0" w:lastRow="0" w:firstColumn="0" w:lastColumn="0" w:oddVBand="0" w:evenVBand="0" w:oddHBand="1" w:evenHBand="0" w:firstRowFirstColumn="0" w:firstRowLastColumn="0" w:lastRowFirstColumn="0" w:lastRowLastColumn="0"/>
          <w:trHeight w:val="40"/>
        </w:trPr>
        <w:tc>
          <w:tcPr>
            <w:cnfStyle w:val="001000000000" w:firstRow="0" w:lastRow="0" w:firstColumn="1" w:lastColumn="0" w:oddVBand="0" w:evenVBand="0" w:oddHBand="0" w:evenHBand="0" w:firstRowFirstColumn="0" w:firstRowLastColumn="0" w:lastRowFirstColumn="0" w:lastRowLastColumn="0"/>
            <w:tcW w:w="2386" w:type="dxa"/>
            <w:tcBorders>
              <w:top w:val="none" w:sz="0" w:space="0" w:color="auto"/>
              <w:left w:val="none" w:sz="0" w:space="0" w:color="auto"/>
              <w:bottom w:val="none" w:sz="0" w:space="0" w:color="auto"/>
            </w:tcBorders>
            <w:noWrap/>
            <w:hideMark/>
          </w:tcPr>
          <w:p w14:paraId="6F3A90AC"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2386" w:type="dxa"/>
            <w:noWrap/>
            <w:hideMark/>
          </w:tcPr>
          <w:p w14:paraId="34CD0408"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407</w:t>
            </w:r>
          </w:p>
        </w:tc>
        <w:tc>
          <w:tcPr>
            <w:tcW w:w="2386" w:type="dxa"/>
            <w:noWrap/>
            <w:hideMark/>
          </w:tcPr>
          <w:p w14:paraId="38206FF6"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504,163</w:t>
            </w:r>
          </w:p>
        </w:tc>
        <w:tc>
          <w:tcPr>
            <w:tcW w:w="2386" w:type="dxa"/>
            <w:noWrap/>
            <w:hideMark/>
          </w:tcPr>
          <w:p w14:paraId="4F740E07"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0.08%</w:t>
            </w:r>
          </w:p>
        </w:tc>
      </w:tr>
      <w:tr w:rsidR="00EC7E10" w:rsidRPr="0084257F" w14:paraId="4890D798" w14:textId="77777777" w:rsidTr="006C578E">
        <w:trPr>
          <w:trHeight w:val="40"/>
        </w:trPr>
        <w:tc>
          <w:tcPr>
            <w:cnfStyle w:val="001000000000" w:firstRow="0" w:lastRow="0" w:firstColumn="1" w:lastColumn="0" w:oddVBand="0" w:evenVBand="0" w:oddHBand="0" w:evenHBand="0" w:firstRowFirstColumn="0" w:firstRowLastColumn="0" w:lastRowFirstColumn="0" w:lastRowLastColumn="0"/>
            <w:tcW w:w="2386" w:type="dxa"/>
            <w:tcBorders>
              <w:top w:val="none" w:sz="0" w:space="0" w:color="auto"/>
              <w:left w:val="none" w:sz="0" w:space="0" w:color="auto"/>
              <w:bottom w:val="none" w:sz="0" w:space="0" w:color="auto"/>
            </w:tcBorders>
            <w:noWrap/>
            <w:hideMark/>
          </w:tcPr>
          <w:p w14:paraId="020BC9EA"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2386" w:type="dxa"/>
            <w:noWrap/>
            <w:hideMark/>
          </w:tcPr>
          <w:p w14:paraId="194DD0FB"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5,301</w:t>
            </w:r>
          </w:p>
        </w:tc>
        <w:tc>
          <w:tcPr>
            <w:tcW w:w="2386" w:type="dxa"/>
            <w:noWrap/>
            <w:hideMark/>
          </w:tcPr>
          <w:p w14:paraId="5956DECA"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510,348</w:t>
            </w:r>
          </w:p>
        </w:tc>
        <w:tc>
          <w:tcPr>
            <w:tcW w:w="2386" w:type="dxa"/>
            <w:noWrap/>
            <w:hideMark/>
          </w:tcPr>
          <w:p w14:paraId="74ADBF4D"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1.04%</w:t>
            </w:r>
          </w:p>
        </w:tc>
      </w:tr>
      <w:tr w:rsidR="00EC7E10" w:rsidRPr="0084257F" w14:paraId="0B6CF9C4" w14:textId="77777777" w:rsidTr="006C578E">
        <w:trPr>
          <w:cnfStyle w:val="000000100000" w:firstRow="0" w:lastRow="0" w:firstColumn="0" w:lastColumn="0" w:oddVBand="0" w:evenVBand="0" w:oddHBand="1"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2386" w:type="dxa"/>
            <w:tcBorders>
              <w:top w:val="none" w:sz="0" w:space="0" w:color="auto"/>
              <w:left w:val="none" w:sz="0" w:space="0" w:color="auto"/>
              <w:bottom w:val="none" w:sz="0" w:space="0" w:color="auto"/>
            </w:tcBorders>
            <w:noWrap/>
            <w:hideMark/>
          </w:tcPr>
          <w:p w14:paraId="77ABCE56"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2020</w:t>
            </w:r>
          </w:p>
        </w:tc>
        <w:tc>
          <w:tcPr>
            <w:tcW w:w="2386" w:type="dxa"/>
            <w:noWrap/>
            <w:hideMark/>
          </w:tcPr>
          <w:p w14:paraId="1517BD92"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38,572</w:t>
            </w:r>
          </w:p>
        </w:tc>
        <w:tc>
          <w:tcPr>
            <w:tcW w:w="2386" w:type="dxa"/>
            <w:noWrap/>
            <w:hideMark/>
          </w:tcPr>
          <w:p w14:paraId="4AD0351F"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510,290</w:t>
            </w:r>
          </w:p>
        </w:tc>
        <w:tc>
          <w:tcPr>
            <w:tcW w:w="2386" w:type="dxa"/>
            <w:noWrap/>
            <w:hideMark/>
          </w:tcPr>
          <w:p w14:paraId="3092D11C"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7.57%</w:t>
            </w:r>
          </w:p>
        </w:tc>
      </w:tr>
    </w:tbl>
    <w:p w14:paraId="6EB67877" w14:textId="77777777" w:rsidR="00EC7E10" w:rsidRPr="0084257F" w:rsidRDefault="00EC7E10" w:rsidP="00EC7E10"/>
    <w:tbl>
      <w:tblPr>
        <w:tblStyle w:val="GridTable3-Accent2"/>
        <w:tblW w:w="923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051"/>
        <w:gridCol w:w="2051"/>
        <w:gridCol w:w="3082"/>
        <w:gridCol w:w="2051"/>
      </w:tblGrid>
      <w:tr w:rsidR="00EC7E10" w:rsidRPr="0084257F" w14:paraId="68749B5C" w14:textId="77777777" w:rsidTr="006C578E">
        <w:trPr>
          <w:cnfStyle w:val="100000000000" w:firstRow="1" w:lastRow="0" w:firstColumn="0" w:lastColumn="0" w:oddVBand="0" w:evenVBand="0" w:oddHBand="0" w:evenHBand="0" w:firstRowFirstColumn="0" w:firstRowLastColumn="0" w:lastRowFirstColumn="0" w:lastRowLastColumn="0"/>
          <w:trHeight w:val="263"/>
        </w:trPr>
        <w:tc>
          <w:tcPr>
            <w:cnfStyle w:val="001000000100" w:firstRow="0" w:lastRow="0" w:firstColumn="1" w:lastColumn="0" w:oddVBand="0" w:evenVBand="0" w:oddHBand="0" w:evenHBand="0" w:firstRowFirstColumn="1" w:firstRowLastColumn="0" w:lastRowFirstColumn="0" w:lastRowLastColumn="0"/>
            <w:tcW w:w="2051" w:type="dxa"/>
            <w:tcBorders>
              <w:top w:val="none" w:sz="0" w:space="0" w:color="auto"/>
              <w:left w:val="none" w:sz="0" w:space="0" w:color="auto"/>
              <w:bottom w:val="none" w:sz="0" w:space="0" w:color="auto"/>
              <w:right w:val="none" w:sz="0" w:space="0" w:color="auto"/>
            </w:tcBorders>
            <w:noWrap/>
            <w:hideMark/>
          </w:tcPr>
          <w:p w14:paraId="69386A22"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Return on Equity (ROE) = (Net Income / Shareholders' Equity) × 100</w:t>
            </w:r>
          </w:p>
        </w:tc>
        <w:tc>
          <w:tcPr>
            <w:tcW w:w="2051" w:type="dxa"/>
            <w:tcBorders>
              <w:top w:val="none" w:sz="0" w:space="0" w:color="auto"/>
              <w:left w:val="none" w:sz="0" w:space="0" w:color="auto"/>
              <w:right w:val="none" w:sz="0" w:space="0" w:color="auto"/>
            </w:tcBorders>
            <w:noWrap/>
            <w:hideMark/>
          </w:tcPr>
          <w:p w14:paraId="344C92C3"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Net Income (£m)</w:t>
            </w:r>
          </w:p>
        </w:tc>
        <w:tc>
          <w:tcPr>
            <w:tcW w:w="3082" w:type="dxa"/>
            <w:tcBorders>
              <w:top w:val="none" w:sz="0" w:space="0" w:color="auto"/>
              <w:left w:val="none" w:sz="0" w:space="0" w:color="auto"/>
              <w:right w:val="none" w:sz="0" w:space="0" w:color="auto"/>
            </w:tcBorders>
            <w:noWrap/>
            <w:hideMark/>
          </w:tcPr>
          <w:p w14:paraId="78A718B4"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Shareholders' Equity (£m)</w:t>
            </w:r>
          </w:p>
        </w:tc>
        <w:tc>
          <w:tcPr>
            <w:tcW w:w="2051" w:type="dxa"/>
            <w:tcBorders>
              <w:top w:val="none" w:sz="0" w:space="0" w:color="auto"/>
              <w:left w:val="none" w:sz="0" w:space="0" w:color="auto"/>
              <w:right w:val="none" w:sz="0" w:space="0" w:color="auto"/>
            </w:tcBorders>
            <w:noWrap/>
            <w:hideMark/>
          </w:tcPr>
          <w:p w14:paraId="3D6BB7BD"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Return on Equity (%)</w:t>
            </w:r>
          </w:p>
        </w:tc>
      </w:tr>
      <w:tr w:rsidR="00EC7E10" w:rsidRPr="0084257F" w14:paraId="44A6AFBC" w14:textId="77777777" w:rsidTr="006C578E">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2051" w:type="dxa"/>
            <w:tcBorders>
              <w:top w:val="none" w:sz="0" w:space="0" w:color="auto"/>
              <w:left w:val="none" w:sz="0" w:space="0" w:color="auto"/>
              <w:bottom w:val="none" w:sz="0" w:space="0" w:color="auto"/>
            </w:tcBorders>
            <w:noWrap/>
            <w:hideMark/>
          </w:tcPr>
          <w:p w14:paraId="5C79001F"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2051" w:type="dxa"/>
            <w:noWrap/>
            <w:hideMark/>
          </w:tcPr>
          <w:p w14:paraId="29068E17"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-24,029</w:t>
            </w:r>
          </w:p>
        </w:tc>
        <w:tc>
          <w:tcPr>
            <w:tcW w:w="3082" w:type="dxa"/>
            <w:noWrap/>
            <w:hideMark/>
          </w:tcPr>
          <w:p w14:paraId="7B85C040"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153,105</w:t>
            </w:r>
          </w:p>
        </w:tc>
        <w:tc>
          <w:tcPr>
            <w:tcW w:w="2051" w:type="dxa"/>
            <w:noWrap/>
            <w:hideMark/>
          </w:tcPr>
          <w:p w14:paraId="552D446B"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-15.70%</w:t>
            </w:r>
          </w:p>
        </w:tc>
      </w:tr>
      <w:tr w:rsidR="00EC7E10" w:rsidRPr="0084257F" w14:paraId="5D626E3F" w14:textId="77777777" w:rsidTr="006C578E">
        <w:trPr>
          <w:trHeight w:val="263"/>
        </w:trPr>
        <w:tc>
          <w:tcPr>
            <w:cnfStyle w:val="001000000000" w:firstRow="0" w:lastRow="0" w:firstColumn="1" w:lastColumn="0" w:oddVBand="0" w:evenVBand="0" w:oddHBand="0" w:evenHBand="0" w:firstRowFirstColumn="0" w:firstRowLastColumn="0" w:lastRowFirstColumn="0" w:lastRowLastColumn="0"/>
            <w:tcW w:w="2051" w:type="dxa"/>
            <w:tcBorders>
              <w:top w:val="none" w:sz="0" w:space="0" w:color="auto"/>
              <w:left w:val="none" w:sz="0" w:space="0" w:color="auto"/>
              <w:bottom w:val="none" w:sz="0" w:space="0" w:color="auto"/>
            </w:tcBorders>
            <w:noWrap/>
            <w:hideMark/>
          </w:tcPr>
          <w:p w14:paraId="49B0AA98"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2023</w:t>
            </w:r>
          </w:p>
        </w:tc>
        <w:tc>
          <w:tcPr>
            <w:tcW w:w="2051" w:type="dxa"/>
            <w:noWrap/>
            <w:hideMark/>
          </w:tcPr>
          <w:p w14:paraId="198D6742"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-98,238</w:t>
            </w:r>
          </w:p>
        </w:tc>
        <w:tc>
          <w:tcPr>
            <w:tcW w:w="3082" w:type="dxa"/>
            <w:noWrap/>
            <w:hideMark/>
          </w:tcPr>
          <w:p w14:paraId="60BF00E1"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178,920</w:t>
            </w:r>
          </w:p>
        </w:tc>
        <w:tc>
          <w:tcPr>
            <w:tcW w:w="2051" w:type="dxa"/>
            <w:noWrap/>
            <w:hideMark/>
          </w:tcPr>
          <w:p w14:paraId="1A919088"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-54.90%</w:t>
            </w:r>
          </w:p>
        </w:tc>
      </w:tr>
      <w:tr w:rsidR="00EC7E10" w:rsidRPr="0084257F" w14:paraId="6113FD89" w14:textId="77777777" w:rsidTr="006C578E">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2051" w:type="dxa"/>
            <w:tcBorders>
              <w:top w:val="none" w:sz="0" w:space="0" w:color="auto"/>
              <w:left w:val="none" w:sz="0" w:space="0" w:color="auto"/>
              <w:bottom w:val="none" w:sz="0" w:space="0" w:color="auto"/>
            </w:tcBorders>
            <w:noWrap/>
            <w:hideMark/>
          </w:tcPr>
          <w:p w14:paraId="242C539C"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2051" w:type="dxa"/>
            <w:noWrap/>
            <w:hideMark/>
          </w:tcPr>
          <w:p w14:paraId="539050A7"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407</w:t>
            </w:r>
          </w:p>
        </w:tc>
        <w:tc>
          <w:tcPr>
            <w:tcW w:w="3082" w:type="dxa"/>
            <w:noWrap/>
            <w:hideMark/>
          </w:tcPr>
          <w:p w14:paraId="6272ED5C"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268,406</w:t>
            </w:r>
          </w:p>
        </w:tc>
        <w:tc>
          <w:tcPr>
            <w:tcW w:w="2051" w:type="dxa"/>
            <w:noWrap/>
            <w:hideMark/>
          </w:tcPr>
          <w:p w14:paraId="6E08C254"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0.15%</w:t>
            </w:r>
          </w:p>
        </w:tc>
      </w:tr>
      <w:tr w:rsidR="00EC7E10" w:rsidRPr="0084257F" w14:paraId="2EA47EAC" w14:textId="77777777" w:rsidTr="006C578E">
        <w:trPr>
          <w:trHeight w:val="263"/>
        </w:trPr>
        <w:tc>
          <w:tcPr>
            <w:cnfStyle w:val="001000000000" w:firstRow="0" w:lastRow="0" w:firstColumn="1" w:lastColumn="0" w:oddVBand="0" w:evenVBand="0" w:oddHBand="0" w:evenHBand="0" w:firstRowFirstColumn="0" w:firstRowLastColumn="0" w:lastRowFirstColumn="0" w:lastRowLastColumn="0"/>
            <w:tcW w:w="2051" w:type="dxa"/>
            <w:tcBorders>
              <w:top w:val="none" w:sz="0" w:space="0" w:color="auto"/>
              <w:left w:val="none" w:sz="0" w:space="0" w:color="auto"/>
              <w:bottom w:val="none" w:sz="0" w:space="0" w:color="auto"/>
            </w:tcBorders>
            <w:noWrap/>
            <w:hideMark/>
          </w:tcPr>
          <w:p w14:paraId="56F255B2"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2051" w:type="dxa"/>
            <w:noWrap/>
            <w:hideMark/>
          </w:tcPr>
          <w:p w14:paraId="29CE8135"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5,301</w:t>
            </w:r>
          </w:p>
        </w:tc>
        <w:tc>
          <w:tcPr>
            <w:tcW w:w="3082" w:type="dxa"/>
            <w:noWrap/>
            <w:hideMark/>
          </w:tcPr>
          <w:p w14:paraId="723F852C"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275,949</w:t>
            </w:r>
          </w:p>
        </w:tc>
        <w:tc>
          <w:tcPr>
            <w:tcW w:w="2051" w:type="dxa"/>
            <w:noWrap/>
            <w:hideMark/>
          </w:tcPr>
          <w:p w14:paraId="09E4EEA9"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1.92%</w:t>
            </w:r>
          </w:p>
        </w:tc>
      </w:tr>
      <w:tr w:rsidR="00EC7E10" w:rsidRPr="0084257F" w14:paraId="0DC6031A" w14:textId="77777777" w:rsidTr="006C578E">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2051" w:type="dxa"/>
            <w:tcBorders>
              <w:top w:val="none" w:sz="0" w:space="0" w:color="auto"/>
              <w:left w:val="none" w:sz="0" w:space="0" w:color="auto"/>
              <w:bottom w:val="none" w:sz="0" w:space="0" w:color="auto"/>
            </w:tcBorders>
            <w:noWrap/>
            <w:hideMark/>
          </w:tcPr>
          <w:p w14:paraId="779C4594"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2020</w:t>
            </w:r>
          </w:p>
        </w:tc>
        <w:tc>
          <w:tcPr>
            <w:tcW w:w="2051" w:type="dxa"/>
            <w:noWrap/>
            <w:hideMark/>
          </w:tcPr>
          <w:p w14:paraId="41262857"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38,572</w:t>
            </w:r>
          </w:p>
        </w:tc>
        <w:tc>
          <w:tcPr>
            <w:tcW w:w="3082" w:type="dxa"/>
            <w:noWrap/>
            <w:hideMark/>
          </w:tcPr>
          <w:p w14:paraId="6FE668E5"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313,301</w:t>
            </w:r>
          </w:p>
        </w:tc>
        <w:tc>
          <w:tcPr>
            <w:tcW w:w="2051" w:type="dxa"/>
            <w:noWrap/>
            <w:hideMark/>
          </w:tcPr>
          <w:p w14:paraId="75530A7B"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12.30%</w:t>
            </w:r>
          </w:p>
        </w:tc>
      </w:tr>
    </w:tbl>
    <w:p w14:paraId="0071BE03" w14:textId="77777777" w:rsidR="00EC7E10" w:rsidRPr="0084257F" w:rsidRDefault="00EC7E10" w:rsidP="00EC7E10"/>
    <w:tbl>
      <w:tblPr>
        <w:tblStyle w:val="GridTable3-Accent2"/>
        <w:tblW w:w="9293"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269"/>
        <w:gridCol w:w="2269"/>
        <w:gridCol w:w="2486"/>
        <w:gridCol w:w="2269"/>
      </w:tblGrid>
      <w:tr w:rsidR="00EC7E10" w:rsidRPr="0084257F" w14:paraId="0C88330E" w14:textId="77777777" w:rsidTr="006C578E">
        <w:trPr>
          <w:cnfStyle w:val="100000000000" w:firstRow="1" w:lastRow="0" w:firstColumn="0" w:lastColumn="0" w:oddVBand="0" w:evenVBand="0" w:oddHBand="0" w:evenHBand="0" w:firstRowFirstColumn="0" w:firstRowLastColumn="0" w:lastRowFirstColumn="0" w:lastRowLastColumn="0"/>
          <w:trHeight w:val="272"/>
        </w:trPr>
        <w:tc>
          <w:tcPr>
            <w:cnfStyle w:val="001000000100" w:firstRow="0" w:lastRow="0" w:firstColumn="1" w:lastColumn="0" w:oddVBand="0" w:evenVBand="0" w:oddHBand="0" w:evenHBand="0" w:firstRowFirstColumn="1" w:firstRowLastColumn="0" w:lastRowFirstColumn="0" w:lastRowLastColumn="0"/>
            <w:tcW w:w="2269" w:type="dxa"/>
            <w:tcBorders>
              <w:top w:val="none" w:sz="0" w:space="0" w:color="auto"/>
              <w:left w:val="none" w:sz="0" w:space="0" w:color="auto"/>
              <w:bottom w:val="none" w:sz="0" w:space="0" w:color="auto"/>
              <w:right w:val="none" w:sz="0" w:space="0" w:color="auto"/>
            </w:tcBorders>
            <w:noWrap/>
            <w:hideMark/>
          </w:tcPr>
          <w:p w14:paraId="26932A18"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Current Ratio = Current Assets / Current Liabilities</w:t>
            </w:r>
          </w:p>
        </w:tc>
        <w:tc>
          <w:tcPr>
            <w:tcW w:w="2269" w:type="dxa"/>
            <w:tcBorders>
              <w:top w:val="none" w:sz="0" w:space="0" w:color="auto"/>
              <w:left w:val="none" w:sz="0" w:space="0" w:color="auto"/>
              <w:right w:val="none" w:sz="0" w:space="0" w:color="auto"/>
            </w:tcBorders>
            <w:noWrap/>
            <w:hideMark/>
          </w:tcPr>
          <w:p w14:paraId="76C2AC9D"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Current Assets (£m)</w:t>
            </w:r>
          </w:p>
        </w:tc>
        <w:tc>
          <w:tcPr>
            <w:tcW w:w="2486" w:type="dxa"/>
            <w:tcBorders>
              <w:top w:val="none" w:sz="0" w:space="0" w:color="auto"/>
              <w:left w:val="none" w:sz="0" w:space="0" w:color="auto"/>
              <w:right w:val="none" w:sz="0" w:space="0" w:color="auto"/>
            </w:tcBorders>
            <w:noWrap/>
            <w:hideMark/>
          </w:tcPr>
          <w:p w14:paraId="2564FCD5"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Current Liabilities (£m)</w:t>
            </w:r>
          </w:p>
        </w:tc>
        <w:tc>
          <w:tcPr>
            <w:tcW w:w="2269" w:type="dxa"/>
            <w:tcBorders>
              <w:top w:val="none" w:sz="0" w:space="0" w:color="auto"/>
              <w:left w:val="none" w:sz="0" w:space="0" w:color="auto"/>
              <w:right w:val="none" w:sz="0" w:space="0" w:color="auto"/>
            </w:tcBorders>
            <w:noWrap/>
            <w:hideMark/>
          </w:tcPr>
          <w:p w14:paraId="2E4447EE"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Current Ratio</w:t>
            </w:r>
          </w:p>
        </w:tc>
      </w:tr>
      <w:tr w:rsidR="00EC7E10" w:rsidRPr="0084257F" w14:paraId="6687638F" w14:textId="77777777" w:rsidTr="006C578E">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2269" w:type="dxa"/>
            <w:tcBorders>
              <w:top w:val="none" w:sz="0" w:space="0" w:color="auto"/>
              <w:left w:val="none" w:sz="0" w:space="0" w:color="auto"/>
              <w:bottom w:val="none" w:sz="0" w:space="0" w:color="auto"/>
            </w:tcBorders>
            <w:noWrap/>
            <w:hideMark/>
          </w:tcPr>
          <w:p w14:paraId="601B5F66"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2269" w:type="dxa"/>
            <w:noWrap/>
            <w:hideMark/>
          </w:tcPr>
          <w:p w14:paraId="1527B88E"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242,494</w:t>
            </w:r>
          </w:p>
        </w:tc>
        <w:tc>
          <w:tcPr>
            <w:tcW w:w="2486" w:type="dxa"/>
            <w:noWrap/>
            <w:hideMark/>
          </w:tcPr>
          <w:p w14:paraId="2FDFD3AA"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158,291</w:t>
            </w:r>
          </w:p>
        </w:tc>
        <w:tc>
          <w:tcPr>
            <w:tcW w:w="2269" w:type="dxa"/>
            <w:noWrap/>
            <w:hideMark/>
          </w:tcPr>
          <w:p w14:paraId="38C7DD73"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1.53</w:t>
            </w:r>
          </w:p>
        </w:tc>
      </w:tr>
      <w:tr w:rsidR="00EC7E10" w:rsidRPr="0084257F" w14:paraId="38323EFF" w14:textId="77777777" w:rsidTr="006C578E">
        <w:trPr>
          <w:trHeight w:val="272"/>
        </w:trPr>
        <w:tc>
          <w:tcPr>
            <w:cnfStyle w:val="001000000000" w:firstRow="0" w:lastRow="0" w:firstColumn="1" w:lastColumn="0" w:oddVBand="0" w:evenVBand="0" w:oddHBand="0" w:evenHBand="0" w:firstRowFirstColumn="0" w:firstRowLastColumn="0" w:lastRowFirstColumn="0" w:lastRowLastColumn="0"/>
            <w:tcW w:w="2269" w:type="dxa"/>
            <w:tcBorders>
              <w:top w:val="none" w:sz="0" w:space="0" w:color="auto"/>
              <w:left w:val="none" w:sz="0" w:space="0" w:color="auto"/>
              <w:bottom w:val="none" w:sz="0" w:space="0" w:color="auto"/>
            </w:tcBorders>
            <w:noWrap/>
            <w:hideMark/>
          </w:tcPr>
          <w:p w14:paraId="73035C88"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2023</w:t>
            </w:r>
          </w:p>
        </w:tc>
        <w:tc>
          <w:tcPr>
            <w:tcW w:w="2269" w:type="dxa"/>
            <w:noWrap/>
            <w:hideMark/>
          </w:tcPr>
          <w:p w14:paraId="6301C9B6"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258,851</w:t>
            </w:r>
          </w:p>
        </w:tc>
        <w:tc>
          <w:tcPr>
            <w:tcW w:w="2486" w:type="dxa"/>
            <w:noWrap/>
            <w:hideMark/>
          </w:tcPr>
          <w:p w14:paraId="56A43224"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161,148</w:t>
            </w:r>
          </w:p>
        </w:tc>
        <w:tc>
          <w:tcPr>
            <w:tcW w:w="2269" w:type="dxa"/>
            <w:noWrap/>
            <w:hideMark/>
          </w:tcPr>
          <w:p w14:paraId="742485E9"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1.6</w:t>
            </w:r>
          </w:p>
        </w:tc>
      </w:tr>
      <w:tr w:rsidR="00EC7E10" w:rsidRPr="0084257F" w14:paraId="75B68A56" w14:textId="77777777" w:rsidTr="006C578E">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2269" w:type="dxa"/>
            <w:tcBorders>
              <w:top w:val="none" w:sz="0" w:space="0" w:color="auto"/>
              <w:left w:val="none" w:sz="0" w:space="0" w:color="auto"/>
              <w:bottom w:val="none" w:sz="0" w:space="0" w:color="auto"/>
            </w:tcBorders>
            <w:noWrap/>
            <w:hideMark/>
          </w:tcPr>
          <w:p w14:paraId="7AA78025"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2269" w:type="dxa"/>
            <w:noWrap/>
            <w:hideMark/>
          </w:tcPr>
          <w:p w14:paraId="06EBFE89"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338,040</w:t>
            </w:r>
          </w:p>
        </w:tc>
        <w:tc>
          <w:tcPr>
            <w:tcW w:w="2486" w:type="dxa"/>
            <w:noWrap/>
            <w:hideMark/>
          </w:tcPr>
          <w:p w14:paraId="2690813F"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216,473</w:t>
            </w:r>
          </w:p>
        </w:tc>
        <w:tc>
          <w:tcPr>
            <w:tcW w:w="2269" w:type="dxa"/>
            <w:noWrap/>
            <w:hideMark/>
          </w:tcPr>
          <w:p w14:paraId="10BB1F90"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1.56</w:t>
            </w:r>
          </w:p>
        </w:tc>
      </w:tr>
      <w:tr w:rsidR="00EC7E10" w:rsidRPr="0084257F" w14:paraId="40768256" w14:textId="77777777" w:rsidTr="006C578E">
        <w:trPr>
          <w:trHeight w:val="272"/>
        </w:trPr>
        <w:tc>
          <w:tcPr>
            <w:cnfStyle w:val="001000000000" w:firstRow="0" w:lastRow="0" w:firstColumn="1" w:lastColumn="0" w:oddVBand="0" w:evenVBand="0" w:oddHBand="0" w:evenHBand="0" w:firstRowFirstColumn="0" w:firstRowLastColumn="0" w:lastRowFirstColumn="0" w:lastRowLastColumn="0"/>
            <w:tcW w:w="2269" w:type="dxa"/>
            <w:tcBorders>
              <w:top w:val="none" w:sz="0" w:space="0" w:color="auto"/>
              <w:left w:val="none" w:sz="0" w:space="0" w:color="auto"/>
              <w:bottom w:val="none" w:sz="0" w:space="0" w:color="auto"/>
            </w:tcBorders>
            <w:noWrap/>
            <w:hideMark/>
          </w:tcPr>
          <w:p w14:paraId="76E5F9D4"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2269" w:type="dxa"/>
            <w:noWrap/>
            <w:hideMark/>
          </w:tcPr>
          <w:p w14:paraId="6FAE2C21"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337,146</w:t>
            </w:r>
          </w:p>
        </w:tc>
        <w:tc>
          <w:tcPr>
            <w:tcW w:w="2486" w:type="dxa"/>
            <w:noWrap/>
            <w:hideMark/>
          </w:tcPr>
          <w:p w14:paraId="07DFE068"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216,787</w:t>
            </w:r>
          </w:p>
        </w:tc>
        <w:tc>
          <w:tcPr>
            <w:tcW w:w="2269" w:type="dxa"/>
            <w:noWrap/>
            <w:hideMark/>
          </w:tcPr>
          <w:p w14:paraId="32B0B758"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1.56</w:t>
            </w:r>
          </w:p>
        </w:tc>
      </w:tr>
      <w:tr w:rsidR="00EC7E10" w:rsidRPr="0084257F" w14:paraId="13204CE2" w14:textId="77777777" w:rsidTr="006C578E">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2269" w:type="dxa"/>
            <w:tcBorders>
              <w:top w:val="none" w:sz="0" w:space="0" w:color="auto"/>
              <w:left w:val="none" w:sz="0" w:space="0" w:color="auto"/>
              <w:bottom w:val="none" w:sz="0" w:space="0" w:color="auto"/>
            </w:tcBorders>
            <w:noWrap/>
            <w:hideMark/>
          </w:tcPr>
          <w:p w14:paraId="1D72EF24"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2020</w:t>
            </w:r>
          </w:p>
        </w:tc>
        <w:tc>
          <w:tcPr>
            <w:tcW w:w="2269" w:type="dxa"/>
            <w:noWrap/>
            <w:hideMark/>
          </w:tcPr>
          <w:p w14:paraId="5D4D0002"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326,843</w:t>
            </w:r>
          </w:p>
        </w:tc>
        <w:tc>
          <w:tcPr>
            <w:tcW w:w="2486" w:type="dxa"/>
            <w:noWrap/>
            <w:hideMark/>
          </w:tcPr>
          <w:p w14:paraId="6E0634F3"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179,510</w:t>
            </w:r>
          </w:p>
        </w:tc>
        <w:tc>
          <w:tcPr>
            <w:tcW w:w="2269" w:type="dxa"/>
            <w:noWrap/>
            <w:hideMark/>
          </w:tcPr>
          <w:p w14:paraId="7F2A4183"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1.82</w:t>
            </w:r>
          </w:p>
        </w:tc>
      </w:tr>
    </w:tbl>
    <w:p w14:paraId="59322B2E" w14:textId="77777777" w:rsidR="00EC7E10" w:rsidRPr="0084257F" w:rsidRDefault="00EC7E10" w:rsidP="00EC7E10"/>
    <w:tbl>
      <w:tblPr>
        <w:tblStyle w:val="GridTable3-Accent2"/>
        <w:tblW w:w="9141"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702"/>
        <w:gridCol w:w="1702"/>
        <w:gridCol w:w="2170"/>
        <w:gridCol w:w="1865"/>
        <w:gridCol w:w="1702"/>
      </w:tblGrid>
      <w:tr w:rsidR="00EC7E10" w:rsidRPr="0084257F" w14:paraId="655A06F5" w14:textId="77777777" w:rsidTr="006C578E">
        <w:trPr>
          <w:cnfStyle w:val="100000000000" w:firstRow="1" w:lastRow="0" w:firstColumn="0" w:lastColumn="0" w:oddVBand="0" w:evenVBand="0" w:oddHBand="0" w:evenHBand="0" w:firstRowFirstColumn="0" w:firstRowLastColumn="0" w:lastRowFirstColumn="0" w:lastRowLastColumn="0"/>
          <w:trHeight w:val="277"/>
        </w:trPr>
        <w:tc>
          <w:tcPr>
            <w:cnfStyle w:val="001000000100" w:firstRow="0" w:lastRow="0" w:firstColumn="1" w:lastColumn="0" w:oddVBand="0" w:evenVBand="0" w:oddHBand="0" w:evenHBand="0" w:firstRowFirstColumn="1" w:firstRowLastColumn="0" w:lastRowFirstColumn="0" w:lastRowLastColumn="0"/>
            <w:tcW w:w="1702" w:type="dxa"/>
            <w:tcBorders>
              <w:top w:val="none" w:sz="0" w:space="0" w:color="auto"/>
              <w:left w:val="none" w:sz="0" w:space="0" w:color="auto"/>
              <w:bottom w:val="none" w:sz="0" w:space="0" w:color="auto"/>
              <w:right w:val="none" w:sz="0" w:space="0" w:color="auto"/>
            </w:tcBorders>
            <w:noWrap/>
            <w:hideMark/>
          </w:tcPr>
          <w:p w14:paraId="74AF5C93"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Quick Ratio = (Current Assets - Inventories) / Current Liabilities</w:t>
            </w:r>
          </w:p>
        </w:tc>
        <w:tc>
          <w:tcPr>
            <w:tcW w:w="1702" w:type="dxa"/>
            <w:tcBorders>
              <w:top w:val="none" w:sz="0" w:space="0" w:color="auto"/>
              <w:left w:val="none" w:sz="0" w:space="0" w:color="auto"/>
              <w:right w:val="none" w:sz="0" w:space="0" w:color="auto"/>
            </w:tcBorders>
            <w:noWrap/>
            <w:hideMark/>
          </w:tcPr>
          <w:p w14:paraId="067F5D94"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Current Assets (£m)</w:t>
            </w:r>
          </w:p>
        </w:tc>
        <w:tc>
          <w:tcPr>
            <w:tcW w:w="2170" w:type="dxa"/>
            <w:tcBorders>
              <w:top w:val="none" w:sz="0" w:space="0" w:color="auto"/>
              <w:left w:val="none" w:sz="0" w:space="0" w:color="auto"/>
              <w:right w:val="none" w:sz="0" w:space="0" w:color="auto"/>
            </w:tcBorders>
            <w:noWrap/>
            <w:hideMark/>
          </w:tcPr>
          <w:p w14:paraId="5F35B913"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Inventories (£m)</w:t>
            </w:r>
          </w:p>
        </w:tc>
        <w:tc>
          <w:tcPr>
            <w:tcW w:w="1865" w:type="dxa"/>
            <w:tcBorders>
              <w:top w:val="none" w:sz="0" w:space="0" w:color="auto"/>
              <w:left w:val="none" w:sz="0" w:space="0" w:color="auto"/>
              <w:right w:val="none" w:sz="0" w:space="0" w:color="auto"/>
            </w:tcBorders>
            <w:noWrap/>
            <w:hideMark/>
          </w:tcPr>
          <w:p w14:paraId="2B0A0497"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Current Liabilities (£m)</w:t>
            </w:r>
          </w:p>
        </w:tc>
        <w:tc>
          <w:tcPr>
            <w:tcW w:w="1702" w:type="dxa"/>
            <w:tcBorders>
              <w:top w:val="none" w:sz="0" w:space="0" w:color="auto"/>
              <w:left w:val="none" w:sz="0" w:space="0" w:color="auto"/>
              <w:right w:val="none" w:sz="0" w:space="0" w:color="auto"/>
            </w:tcBorders>
            <w:noWrap/>
            <w:hideMark/>
          </w:tcPr>
          <w:p w14:paraId="3A5EE3E8"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Quick Ratio</w:t>
            </w:r>
          </w:p>
        </w:tc>
      </w:tr>
      <w:tr w:rsidR="00EC7E10" w:rsidRPr="0084257F" w14:paraId="11916B15" w14:textId="77777777" w:rsidTr="006C578E">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702" w:type="dxa"/>
            <w:tcBorders>
              <w:top w:val="none" w:sz="0" w:space="0" w:color="auto"/>
              <w:left w:val="none" w:sz="0" w:space="0" w:color="auto"/>
              <w:bottom w:val="none" w:sz="0" w:space="0" w:color="auto"/>
            </w:tcBorders>
            <w:noWrap/>
            <w:hideMark/>
          </w:tcPr>
          <w:p w14:paraId="49C9D060"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1702" w:type="dxa"/>
            <w:noWrap/>
            <w:hideMark/>
          </w:tcPr>
          <w:p w14:paraId="5E4BD7E0"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242,494</w:t>
            </w:r>
          </w:p>
        </w:tc>
        <w:tc>
          <w:tcPr>
            <w:tcW w:w="2170" w:type="dxa"/>
            <w:noWrap/>
            <w:hideMark/>
          </w:tcPr>
          <w:p w14:paraId="1EA5A6E3"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79,355</w:t>
            </w:r>
          </w:p>
        </w:tc>
        <w:tc>
          <w:tcPr>
            <w:tcW w:w="1865" w:type="dxa"/>
            <w:noWrap/>
            <w:hideMark/>
          </w:tcPr>
          <w:p w14:paraId="54000544"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158,291</w:t>
            </w:r>
          </w:p>
        </w:tc>
        <w:tc>
          <w:tcPr>
            <w:tcW w:w="1702" w:type="dxa"/>
            <w:noWrap/>
            <w:hideMark/>
          </w:tcPr>
          <w:p w14:paraId="1FD6E164"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1.03</w:t>
            </w:r>
          </w:p>
        </w:tc>
      </w:tr>
      <w:tr w:rsidR="00EC7E10" w:rsidRPr="0084257F" w14:paraId="2B96C4D0" w14:textId="77777777" w:rsidTr="006C578E">
        <w:trPr>
          <w:trHeight w:val="277"/>
        </w:trPr>
        <w:tc>
          <w:tcPr>
            <w:cnfStyle w:val="001000000000" w:firstRow="0" w:lastRow="0" w:firstColumn="1" w:lastColumn="0" w:oddVBand="0" w:evenVBand="0" w:oddHBand="0" w:evenHBand="0" w:firstRowFirstColumn="0" w:firstRowLastColumn="0" w:lastRowFirstColumn="0" w:lastRowLastColumn="0"/>
            <w:tcW w:w="1702" w:type="dxa"/>
            <w:tcBorders>
              <w:top w:val="none" w:sz="0" w:space="0" w:color="auto"/>
              <w:left w:val="none" w:sz="0" w:space="0" w:color="auto"/>
              <w:bottom w:val="none" w:sz="0" w:space="0" w:color="auto"/>
            </w:tcBorders>
            <w:noWrap/>
            <w:hideMark/>
          </w:tcPr>
          <w:p w14:paraId="12C5CF7C"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2023</w:t>
            </w:r>
          </w:p>
        </w:tc>
        <w:tc>
          <w:tcPr>
            <w:tcW w:w="1702" w:type="dxa"/>
            <w:noWrap/>
            <w:hideMark/>
          </w:tcPr>
          <w:p w14:paraId="49B58D21"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258,851</w:t>
            </w:r>
          </w:p>
        </w:tc>
        <w:tc>
          <w:tcPr>
            <w:tcW w:w="2170" w:type="dxa"/>
            <w:noWrap/>
            <w:hideMark/>
          </w:tcPr>
          <w:p w14:paraId="54F416F6"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88,273</w:t>
            </w:r>
          </w:p>
        </w:tc>
        <w:tc>
          <w:tcPr>
            <w:tcW w:w="1865" w:type="dxa"/>
            <w:noWrap/>
            <w:hideMark/>
          </w:tcPr>
          <w:p w14:paraId="3321AB64"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161,148</w:t>
            </w:r>
          </w:p>
        </w:tc>
        <w:tc>
          <w:tcPr>
            <w:tcW w:w="1702" w:type="dxa"/>
            <w:noWrap/>
            <w:hideMark/>
          </w:tcPr>
          <w:p w14:paraId="2DB8F4DE"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1.06</w:t>
            </w:r>
          </w:p>
        </w:tc>
      </w:tr>
      <w:tr w:rsidR="00EC7E10" w:rsidRPr="0084257F" w14:paraId="7A05DB50" w14:textId="77777777" w:rsidTr="006C578E">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702" w:type="dxa"/>
            <w:tcBorders>
              <w:top w:val="none" w:sz="0" w:space="0" w:color="auto"/>
              <w:left w:val="none" w:sz="0" w:space="0" w:color="auto"/>
              <w:bottom w:val="none" w:sz="0" w:space="0" w:color="auto"/>
            </w:tcBorders>
            <w:noWrap/>
            <w:hideMark/>
          </w:tcPr>
          <w:p w14:paraId="52092312"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1702" w:type="dxa"/>
            <w:noWrap/>
            <w:hideMark/>
          </w:tcPr>
          <w:p w14:paraId="43935CA1"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338,040</w:t>
            </w:r>
          </w:p>
        </w:tc>
        <w:tc>
          <w:tcPr>
            <w:tcW w:w="2170" w:type="dxa"/>
            <w:noWrap/>
            <w:hideMark/>
          </w:tcPr>
          <w:p w14:paraId="07556655"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140,181</w:t>
            </w:r>
          </w:p>
        </w:tc>
        <w:tc>
          <w:tcPr>
            <w:tcW w:w="1865" w:type="dxa"/>
            <w:noWrap/>
            <w:hideMark/>
          </w:tcPr>
          <w:p w14:paraId="7243762F"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216,473</w:t>
            </w:r>
          </w:p>
        </w:tc>
        <w:tc>
          <w:tcPr>
            <w:tcW w:w="1702" w:type="dxa"/>
            <w:noWrap/>
            <w:hideMark/>
          </w:tcPr>
          <w:p w14:paraId="2119E8D4"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0.92</w:t>
            </w:r>
          </w:p>
        </w:tc>
      </w:tr>
      <w:tr w:rsidR="00EC7E10" w:rsidRPr="0084257F" w14:paraId="4B43EBD8" w14:textId="77777777" w:rsidTr="006C578E">
        <w:trPr>
          <w:trHeight w:val="277"/>
        </w:trPr>
        <w:tc>
          <w:tcPr>
            <w:cnfStyle w:val="001000000000" w:firstRow="0" w:lastRow="0" w:firstColumn="1" w:lastColumn="0" w:oddVBand="0" w:evenVBand="0" w:oddHBand="0" w:evenHBand="0" w:firstRowFirstColumn="0" w:firstRowLastColumn="0" w:lastRowFirstColumn="0" w:lastRowLastColumn="0"/>
            <w:tcW w:w="1702" w:type="dxa"/>
            <w:tcBorders>
              <w:top w:val="none" w:sz="0" w:space="0" w:color="auto"/>
              <w:left w:val="none" w:sz="0" w:space="0" w:color="auto"/>
              <w:bottom w:val="none" w:sz="0" w:space="0" w:color="auto"/>
            </w:tcBorders>
            <w:noWrap/>
            <w:hideMark/>
          </w:tcPr>
          <w:p w14:paraId="4DBB8525"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1702" w:type="dxa"/>
            <w:noWrap/>
            <w:hideMark/>
          </w:tcPr>
          <w:p w14:paraId="2DEFCAAA"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337,146</w:t>
            </w:r>
          </w:p>
        </w:tc>
        <w:tc>
          <w:tcPr>
            <w:tcW w:w="2170" w:type="dxa"/>
            <w:noWrap/>
            <w:hideMark/>
          </w:tcPr>
          <w:p w14:paraId="633E96A6"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134,469</w:t>
            </w:r>
          </w:p>
        </w:tc>
        <w:tc>
          <w:tcPr>
            <w:tcW w:w="1865" w:type="dxa"/>
            <w:noWrap/>
            <w:hideMark/>
          </w:tcPr>
          <w:p w14:paraId="732655AA"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216,787</w:t>
            </w:r>
          </w:p>
        </w:tc>
        <w:tc>
          <w:tcPr>
            <w:tcW w:w="1702" w:type="dxa"/>
            <w:noWrap/>
            <w:hideMark/>
          </w:tcPr>
          <w:p w14:paraId="20B14229"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0.94</w:t>
            </w:r>
          </w:p>
        </w:tc>
      </w:tr>
      <w:tr w:rsidR="00EC7E10" w:rsidRPr="0084257F" w14:paraId="1749F80B" w14:textId="77777777" w:rsidTr="006C578E">
        <w:trPr>
          <w:cnfStyle w:val="000000100000" w:firstRow="0" w:lastRow="0" w:firstColumn="0" w:lastColumn="0" w:oddVBand="0" w:evenVBand="0" w:oddHBand="1" w:evenHBand="0" w:firstRowFirstColumn="0" w:firstRowLastColumn="0" w:lastRowFirstColumn="0" w:lastRowLastColumn="0"/>
          <w:trHeight w:val="277"/>
        </w:trPr>
        <w:tc>
          <w:tcPr>
            <w:cnfStyle w:val="001000000000" w:firstRow="0" w:lastRow="0" w:firstColumn="1" w:lastColumn="0" w:oddVBand="0" w:evenVBand="0" w:oddHBand="0" w:evenHBand="0" w:firstRowFirstColumn="0" w:firstRowLastColumn="0" w:lastRowFirstColumn="0" w:lastRowLastColumn="0"/>
            <w:tcW w:w="1702" w:type="dxa"/>
            <w:tcBorders>
              <w:top w:val="none" w:sz="0" w:space="0" w:color="auto"/>
              <w:left w:val="none" w:sz="0" w:space="0" w:color="auto"/>
              <w:bottom w:val="none" w:sz="0" w:space="0" w:color="auto"/>
            </w:tcBorders>
            <w:noWrap/>
            <w:hideMark/>
          </w:tcPr>
          <w:p w14:paraId="07BBAC37"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2020</w:t>
            </w:r>
          </w:p>
        </w:tc>
        <w:tc>
          <w:tcPr>
            <w:tcW w:w="1702" w:type="dxa"/>
            <w:noWrap/>
            <w:hideMark/>
          </w:tcPr>
          <w:p w14:paraId="45CA7F4A"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326,843</w:t>
            </w:r>
          </w:p>
        </w:tc>
        <w:tc>
          <w:tcPr>
            <w:tcW w:w="2170" w:type="dxa"/>
            <w:noWrap/>
            <w:hideMark/>
          </w:tcPr>
          <w:p w14:paraId="04821466"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120,430</w:t>
            </w:r>
          </w:p>
        </w:tc>
        <w:tc>
          <w:tcPr>
            <w:tcW w:w="1865" w:type="dxa"/>
            <w:noWrap/>
            <w:hideMark/>
          </w:tcPr>
          <w:p w14:paraId="0D5550B8"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179,510</w:t>
            </w:r>
          </w:p>
        </w:tc>
        <w:tc>
          <w:tcPr>
            <w:tcW w:w="1702" w:type="dxa"/>
            <w:noWrap/>
            <w:hideMark/>
          </w:tcPr>
          <w:p w14:paraId="1D065725"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1.15</w:t>
            </w:r>
          </w:p>
        </w:tc>
      </w:tr>
    </w:tbl>
    <w:p w14:paraId="0BBD6A0F" w14:textId="77777777" w:rsidR="00EC7E10" w:rsidRPr="0084257F" w:rsidRDefault="00EC7E10" w:rsidP="00EC7E10"/>
    <w:tbl>
      <w:tblPr>
        <w:tblStyle w:val="GridTable3-Accent2"/>
        <w:tblW w:w="8986"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045"/>
        <w:gridCol w:w="2655"/>
        <w:gridCol w:w="2241"/>
        <w:gridCol w:w="2045"/>
      </w:tblGrid>
      <w:tr w:rsidR="00EC7E10" w:rsidRPr="0084257F" w14:paraId="1151D239" w14:textId="77777777" w:rsidTr="006C578E">
        <w:trPr>
          <w:cnfStyle w:val="100000000000" w:firstRow="1" w:lastRow="0" w:firstColumn="0" w:lastColumn="0" w:oddVBand="0" w:evenVBand="0" w:oddHBand="0" w:evenHBand="0" w:firstRowFirstColumn="0" w:firstRowLastColumn="0" w:lastRowFirstColumn="0" w:lastRowLastColumn="0"/>
          <w:trHeight w:val="290"/>
        </w:trPr>
        <w:tc>
          <w:tcPr>
            <w:cnfStyle w:val="001000000100" w:firstRow="0" w:lastRow="0" w:firstColumn="1" w:lastColumn="0" w:oddVBand="0" w:evenVBand="0" w:oddHBand="0" w:evenHBand="0" w:firstRowFirstColumn="1" w:firstRowLastColumn="0" w:lastRowFirstColumn="0" w:lastRowLastColumn="0"/>
            <w:tcW w:w="2045" w:type="dxa"/>
            <w:tcBorders>
              <w:top w:val="none" w:sz="0" w:space="0" w:color="auto"/>
              <w:left w:val="none" w:sz="0" w:space="0" w:color="auto"/>
              <w:bottom w:val="none" w:sz="0" w:space="0" w:color="auto"/>
              <w:right w:val="none" w:sz="0" w:space="0" w:color="auto"/>
            </w:tcBorders>
            <w:noWrap/>
            <w:hideMark/>
          </w:tcPr>
          <w:p w14:paraId="7C9A6D6E"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Cash Ratio = Cash and Cash Equivalents / Current Liabilities</w:t>
            </w:r>
          </w:p>
        </w:tc>
        <w:tc>
          <w:tcPr>
            <w:tcW w:w="2655" w:type="dxa"/>
            <w:tcBorders>
              <w:top w:val="none" w:sz="0" w:space="0" w:color="auto"/>
              <w:left w:val="none" w:sz="0" w:space="0" w:color="auto"/>
              <w:right w:val="none" w:sz="0" w:space="0" w:color="auto"/>
            </w:tcBorders>
            <w:noWrap/>
            <w:hideMark/>
          </w:tcPr>
          <w:p w14:paraId="4B6506B4"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Cash and Cash Equivalents (£m)</w:t>
            </w:r>
          </w:p>
        </w:tc>
        <w:tc>
          <w:tcPr>
            <w:tcW w:w="2241" w:type="dxa"/>
            <w:tcBorders>
              <w:top w:val="none" w:sz="0" w:space="0" w:color="auto"/>
              <w:left w:val="none" w:sz="0" w:space="0" w:color="auto"/>
              <w:right w:val="none" w:sz="0" w:space="0" w:color="auto"/>
            </w:tcBorders>
            <w:noWrap/>
            <w:hideMark/>
          </w:tcPr>
          <w:p w14:paraId="7DBEF709"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Current Liabilities (£m)</w:t>
            </w:r>
          </w:p>
        </w:tc>
        <w:tc>
          <w:tcPr>
            <w:tcW w:w="2045" w:type="dxa"/>
            <w:tcBorders>
              <w:top w:val="none" w:sz="0" w:space="0" w:color="auto"/>
              <w:left w:val="none" w:sz="0" w:space="0" w:color="auto"/>
              <w:right w:val="none" w:sz="0" w:space="0" w:color="auto"/>
            </w:tcBorders>
            <w:noWrap/>
            <w:hideMark/>
          </w:tcPr>
          <w:p w14:paraId="221817B2"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Cash Ratio</w:t>
            </w:r>
          </w:p>
        </w:tc>
      </w:tr>
      <w:tr w:rsidR="00EC7E10" w:rsidRPr="0084257F" w14:paraId="5CF52497" w14:textId="77777777" w:rsidTr="006C578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045" w:type="dxa"/>
            <w:tcBorders>
              <w:top w:val="none" w:sz="0" w:space="0" w:color="auto"/>
              <w:left w:val="none" w:sz="0" w:space="0" w:color="auto"/>
              <w:bottom w:val="none" w:sz="0" w:space="0" w:color="auto"/>
            </w:tcBorders>
            <w:noWrap/>
            <w:hideMark/>
          </w:tcPr>
          <w:p w14:paraId="0AFA7DEC"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2655" w:type="dxa"/>
            <w:noWrap/>
            <w:hideMark/>
          </w:tcPr>
          <w:p w14:paraId="46BD7677"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26,783</w:t>
            </w:r>
          </w:p>
        </w:tc>
        <w:tc>
          <w:tcPr>
            <w:tcW w:w="2241" w:type="dxa"/>
            <w:noWrap/>
            <w:hideMark/>
          </w:tcPr>
          <w:p w14:paraId="6D7681C1"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158,291</w:t>
            </w:r>
          </w:p>
        </w:tc>
        <w:tc>
          <w:tcPr>
            <w:tcW w:w="2045" w:type="dxa"/>
            <w:noWrap/>
            <w:hideMark/>
          </w:tcPr>
          <w:p w14:paraId="765CB0BC"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0.17</w:t>
            </w:r>
          </w:p>
        </w:tc>
      </w:tr>
      <w:tr w:rsidR="00EC7E10" w:rsidRPr="0084257F" w14:paraId="5DFA68C5" w14:textId="77777777" w:rsidTr="006C578E">
        <w:trPr>
          <w:trHeight w:val="290"/>
        </w:trPr>
        <w:tc>
          <w:tcPr>
            <w:cnfStyle w:val="001000000000" w:firstRow="0" w:lastRow="0" w:firstColumn="1" w:lastColumn="0" w:oddVBand="0" w:evenVBand="0" w:oddHBand="0" w:evenHBand="0" w:firstRowFirstColumn="0" w:firstRowLastColumn="0" w:lastRowFirstColumn="0" w:lastRowLastColumn="0"/>
            <w:tcW w:w="2045" w:type="dxa"/>
            <w:tcBorders>
              <w:top w:val="none" w:sz="0" w:space="0" w:color="auto"/>
              <w:left w:val="none" w:sz="0" w:space="0" w:color="auto"/>
              <w:bottom w:val="none" w:sz="0" w:space="0" w:color="auto"/>
            </w:tcBorders>
            <w:noWrap/>
            <w:hideMark/>
          </w:tcPr>
          <w:p w14:paraId="43899E48"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2023</w:t>
            </w:r>
          </w:p>
        </w:tc>
        <w:tc>
          <w:tcPr>
            <w:tcW w:w="2655" w:type="dxa"/>
            <w:noWrap/>
            <w:hideMark/>
          </w:tcPr>
          <w:p w14:paraId="1189F970"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42,751</w:t>
            </w:r>
          </w:p>
        </w:tc>
        <w:tc>
          <w:tcPr>
            <w:tcW w:w="2241" w:type="dxa"/>
            <w:noWrap/>
            <w:hideMark/>
          </w:tcPr>
          <w:p w14:paraId="753309E3"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161,148</w:t>
            </w:r>
          </w:p>
        </w:tc>
        <w:tc>
          <w:tcPr>
            <w:tcW w:w="2045" w:type="dxa"/>
            <w:noWrap/>
            <w:hideMark/>
          </w:tcPr>
          <w:p w14:paraId="420F3F41"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0.27</w:t>
            </w:r>
          </w:p>
        </w:tc>
      </w:tr>
      <w:tr w:rsidR="00EC7E10" w:rsidRPr="0084257F" w14:paraId="40BED47A" w14:textId="77777777" w:rsidTr="006C578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045" w:type="dxa"/>
            <w:tcBorders>
              <w:top w:val="none" w:sz="0" w:space="0" w:color="auto"/>
              <w:left w:val="none" w:sz="0" w:space="0" w:color="auto"/>
              <w:bottom w:val="none" w:sz="0" w:space="0" w:color="auto"/>
            </w:tcBorders>
            <w:noWrap/>
            <w:hideMark/>
          </w:tcPr>
          <w:p w14:paraId="6A922455"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2655" w:type="dxa"/>
            <w:noWrap/>
            <w:hideMark/>
          </w:tcPr>
          <w:p w14:paraId="0388B7C2"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66,740</w:t>
            </w:r>
          </w:p>
        </w:tc>
        <w:tc>
          <w:tcPr>
            <w:tcW w:w="2241" w:type="dxa"/>
            <w:noWrap/>
            <w:hideMark/>
          </w:tcPr>
          <w:p w14:paraId="2EFE5004"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216,473</w:t>
            </w:r>
          </w:p>
        </w:tc>
        <w:tc>
          <w:tcPr>
            <w:tcW w:w="2045" w:type="dxa"/>
            <w:noWrap/>
            <w:hideMark/>
          </w:tcPr>
          <w:p w14:paraId="6D506851"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0.31</w:t>
            </w:r>
          </w:p>
        </w:tc>
      </w:tr>
      <w:tr w:rsidR="00EC7E10" w:rsidRPr="0084257F" w14:paraId="11F6F55C" w14:textId="77777777" w:rsidTr="006C578E">
        <w:trPr>
          <w:trHeight w:val="290"/>
        </w:trPr>
        <w:tc>
          <w:tcPr>
            <w:cnfStyle w:val="001000000000" w:firstRow="0" w:lastRow="0" w:firstColumn="1" w:lastColumn="0" w:oddVBand="0" w:evenVBand="0" w:oddHBand="0" w:evenHBand="0" w:firstRowFirstColumn="0" w:firstRowLastColumn="0" w:lastRowFirstColumn="0" w:lastRowLastColumn="0"/>
            <w:tcW w:w="2045" w:type="dxa"/>
            <w:tcBorders>
              <w:top w:val="none" w:sz="0" w:space="0" w:color="auto"/>
              <w:left w:val="none" w:sz="0" w:space="0" w:color="auto"/>
              <w:bottom w:val="none" w:sz="0" w:space="0" w:color="auto"/>
            </w:tcBorders>
            <w:noWrap/>
            <w:hideMark/>
          </w:tcPr>
          <w:p w14:paraId="73EA1945"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2655" w:type="dxa"/>
            <w:noWrap/>
            <w:hideMark/>
          </w:tcPr>
          <w:p w14:paraId="76D85ACF"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60,813</w:t>
            </w:r>
          </w:p>
        </w:tc>
        <w:tc>
          <w:tcPr>
            <w:tcW w:w="2241" w:type="dxa"/>
            <w:noWrap/>
            <w:hideMark/>
          </w:tcPr>
          <w:p w14:paraId="6520A305"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216,787</w:t>
            </w:r>
          </w:p>
        </w:tc>
        <w:tc>
          <w:tcPr>
            <w:tcW w:w="2045" w:type="dxa"/>
            <w:noWrap/>
            <w:hideMark/>
          </w:tcPr>
          <w:p w14:paraId="301ADF58"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0.28</w:t>
            </w:r>
          </w:p>
        </w:tc>
      </w:tr>
      <w:tr w:rsidR="00EC7E10" w:rsidRPr="0084257F" w14:paraId="2B250714" w14:textId="77777777" w:rsidTr="006C578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045" w:type="dxa"/>
            <w:tcBorders>
              <w:top w:val="none" w:sz="0" w:space="0" w:color="auto"/>
              <w:left w:val="none" w:sz="0" w:space="0" w:color="auto"/>
              <w:bottom w:val="none" w:sz="0" w:space="0" w:color="auto"/>
            </w:tcBorders>
            <w:noWrap/>
            <w:hideMark/>
          </w:tcPr>
          <w:p w14:paraId="4A2F7B5A"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2020</w:t>
            </w:r>
          </w:p>
        </w:tc>
        <w:tc>
          <w:tcPr>
            <w:tcW w:w="2655" w:type="dxa"/>
            <w:noWrap/>
            <w:hideMark/>
          </w:tcPr>
          <w:p w14:paraId="1A9BF6A0"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57,153</w:t>
            </w:r>
          </w:p>
        </w:tc>
        <w:tc>
          <w:tcPr>
            <w:tcW w:w="2241" w:type="dxa"/>
            <w:noWrap/>
            <w:hideMark/>
          </w:tcPr>
          <w:p w14:paraId="6C51242D"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179,510</w:t>
            </w:r>
          </w:p>
        </w:tc>
        <w:tc>
          <w:tcPr>
            <w:tcW w:w="2045" w:type="dxa"/>
            <w:noWrap/>
            <w:hideMark/>
          </w:tcPr>
          <w:p w14:paraId="7FE5BA32"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0.32</w:t>
            </w:r>
          </w:p>
        </w:tc>
      </w:tr>
    </w:tbl>
    <w:p w14:paraId="468D47EE" w14:textId="77777777" w:rsidR="00EC7E10" w:rsidRPr="0084257F" w:rsidRDefault="00EC7E10" w:rsidP="00EC7E10"/>
    <w:tbl>
      <w:tblPr>
        <w:tblStyle w:val="GridTable3-Accent2"/>
        <w:tblW w:w="8872"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297"/>
        <w:gridCol w:w="2329"/>
        <w:gridCol w:w="3904"/>
        <w:gridCol w:w="1411"/>
      </w:tblGrid>
      <w:tr w:rsidR="00EC7E10" w:rsidRPr="0084257F" w14:paraId="12ED312F" w14:textId="77777777" w:rsidTr="006C578E">
        <w:trPr>
          <w:cnfStyle w:val="100000000000" w:firstRow="1" w:lastRow="0" w:firstColumn="0" w:lastColumn="0" w:oddVBand="0" w:evenVBand="0" w:oddHBand="0" w:evenHBand="0" w:firstRowFirstColumn="0" w:firstRowLastColumn="0" w:lastRowFirstColumn="0" w:lastRowLastColumn="0"/>
          <w:trHeight w:val="600"/>
        </w:trPr>
        <w:tc>
          <w:tcPr>
            <w:cnfStyle w:val="001000000100" w:firstRow="0" w:lastRow="0" w:firstColumn="1" w:lastColumn="0" w:oddVBand="0" w:evenVBand="0" w:oddHBand="0" w:evenHBand="0" w:firstRowFirstColumn="1" w:firstRowLastColumn="0" w:lastRowFirstColumn="0" w:lastRowLastColumn="0"/>
            <w:tcW w:w="1228" w:type="dxa"/>
            <w:tcBorders>
              <w:top w:val="none" w:sz="0" w:space="0" w:color="auto"/>
              <w:left w:val="none" w:sz="0" w:space="0" w:color="auto"/>
              <w:bottom w:val="none" w:sz="0" w:space="0" w:color="auto"/>
              <w:right w:val="none" w:sz="0" w:space="0" w:color="auto"/>
            </w:tcBorders>
            <w:noWrap/>
            <w:hideMark/>
          </w:tcPr>
          <w:p w14:paraId="350D621C"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lastRenderedPageBreak/>
              <w:t>Inventory Turnover = Cost of Sales / Average Inventory</w:t>
            </w:r>
          </w:p>
        </w:tc>
        <w:tc>
          <w:tcPr>
            <w:tcW w:w="2329" w:type="dxa"/>
            <w:tcBorders>
              <w:top w:val="none" w:sz="0" w:space="0" w:color="auto"/>
              <w:left w:val="none" w:sz="0" w:space="0" w:color="auto"/>
              <w:right w:val="none" w:sz="0" w:space="0" w:color="auto"/>
            </w:tcBorders>
            <w:noWrap/>
            <w:hideMark/>
          </w:tcPr>
          <w:p w14:paraId="5D798E2F"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Cost of Sales (£m)</w:t>
            </w:r>
          </w:p>
        </w:tc>
        <w:tc>
          <w:tcPr>
            <w:tcW w:w="3904" w:type="dxa"/>
            <w:tcBorders>
              <w:top w:val="none" w:sz="0" w:space="0" w:color="auto"/>
              <w:left w:val="none" w:sz="0" w:space="0" w:color="auto"/>
              <w:right w:val="none" w:sz="0" w:space="0" w:color="auto"/>
            </w:tcBorders>
            <w:noWrap/>
            <w:hideMark/>
          </w:tcPr>
          <w:p w14:paraId="1B507BE4"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Average Inventory (£m)</w:t>
            </w:r>
          </w:p>
        </w:tc>
        <w:tc>
          <w:tcPr>
            <w:tcW w:w="1411" w:type="dxa"/>
            <w:tcBorders>
              <w:top w:val="none" w:sz="0" w:space="0" w:color="auto"/>
              <w:left w:val="none" w:sz="0" w:space="0" w:color="auto"/>
              <w:right w:val="none" w:sz="0" w:space="0" w:color="auto"/>
            </w:tcBorders>
            <w:noWrap/>
            <w:hideMark/>
          </w:tcPr>
          <w:p w14:paraId="79AD92FF"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Inventory Turnover</w:t>
            </w:r>
          </w:p>
        </w:tc>
      </w:tr>
      <w:tr w:rsidR="00EC7E10" w:rsidRPr="0084257F" w14:paraId="3985EF57" w14:textId="77777777" w:rsidTr="006C578E">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228" w:type="dxa"/>
            <w:tcBorders>
              <w:top w:val="none" w:sz="0" w:space="0" w:color="auto"/>
              <w:left w:val="none" w:sz="0" w:space="0" w:color="auto"/>
              <w:bottom w:val="none" w:sz="0" w:space="0" w:color="auto"/>
            </w:tcBorders>
            <w:noWrap/>
            <w:hideMark/>
          </w:tcPr>
          <w:p w14:paraId="308484F5"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2329" w:type="dxa"/>
            <w:noWrap/>
            <w:hideMark/>
          </w:tcPr>
          <w:p w14:paraId="66ED7D46"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-280,885</w:t>
            </w:r>
          </w:p>
        </w:tc>
        <w:tc>
          <w:tcPr>
            <w:tcW w:w="3904" w:type="dxa"/>
            <w:noWrap/>
            <w:hideMark/>
          </w:tcPr>
          <w:p w14:paraId="3FEBD134" w14:textId="77777777" w:rsidR="00EC7E10" w:rsidRPr="0084257F" w:rsidRDefault="00EC7E10" w:rsidP="006C578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(79,355 + 88,273) / 2 = 83,314</w:t>
            </w:r>
          </w:p>
        </w:tc>
        <w:tc>
          <w:tcPr>
            <w:tcW w:w="1411" w:type="dxa"/>
            <w:noWrap/>
            <w:hideMark/>
          </w:tcPr>
          <w:p w14:paraId="54C58B82"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3.37</w:t>
            </w:r>
          </w:p>
        </w:tc>
      </w:tr>
      <w:tr w:rsidR="00EC7E10" w:rsidRPr="0084257F" w14:paraId="4BF2E6B0" w14:textId="77777777" w:rsidTr="006C578E">
        <w:trPr>
          <w:trHeight w:val="600"/>
        </w:trPr>
        <w:tc>
          <w:tcPr>
            <w:cnfStyle w:val="001000000000" w:firstRow="0" w:lastRow="0" w:firstColumn="1" w:lastColumn="0" w:oddVBand="0" w:evenVBand="0" w:oddHBand="0" w:evenHBand="0" w:firstRowFirstColumn="0" w:firstRowLastColumn="0" w:lastRowFirstColumn="0" w:lastRowLastColumn="0"/>
            <w:tcW w:w="1228" w:type="dxa"/>
            <w:tcBorders>
              <w:top w:val="none" w:sz="0" w:space="0" w:color="auto"/>
              <w:left w:val="none" w:sz="0" w:space="0" w:color="auto"/>
              <w:bottom w:val="none" w:sz="0" w:space="0" w:color="auto"/>
            </w:tcBorders>
            <w:noWrap/>
            <w:hideMark/>
          </w:tcPr>
          <w:p w14:paraId="623BB2C5"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2023</w:t>
            </w:r>
          </w:p>
        </w:tc>
        <w:tc>
          <w:tcPr>
            <w:tcW w:w="2329" w:type="dxa"/>
            <w:noWrap/>
            <w:hideMark/>
          </w:tcPr>
          <w:p w14:paraId="27462B6D"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-322,897</w:t>
            </w:r>
          </w:p>
        </w:tc>
        <w:tc>
          <w:tcPr>
            <w:tcW w:w="3904" w:type="dxa"/>
            <w:noWrap/>
            <w:hideMark/>
          </w:tcPr>
          <w:p w14:paraId="49FCB1BD" w14:textId="77777777" w:rsidR="00EC7E10" w:rsidRPr="0084257F" w:rsidRDefault="00EC7E10" w:rsidP="006C578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(88,273 + 140,181) / 2 = 114,227</w:t>
            </w:r>
          </w:p>
        </w:tc>
        <w:tc>
          <w:tcPr>
            <w:tcW w:w="1411" w:type="dxa"/>
            <w:noWrap/>
            <w:hideMark/>
          </w:tcPr>
          <w:p w14:paraId="7E3B81E3"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2.82</w:t>
            </w:r>
          </w:p>
        </w:tc>
      </w:tr>
      <w:tr w:rsidR="00EC7E10" w:rsidRPr="0084257F" w14:paraId="582FA5C8" w14:textId="77777777" w:rsidTr="006C578E">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228" w:type="dxa"/>
            <w:tcBorders>
              <w:top w:val="none" w:sz="0" w:space="0" w:color="auto"/>
              <w:left w:val="none" w:sz="0" w:space="0" w:color="auto"/>
              <w:bottom w:val="none" w:sz="0" w:space="0" w:color="auto"/>
            </w:tcBorders>
            <w:noWrap/>
            <w:hideMark/>
          </w:tcPr>
          <w:p w14:paraId="4088C647"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2329" w:type="dxa"/>
            <w:noWrap/>
            <w:hideMark/>
          </w:tcPr>
          <w:p w14:paraId="5A2B718D"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-390,459</w:t>
            </w:r>
          </w:p>
        </w:tc>
        <w:tc>
          <w:tcPr>
            <w:tcW w:w="3904" w:type="dxa"/>
            <w:noWrap/>
            <w:hideMark/>
          </w:tcPr>
          <w:p w14:paraId="4FB00D4E" w14:textId="77777777" w:rsidR="00EC7E10" w:rsidRPr="0084257F" w:rsidRDefault="00EC7E10" w:rsidP="006C578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(140,181 + 134,469) / 2 = 137,325</w:t>
            </w:r>
          </w:p>
        </w:tc>
        <w:tc>
          <w:tcPr>
            <w:tcW w:w="1411" w:type="dxa"/>
            <w:noWrap/>
            <w:hideMark/>
          </w:tcPr>
          <w:p w14:paraId="2FFB566F"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2.84</w:t>
            </w:r>
          </w:p>
        </w:tc>
      </w:tr>
      <w:tr w:rsidR="00EC7E10" w:rsidRPr="0084257F" w14:paraId="54270F56" w14:textId="77777777" w:rsidTr="006C578E">
        <w:trPr>
          <w:trHeight w:val="600"/>
        </w:trPr>
        <w:tc>
          <w:tcPr>
            <w:cnfStyle w:val="001000000000" w:firstRow="0" w:lastRow="0" w:firstColumn="1" w:lastColumn="0" w:oddVBand="0" w:evenVBand="0" w:oddHBand="0" w:evenHBand="0" w:firstRowFirstColumn="0" w:firstRowLastColumn="0" w:lastRowFirstColumn="0" w:lastRowLastColumn="0"/>
            <w:tcW w:w="1228" w:type="dxa"/>
            <w:tcBorders>
              <w:top w:val="none" w:sz="0" w:space="0" w:color="auto"/>
              <w:left w:val="none" w:sz="0" w:space="0" w:color="auto"/>
              <w:bottom w:val="none" w:sz="0" w:space="0" w:color="auto"/>
            </w:tcBorders>
            <w:noWrap/>
            <w:hideMark/>
          </w:tcPr>
          <w:p w14:paraId="36F7D21B"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2329" w:type="dxa"/>
            <w:noWrap/>
            <w:hideMark/>
          </w:tcPr>
          <w:p w14:paraId="5C443797"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-428,586</w:t>
            </w:r>
          </w:p>
        </w:tc>
        <w:tc>
          <w:tcPr>
            <w:tcW w:w="3904" w:type="dxa"/>
            <w:noWrap/>
            <w:hideMark/>
          </w:tcPr>
          <w:p w14:paraId="40157745" w14:textId="77777777" w:rsidR="00EC7E10" w:rsidRPr="0084257F" w:rsidRDefault="00EC7E10" w:rsidP="006C578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(134,469 + 120,430) / 2 = 127,450</w:t>
            </w:r>
          </w:p>
        </w:tc>
        <w:tc>
          <w:tcPr>
            <w:tcW w:w="1411" w:type="dxa"/>
            <w:noWrap/>
            <w:hideMark/>
          </w:tcPr>
          <w:p w14:paraId="128D5CA0"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3.36</w:t>
            </w:r>
          </w:p>
        </w:tc>
      </w:tr>
      <w:tr w:rsidR="00EC7E10" w:rsidRPr="0084257F" w14:paraId="3E4DF265" w14:textId="77777777" w:rsidTr="006C578E">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228" w:type="dxa"/>
            <w:tcBorders>
              <w:top w:val="none" w:sz="0" w:space="0" w:color="auto"/>
              <w:left w:val="none" w:sz="0" w:space="0" w:color="auto"/>
              <w:bottom w:val="none" w:sz="0" w:space="0" w:color="auto"/>
            </w:tcBorders>
            <w:noWrap/>
            <w:hideMark/>
          </w:tcPr>
          <w:p w14:paraId="79842C55"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2020</w:t>
            </w:r>
          </w:p>
        </w:tc>
        <w:tc>
          <w:tcPr>
            <w:tcW w:w="2329" w:type="dxa"/>
            <w:noWrap/>
            <w:hideMark/>
          </w:tcPr>
          <w:p w14:paraId="5EA5ADC4"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-438,424</w:t>
            </w:r>
          </w:p>
        </w:tc>
        <w:tc>
          <w:tcPr>
            <w:tcW w:w="3904" w:type="dxa"/>
            <w:noWrap/>
            <w:hideMark/>
          </w:tcPr>
          <w:p w14:paraId="15081FD5" w14:textId="77777777" w:rsidR="00EC7E10" w:rsidRPr="0084257F" w:rsidRDefault="00EC7E10" w:rsidP="006C578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(120,430 + 120,430) / 2 = 120,430</w:t>
            </w:r>
          </w:p>
        </w:tc>
        <w:tc>
          <w:tcPr>
            <w:tcW w:w="1411" w:type="dxa"/>
            <w:noWrap/>
            <w:hideMark/>
          </w:tcPr>
          <w:p w14:paraId="73B9E9DF"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3.64</w:t>
            </w:r>
          </w:p>
        </w:tc>
      </w:tr>
    </w:tbl>
    <w:p w14:paraId="4F58D333" w14:textId="77777777" w:rsidR="00EC7E10" w:rsidRPr="0084257F" w:rsidRDefault="00EC7E10" w:rsidP="00EC7E10"/>
    <w:tbl>
      <w:tblPr>
        <w:tblStyle w:val="GridTable3-Accent2"/>
        <w:tblW w:w="900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471"/>
        <w:gridCol w:w="1820"/>
        <w:gridCol w:w="3050"/>
        <w:gridCol w:w="3170"/>
      </w:tblGrid>
      <w:tr w:rsidR="00EC7E10" w:rsidRPr="0084257F" w14:paraId="5D55D30C" w14:textId="77777777" w:rsidTr="006C578E">
        <w:trPr>
          <w:cnfStyle w:val="100000000000" w:firstRow="1" w:lastRow="0" w:firstColumn="0" w:lastColumn="0" w:oddVBand="0" w:evenVBand="0" w:oddHBand="0" w:evenHBand="0" w:firstRowFirstColumn="0" w:firstRowLastColumn="0" w:lastRowFirstColumn="0" w:lastRowLastColumn="0"/>
          <w:trHeight w:val="290"/>
        </w:trPr>
        <w:tc>
          <w:tcPr>
            <w:cnfStyle w:val="001000000100" w:firstRow="0" w:lastRow="0" w:firstColumn="1" w:lastColumn="0" w:oddVBand="0" w:evenVBand="0" w:oddHBand="0" w:evenHBand="0" w:firstRowFirstColumn="1" w:firstRowLastColumn="0" w:lastRowFirstColumn="0" w:lastRowLastColumn="0"/>
            <w:tcW w:w="960" w:type="dxa"/>
            <w:tcBorders>
              <w:top w:val="none" w:sz="0" w:space="0" w:color="auto"/>
              <w:left w:val="none" w:sz="0" w:space="0" w:color="auto"/>
              <w:bottom w:val="none" w:sz="0" w:space="0" w:color="auto"/>
              <w:right w:val="none" w:sz="0" w:space="0" w:color="auto"/>
            </w:tcBorders>
            <w:noWrap/>
            <w:hideMark/>
          </w:tcPr>
          <w:p w14:paraId="1DAB2272"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Accounts Receivable Turnover = Net Sales / Average Accounts Receivable</w:t>
            </w:r>
          </w:p>
        </w:tc>
        <w:tc>
          <w:tcPr>
            <w:tcW w:w="1820" w:type="dxa"/>
            <w:tcBorders>
              <w:top w:val="none" w:sz="0" w:space="0" w:color="auto"/>
              <w:left w:val="none" w:sz="0" w:space="0" w:color="auto"/>
              <w:right w:val="none" w:sz="0" w:space="0" w:color="auto"/>
            </w:tcBorders>
            <w:noWrap/>
            <w:hideMark/>
          </w:tcPr>
          <w:p w14:paraId="49553DDD"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Net Sales (£m)</w:t>
            </w:r>
          </w:p>
        </w:tc>
        <w:tc>
          <w:tcPr>
            <w:tcW w:w="3050" w:type="dxa"/>
            <w:tcBorders>
              <w:top w:val="none" w:sz="0" w:space="0" w:color="auto"/>
              <w:left w:val="none" w:sz="0" w:space="0" w:color="auto"/>
              <w:right w:val="none" w:sz="0" w:space="0" w:color="auto"/>
            </w:tcBorders>
            <w:noWrap/>
            <w:hideMark/>
          </w:tcPr>
          <w:p w14:paraId="663327F1"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Average Accounts Receivable (£m)</w:t>
            </w:r>
          </w:p>
        </w:tc>
        <w:tc>
          <w:tcPr>
            <w:tcW w:w="3170" w:type="dxa"/>
            <w:tcBorders>
              <w:top w:val="none" w:sz="0" w:space="0" w:color="auto"/>
              <w:left w:val="none" w:sz="0" w:space="0" w:color="auto"/>
              <w:right w:val="none" w:sz="0" w:space="0" w:color="auto"/>
            </w:tcBorders>
            <w:noWrap/>
            <w:hideMark/>
          </w:tcPr>
          <w:p w14:paraId="53902E87"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Accounts Receivable Turnover</w:t>
            </w:r>
          </w:p>
        </w:tc>
      </w:tr>
      <w:tr w:rsidR="00EC7E10" w:rsidRPr="0084257F" w14:paraId="61ED3D08" w14:textId="77777777" w:rsidTr="006C578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60" w:type="dxa"/>
            <w:tcBorders>
              <w:top w:val="none" w:sz="0" w:space="0" w:color="auto"/>
              <w:left w:val="none" w:sz="0" w:space="0" w:color="auto"/>
              <w:bottom w:val="none" w:sz="0" w:space="0" w:color="auto"/>
            </w:tcBorders>
            <w:noWrap/>
            <w:hideMark/>
          </w:tcPr>
          <w:p w14:paraId="408E63AD"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1820" w:type="dxa"/>
            <w:noWrap/>
            <w:hideMark/>
          </w:tcPr>
          <w:p w14:paraId="3192C867"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394,879</w:t>
            </w:r>
          </w:p>
        </w:tc>
        <w:tc>
          <w:tcPr>
            <w:tcW w:w="3050" w:type="dxa"/>
            <w:noWrap/>
            <w:hideMark/>
          </w:tcPr>
          <w:p w14:paraId="671EE81D" w14:textId="77777777" w:rsidR="00EC7E10" w:rsidRPr="0084257F" w:rsidRDefault="00EC7E10" w:rsidP="006C578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(114,182 + 112,596) / 2 = 113,389</w:t>
            </w:r>
          </w:p>
        </w:tc>
        <w:tc>
          <w:tcPr>
            <w:tcW w:w="3170" w:type="dxa"/>
            <w:noWrap/>
            <w:hideMark/>
          </w:tcPr>
          <w:p w14:paraId="27BB926E"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3.48</w:t>
            </w:r>
          </w:p>
        </w:tc>
      </w:tr>
      <w:tr w:rsidR="00EC7E10" w:rsidRPr="0084257F" w14:paraId="4974ED33" w14:textId="77777777" w:rsidTr="006C578E">
        <w:trPr>
          <w:trHeight w:val="290"/>
        </w:trPr>
        <w:tc>
          <w:tcPr>
            <w:cnfStyle w:val="001000000000" w:firstRow="0" w:lastRow="0" w:firstColumn="1" w:lastColumn="0" w:oddVBand="0" w:evenVBand="0" w:oddHBand="0" w:evenHBand="0" w:firstRowFirstColumn="0" w:firstRowLastColumn="0" w:lastRowFirstColumn="0" w:lastRowLastColumn="0"/>
            <w:tcW w:w="960" w:type="dxa"/>
            <w:tcBorders>
              <w:top w:val="none" w:sz="0" w:space="0" w:color="auto"/>
              <w:left w:val="none" w:sz="0" w:space="0" w:color="auto"/>
              <w:bottom w:val="none" w:sz="0" w:space="0" w:color="auto"/>
            </w:tcBorders>
            <w:noWrap/>
            <w:hideMark/>
          </w:tcPr>
          <w:p w14:paraId="654B4926"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2023</w:t>
            </w:r>
          </w:p>
        </w:tc>
        <w:tc>
          <w:tcPr>
            <w:tcW w:w="1820" w:type="dxa"/>
            <w:noWrap/>
            <w:hideMark/>
          </w:tcPr>
          <w:p w14:paraId="14423091"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420,457</w:t>
            </w:r>
          </w:p>
        </w:tc>
        <w:tc>
          <w:tcPr>
            <w:tcW w:w="3050" w:type="dxa"/>
            <w:noWrap/>
            <w:hideMark/>
          </w:tcPr>
          <w:p w14:paraId="4A4DE485" w14:textId="77777777" w:rsidR="00EC7E10" w:rsidRPr="0084257F" w:rsidRDefault="00EC7E10" w:rsidP="006C578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(112,596 + 112,346) / 2 = 112,471</w:t>
            </w:r>
          </w:p>
        </w:tc>
        <w:tc>
          <w:tcPr>
            <w:tcW w:w="3170" w:type="dxa"/>
            <w:noWrap/>
            <w:hideMark/>
          </w:tcPr>
          <w:p w14:paraId="2944A4D9"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3.74</w:t>
            </w:r>
          </w:p>
        </w:tc>
      </w:tr>
      <w:tr w:rsidR="00EC7E10" w:rsidRPr="0084257F" w14:paraId="3895DA12" w14:textId="77777777" w:rsidTr="006C578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60" w:type="dxa"/>
            <w:tcBorders>
              <w:top w:val="none" w:sz="0" w:space="0" w:color="auto"/>
              <w:left w:val="none" w:sz="0" w:space="0" w:color="auto"/>
              <w:bottom w:val="none" w:sz="0" w:space="0" w:color="auto"/>
            </w:tcBorders>
            <w:noWrap/>
            <w:hideMark/>
          </w:tcPr>
          <w:p w14:paraId="25BCAB99"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1820" w:type="dxa"/>
            <w:noWrap/>
            <w:hideMark/>
          </w:tcPr>
          <w:p w14:paraId="520FDFE7"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542,751</w:t>
            </w:r>
          </w:p>
        </w:tc>
        <w:tc>
          <w:tcPr>
            <w:tcW w:w="3050" w:type="dxa"/>
            <w:noWrap/>
            <w:hideMark/>
          </w:tcPr>
          <w:p w14:paraId="460D7A28" w14:textId="77777777" w:rsidR="00EC7E10" w:rsidRPr="0084257F" w:rsidRDefault="00EC7E10" w:rsidP="006C578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(112,346 + 129,215) / 2 = 120,280</w:t>
            </w:r>
          </w:p>
        </w:tc>
        <w:tc>
          <w:tcPr>
            <w:tcW w:w="3170" w:type="dxa"/>
            <w:noWrap/>
            <w:hideMark/>
          </w:tcPr>
          <w:p w14:paraId="0E143730"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4.51</w:t>
            </w:r>
          </w:p>
        </w:tc>
      </w:tr>
      <w:tr w:rsidR="00EC7E10" w:rsidRPr="0084257F" w14:paraId="5C7575AD" w14:textId="77777777" w:rsidTr="006C578E">
        <w:trPr>
          <w:trHeight w:val="290"/>
        </w:trPr>
        <w:tc>
          <w:tcPr>
            <w:cnfStyle w:val="001000000000" w:firstRow="0" w:lastRow="0" w:firstColumn="1" w:lastColumn="0" w:oddVBand="0" w:evenVBand="0" w:oddHBand="0" w:evenHBand="0" w:firstRowFirstColumn="0" w:firstRowLastColumn="0" w:lastRowFirstColumn="0" w:lastRowLastColumn="0"/>
            <w:tcW w:w="960" w:type="dxa"/>
            <w:tcBorders>
              <w:top w:val="none" w:sz="0" w:space="0" w:color="auto"/>
              <w:left w:val="none" w:sz="0" w:space="0" w:color="auto"/>
              <w:bottom w:val="none" w:sz="0" w:space="0" w:color="auto"/>
            </w:tcBorders>
            <w:noWrap/>
            <w:hideMark/>
          </w:tcPr>
          <w:p w14:paraId="67DBAFC4"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1820" w:type="dxa"/>
            <w:noWrap/>
            <w:hideMark/>
          </w:tcPr>
          <w:p w14:paraId="71F2DA20"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601,602</w:t>
            </w:r>
          </w:p>
        </w:tc>
        <w:tc>
          <w:tcPr>
            <w:tcW w:w="3050" w:type="dxa"/>
            <w:noWrap/>
            <w:hideMark/>
          </w:tcPr>
          <w:p w14:paraId="0CA6FB5C" w14:textId="77777777" w:rsidR="00EC7E10" w:rsidRPr="0084257F" w:rsidRDefault="00EC7E10" w:rsidP="006C578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(129,215 + 129,433) / 2 = 129,324</w:t>
            </w:r>
          </w:p>
        </w:tc>
        <w:tc>
          <w:tcPr>
            <w:tcW w:w="3170" w:type="dxa"/>
            <w:noWrap/>
            <w:hideMark/>
          </w:tcPr>
          <w:p w14:paraId="7D05A41A"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4.65</w:t>
            </w:r>
          </w:p>
        </w:tc>
      </w:tr>
      <w:tr w:rsidR="00EC7E10" w:rsidRPr="0084257F" w14:paraId="205D5062" w14:textId="77777777" w:rsidTr="006C578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960" w:type="dxa"/>
            <w:tcBorders>
              <w:top w:val="none" w:sz="0" w:space="0" w:color="auto"/>
              <w:left w:val="none" w:sz="0" w:space="0" w:color="auto"/>
              <w:bottom w:val="none" w:sz="0" w:space="0" w:color="auto"/>
            </w:tcBorders>
            <w:noWrap/>
            <w:hideMark/>
          </w:tcPr>
          <w:p w14:paraId="21304DFC"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2020</w:t>
            </w:r>
          </w:p>
        </w:tc>
        <w:tc>
          <w:tcPr>
            <w:tcW w:w="1820" w:type="dxa"/>
            <w:noWrap/>
            <w:hideMark/>
          </w:tcPr>
          <w:p w14:paraId="552C71BF"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614,680</w:t>
            </w:r>
          </w:p>
        </w:tc>
        <w:tc>
          <w:tcPr>
            <w:tcW w:w="3050" w:type="dxa"/>
            <w:noWrap/>
            <w:hideMark/>
          </w:tcPr>
          <w:p w14:paraId="251484E1" w14:textId="77777777" w:rsidR="00EC7E10" w:rsidRPr="0084257F" w:rsidRDefault="00EC7E10" w:rsidP="006C578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(129,433 + 129,433) / 2 = 129,433</w:t>
            </w:r>
          </w:p>
        </w:tc>
        <w:tc>
          <w:tcPr>
            <w:tcW w:w="3170" w:type="dxa"/>
            <w:noWrap/>
            <w:hideMark/>
          </w:tcPr>
          <w:p w14:paraId="1F3A7313"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4.75</w:t>
            </w:r>
          </w:p>
        </w:tc>
      </w:tr>
    </w:tbl>
    <w:p w14:paraId="36E18716" w14:textId="77777777" w:rsidR="00EC7E10" w:rsidRPr="0084257F" w:rsidRDefault="00EC7E10" w:rsidP="00EC7E10"/>
    <w:tbl>
      <w:tblPr>
        <w:tblStyle w:val="GridTable3-Accent2"/>
        <w:tblW w:w="916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620"/>
        <w:gridCol w:w="1695"/>
        <w:gridCol w:w="2790"/>
        <w:gridCol w:w="3060"/>
      </w:tblGrid>
      <w:tr w:rsidR="00EC7E10" w:rsidRPr="0084257F" w14:paraId="0AD5F68B" w14:textId="77777777" w:rsidTr="006C578E">
        <w:trPr>
          <w:cnfStyle w:val="100000000000" w:firstRow="1" w:lastRow="0" w:firstColumn="0" w:lastColumn="0" w:oddVBand="0" w:evenVBand="0" w:oddHBand="0" w:evenHBand="0" w:firstRowFirstColumn="0" w:firstRowLastColumn="0" w:lastRowFirstColumn="0" w:lastRowLastColumn="0"/>
          <w:trHeight w:val="290"/>
        </w:trPr>
        <w:tc>
          <w:tcPr>
            <w:cnfStyle w:val="001000000100" w:firstRow="0" w:lastRow="0" w:firstColumn="1" w:lastColumn="0" w:oddVBand="0" w:evenVBand="0" w:oddHBand="0" w:evenHBand="0" w:firstRowFirstColumn="1" w:firstRowLastColumn="0" w:lastRowFirstColumn="0" w:lastRowLastColumn="0"/>
            <w:tcW w:w="1620" w:type="dxa"/>
            <w:tcBorders>
              <w:top w:val="none" w:sz="0" w:space="0" w:color="auto"/>
              <w:left w:val="none" w:sz="0" w:space="0" w:color="auto"/>
              <w:bottom w:val="none" w:sz="0" w:space="0" w:color="auto"/>
              <w:right w:val="none" w:sz="0" w:space="0" w:color="auto"/>
            </w:tcBorders>
            <w:noWrap/>
            <w:hideMark/>
          </w:tcPr>
          <w:p w14:paraId="05081569"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Accounts Payable Turnover = Cost of Sales / Average Accounts Payable</w:t>
            </w:r>
          </w:p>
        </w:tc>
        <w:tc>
          <w:tcPr>
            <w:tcW w:w="1695" w:type="dxa"/>
            <w:tcBorders>
              <w:top w:val="none" w:sz="0" w:space="0" w:color="auto"/>
              <w:left w:val="none" w:sz="0" w:space="0" w:color="auto"/>
              <w:right w:val="none" w:sz="0" w:space="0" w:color="auto"/>
            </w:tcBorders>
            <w:noWrap/>
            <w:hideMark/>
          </w:tcPr>
          <w:p w14:paraId="222A1C63"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Cost of Sales (£m)</w:t>
            </w:r>
          </w:p>
        </w:tc>
        <w:tc>
          <w:tcPr>
            <w:tcW w:w="2790" w:type="dxa"/>
            <w:tcBorders>
              <w:top w:val="none" w:sz="0" w:space="0" w:color="auto"/>
              <w:left w:val="none" w:sz="0" w:space="0" w:color="auto"/>
              <w:right w:val="none" w:sz="0" w:space="0" w:color="auto"/>
            </w:tcBorders>
            <w:noWrap/>
            <w:hideMark/>
          </w:tcPr>
          <w:p w14:paraId="448FC121"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Average Accounts Payable (£m)</w:t>
            </w:r>
          </w:p>
        </w:tc>
        <w:tc>
          <w:tcPr>
            <w:tcW w:w="3060" w:type="dxa"/>
            <w:tcBorders>
              <w:top w:val="none" w:sz="0" w:space="0" w:color="auto"/>
              <w:left w:val="none" w:sz="0" w:space="0" w:color="auto"/>
              <w:right w:val="none" w:sz="0" w:space="0" w:color="auto"/>
            </w:tcBorders>
            <w:noWrap/>
            <w:hideMark/>
          </w:tcPr>
          <w:p w14:paraId="59F0ED8C"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Accounts Payable Turnover</w:t>
            </w:r>
          </w:p>
        </w:tc>
      </w:tr>
      <w:tr w:rsidR="00EC7E10" w:rsidRPr="0084257F" w14:paraId="61CB0E6C" w14:textId="77777777" w:rsidTr="006C578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620" w:type="dxa"/>
            <w:tcBorders>
              <w:top w:val="none" w:sz="0" w:space="0" w:color="auto"/>
              <w:left w:val="none" w:sz="0" w:space="0" w:color="auto"/>
              <w:bottom w:val="none" w:sz="0" w:space="0" w:color="auto"/>
            </w:tcBorders>
            <w:noWrap/>
            <w:hideMark/>
          </w:tcPr>
          <w:p w14:paraId="4D5FEE70"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1695" w:type="dxa"/>
            <w:noWrap/>
            <w:hideMark/>
          </w:tcPr>
          <w:p w14:paraId="744B2483"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-280,885</w:t>
            </w:r>
          </w:p>
        </w:tc>
        <w:tc>
          <w:tcPr>
            <w:tcW w:w="2790" w:type="dxa"/>
            <w:noWrap/>
            <w:hideMark/>
          </w:tcPr>
          <w:p w14:paraId="01C4B007" w14:textId="77777777" w:rsidR="00EC7E10" w:rsidRPr="0084257F" w:rsidRDefault="00EC7E10" w:rsidP="006C578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(72,031 + 57,033) / 2 = 64,532</w:t>
            </w:r>
          </w:p>
        </w:tc>
        <w:tc>
          <w:tcPr>
            <w:tcW w:w="3060" w:type="dxa"/>
            <w:noWrap/>
            <w:hideMark/>
          </w:tcPr>
          <w:p w14:paraId="71A1A886"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4.36</w:t>
            </w:r>
          </w:p>
        </w:tc>
      </w:tr>
      <w:tr w:rsidR="00EC7E10" w:rsidRPr="0084257F" w14:paraId="77A256F0" w14:textId="77777777" w:rsidTr="006C578E">
        <w:trPr>
          <w:trHeight w:val="290"/>
        </w:trPr>
        <w:tc>
          <w:tcPr>
            <w:cnfStyle w:val="001000000000" w:firstRow="0" w:lastRow="0" w:firstColumn="1" w:lastColumn="0" w:oddVBand="0" w:evenVBand="0" w:oddHBand="0" w:evenHBand="0" w:firstRowFirstColumn="0" w:firstRowLastColumn="0" w:lastRowFirstColumn="0" w:lastRowLastColumn="0"/>
            <w:tcW w:w="1620" w:type="dxa"/>
            <w:tcBorders>
              <w:top w:val="none" w:sz="0" w:space="0" w:color="auto"/>
              <w:left w:val="none" w:sz="0" w:space="0" w:color="auto"/>
              <w:bottom w:val="none" w:sz="0" w:space="0" w:color="auto"/>
            </w:tcBorders>
            <w:noWrap/>
            <w:hideMark/>
          </w:tcPr>
          <w:p w14:paraId="45F52BD0"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lastRenderedPageBreak/>
              <w:t>2023</w:t>
            </w:r>
          </w:p>
        </w:tc>
        <w:tc>
          <w:tcPr>
            <w:tcW w:w="1695" w:type="dxa"/>
            <w:noWrap/>
            <w:hideMark/>
          </w:tcPr>
          <w:p w14:paraId="699E9796"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-322,897</w:t>
            </w:r>
          </w:p>
        </w:tc>
        <w:tc>
          <w:tcPr>
            <w:tcW w:w="2790" w:type="dxa"/>
            <w:noWrap/>
            <w:hideMark/>
          </w:tcPr>
          <w:p w14:paraId="042A4B35" w14:textId="77777777" w:rsidR="00EC7E10" w:rsidRPr="0084257F" w:rsidRDefault="00EC7E10" w:rsidP="006C578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(57,033 + 71,373) / 2 = 64,203</w:t>
            </w:r>
          </w:p>
        </w:tc>
        <w:tc>
          <w:tcPr>
            <w:tcW w:w="3060" w:type="dxa"/>
            <w:noWrap/>
            <w:hideMark/>
          </w:tcPr>
          <w:p w14:paraId="6593F171"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5.03</w:t>
            </w:r>
          </w:p>
        </w:tc>
      </w:tr>
      <w:tr w:rsidR="00EC7E10" w:rsidRPr="0084257F" w14:paraId="104891C7" w14:textId="77777777" w:rsidTr="006C578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620" w:type="dxa"/>
            <w:tcBorders>
              <w:top w:val="none" w:sz="0" w:space="0" w:color="auto"/>
              <w:left w:val="none" w:sz="0" w:space="0" w:color="auto"/>
              <w:bottom w:val="none" w:sz="0" w:space="0" w:color="auto"/>
            </w:tcBorders>
            <w:noWrap/>
            <w:hideMark/>
          </w:tcPr>
          <w:p w14:paraId="29EE1BB1"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1695" w:type="dxa"/>
            <w:noWrap/>
            <w:hideMark/>
          </w:tcPr>
          <w:p w14:paraId="2EA91B5C"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-390,459</w:t>
            </w:r>
          </w:p>
        </w:tc>
        <w:tc>
          <w:tcPr>
            <w:tcW w:w="2790" w:type="dxa"/>
            <w:noWrap/>
            <w:hideMark/>
          </w:tcPr>
          <w:p w14:paraId="288B6BE5" w14:textId="77777777" w:rsidR="00EC7E10" w:rsidRPr="0084257F" w:rsidRDefault="00EC7E10" w:rsidP="006C578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(71,373 + 92,707) / 2 = 82,040</w:t>
            </w:r>
          </w:p>
        </w:tc>
        <w:tc>
          <w:tcPr>
            <w:tcW w:w="3060" w:type="dxa"/>
            <w:noWrap/>
            <w:hideMark/>
          </w:tcPr>
          <w:p w14:paraId="07B6F102"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4.76</w:t>
            </w:r>
          </w:p>
        </w:tc>
      </w:tr>
      <w:tr w:rsidR="00EC7E10" w:rsidRPr="0084257F" w14:paraId="25EECF71" w14:textId="77777777" w:rsidTr="006C578E">
        <w:trPr>
          <w:trHeight w:val="290"/>
        </w:trPr>
        <w:tc>
          <w:tcPr>
            <w:cnfStyle w:val="001000000000" w:firstRow="0" w:lastRow="0" w:firstColumn="1" w:lastColumn="0" w:oddVBand="0" w:evenVBand="0" w:oddHBand="0" w:evenHBand="0" w:firstRowFirstColumn="0" w:firstRowLastColumn="0" w:lastRowFirstColumn="0" w:lastRowLastColumn="0"/>
            <w:tcW w:w="1620" w:type="dxa"/>
            <w:tcBorders>
              <w:top w:val="none" w:sz="0" w:space="0" w:color="auto"/>
              <w:left w:val="none" w:sz="0" w:space="0" w:color="auto"/>
              <w:bottom w:val="none" w:sz="0" w:space="0" w:color="auto"/>
            </w:tcBorders>
            <w:noWrap/>
            <w:hideMark/>
          </w:tcPr>
          <w:p w14:paraId="4B0D2DAC"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1695" w:type="dxa"/>
            <w:noWrap/>
            <w:hideMark/>
          </w:tcPr>
          <w:p w14:paraId="539E0A08"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-428,586</w:t>
            </w:r>
          </w:p>
        </w:tc>
        <w:tc>
          <w:tcPr>
            <w:tcW w:w="2790" w:type="dxa"/>
            <w:noWrap/>
            <w:hideMark/>
          </w:tcPr>
          <w:p w14:paraId="70F3B9FB" w14:textId="77777777" w:rsidR="00EC7E10" w:rsidRPr="0084257F" w:rsidRDefault="00EC7E10" w:rsidP="006C578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(92,707 + 83,229) / 2 = 87,968</w:t>
            </w:r>
          </w:p>
        </w:tc>
        <w:tc>
          <w:tcPr>
            <w:tcW w:w="3060" w:type="dxa"/>
            <w:noWrap/>
            <w:hideMark/>
          </w:tcPr>
          <w:p w14:paraId="5132D3A9"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4.87</w:t>
            </w:r>
          </w:p>
        </w:tc>
      </w:tr>
      <w:tr w:rsidR="00EC7E10" w:rsidRPr="0084257F" w14:paraId="4289C68A" w14:textId="77777777" w:rsidTr="006C578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620" w:type="dxa"/>
            <w:tcBorders>
              <w:top w:val="none" w:sz="0" w:space="0" w:color="auto"/>
              <w:left w:val="none" w:sz="0" w:space="0" w:color="auto"/>
              <w:bottom w:val="none" w:sz="0" w:space="0" w:color="auto"/>
            </w:tcBorders>
            <w:noWrap/>
            <w:hideMark/>
          </w:tcPr>
          <w:p w14:paraId="5598DBBF"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2020</w:t>
            </w:r>
          </w:p>
        </w:tc>
        <w:tc>
          <w:tcPr>
            <w:tcW w:w="1695" w:type="dxa"/>
            <w:noWrap/>
            <w:hideMark/>
          </w:tcPr>
          <w:p w14:paraId="643302FB"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-438,424</w:t>
            </w:r>
          </w:p>
        </w:tc>
        <w:tc>
          <w:tcPr>
            <w:tcW w:w="2790" w:type="dxa"/>
            <w:noWrap/>
            <w:hideMark/>
          </w:tcPr>
          <w:p w14:paraId="140633CC" w14:textId="77777777" w:rsidR="00EC7E10" w:rsidRPr="0084257F" w:rsidRDefault="00EC7E10" w:rsidP="006C578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(83,229 + 83,229) / 2 = 83,229</w:t>
            </w:r>
          </w:p>
        </w:tc>
        <w:tc>
          <w:tcPr>
            <w:tcW w:w="3060" w:type="dxa"/>
            <w:noWrap/>
            <w:hideMark/>
          </w:tcPr>
          <w:p w14:paraId="4CFDE011"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5.26</w:t>
            </w:r>
          </w:p>
        </w:tc>
      </w:tr>
    </w:tbl>
    <w:p w14:paraId="3A927838" w14:textId="77777777" w:rsidR="00EC7E10" w:rsidRPr="0084257F" w:rsidRDefault="00EC7E10" w:rsidP="00EC7E10"/>
    <w:tbl>
      <w:tblPr>
        <w:tblStyle w:val="GridTable3-Accent2"/>
        <w:tblW w:w="900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070"/>
        <w:gridCol w:w="2070"/>
        <w:gridCol w:w="2070"/>
        <w:gridCol w:w="2790"/>
      </w:tblGrid>
      <w:tr w:rsidR="00EC7E10" w:rsidRPr="0084257F" w14:paraId="09CFDFB9" w14:textId="77777777" w:rsidTr="006C578E">
        <w:trPr>
          <w:cnfStyle w:val="100000000000" w:firstRow="1" w:lastRow="0" w:firstColumn="0" w:lastColumn="0" w:oddVBand="0" w:evenVBand="0" w:oddHBand="0" w:evenHBand="0" w:firstRowFirstColumn="0" w:firstRowLastColumn="0" w:lastRowFirstColumn="0" w:lastRowLastColumn="0"/>
          <w:trHeight w:val="290"/>
        </w:trPr>
        <w:tc>
          <w:tcPr>
            <w:cnfStyle w:val="001000000100" w:firstRow="0" w:lastRow="0" w:firstColumn="1" w:lastColumn="0" w:oddVBand="0" w:evenVBand="0" w:oddHBand="0" w:evenHBand="0" w:firstRowFirstColumn="1" w:firstRowLastColumn="0" w:lastRowFirstColumn="0" w:lastRowLastColumn="0"/>
            <w:tcW w:w="2070" w:type="dxa"/>
            <w:tcBorders>
              <w:top w:val="none" w:sz="0" w:space="0" w:color="auto"/>
              <w:left w:val="none" w:sz="0" w:space="0" w:color="auto"/>
              <w:bottom w:val="none" w:sz="0" w:space="0" w:color="auto"/>
              <w:right w:val="none" w:sz="0" w:space="0" w:color="auto"/>
            </w:tcBorders>
            <w:noWrap/>
            <w:hideMark/>
          </w:tcPr>
          <w:p w14:paraId="201ADF40"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Asset Turnover = Net Sales / Total Assets</w:t>
            </w:r>
          </w:p>
        </w:tc>
        <w:tc>
          <w:tcPr>
            <w:tcW w:w="2070" w:type="dxa"/>
            <w:tcBorders>
              <w:top w:val="none" w:sz="0" w:space="0" w:color="auto"/>
              <w:left w:val="none" w:sz="0" w:space="0" w:color="auto"/>
              <w:right w:val="none" w:sz="0" w:space="0" w:color="auto"/>
            </w:tcBorders>
            <w:noWrap/>
            <w:hideMark/>
          </w:tcPr>
          <w:p w14:paraId="41F36B19"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Net Sales (£m)</w:t>
            </w:r>
          </w:p>
        </w:tc>
        <w:tc>
          <w:tcPr>
            <w:tcW w:w="2070" w:type="dxa"/>
            <w:tcBorders>
              <w:top w:val="none" w:sz="0" w:space="0" w:color="auto"/>
              <w:left w:val="none" w:sz="0" w:space="0" w:color="auto"/>
              <w:right w:val="none" w:sz="0" w:space="0" w:color="auto"/>
            </w:tcBorders>
            <w:noWrap/>
            <w:hideMark/>
          </w:tcPr>
          <w:p w14:paraId="3260778C"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Total Assets (£m)</w:t>
            </w:r>
          </w:p>
        </w:tc>
        <w:tc>
          <w:tcPr>
            <w:tcW w:w="2790" w:type="dxa"/>
            <w:tcBorders>
              <w:top w:val="none" w:sz="0" w:space="0" w:color="auto"/>
              <w:left w:val="none" w:sz="0" w:space="0" w:color="auto"/>
              <w:right w:val="none" w:sz="0" w:space="0" w:color="auto"/>
            </w:tcBorders>
            <w:noWrap/>
            <w:hideMark/>
          </w:tcPr>
          <w:p w14:paraId="39D70B0E"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Asset Turnover</w:t>
            </w:r>
          </w:p>
        </w:tc>
      </w:tr>
      <w:tr w:rsidR="00EC7E10" w:rsidRPr="0084257F" w14:paraId="0B8D7727" w14:textId="77777777" w:rsidTr="006C578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070" w:type="dxa"/>
            <w:tcBorders>
              <w:top w:val="none" w:sz="0" w:space="0" w:color="auto"/>
              <w:left w:val="none" w:sz="0" w:space="0" w:color="auto"/>
              <w:bottom w:val="none" w:sz="0" w:space="0" w:color="auto"/>
            </w:tcBorders>
            <w:noWrap/>
            <w:hideMark/>
          </w:tcPr>
          <w:p w14:paraId="06C66233"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2070" w:type="dxa"/>
            <w:noWrap/>
            <w:hideMark/>
          </w:tcPr>
          <w:p w14:paraId="03B1F587"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394,879</w:t>
            </w:r>
          </w:p>
        </w:tc>
        <w:tc>
          <w:tcPr>
            <w:tcW w:w="2070" w:type="dxa"/>
            <w:noWrap/>
            <w:hideMark/>
          </w:tcPr>
          <w:p w14:paraId="5D24FBF5"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323,354</w:t>
            </w:r>
          </w:p>
        </w:tc>
        <w:tc>
          <w:tcPr>
            <w:tcW w:w="2790" w:type="dxa"/>
            <w:noWrap/>
            <w:hideMark/>
          </w:tcPr>
          <w:p w14:paraId="6EE2BD85"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1.22</w:t>
            </w:r>
          </w:p>
        </w:tc>
      </w:tr>
      <w:tr w:rsidR="00EC7E10" w:rsidRPr="0084257F" w14:paraId="262FB6CB" w14:textId="77777777" w:rsidTr="006C578E">
        <w:trPr>
          <w:trHeight w:val="290"/>
        </w:trPr>
        <w:tc>
          <w:tcPr>
            <w:cnfStyle w:val="001000000000" w:firstRow="0" w:lastRow="0" w:firstColumn="1" w:lastColumn="0" w:oddVBand="0" w:evenVBand="0" w:oddHBand="0" w:evenHBand="0" w:firstRowFirstColumn="0" w:firstRowLastColumn="0" w:lastRowFirstColumn="0" w:lastRowLastColumn="0"/>
            <w:tcW w:w="2070" w:type="dxa"/>
            <w:tcBorders>
              <w:top w:val="none" w:sz="0" w:space="0" w:color="auto"/>
              <w:left w:val="none" w:sz="0" w:space="0" w:color="auto"/>
              <w:bottom w:val="none" w:sz="0" w:space="0" w:color="auto"/>
            </w:tcBorders>
            <w:noWrap/>
            <w:hideMark/>
          </w:tcPr>
          <w:p w14:paraId="4D20D2EE"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2023</w:t>
            </w:r>
          </w:p>
        </w:tc>
        <w:tc>
          <w:tcPr>
            <w:tcW w:w="2070" w:type="dxa"/>
            <w:noWrap/>
            <w:hideMark/>
          </w:tcPr>
          <w:p w14:paraId="7F48E466"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420,457</w:t>
            </w:r>
          </w:p>
        </w:tc>
        <w:tc>
          <w:tcPr>
            <w:tcW w:w="2070" w:type="dxa"/>
            <w:noWrap/>
            <w:hideMark/>
          </w:tcPr>
          <w:p w14:paraId="2A6F2B7F"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355,872</w:t>
            </w:r>
          </w:p>
        </w:tc>
        <w:tc>
          <w:tcPr>
            <w:tcW w:w="2790" w:type="dxa"/>
            <w:noWrap/>
            <w:hideMark/>
          </w:tcPr>
          <w:p w14:paraId="05E46628"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1.18</w:t>
            </w:r>
          </w:p>
        </w:tc>
      </w:tr>
      <w:tr w:rsidR="00EC7E10" w:rsidRPr="0084257F" w14:paraId="02CC095E" w14:textId="77777777" w:rsidTr="006C578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070" w:type="dxa"/>
            <w:tcBorders>
              <w:top w:val="none" w:sz="0" w:space="0" w:color="auto"/>
              <w:left w:val="none" w:sz="0" w:space="0" w:color="auto"/>
              <w:bottom w:val="none" w:sz="0" w:space="0" w:color="auto"/>
            </w:tcBorders>
            <w:noWrap/>
            <w:hideMark/>
          </w:tcPr>
          <w:p w14:paraId="0F844E4F"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2070" w:type="dxa"/>
            <w:noWrap/>
            <w:hideMark/>
          </w:tcPr>
          <w:p w14:paraId="61BCE7E4"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542,751</w:t>
            </w:r>
          </w:p>
        </w:tc>
        <w:tc>
          <w:tcPr>
            <w:tcW w:w="2070" w:type="dxa"/>
            <w:noWrap/>
            <w:hideMark/>
          </w:tcPr>
          <w:p w14:paraId="271902B3"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504,163</w:t>
            </w:r>
          </w:p>
        </w:tc>
        <w:tc>
          <w:tcPr>
            <w:tcW w:w="2790" w:type="dxa"/>
            <w:noWrap/>
            <w:hideMark/>
          </w:tcPr>
          <w:p w14:paraId="058963F3"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1.08</w:t>
            </w:r>
          </w:p>
        </w:tc>
      </w:tr>
      <w:tr w:rsidR="00EC7E10" w:rsidRPr="0084257F" w14:paraId="31730A35" w14:textId="77777777" w:rsidTr="006C578E">
        <w:trPr>
          <w:trHeight w:val="290"/>
        </w:trPr>
        <w:tc>
          <w:tcPr>
            <w:cnfStyle w:val="001000000000" w:firstRow="0" w:lastRow="0" w:firstColumn="1" w:lastColumn="0" w:oddVBand="0" w:evenVBand="0" w:oddHBand="0" w:evenHBand="0" w:firstRowFirstColumn="0" w:firstRowLastColumn="0" w:lastRowFirstColumn="0" w:lastRowLastColumn="0"/>
            <w:tcW w:w="2070" w:type="dxa"/>
            <w:tcBorders>
              <w:top w:val="none" w:sz="0" w:space="0" w:color="auto"/>
              <w:left w:val="none" w:sz="0" w:space="0" w:color="auto"/>
              <w:bottom w:val="none" w:sz="0" w:space="0" w:color="auto"/>
            </w:tcBorders>
            <w:noWrap/>
            <w:hideMark/>
          </w:tcPr>
          <w:p w14:paraId="68901571"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2070" w:type="dxa"/>
            <w:noWrap/>
            <w:hideMark/>
          </w:tcPr>
          <w:p w14:paraId="7A937607"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601,602</w:t>
            </w:r>
          </w:p>
        </w:tc>
        <w:tc>
          <w:tcPr>
            <w:tcW w:w="2070" w:type="dxa"/>
            <w:noWrap/>
            <w:hideMark/>
          </w:tcPr>
          <w:p w14:paraId="0623E38E"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510,348</w:t>
            </w:r>
          </w:p>
        </w:tc>
        <w:tc>
          <w:tcPr>
            <w:tcW w:w="2790" w:type="dxa"/>
            <w:noWrap/>
            <w:hideMark/>
          </w:tcPr>
          <w:p w14:paraId="29DD7F8D"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1.18</w:t>
            </w:r>
          </w:p>
        </w:tc>
      </w:tr>
      <w:tr w:rsidR="00EC7E10" w:rsidRPr="0084257F" w14:paraId="3C07479C" w14:textId="77777777" w:rsidTr="006C578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070" w:type="dxa"/>
            <w:tcBorders>
              <w:top w:val="none" w:sz="0" w:space="0" w:color="auto"/>
              <w:left w:val="none" w:sz="0" w:space="0" w:color="auto"/>
              <w:bottom w:val="none" w:sz="0" w:space="0" w:color="auto"/>
            </w:tcBorders>
            <w:noWrap/>
            <w:hideMark/>
          </w:tcPr>
          <w:p w14:paraId="255B5FC2"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2020</w:t>
            </w:r>
          </w:p>
        </w:tc>
        <w:tc>
          <w:tcPr>
            <w:tcW w:w="2070" w:type="dxa"/>
            <w:noWrap/>
            <w:hideMark/>
          </w:tcPr>
          <w:p w14:paraId="3D755A69"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614,680</w:t>
            </w:r>
          </w:p>
        </w:tc>
        <w:tc>
          <w:tcPr>
            <w:tcW w:w="2070" w:type="dxa"/>
            <w:noWrap/>
            <w:hideMark/>
          </w:tcPr>
          <w:p w14:paraId="5A1A4C2E"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510,290</w:t>
            </w:r>
          </w:p>
        </w:tc>
        <w:tc>
          <w:tcPr>
            <w:tcW w:w="2790" w:type="dxa"/>
            <w:noWrap/>
            <w:hideMark/>
          </w:tcPr>
          <w:p w14:paraId="3DE958FA"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1.2</w:t>
            </w:r>
          </w:p>
        </w:tc>
      </w:tr>
    </w:tbl>
    <w:p w14:paraId="7E530EE0" w14:textId="77777777" w:rsidR="00EC7E10" w:rsidRPr="0084257F" w:rsidRDefault="00EC7E10" w:rsidP="00EC7E10"/>
    <w:p w14:paraId="536E9418" w14:textId="77777777" w:rsidR="00EC7E10" w:rsidRPr="0084257F" w:rsidRDefault="00EC7E10" w:rsidP="00EC7E10">
      <w:r w:rsidRPr="0084257F">
        <w:t>Gearing (Leverage) Ratios</w:t>
      </w:r>
    </w:p>
    <w:tbl>
      <w:tblPr>
        <w:tblStyle w:val="GridTable3-Accent2"/>
        <w:tblW w:w="8903"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623"/>
        <w:gridCol w:w="1912"/>
        <w:gridCol w:w="2623"/>
        <w:gridCol w:w="1745"/>
      </w:tblGrid>
      <w:tr w:rsidR="00EC7E10" w:rsidRPr="0084257F" w14:paraId="573D8C96" w14:textId="77777777" w:rsidTr="006C578E">
        <w:trPr>
          <w:cnfStyle w:val="100000000000" w:firstRow="1" w:lastRow="0" w:firstColumn="0" w:lastColumn="0" w:oddVBand="0" w:evenVBand="0" w:oddHBand="0" w:evenHBand="0" w:firstRowFirstColumn="0" w:firstRowLastColumn="0" w:lastRowFirstColumn="0" w:lastRowLastColumn="0"/>
          <w:trHeight w:val="258"/>
        </w:trPr>
        <w:tc>
          <w:tcPr>
            <w:cnfStyle w:val="001000000100" w:firstRow="0" w:lastRow="0" w:firstColumn="1" w:lastColumn="0" w:oddVBand="0" w:evenVBand="0" w:oddHBand="0" w:evenHBand="0" w:firstRowFirstColumn="1" w:firstRowLastColumn="0" w:lastRowFirstColumn="0" w:lastRowLastColumn="0"/>
            <w:tcW w:w="2623" w:type="dxa"/>
            <w:tcBorders>
              <w:top w:val="none" w:sz="0" w:space="0" w:color="auto"/>
              <w:left w:val="none" w:sz="0" w:space="0" w:color="auto"/>
              <w:bottom w:val="none" w:sz="0" w:space="0" w:color="auto"/>
              <w:right w:val="none" w:sz="0" w:space="0" w:color="auto"/>
            </w:tcBorders>
            <w:noWrap/>
            <w:hideMark/>
          </w:tcPr>
          <w:p w14:paraId="54344C23"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Debt-to-Equity Ratio = Total Liabilities / Shareholders' Equity</w:t>
            </w:r>
          </w:p>
        </w:tc>
        <w:tc>
          <w:tcPr>
            <w:tcW w:w="1912" w:type="dxa"/>
            <w:tcBorders>
              <w:top w:val="none" w:sz="0" w:space="0" w:color="auto"/>
              <w:left w:val="none" w:sz="0" w:space="0" w:color="auto"/>
              <w:right w:val="none" w:sz="0" w:space="0" w:color="auto"/>
            </w:tcBorders>
            <w:noWrap/>
            <w:hideMark/>
          </w:tcPr>
          <w:p w14:paraId="7559B85F"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Total Liabilities (£m)</w:t>
            </w:r>
          </w:p>
        </w:tc>
        <w:tc>
          <w:tcPr>
            <w:tcW w:w="2623" w:type="dxa"/>
            <w:tcBorders>
              <w:top w:val="none" w:sz="0" w:space="0" w:color="auto"/>
              <w:left w:val="none" w:sz="0" w:space="0" w:color="auto"/>
              <w:right w:val="none" w:sz="0" w:space="0" w:color="auto"/>
            </w:tcBorders>
            <w:noWrap/>
            <w:hideMark/>
          </w:tcPr>
          <w:p w14:paraId="0E0316AA"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Shareholders' Equity (£m)</w:t>
            </w:r>
          </w:p>
        </w:tc>
        <w:tc>
          <w:tcPr>
            <w:tcW w:w="1745" w:type="dxa"/>
            <w:tcBorders>
              <w:top w:val="none" w:sz="0" w:space="0" w:color="auto"/>
              <w:left w:val="none" w:sz="0" w:space="0" w:color="auto"/>
              <w:right w:val="none" w:sz="0" w:space="0" w:color="auto"/>
            </w:tcBorders>
            <w:noWrap/>
            <w:hideMark/>
          </w:tcPr>
          <w:p w14:paraId="27893EDE"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Debt-to-Equity Ratio</w:t>
            </w:r>
          </w:p>
        </w:tc>
      </w:tr>
      <w:tr w:rsidR="00EC7E10" w:rsidRPr="0084257F" w14:paraId="154E7D5B" w14:textId="77777777" w:rsidTr="006C578E">
        <w:trPr>
          <w:cnfStyle w:val="000000100000" w:firstRow="0" w:lastRow="0" w:firstColumn="0" w:lastColumn="0" w:oddVBand="0" w:evenVBand="0" w:oddHBand="1"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2623" w:type="dxa"/>
            <w:tcBorders>
              <w:top w:val="none" w:sz="0" w:space="0" w:color="auto"/>
              <w:left w:val="none" w:sz="0" w:space="0" w:color="auto"/>
              <w:bottom w:val="none" w:sz="0" w:space="0" w:color="auto"/>
            </w:tcBorders>
            <w:noWrap/>
            <w:hideMark/>
          </w:tcPr>
          <w:p w14:paraId="6F472A56"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1912" w:type="dxa"/>
            <w:noWrap/>
            <w:hideMark/>
          </w:tcPr>
          <w:p w14:paraId="183008E6"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170,249</w:t>
            </w:r>
          </w:p>
        </w:tc>
        <w:tc>
          <w:tcPr>
            <w:tcW w:w="2623" w:type="dxa"/>
            <w:noWrap/>
            <w:hideMark/>
          </w:tcPr>
          <w:p w14:paraId="05D22983"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153,105</w:t>
            </w:r>
          </w:p>
        </w:tc>
        <w:tc>
          <w:tcPr>
            <w:tcW w:w="1745" w:type="dxa"/>
            <w:noWrap/>
            <w:hideMark/>
          </w:tcPr>
          <w:p w14:paraId="6A8F44C7"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1.11</w:t>
            </w:r>
          </w:p>
        </w:tc>
      </w:tr>
      <w:tr w:rsidR="00EC7E10" w:rsidRPr="0084257F" w14:paraId="58B043E2" w14:textId="77777777" w:rsidTr="006C578E">
        <w:trPr>
          <w:trHeight w:val="258"/>
        </w:trPr>
        <w:tc>
          <w:tcPr>
            <w:cnfStyle w:val="001000000000" w:firstRow="0" w:lastRow="0" w:firstColumn="1" w:lastColumn="0" w:oddVBand="0" w:evenVBand="0" w:oddHBand="0" w:evenHBand="0" w:firstRowFirstColumn="0" w:firstRowLastColumn="0" w:lastRowFirstColumn="0" w:lastRowLastColumn="0"/>
            <w:tcW w:w="2623" w:type="dxa"/>
            <w:tcBorders>
              <w:top w:val="none" w:sz="0" w:space="0" w:color="auto"/>
              <w:left w:val="none" w:sz="0" w:space="0" w:color="auto"/>
              <w:bottom w:val="none" w:sz="0" w:space="0" w:color="auto"/>
            </w:tcBorders>
            <w:noWrap/>
            <w:hideMark/>
          </w:tcPr>
          <w:p w14:paraId="7F2BD795"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2023</w:t>
            </w:r>
          </w:p>
        </w:tc>
        <w:tc>
          <w:tcPr>
            <w:tcW w:w="1912" w:type="dxa"/>
            <w:noWrap/>
            <w:hideMark/>
          </w:tcPr>
          <w:p w14:paraId="4FFA72ED"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176,952</w:t>
            </w:r>
          </w:p>
        </w:tc>
        <w:tc>
          <w:tcPr>
            <w:tcW w:w="2623" w:type="dxa"/>
            <w:noWrap/>
            <w:hideMark/>
          </w:tcPr>
          <w:p w14:paraId="5617DB6B"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178,920</w:t>
            </w:r>
          </w:p>
        </w:tc>
        <w:tc>
          <w:tcPr>
            <w:tcW w:w="1745" w:type="dxa"/>
            <w:noWrap/>
            <w:hideMark/>
          </w:tcPr>
          <w:p w14:paraId="6C49723B"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0.99</w:t>
            </w:r>
          </w:p>
        </w:tc>
      </w:tr>
      <w:tr w:rsidR="00EC7E10" w:rsidRPr="0084257F" w14:paraId="6B231B78" w14:textId="77777777" w:rsidTr="006C578E">
        <w:trPr>
          <w:cnfStyle w:val="000000100000" w:firstRow="0" w:lastRow="0" w:firstColumn="0" w:lastColumn="0" w:oddVBand="0" w:evenVBand="0" w:oddHBand="1"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2623" w:type="dxa"/>
            <w:tcBorders>
              <w:top w:val="none" w:sz="0" w:space="0" w:color="auto"/>
              <w:left w:val="none" w:sz="0" w:space="0" w:color="auto"/>
              <w:bottom w:val="none" w:sz="0" w:space="0" w:color="auto"/>
            </w:tcBorders>
            <w:noWrap/>
            <w:hideMark/>
          </w:tcPr>
          <w:p w14:paraId="7D291814"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1912" w:type="dxa"/>
            <w:noWrap/>
            <w:hideMark/>
          </w:tcPr>
          <w:p w14:paraId="2C8DB572"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235,757</w:t>
            </w:r>
          </w:p>
        </w:tc>
        <w:tc>
          <w:tcPr>
            <w:tcW w:w="2623" w:type="dxa"/>
            <w:noWrap/>
            <w:hideMark/>
          </w:tcPr>
          <w:p w14:paraId="5376ABC2"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268,406</w:t>
            </w:r>
          </w:p>
        </w:tc>
        <w:tc>
          <w:tcPr>
            <w:tcW w:w="1745" w:type="dxa"/>
            <w:noWrap/>
            <w:hideMark/>
          </w:tcPr>
          <w:p w14:paraId="0AA8070C"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0.88</w:t>
            </w:r>
          </w:p>
        </w:tc>
      </w:tr>
      <w:tr w:rsidR="00EC7E10" w:rsidRPr="0084257F" w14:paraId="44E42A5A" w14:textId="77777777" w:rsidTr="006C578E">
        <w:trPr>
          <w:trHeight w:val="258"/>
        </w:trPr>
        <w:tc>
          <w:tcPr>
            <w:cnfStyle w:val="001000000000" w:firstRow="0" w:lastRow="0" w:firstColumn="1" w:lastColumn="0" w:oddVBand="0" w:evenVBand="0" w:oddHBand="0" w:evenHBand="0" w:firstRowFirstColumn="0" w:firstRowLastColumn="0" w:lastRowFirstColumn="0" w:lastRowLastColumn="0"/>
            <w:tcW w:w="2623" w:type="dxa"/>
            <w:tcBorders>
              <w:top w:val="none" w:sz="0" w:space="0" w:color="auto"/>
              <w:left w:val="none" w:sz="0" w:space="0" w:color="auto"/>
              <w:bottom w:val="none" w:sz="0" w:space="0" w:color="auto"/>
            </w:tcBorders>
            <w:noWrap/>
            <w:hideMark/>
          </w:tcPr>
          <w:p w14:paraId="3CE1A8B4"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1912" w:type="dxa"/>
            <w:noWrap/>
            <w:hideMark/>
          </w:tcPr>
          <w:p w14:paraId="3811E0A0"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234,399</w:t>
            </w:r>
          </w:p>
        </w:tc>
        <w:tc>
          <w:tcPr>
            <w:tcW w:w="2623" w:type="dxa"/>
            <w:noWrap/>
            <w:hideMark/>
          </w:tcPr>
          <w:p w14:paraId="20E32ECC"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275,949</w:t>
            </w:r>
          </w:p>
        </w:tc>
        <w:tc>
          <w:tcPr>
            <w:tcW w:w="1745" w:type="dxa"/>
            <w:noWrap/>
            <w:hideMark/>
          </w:tcPr>
          <w:p w14:paraId="46870553"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0.85</w:t>
            </w:r>
          </w:p>
        </w:tc>
      </w:tr>
      <w:tr w:rsidR="00EC7E10" w:rsidRPr="0084257F" w14:paraId="7B0AF524" w14:textId="77777777" w:rsidTr="006C578E">
        <w:trPr>
          <w:cnfStyle w:val="000000100000" w:firstRow="0" w:lastRow="0" w:firstColumn="0" w:lastColumn="0" w:oddVBand="0" w:evenVBand="0" w:oddHBand="1"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2623" w:type="dxa"/>
            <w:tcBorders>
              <w:top w:val="none" w:sz="0" w:space="0" w:color="auto"/>
              <w:left w:val="none" w:sz="0" w:space="0" w:color="auto"/>
              <w:bottom w:val="none" w:sz="0" w:space="0" w:color="auto"/>
            </w:tcBorders>
            <w:noWrap/>
            <w:hideMark/>
          </w:tcPr>
          <w:p w14:paraId="00399970"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2020</w:t>
            </w:r>
          </w:p>
        </w:tc>
        <w:tc>
          <w:tcPr>
            <w:tcW w:w="1912" w:type="dxa"/>
            <w:noWrap/>
            <w:hideMark/>
          </w:tcPr>
          <w:p w14:paraId="3CC00FE4"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196,989</w:t>
            </w:r>
          </w:p>
        </w:tc>
        <w:tc>
          <w:tcPr>
            <w:tcW w:w="2623" w:type="dxa"/>
            <w:noWrap/>
            <w:hideMark/>
          </w:tcPr>
          <w:p w14:paraId="2F2E6C22"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313,301</w:t>
            </w:r>
          </w:p>
        </w:tc>
        <w:tc>
          <w:tcPr>
            <w:tcW w:w="1745" w:type="dxa"/>
            <w:noWrap/>
            <w:hideMark/>
          </w:tcPr>
          <w:p w14:paraId="22F70F19"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0.63</w:t>
            </w:r>
          </w:p>
        </w:tc>
      </w:tr>
    </w:tbl>
    <w:p w14:paraId="6E6B55B8" w14:textId="77777777" w:rsidR="00EC7E10" w:rsidRPr="0084257F" w:rsidRDefault="00EC7E10" w:rsidP="00EC7E10"/>
    <w:tbl>
      <w:tblPr>
        <w:tblStyle w:val="GridTable3-Accent2"/>
        <w:tblW w:w="902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358"/>
        <w:gridCol w:w="2358"/>
        <w:gridCol w:w="2152"/>
        <w:gridCol w:w="2152"/>
      </w:tblGrid>
      <w:tr w:rsidR="00EC7E10" w:rsidRPr="0084257F" w14:paraId="531CC247" w14:textId="77777777" w:rsidTr="006C578E">
        <w:trPr>
          <w:cnfStyle w:val="100000000000" w:firstRow="1" w:lastRow="0" w:firstColumn="0" w:lastColumn="0" w:oddVBand="0" w:evenVBand="0" w:oddHBand="0" w:evenHBand="0" w:firstRowFirstColumn="0" w:firstRowLastColumn="0" w:lastRowFirstColumn="0" w:lastRowLastColumn="0"/>
          <w:trHeight w:val="188"/>
        </w:trPr>
        <w:tc>
          <w:tcPr>
            <w:cnfStyle w:val="001000000100" w:firstRow="0" w:lastRow="0" w:firstColumn="1" w:lastColumn="0" w:oddVBand="0" w:evenVBand="0" w:oddHBand="0" w:evenHBand="0" w:firstRowFirstColumn="1" w:firstRowLastColumn="0" w:lastRowFirstColumn="0" w:lastRowLastColumn="0"/>
            <w:tcW w:w="2358" w:type="dxa"/>
            <w:tcBorders>
              <w:top w:val="none" w:sz="0" w:space="0" w:color="auto"/>
              <w:left w:val="none" w:sz="0" w:space="0" w:color="auto"/>
              <w:bottom w:val="none" w:sz="0" w:space="0" w:color="auto"/>
              <w:right w:val="none" w:sz="0" w:space="0" w:color="auto"/>
            </w:tcBorders>
            <w:noWrap/>
            <w:hideMark/>
          </w:tcPr>
          <w:p w14:paraId="26C46690"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Debt Ratio = Total Liabilities / Total Assets</w:t>
            </w:r>
          </w:p>
        </w:tc>
        <w:tc>
          <w:tcPr>
            <w:tcW w:w="2358" w:type="dxa"/>
            <w:tcBorders>
              <w:top w:val="none" w:sz="0" w:space="0" w:color="auto"/>
              <w:left w:val="none" w:sz="0" w:space="0" w:color="auto"/>
              <w:right w:val="none" w:sz="0" w:space="0" w:color="auto"/>
            </w:tcBorders>
            <w:noWrap/>
            <w:hideMark/>
          </w:tcPr>
          <w:p w14:paraId="579F5962"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Total Liabilities (£m)</w:t>
            </w:r>
          </w:p>
        </w:tc>
        <w:tc>
          <w:tcPr>
            <w:tcW w:w="2152" w:type="dxa"/>
            <w:tcBorders>
              <w:top w:val="none" w:sz="0" w:space="0" w:color="auto"/>
              <w:left w:val="none" w:sz="0" w:space="0" w:color="auto"/>
              <w:right w:val="none" w:sz="0" w:space="0" w:color="auto"/>
            </w:tcBorders>
            <w:noWrap/>
            <w:hideMark/>
          </w:tcPr>
          <w:p w14:paraId="1734F1DA"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Total Assets (£m)</w:t>
            </w:r>
          </w:p>
        </w:tc>
        <w:tc>
          <w:tcPr>
            <w:tcW w:w="2152" w:type="dxa"/>
            <w:tcBorders>
              <w:top w:val="none" w:sz="0" w:space="0" w:color="auto"/>
              <w:left w:val="none" w:sz="0" w:space="0" w:color="auto"/>
              <w:right w:val="none" w:sz="0" w:space="0" w:color="auto"/>
            </w:tcBorders>
            <w:noWrap/>
            <w:hideMark/>
          </w:tcPr>
          <w:p w14:paraId="652EE53A"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Debt Ratio</w:t>
            </w:r>
          </w:p>
        </w:tc>
      </w:tr>
      <w:tr w:rsidR="00EC7E10" w:rsidRPr="0084257F" w14:paraId="54473EC2" w14:textId="77777777" w:rsidTr="006C578E">
        <w:trPr>
          <w:cnfStyle w:val="000000100000" w:firstRow="0" w:lastRow="0" w:firstColumn="0" w:lastColumn="0" w:oddVBand="0" w:evenVBand="0" w:oddHBand="1" w:evenHBand="0" w:firstRowFirstColumn="0" w:firstRowLastColumn="0" w:lastRowFirstColumn="0" w:lastRowLastColumn="0"/>
          <w:trHeight w:val="188"/>
        </w:trPr>
        <w:tc>
          <w:tcPr>
            <w:cnfStyle w:val="001000000000" w:firstRow="0" w:lastRow="0" w:firstColumn="1" w:lastColumn="0" w:oddVBand="0" w:evenVBand="0" w:oddHBand="0" w:evenHBand="0" w:firstRowFirstColumn="0" w:firstRowLastColumn="0" w:lastRowFirstColumn="0" w:lastRowLastColumn="0"/>
            <w:tcW w:w="2358" w:type="dxa"/>
            <w:tcBorders>
              <w:top w:val="none" w:sz="0" w:space="0" w:color="auto"/>
              <w:left w:val="none" w:sz="0" w:space="0" w:color="auto"/>
              <w:bottom w:val="none" w:sz="0" w:space="0" w:color="auto"/>
            </w:tcBorders>
            <w:noWrap/>
            <w:hideMark/>
          </w:tcPr>
          <w:p w14:paraId="11560054"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2358" w:type="dxa"/>
            <w:noWrap/>
            <w:hideMark/>
          </w:tcPr>
          <w:p w14:paraId="2B574486"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170,249</w:t>
            </w:r>
          </w:p>
        </w:tc>
        <w:tc>
          <w:tcPr>
            <w:tcW w:w="2152" w:type="dxa"/>
            <w:noWrap/>
            <w:hideMark/>
          </w:tcPr>
          <w:p w14:paraId="4DEC9063"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323,354</w:t>
            </w:r>
          </w:p>
        </w:tc>
        <w:tc>
          <w:tcPr>
            <w:tcW w:w="2152" w:type="dxa"/>
            <w:noWrap/>
            <w:hideMark/>
          </w:tcPr>
          <w:p w14:paraId="076BF94A"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0.53</w:t>
            </w:r>
          </w:p>
        </w:tc>
      </w:tr>
      <w:tr w:rsidR="00EC7E10" w:rsidRPr="0084257F" w14:paraId="5F2F15EC" w14:textId="77777777" w:rsidTr="006C578E">
        <w:trPr>
          <w:trHeight w:val="188"/>
        </w:trPr>
        <w:tc>
          <w:tcPr>
            <w:cnfStyle w:val="001000000000" w:firstRow="0" w:lastRow="0" w:firstColumn="1" w:lastColumn="0" w:oddVBand="0" w:evenVBand="0" w:oddHBand="0" w:evenHBand="0" w:firstRowFirstColumn="0" w:firstRowLastColumn="0" w:lastRowFirstColumn="0" w:lastRowLastColumn="0"/>
            <w:tcW w:w="2358" w:type="dxa"/>
            <w:tcBorders>
              <w:top w:val="none" w:sz="0" w:space="0" w:color="auto"/>
              <w:left w:val="none" w:sz="0" w:space="0" w:color="auto"/>
              <w:bottom w:val="none" w:sz="0" w:space="0" w:color="auto"/>
            </w:tcBorders>
            <w:noWrap/>
            <w:hideMark/>
          </w:tcPr>
          <w:p w14:paraId="4C3F7F21"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2023</w:t>
            </w:r>
          </w:p>
        </w:tc>
        <w:tc>
          <w:tcPr>
            <w:tcW w:w="2358" w:type="dxa"/>
            <w:noWrap/>
            <w:hideMark/>
          </w:tcPr>
          <w:p w14:paraId="3AFCE8FC"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176,952</w:t>
            </w:r>
          </w:p>
        </w:tc>
        <w:tc>
          <w:tcPr>
            <w:tcW w:w="2152" w:type="dxa"/>
            <w:noWrap/>
            <w:hideMark/>
          </w:tcPr>
          <w:p w14:paraId="1382D6C7"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355,872</w:t>
            </w:r>
          </w:p>
        </w:tc>
        <w:tc>
          <w:tcPr>
            <w:tcW w:w="2152" w:type="dxa"/>
            <w:noWrap/>
            <w:hideMark/>
          </w:tcPr>
          <w:p w14:paraId="1D7651DC"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0.5</w:t>
            </w:r>
          </w:p>
        </w:tc>
      </w:tr>
      <w:tr w:rsidR="00EC7E10" w:rsidRPr="0084257F" w14:paraId="3805D3AC" w14:textId="77777777" w:rsidTr="006C578E">
        <w:trPr>
          <w:cnfStyle w:val="000000100000" w:firstRow="0" w:lastRow="0" w:firstColumn="0" w:lastColumn="0" w:oddVBand="0" w:evenVBand="0" w:oddHBand="1" w:evenHBand="0" w:firstRowFirstColumn="0" w:firstRowLastColumn="0" w:lastRowFirstColumn="0" w:lastRowLastColumn="0"/>
          <w:trHeight w:val="188"/>
        </w:trPr>
        <w:tc>
          <w:tcPr>
            <w:cnfStyle w:val="001000000000" w:firstRow="0" w:lastRow="0" w:firstColumn="1" w:lastColumn="0" w:oddVBand="0" w:evenVBand="0" w:oddHBand="0" w:evenHBand="0" w:firstRowFirstColumn="0" w:firstRowLastColumn="0" w:lastRowFirstColumn="0" w:lastRowLastColumn="0"/>
            <w:tcW w:w="2358" w:type="dxa"/>
            <w:tcBorders>
              <w:top w:val="none" w:sz="0" w:space="0" w:color="auto"/>
              <w:left w:val="none" w:sz="0" w:space="0" w:color="auto"/>
              <w:bottom w:val="none" w:sz="0" w:space="0" w:color="auto"/>
            </w:tcBorders>
            <w:noWrap/>
            <w:hideMark/>
          </w:tcPr>
          <w:p w14:paraId="2C68F6FF"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2358" w:type="dxa"/>
            <w:noWrap/>
            <w:hideMark/>
          </w:tcPr>
          <w:p w14:paraId="51D85C91"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235,757</w:t>
            </w:r>
          </w:p>
        </w:tc>
        <w:tc>
          <w:tcPr>
            <w:tcW w:w="2152" w:type="dxa"/>
            <w:noWrap/>
            <w:hideMark/>
          </w:tcPr>
          <w:p w14:paraId="74640EE6"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504,163</w:t>
            </w:r>
          </w:p>
        </w:tc>
        <w:tc>
          <w:tcPr>
            <w:tcW w:w="2152" w:type="dxa"/>
            <w:noWrap/>
            <w:hideMark/>
          </w:tcPr>
          <w:p w14:paraId="3D9C80CB"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0.47</w:t>
            </w:r>
          </w:p>
        </w:tc>
      </w:tr>
      <w:tr w:rsidR="00EC7E10" w:rsidRPr="0084257F" w14:paraId="04DB2B49" w14:textId="77777777" w:rsidTr="006C578E">
        <w:trPr>
          <w:trHeight w:val="188"/>
        </w:trPr>
        <w:tc>
          <w:tcPr>
            <w:cnfStyle w:val="001000000000" w:firstRow="0" w:lastRow="0" w:firstColumn="1" w:lastColumn="0" w:oddVBand="0" w:evenVBand="0" w:oddHBand="0" w:evenHBand="0" w:firstRowFirstColumn="0" w:firstRowLastColumn="0" w:lastRowFirstColumn="0" w:lastRowLastColumn="0"/>
            <w:tcW w:w="2358" w:type="dxa"/>
            <w:tcBorders>
              <w:top w:val="none" w:sz="0" w:space="0" w:color="auto"/>
              <w:left w:val="none" w:sz="0" w:space="0" w:color="auto"/>
              <w:bottom w:val="none" w:sz="0" w:space="0" w:color="auto"/>
            </w:tcBorders>
            <w:noWrap/>
            <w:hideMark/>
          </w:tcPr>
          <w:p w14:paraId="529644DA"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2358" w:type="dxa"/>
            <w:noWrap/>
            <w:hideMark/>
          </w:tcPr>
          <w:p w14:paraId="69DC3117"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234,399</w:t>
            </w:r>
          </w:p>
        </w:tc>
        <w:tc>
          <w:tcPr>
            <w:tcW w:w="2152" w:type="dxa"/>
            <w:noWrap/>
            <w:hideMark/>
          </w:tcPr>
          <w:p w14:paraId="3F542DA6"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510,348</w:t>
            </w:r>
          </w:p>
        </w:tc>
        <w:tc>
          <w:tcPr>
            <w:tcW w:w="2152" w:type="dxa"/>
            <w:noWrap/>
            <w:hideMark/>
          </w:tcPr>
          <w:p w14:paraId="1B682188"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0.46</w:t>
            </w:r>
          </w:p>
        </w:tc>
      </w:tr>
      <w:tr w:rsidR="00EC7E10" w:rsidRPr="0084257F" w14:paraId="26541484" w14:textId="77777777" w:rsidTr="006C578E">
        <w:trPr>
          <w:cnfStyle w:val="000000100000" w:firstRow="0" w:lastRow="0" w:firstColumn="0" w:lastColumn="0" w:oddVBand="0" w:evenVBand="0" w:oddHBand="1" w:evenHBand="0" w:firstRowFirstColumn="0" w:firstRowLastColumn="0" w:lastRowFirstColumn="0" w:lastRowLastColumn="0"/>
          <w:trHeight w:val="188"/>
        </w:trPr>
        <w:tc>
          <w:tcPr>
            <w:cnfStyle w:val="001000000000" w:firstRow="0" w:lastRow="0" w:firstColumn="1" w:lastColumn="0" w:oddVBand="0" w:evenVBand="0" w:oddHBand="0" w:evenHBand="0" w:firstRowFirstColumn="0" w:firstRowLastColumn="0" w:lastRowFirstColumn="0" w:lastRowLastColumn="0"/>
            <w:tcW w:w="2358" w:type="dxa"/>
            <w:tcBorders>
              <w:top w:val="none" w:sz="0" w:space="0" w:color="auto"/>
              <w:left w:val="none" w:sz="0" w:space="0" w:color="auto"/>
              <w:bottom w:val="none" w:sz="0" w:space="0" w:color="auto"/>
            </w:tcBorders>
            <w:noWrap/>
            <w:hideMark/>
          </w:tcPr>
          <w:p w14:paraId="671850EE"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2020</w:t>
            </w:r>
          </w:p>
        </w:tc>
        <w:tc>
          <w:tcPr>
            <w:tcW w:w="2358" w:type="dxa"/>
            <w:noWrap/>
            <w:hideMark/>
          </w:tcPr>
          <w:p w14:paraId="2AE5AA41"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196,989</w:t>
            </w:r>
          </w:p>
        </w:tc>
        <w:tc>
          <w:tcPr>
            <w:tcW w:w="2152" w:type="dxa"/>
            <w:noWrap/>
            <w:hideMark/>
          </w:tcPr>
          <w:p w14:paraId="47C159C0"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510,290</w:t>
            </w:r>
          </w:p>
        </w:tc>
        <w:tc>
          <w:tcPr>
            <w:tcW w:w="2152" w:type="dxa"/>
            <w:noWrap/>
            <w:hideMark/>
          </w:tcPr>
          <w:p w14:paraId="5F9D084B"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0.39</w:t>
            </w:r>
          </w:p>
        </w:tc>
      </w:tr>
    </w:tbl>
    <w:p w14:paraId="02A3DBAE" w14:textId="77777777" w:rsidR="00EC7E10" w:rsidRPr="0084257F" w:rsidRDefault="00EC7E10" w:rsidP="00EC7E10"/>
    <w:tbl>
      <w:tblPr>
        <w:tblStyle w:val="GridTable3-Accent2"/>
        <w:tblW w:w="8553"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354"/>
        <w:gridCol w:w="2146"/>
        <w:gridCol w:w="1323"/>
        <w:gridCol w:w="2856"/>
        <w:gridCol w:w="7"/>
      </w:tblGrid>
      <w:tr w:rsidR="00EC7E10" w:rsidRPr="0084257F" w14:paraId="77567A00" w14:textId="77777777" w:rsidTr="006C578E">
        <w:trPr>
          <w:gridAfter w:val="1"/>
          <w:cnfStyle w:val="100000000000" w:firstRow="1" w:lastRow="0" w:firstColumn="0" w:lastColumn="0" w:oddVBand="0" w:evenVBand="0" w:oddHBand="0" w:evenHBand="0" w:firstRowFirstColumn="0" w:firstRowLastColumn="0" w:lastRowFirstColumn="0" w:lastRowLastColumn="0"/>
          <w:wAfter w:w="12" w:type="dxa"/>
          <w:trHeight w:val="525"/>
        </w:trPr>
        <w:tc>
          <w:tcPr>
            <w:cnfStyle w:val="001000000100" w:firstRow="0" w:lastRow="0" w:firstColumn="1" w:lastColumn="0" w:oddVBand="0" w:evenVBand="0" w:oddHBand="0" w:evenHBand="0" w:firstRowFirstColumn="1" w:firstRowLastColumn="0" w:lastRowFirstColumn="0" w:lastRowLastColumn="0"/>
            <w:tcW w:w="2354" w:type="dxa"/>
            <w:tcBorders>
              <w:top w:val="none" w:sz="0" w:space="0" w:color="auto"/>
              <w:left w:val="none" w:sz="0" w:space="0" w:color="auto"/>
              <w:bottom w:val="none" w:sz="0" w:space="0" w:color="auto"/>
              <w:right w:val="none" w:sz="0" w:space="0" w:color="auto"/>
            </w:tcBorders>
            <w:noWrap/>
            <w:hideMark/>
          </w:tcPr>
          <w:p w14:paraId="632F5FE0"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Operating Cash Flow Ratio = Operating Cash Flow / Current Liabilities</w:t>
            </w:r>
          </w:p>
        </w:tc>
        <w:tc>
          <w:tcPr>
            <w:tcW w:w="2143" w:type="dxa"/>
            <w:tcBorders>
              <w:top w:val="none" w:sz="0" w:space="0" w:color="auto"/>
              <w:left w:val="none" w:sz="0" w:space="0" w:color="auto"/>
              <w:right w:val="none" w:sz="0" w:space="0" w:color="auto"/>
            </w:tcBorders>
            <w:noWrap/>
            <w:hideMark/>
          </w:tcPr>
          <w:p w14:paraId="2B7E0106"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Operating Cash Flow (£m)</w:t>
            </w:r>
          </w:p>
        </w:tc>
        <w:tc>
          <w:tcPr>
            <w:tcW w:w="1185" w:type="dxa"/>
            <w:tcBorders>
              <w:top w:val="none" w:sz="0" w:space="0" w:color="auto"/>
              <w:left w:val="none" w:sz="0" w:space="0" w:color="auto"/>
              <w:right w:val="none" w:sz="0" w:space="0" w:color="auto"/>
            </w:tcBorders>
            <w:noWrap/>
            <w:hideMark/>
          </w:tcPr>
          <w:p w14:paraId="1BFA1C32"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Current Liabilities (£m)</w:t>
            </w:r>
          </w:p>
        </w:tc>
        <w:tc>
          <w:tcPr>
            <w:tcW w:w="2856" w:type="dxa"/>
            <w:tcBorders>
              <w:top w:val="none" w:sz="0" w:space="0" w:color="auto"/>
              <w:left w:val="none" w:sz="0" w:space="0" w:color="auto"/>
              <w:right w:val="none" w:sz="0" w:space="0" w:color="auto"/>
            </w:tcBorders>
            <w:noWrap/>
            <w:hideMark/>
          </w:tcPr>
          <w:p w14:paraId="65187BE9"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Operating Cash Flow Ratio</w:t>
            </w:r>
          </w:p>
        </w:tc>
      </w:tr>
      <w:tr w:rsidR="00EC7E10" w:rsidRPr="0084257F" w14:paraId="6D88FBDD" w14:textId="77777777" w:rsidTr="006C578E">
        <w:trPr>
          <w:cnfStyle w:val="000000100000" w:firstRow="0" w:lastRow="0" w:firstColumn="0" w:lastColumn="0" w:oddVBand="0" w:evenVBand="0" w:oddHBand="1" w:evenHBand="0" w:firstRowFirstColumn="0" w:firstRowLastColumn="0" w:lastRowFirstColumn="0" w:lastRowLastColumn="0"/>
          <w:trHeight w:val="525"/>
        </w:trPr>
        <w:tc>
          <w:tcPr>
            <w:cnfStyle w:val="001000000000" w:firstRow="0" w:lastRow="0" w:firstColumn="1" w:lastColumn="0" w:oddVBand="0" w:evenVBand="0" w:oddHBand="0" w:evenHBand="0" w:firstRowFirstColumn="0" w:firstRowLastColumn="0" w:lastRowFirstColumn="0" w:lastRowLastColumn="0"/>
            <w:tcW w:w="2354" w:type="dxa"/>
            <w:tcBorders>
              <w:top w:val="none" w:sz="0" w:space="0" w:color="auto"/>
              <w:left w:val="none" w:sz="0" w:space="0" w:color="auto"/>
              <w:bottom w:val="none" w:sz="0" w:space="0" w:color="auto"/>
            </w:tcBorders>
            <w:noWrap/>
            <w:hideMark/>
          </w:tcPr>
          <w:p w14:paraId="4B934278"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2146" w:type="dxa"/>
            <w:noWrap/>
            <w:hideMark/>
          </w:tcPr>
          <w:p w14:paraId="6B69C1CB"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14,822</w:t>
            </w:r>
          </w:p>
        </w:tc>
        <w:tc>
          <w:tcPr>
            <w:tcW w:w="1190" w:type="dxa"/>
            <w:noWrap/>
            <w:hideMark/>
          </w:tcPr>
          <w:p w14:paraId="533C7E88"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158,291</w:t>
            </w:r>
          </w:p>
        </w:tc>
        <w:tc>
          <w:tcPr>
            <w:tcW w:w="2863" w:type="dxa"/>
            <w:gridSpan w:val="2"/>
            <w:noWrap/>
            <w:hideMark/>
          </w:tcPr>
          <w:p w14:paraId="52CF15ED"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0.09</w:t>
            </w:r>
          </w:p>
        </w:tc>
      </w:tr>
      <w:tr w:rsidR="00EC7E10" w:rsidRPr="0084257F" w14:paraId="0273D23C" w14:textId="77777777" w:rsidTr="006C578E">
        <w:trPr>
          <w:trHeight w:val="525"/>
        </w:trPr>
        <w:tc>
          <w:tcPr>
            <w:cnfStyle w:val="001000000000" w:firstRow="0" w:lastRow="0" w:firstColumn="1" w:lastColumn="0" w:oddVBand="0" w:evenVBand="0" w:oddHBand="0" w:evenHBand="0" w:firstRowFirstColumn="0" w:firstRowLastColumn="0" w:lastRowFirstColumn="0" w:lastRowLastColumn="0"/>
            <w:tcW w:w="2354" w:type="dxa"/>
            <w:tcBorders>
              <w:top w:val="none" w:sz="0" w:space="0" w:color="auto"/>
              <w:left w:val="none" w:sz="0" w:space="0" w:color="auto"/>
              <w:bottom w:val="none" w:sz="0" w:space="0" w:color="auto"/>
            </w:tcBorders>
            <w:noWrap/>
            <w:hideMark/>
          </w:tcPr>
          <w:p w14:paraId="3B33342A"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lastRenderedPageBreak/>
              <w:t>2023</w:t>
            </w:r>
          </w:p>
        </w:tc>
        <w:tc>
          <w:tcPr>
            <w:tcW w:w="2146" w:type="dxa"/>
            <w:noWrap/>
            <w:hideMark/>
          </w:tcPr>
          <w:p w14:paraId="3664F1DF"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25,190</w:t>
            </w:r>
          </w:p>
        </w:tc>
        <w:tc>
          <w:tcPr>
            <w:tcW w:w="1190" w:type="dxa"/>
            <w:noWrap/>
            <w:hideMark/>
          </w:tcPr>
          <w:p w14:paraId="599FBDD8"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161,148</w:t>
            </w:r>
          </w:p>
        </w:tc>
        <w:tc>
          <w:tcPr>
            <w:tcW w:w="2863" w:type="dxa"/>
            <w:gridSpan w:val="2"/>
            <w:noWrap/>
            <w:hideMark/>
          </w:tcPr>
          <w:p w14:paraId="6042EC65"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0.16</w:t>
            </w:r>
          </w:p>
        </w:tc>
      </w:tr>
      <w:tr w:rsidR="00EC7E10" w:rsidRPr="0084257F" w14:paraId="51E64C41" w14:textId="77777777" w:rsidTr="006C578E">
        <w:trPr>
          <w:cnfStyle w:val="000000100000" w:firstRow="0" w:lastRow="0" w:firstColumn="0" w:lastColumn="0" w:oddVBand="0" w:evenVBand="0" w:oddHBand="1" w:evenHBand="0" w:firstRowFirstColumn="0" w:firstRowLastColumn="0" w:lastRowFirstColumn="0" w:lastRowLastColumn="0"/>
          <w:trHeight w:val="525"/>
        </w:trPr>
        <w:tc>
          <w:tcPr>
            <w:cnfStyle w:val="001000000000" w:firstRow="0" w:lastRow="0" w:firstColumn="1" w:lastColumn="0" w:oddVBand="0" w:evenVBand="0" w:oddHBand="0" w:evenHBand="0" w:firstRowFirstColumn="0" w:firstRowLastColumn="0" w:lastRowFirstColumn="0" w:lastRowLastColumn="0"/>
            <w:tcW w:w="2354" w:type="dxa"/>
            <w:tcBorders>
              <w:top w:val="none" w:sz="0" w:space="0" w:color="auto"/>
              <w:left w:val="none" w:sz="0" w:space="0" w:color="auto"/>
              <w:bottom w:val="none" w:sz="0" w:space="0" w:color="auto"/>
            </w:tcBorders>
            <w:noWrap/>
            <w:hideMark/>
          </w:tcPr>
          <w:p w14:paraId="3054FEB8"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2146" w:type="dxa"/>
            <w:noWrap/>
            <w:hideMark/>
          </w:tcPr>
          <w:p w14:paraId="47BCB828"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10,926</w:t>
            </w:r>
          </w:p>
        </w:tc>
        <w:tc>
          <w:tcPr>
            <w:tcW w:w="1190" w:type="dxa"/>
            <w:noWrap/>
            <w:hideMark/>
          </w:tcPr>
          <w:p w14:paraId="2DF1A2CF"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216,473</w:t>
            </w:r>
          </w:p>
        </w:tc>
        <w:tc>
          <w:tcPr>
            <w:tcW w:w="2863" w:type="dxa"/>
            <w:gridSpan w:val="2"/>
            <w:noWrap/>
            <w:hideMark/>
          </w:tcPr>
          <w:p w14:paraId="29FFB598"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0.05</w:t>
            </w:r>
          </w:p>
        </w:tc>
      </w:tr>
      <w:tr w:rsidR="00EC7E10" w:rsidRPr="0084257F" w14:paraId="089BB31F" w14:textId="77777777" w:rsidTr="006C578E">
        <w:trPr>
          <w:trHeight w:val="525"/>
        </w:trPr>
        <w:tc>
          <w:tcPr>
            <w:cnfStyle w:val="001000000000" w:firstRow="0" w:lastRow="0" w:firstColumn="1" w:lastColumn="0" w:oddVBand="0" w:evenVBand="0" w:oddHBand="0" w:evenHBand="0" w:firstRowFirstColumn="0" w:firstRowLastColumn="0" w:lastRowFirstColumn="0" w:lastRowLastColumn="0"/>
            <w:tcW w:w="2354" w:type="dxa"/>
            <w:tcBorders>
              <w:top w:val="none" w:sz="0" w:space="0" w:color="auto"/>
              <w:left w:val="none" w:sz="0" w:space="0" w:color="auto"/>
              <w:bottom w:val="none" w:sz="0" w:space="0" w:color="auto"/>
            </w:tcBorders>
            <w:noWrap/>
            <w:hideMark/>
          </w:tcPr>
          <w:p w14:paraId="0B0830C2"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2146" w:type="dxa"/>
            <w:noWrap/>
            <w:hideMark/>
          </w:tcPr>
          <w:p w14:paraId="54433F78"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40,283</w:t>
            </w:r>
          </w:p>
        </w:tc>
        <w:tc>
          <w:tcPr>
            <w:tcW w:w="1190" w:type="dxa"/>
            <w:noWrap/>
            <w:hideMark/>
          </w:tcPr>
          <w:p w14:paraId="32E6B2E4"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216,787</w:t>
            </w:r>
          </w:p>
        </w:tc>
        <w:tc>
          <w:tcPr>
            <w:tcW w:w="2863" w:type="dxa"/>
            <w:gridSpan w:val="2"/>
            <w:noWrap/>
            <w:hideMark/>
          </w:tcPr>
          <w:p w14:paraId="57699591"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0.19</w:t>
            </w:r>
          </w:p>
        </w:tc>
      </w:tr>
      <w:tr w:rsidR="00EC7E10" w:rsidRPr="0084257F" w14:paraId="05BF9335" w14:textId="77777777" w:rsidTr="006C578E">
        <w:trPr>
          <w:cnfStyle w:val="000000100000" w:firstRow="0" w:lastRow="0" w:firstColumn="0" w:lastColumn="0" w:oddVBand="0" w:evenVBand="0" w:oddHBand="1" w:evenHBand="0" w:firstRowFirstColumn="0" w:firstRowLastColumn="0" w:lastRowFirstColumn="0" w:lastRowLastColumn="0"/>
          <w:trHeight w:val="525"/>
        </w:trPr>
        <w:tc>
          <w:tcPr>
            <w:cnfStyle w:val="001000000000" w:firstRow="0" w:lastRow="0" w:firstColumn="1" w:lastColumn="0" w:oddVBand="0" w:evenVBand="0" w:oddHBand="0" w:evenHBand="0" w:firstRowFirstColumn="0" w:firstRowLastColumn="0" w:lastRowFirstColumn="0" w:lastRowLastColumn="0"/>
            <w:tcW w:w="2354" w:type="dxa"/>
            <w:tcBorders>
              <w:top w:val="none" w:sz="0" w:space="0" w:color="auto"/>
              <w:left w:val="none" w:sz="0" w:space="0" w:color="auto"/>
              <w:bottom w:val="none" w:sz="0" w:space="0" w:color="auto"/>
            </w:tcBorders>
            <w:noWrap/>
            <w:hideMark/>
          </w:tcPr>
          <w:p w14:paraId="58335EC3"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2020</w:t>
            </w:r>
          </w:p>
        </w:tc>
        <w:tc>
          <w:tcPr>
            <w:tcW w:w="2146" w:type="dxa"/>
            <w:noWrap/>
            <w:hideMark/>
          </w:tcPr>
          <w:p w14:paraId="45C74903"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73,392</w:t>
            </w:r>
          </w:p>
        </w:tc>
        <w:tc>
          <w:tcPr>
            <w:tcW w:w="1190" w:type="dxa"/>
            <w:noWrap/>
            <w:hideMark/>
          </w:tcPr>
          <w:p w14:paraId="0948E0B2"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179,510</w:t>
            </w:r>
          </w:p>
        </w:tc>
        <w:tc>
          <w:tcPr>
            <w:tcW w:w="2863" w:type="dxa"/>
            <w:gridSpan w:val="2"/>
            <w:noWrap/>
            <w:hideMark/>
          </w:tcPr>
          <w:p w14:paraId="4BE0AFA8"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0.41</w:t>
            </w:r>
          </w:p>
        </w:tc>
      </w:tr>
    </w:tbl>
    <w:p w14:paraId="217EFD32" w14:textId="77777777" w:rsidR="00EC7E10" w:rsidRPr="0084257F" w:rsidRDefault="00EC7E10" w:rsidP="00EC7E10"/>
    <w:tbl>
      <w:tblPr>
        <w:tblStyle w:val="GridTable3-Accent2"/>
        <w:tblW w:w="8977"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159"/>
        <w:gridCol w:w="1732"/>
        <w:gridCol w:w="3592"/>
        <w:gridCol w:w="1494"/>
      </w:tblGrid>
      <w:tr w:rsidR="00EC7E10" w:rsidRPr="0084257F" w14:paraId="43327147" w14:textId="77777777" w:rsidTr="006C578E">
        <w:trPr>
          <w:cnfStyle w:val="100000000000" w:firstRow="1" w:lastRow="0" w:firstColumn="0" w:lastColumn="0" w:oddVBand="0" w:evenVBand="0" w:oddHBand="0" w:evenHBand="0" w:firstRowFirstColumn="0" w:firstRowLastColumn="0" w:lastRowFirstColumn="0" w:lastRowLastColumn="0"/>
          <w:trHeight w:val="269"/>
        </w:trPr>
        <w:tc>
          <w:tcPr>
            <w:cnfStyle w:val="001000000100" w:firstRow="0" w:lastRow="0" w:firstColumn="1" w:lastColumn="0" w:oddVBand="0" w:evenVBand="0" w:oddHBand="0" w:evenHBand="0" w:firstRowFirstColumn="1" w:firstRowLastColumn="0" w:lastRowFirstColumn="0" w:lastRowLastColumn="0"/>
            <w:tcW w:w="2159" w:type="dxa"/>
            <w:tcBorders>
              <w:top w:val="none" w:sz="0" w:space="0" w:color="auto"/>
              <w:left w:val="none" w:sz="0" w:space="0" w:color="auto"/>
              <w:bottom w:val="none" w:sz="0" w:space="0" w:color="auto"/>
              <w:right w:val="none" w:sz="0" w:space="0" w:color="auto"/>
            </w:tcBorders>
            <w:noWrap/>
            <w:hideMark/>
          </w:tcPr>
          <w:p w14:paraId="1FC42FB2" w14:textId="77777777" w:rsidR="00EC7E10" w:rsidRPr="0084257F" w:rsidRDefault="00EC7E10" w:rsidP="006C578E">
            <w:pPr>
              <w:jc w:val="left"/>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Free Cash Flow = Operating Cash Flow - Capital Expenditures</w:t>
            </w:r>
          </w:p>
        </w:tc>
        <w:tc>
          <w:tcPr>
            <w:tcW w:w="1732" w:type="dxa"/>
            <w:tcBorders>
              <w:top w:val="none" w:sz="0" w:space="0" w:color="auto"/>
              <w:left w:val="none" w:sz="0" w:space="0" w:color="auto"/>
              <w:right w:val="none" w:sz="0" w:space="0" w:color="auto"/>
            </w:tcBorders>
            <w:noWrap/>
            <w:hideMark/>
          </w:tcPr>
          <w:p w14:paraId="446692E9"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Operating Cash Flow (£m)</w:t>
            </w:r>
          </w:p>
        </w:tc>
        <w:tc>
          <w:tcPr>
            <w:tcW w:w="3592" w:type="dxa"/>
            <w:tcBorders>
              <w:top w:val="none" w:sz="0" w:space="0" w:color="auto"/>
              <w:left w:val="none" w:sz="0" w:space="0" w:color="auto"/>
              <w:right w:val="none" w:sz="0" w:space="0" w:color="auto"/>
            </w:tcBorders>
            <w:noWrap/>
            <w:hideMark/>
          </w:tcPr>
          <w:p w14:paraId="2E1EC6EB"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Capital Expenditures (£m)</w:t>
            </w:r>
          </w:p>
        </w:tc>
        <w:tc>
          <w:tcPr>
            <w:tcW w:w="1494" w:type="dxa"/>
            <w:tcBorders>
              <w:top w:val="none" w:sz="0" w:space="0" w:color="auto"/>
              <w:left w:val="none" w:sz="0" w:space="0" w:color="auto"/>
              <w:right w:val="none" w:sz="0" w:space="0" w:color="auto"/>
            </w:tcBorders>
            <w:noWrap/>
            <w:hideMark/>
          </w:tcPr>
          <w:p w14:paraId="6DC1E9C7" w14:textId="77777777" w:rsidR="00EC7E10" w:rsidRPr="0084257F" w:rsidRDefault="00EC7E10" w:rsidP="006C578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Free Cash Flow (£m)</w:t>
            </w:r>
          </w:p>
        </w:tc>
      </w:tr>
      <w:tr w:rsidR="00EC7E10" w:rsidRPr="0084257F" w14:paraId="22B7F4A2" w14:textId="77777777" w:rsidTr="006C578E">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2159" w:type="dxa"/>
            <w:tcBorders>
              <w:top w:val="none" w:sz="0" w:space="0" w:color="auto"/>
              <w:left w:val="none" w:sz="0" w:space="0" w:color="auto"/>
              <w:bottom w:val="none" w:sz="0" w:space="0" w:color="auto"/>
            </w:tcBorders>
            <w:noWrap/>
            <w:hideMark/>
          </w:tcPr>
          <w:p w14:paraId="01307F8C"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2024</w:t>
            </w:r>
          </w:p>
        </w:tc>
        <w:tc>
          <w:tcPr>
            <w:tcW w:w="1732" w:type="dxa"/>
            <w:noWrap/>
            <w:hideMark/>
          </w:tcPr>
          <w:p w14:paraId="3C99CDAA"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14,822</w:t>
            </w:r>
          </w:p>
        </w:tc>
        <w:tc>
          <w:tcPr>
            <w:tcW w:w="3592" w:type="dxa"/>
            <w:noWrap/>
            <w:hideMark/>
          </w:tcPr>
          <w:p w14:paraId="7373C840" w14:textId="77777777" w:rsidR="00EC7E10" w:rsidRPr="0084257F" w:rsidRDefault="00EC7E10" w:rsidP="006C578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(4,572 + 3,856) = 8,428</w:t>
            </w:r>
          </w:p>
        </w:tc>
        <w:tc>
          <w:tcPr>
            <w:tcW w:w="1494" w:type="dxa"/>
            <w:noWrap/>
            <w:hideMark/>
          </w:tcPr>
          <w:p w14:paraId="3BD62E38"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6,394</w:t>
            </w:r>
          </w:p>
        </w:tc>
      </w:tr>
      <w:tr w:rsidR="00EC7E10" w:rsidRPr="0084257F" w14:paraId="325319F5" w14:textId="77777777" w:rsidTr="006C578E">
        <w:trPr>
          <w:trHeight w:val="269"/>
        </w:trPr>
        <w:tc>
          <w:tcPr>
            <w:cnfStyle w:val="001000000000" w:firstRow="0" w:lastRow="0" w:firstColumn="1" w:lastColumn="0" w:oddVBand="0" w:evenVBand="0" w:oddHBand="0" w:evenHBand="0" w:firstRowFirstColumn="0" w:firstRowLastColumn="0" w:lastRowFirstColumn="0" w:lastRowLastColumn="0"/>
            <w:tcW w:w="2159" w:type="dxa"/>
            <w:tcBorders>
              <w:top w:val="none" w:sz="0" w:space="0" w:color="auto"/>
              <w:left w:val="none" w:sz="0" w:space="0" w:color="auto"/>
              <w:bottom w:val="none" w:sz="0" w:space="0" w:color="auto"/>
            </w:tcBorders>
            <w:noWrap/>
            <w:hideMark/>
          </w:tcPr>
          <w:p w14:paraId="0630BFF9"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2023</w:t>
            </w:r>
          </w:p>
        </w:tc>
        <w:tc>
          <w:tcPr>
            <w:tcW w:w="1732" w:type="dxa"/>
            <w:noWrap/>
            <w:hideMark/>
          </w:tcPr>
          <w:p w14:paraId="1741741F"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25,190</w:t>
            </w:r>
          </w:p>
        </w:tc>
        <w:tc>
          <w:tcPr>
            <w:tcW w:w="3592" w:type="dxa"/>
            <w:noWrap/>
            <w:hideMark/>
          </w:tcPr>
          <w:p w14:paraId="451099BC" w14:textId="77777777" w:rsidR="00EC7E10" w:rsidRPr="0084257F" w:rsidRDefault="00EC7E10" w:rsidP="006C578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(8,116 + 5,761) = 13,877</w:t>
            </w:r>
          </w:p>
        </w:tc>
        <w:tc>
          <w:tcPr>
            <w:tcW w:w="1494" w:type="dxa"/>
            <w:noWrap/>
            <w:hideMark/>
          </w:tcPr>
          <w:p w14:paraId="28E69E49"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11,313</w:t>
            </w:r>
          </w:p>
        </w:tc>
      </w:tr>
      <w:tr w:rsidR="00EC7E10" w:rsidRPr="0084257F" w14:paraId="36FB2527" w14:textId="77777777" w:rsidTr="006C578E">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2159" w:type="dxa"/>
            <w:tcBorders>
              <w:top w:val="none" w:sz="0" w:space="0" w:color="auto"/>
              <w:left w:val="none" w:sz="0" w:space="0" w:color="auto"/>
              <w:bottom w:val="none" w:sz="0" w:space="0" w:color="auto"/>
            </w:tcBorders>
            <w:noWrap/>
            <w:hideMark/>
          </w:tcPr>
          <w:p w14:paraId="391791C3"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2022</w:t>
            </w:r>
          </w:p>
        </w:tc>
        <w:tc>
          <w:tcPr>
            <w:tcW w:w="1732" w:type="dxa"/>
            <w:noWrap/>
            <w:hideMark/>
          </w:tcPr>
          <w:p w14:paraId="583FC3CC"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10,926</w:t>
            </w:r>
          </w:p>
        </w:tc>
        <w:tc>
          <w:tcPr>
            <w:tcW w:w="3592" w:type="dxa"/>
            <w:noWrap/>
            <w:hideMark/>
          </w:tcPr>
          <w:p w14:paraId="214760C6" w14:textId="77777777" w:rsidR="00EC7E10" w:rsidRPr="0084257F" w:rsidRDefault="00EC7E10" w:rsidP="006C578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(14,006 + 6,579) = 20,585</w:t>
            </w:r>
          </w:p>
        </w:tc>
        <w:tc>
          <w:tcPr>
            <w:tcW w:w="1494" w:type="dxa"/>
            <w:noWrap/>
            <w:hideMark/>
          </w:tcPr>
          <w:p w14:paraId="4A58427A"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-9,659</w:t>
            </w:r>
          </w:p>
        </w:tc>
      </w:tr>
      <w:tr w:rsidR="00EC7E10" w:rsidRPr="0084257F" w14:paraId="29507FBC" w14:textId="77777777" w:rsidTr="006C578E">
        <w:trPr>
          <w:trHeight w:val="269"/>
        </w:trPr>
        <w:tc>
          <w:tcPr>
            <w:cnfStyle w:val="001000000000" w:firstRow="0" w:lastRow="0" w:firstColumn="1" w:lastColumn="0" w:oddVBand="0" w:evenVBand="0" w:oddHBand="0" w:evenHBand="0" w:firstRowFirstColumn="0" w:firstRowLastColumn="0" w:lastRowFirstColumn="0" w:lastRowLastColumn="0"/>
            <w:tcW w:w="2159" w:type="dxa"/>
            <w:tcBorders>
              <w:top w:val="none" w:sz="0" w:space="0" w:color="auto"/>
              <w:left w:val="none" w:sz="0" w:space="0" w:color="auto"/>
              <w:bottom w:val="none" w:sz="0" w:space="0" w:color="auto"/>
            </w:tcBorders>
            <w:noWrap/>
            <w:hideMark/>
          </w:tcPr>
          <w:p w14:paraId="5BCD130C"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lang w:eastAsia="en-GB"/>
                <w14:ligatures w14:val="none"/>
              </w:rPr>
              <w:t>2021</w:t>
            </w:r>
          </w:p>
        </w:tc>
        <w:tc>
          <w:tcPr>
            <w:tcW w:w="1732" w:type="dxa"/>
            <w:noWrap/>
            <w:hideMark/>
          </w:tcPr>
          <w:p w14:paraId="656090F1"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40,283</w:t>
            </w:r>
          </w:p>
        </w:tc>
        <w:tc>
          <w:tcPr>
            <w:tcW w:w="3592" w:type="dxa"/>
            <w:noWrap/>
            <w:hideMark/>
          </w:tcPr>
          <w:p w14:paraId="44A568BC" w14:textId="77777777" w:rsidR="00EC7E10" w:rsidRPr="0084257F" w:rsidRDefault="00EC7E10" w:rsidP="006C578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(12,586 + 4,455) = 17,041</w:t>
            </w:r>
          </w:p>
        </w:tc>
        <w:tc>
          <w:tcPr>
            <w:tcW w:w="1494" w:type="dxa"/>
            <w:noWrap/>
            <w:hideMark/>
          </w:tcPr>
          <w:p w14:paraId="18AFBF74" w14:textId="77777777" w:rsidR="00EC7E10" w:rsidRPr="0084257F" w:rsidRDefault="00EC7E10" w:rsidP="006C578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23,242</w:t>
            </w:r>
          </w:p>
        </w:tc>
      </w:tr>
      <w:tr w:rsidR="00EC7E10" w:rsidRPr="0084257F" w14:paraId="2CC67B64" w14:textId="77777777" w:rsidTr="006C578E">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2159" w:type="dxa"/>
            <w:tcBorders>
              <w:top w:val="none" w:sz="0" w:space="0" w:color="auto"/>
              <w:left w:val="none" w:sz="0" w:space="0" w:color="auto"/>
              <w:bottom w:val="none" w:sz="0" w:space="0" w:color="auto"/>
            </w:tcBorders>
            <w:noWrap/>
            <w:hideMark/>
          </w:tcPr>
          <w:p w14:paraId="10412ACA" w14:textId="77777777" w:rsidR="00EC7E10" w:rsidRPr="0084257F" w:rsidRDefault="00EC7E10" w:rsidP="006C578E">
            <w:pPr>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2020</w:t>
            </w:r>
          </w:p>
        </w:tc>
        <w:tc>
          <w:tcPr>
            <w:tcW w:w="1732" w:type="dxa"/>
            <w:noWrap/>
            <w:hideMark/>
          </w:tcPr>
          <w:p w14:paraId="2F13328B"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73,392</w:t>
            </w:r>
          </w:p>
        </w:tc>
        <w:tc>
          <w:tcPr>
            <w:tcW w:w="3592" w:type="dxa"/>
            <w:noWrap/>
            <w:hideMark/>
          </w:tcPr>
          <w:p w14:paraId="0E86C9F4" w14:textId="77777777" w:rsidR="00EC7E10" w:rsidRPr="0084257F" w:rsidRDefault="00EC7E10" w:rsidP="006C578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(16,862 + 6,372) = 23,234</w:t>
            </w:r>
          </w:p>
        </w:tc>
        <w:tc>
          <w:tcPr>
            <w:tcW w:w="1494" w:type="dxa"/>
            <w:noWrap/>
            <w:hideMark/>
          </w:tcPr>
          <w:p w14:paraId="63FE45BE" w14:textId="77777777" w:rsidR="00EC7E10" w:rsidRPr="0084257F" w:rsidRDefault="00EC7E10" w:rsidP="006C578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lang w:eastAsia="en-GB"/>
                <w14:ligatures w14:val="none"/>
              </w:rPr>
            </w:pPr>
            <w:r w:rsidRPr="0084257F">
              <w:rPr>
                <w:rFonts w:ascii="Arial" w:eastAsia="Times New Roman" w:hAnsi="Arial" w:cs="Arial"/>
                <w:color w:val="000000"/>
                <w:lang w:eastAsia="en-GB"/>
                <w14:ligatures w14:val="none"/>
              </w:rPr>
              <w:t>50,158</w:t>
            </w:r>
          </w:p>
        </w:tc>
      </w:tr>
    </w:tbl>
    <w:p w14:paraId="683243E8" w14:textId="77777777" w:rsidR="00EC7E10" w:rsidRPr="0084257F" w:rsidRDefault="00EC7E10" w:rsidP="00EC7E10"/>
    <w:tbl>
      <w:tblPr>
        <w:tblStyle w:val="GridTable3-Accent2"/>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685"/>
        <w:gridCol w:w="1061"/>
        <w:gridCol w:w="1120"/>
        <w:gridCol w:w="910"/>
        <w:gridCol w:w="1190"/>
        <w:gridCol w:w="910"/>
        <w:gridCol w:w="1355"/>
        <w:gridCol w:w="863"/>
        <w:gridCol w:w="886"/>
      </w:tblGrid>
      <w:tr w:rsidR="00EC7E10" w:rsidRPr="0084257F" w14:paraId="45DB23EF" w14:textId="77777777" w:rsidTr="00EC7E1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424C6D27" w14:textId="77777777" w:rsidR="00EC7E10" w:rsidRPr="00EC7E10" w:rsidRDefault="00EC7E10" w:rsidP="00EC7E10">
            <w:pPr>
              <w:spacing w:line="360" w:lineRule="auto"/>
              <w:jc w:val="both"/>
              <w:rPr>
                <w:rFonts w:ascii="Arial" w:hAnsi="Arial" w:cs="Arial"/>
              </w:rPr>
            </w:pPr>
            <w:r w:rsidRPr="00EC7E10">
              <w:rPr>
                <w:rFonts w:ascii="Arial" w:hAnsi="Arial" w:cs="Arial"/>
              </w:rPr>
              <w:t>Year</w:t>
            </w:r>
          </w:p>
        </w:tc>
        <w:tc>
          <w:tcPr>
            <w:tcW w:w="0" w:type="auto"/>
            <w:tcBorders>
              <w:top w:val="none" w:sz="0" w:space="0" w:color="auto"/>
              <w:left w:val="none" w:sz="0" w:space="0" w:color="auto"/>
              <w:right w:val="none" w:sz="0" w:space="0" w:color="auto"/>
            </w:tcBorders>
            <w:hideMark/>
          </w:tcPr>
          <w:p w14:paraId="09043788" w14:textId="77777777" w:rsidR="00EC7E10" w:rsidRPr="00EC7E10" w:rsidRDefault="00EC7E10" w:rsidP="00EC7E1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X1: Working Capital / Total Assets</w:t>
            </w:r>
          </w:p>
        </w:tc>
        <w:tc>
          <w:tcPr>
            <w:tcW w:w="0" w:type="auto"/>
            <w:tcBorders>
              <w:top w:val="none" w:sz="0" w:space="0" w:color="auto"/>
              <w:left w:val="none" w:sz="0" w:space="0" w:color="auto"/>
              <w:right w:val="none" w:sz="0" w:space="0" w:color="auto"/>
            </w:tcBorders>
            <w:hideMark/>
          </w:tcPr>
          <w:p w14:paraId="01D2FF07" w14:textId="77777777" w:rsidR="00EC7E10" w:rsidRPr="00EC7E10" w:rsidRDefault="00EC7E10" w:rsidP="00EC7E1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X2: Retained Earnings / Total Assets</w:t>
            </w:r>
          </w:p>
        </w:tc>
        <w:tc>
          <w:tcPr>
            <w:tcW w:w="0" w:type="auto"/>
            <w:tcBorders>
              <w:top w:val="none" w:sz="0" w:space="0" w:color="auto"/>
              <w:left w:val="none" w:sz="0" w:space="0" w:color="auto"/>
              <w:right w:val="none" w:sz="0" w:space="0" w:color="auto"/>
            </w:tcBorders>
            <w:hideMark/>
          </w:tcPr>
          <w:p w14:paraId="168E5FE0" w14:textId="77777777" w:rsidR="00EC7E10" w:rsidRPr="00EC7E10" w:rsidRDefault="00EC7E10" w:rsidP="00EC7E1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X3: EBIT / Total Assets</w:t>
            </w:r>
          </w:p>
        </w:tc>
        <w:tc>
          <w:tcPr>
            <w:tcW w:w="0" w:type="auto"/>
            <w:tcBorders>
              <w:top w:val="none" w:sz="0" w:space="0" w:color="auto"/>
              <w:left w:val="none" w:sz="0" w:space="0" w:color="auto"/>
              <w:right w:val="none" w:sz="0" w:space="0" w:color="auto"/>
            </w:tcBorders>
            <w:hideMark/>
          </w:tcPr>
          <w:p w14:paraId="6F00CDEB" w14:textId="77777777" w:rsidR="00EC7E10" w:rsidRPr="00EC7E10" w:rsidRDefault="00EC7E10" w:rsidP="00EC7E1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X4: Market Value of Equity / Total Liabilities</w:t>
            </w:r>
          </w:p>
        </w:tc>
        <w:tc>
          <w:tcPr>
            <w:tcW w:w="0" w:type="auto"/>
            <w:tcBorders>
              <w:top w:val="none" w:sz="0" w:space="0" w:color="auto"/>
              <w:left w:val="none" w:sz="0" w:space="0" w:color="auto"/>
              <w:right w:val="none" w:sz="0" w:space="0" w:color="auto"/>
            </w:tcBorders>
            <w:hideMark/>
          </w:tcPr>
          <w:p w14:paraId="0CE8B466" w14:textId="77777777" w:rsidR="00EC7E10" w:rsidRPr="00EC7E10" w:rsidRDefault="00EC7E10" w:rsidP="00EC7E1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X5: Sales / Total Assets</w:t>
            </w:r>
          </w:p>
        </w:tc>
        <w:tc>
          <w:tcPr>
            <w:tcW w:w="0" w:type="auto"/>
            <w:tcBorders>
              <w:top w:val="none" w:sz="0" w:space="0" w:color="auto"/>
              <w:left w:val="none" w:sz="0" w:space="0" w:color="auto"/>
              <w:right w:val="none" w:sz="0" w:space="0" w:color="auto"/>
            </w:tcBorders>
            <w:hideMark/>
          </w:tcPr>
          <w:p w14:paraId="565D62A1" w14:textId="77777777" w:rsidR="00EC7E10" w:rsidRPr="00EC7E10" w:rsidRDefault="00EC7E10" w:rsidP="00EC7E1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Z-Score Calculation (Z)</w:t>
            </w:r>
          </w:p>
        </w:tc>
        <w:tc>
          <w:tcPr>
            <w:tcW w:w="0" w:type="auto"/>
            <w:tcBorders>
              <w:top w:val="none" w:sz="0" w:space="0" w:color="auto"/>
              <w:left w:val="none" w:sz="0" w:space="0" w:color="auto"/>
              <w:right w:val="none" w:sz="0" w:space="0" w:color="auto"/>
            </w:tcBorders>
            <w:hideMark/>
          </w:tcPr>
          <w:p w14:paraId="579D8F75" w14:textId="77777777" w:rsidR="00EC7E10" w:rsidRPr="00EC7E10" w:rsidRDefault="00EC7E10" w:rsidP="00EC7E1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Z-Score</w:t>
            </w:r>
          </w:p>
        </w:tc>
        <w:tc>
          <w:tcPr>
            <w:tcW w:w="0" w:type="auto"/>
            <w:tcBorders>
              <w:top w:val="none" w:sz="0" w:space="0" w:color="auto"/>
              <w:left w:val="none" w:sz="0" w:space="0" w:color="auto"/>
              <w:right w:val="none" w:sz="0" w:space="0" w:color="auto"/>
            </w:tcBorders>
            <w:hideMark/>
          </w:tcPr>
          <w:p w14:paraId="52955498" w14:textId="77777777" w:rsidR="00EC7E10" w:rsidRPr="00EC7E10" w:rsidRDefault="00EC7E10" w:rsidP="00EC7E1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Zone</w:t>
            </w:r>
          </w:p>
        </w:tc>
      </w:tr>
      <w:tr w:rsidR="00EC7E10" w:rsidRPr="0084257F" w14:paraId="4C656478" w14:textId="77777777" w:rsidTr="00EC7E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02FE6411" w14:textId="77777777" w:rsidR="00EC7E10" w:rsidRPr="00EC7E10" w:rsidRDefault="00EC7E10" w:rsidP="00EC7E10">
            <w:pPr>
              <w:spacing w:line="360" w:lineRule="auto"/>
              <w:jc w:val="both"/>
              <w:rPr>
                <w:rFonts w:ascii="Arial" w:hAnsi="Arial" w:cs="Arial"/>
              </w:rPr>
            </w:pPr>
            <w:r w:rsidRPr="00EC7E10">
              <w:rPr>
                <w:rFonts w:ascii="Arial" w:hAnsi="Arial" w:cs="Arial"/>
              </w:rPr>
              <w:t>2024</w:t>
            </w:r>
          </w:p>
        </w:tc>
        <w:tc>
          <w:tcPr>
            <w:tcW w:w="0" w:type="auto"/>
            <w:hideMark/>
          </w:tcPr>
          <w:p w14:paraId="7451844A"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0.2603</w:t>
            </w:r>
          </w:p>
        </w:tc>
        <w:tc>
          <w:tcPr>
            <w:tcW w:w="0" w:type="auto"/>
            <w:hideMark/>
          </w:tcPr>
          <w:p w14:paraId="764CF9DA"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0.6450</w:t>
            </w:r>
          </w:p>
        </w:tc>
        <w:tc>
          <w:tcPr>
            <w:tcW w:w="0" w:type="auto"/>
            <w:hideMark/>
          </w:tcPr>
          <w:p w14:paraId="021A116B"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-0.0473</w:t>
            </w:r>
          </w:p>
        </w:tc>
        <w:tc>
          <w:tcPr>
            <w:tcW w:w="0" w:type="auto"/>
            <w:hideMark/>
          </w:tcPr>
          <w:p w14:paraId="3D1AD4AB"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0.8995</w:t>
            </w:r>
          </w:p>
        </w:tc>
        <w:tc>
          <w:tcPr>
            <w:tcW w:w="0" w:type="auto"/>
            <w:hideMark/>
          </w:tcPr>
          <w:p w14:paraId="495D70B3"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1.2205</w:t>
            </w:r>
          </w:p>
        </w:tc>
        <w:tc>
          <w:tcPr>
            <w:tcW w:w="0" w:type="auto"/>
            <w:hideMark/>
          </w:tcPr>
          <w:p w14:paraId="20B965EF"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1.2 × 0.2603 + 1.4 × 0.6450 + 3.3 × (-0.0473) + 0.6 × 0.8995 + 1.0 × 1.2205</w:t>
            </w:r>
          </w:p>
        </w:tc>
        <w:tc>
          <w:tcPr>
            <w:tcW w:w="0" w:type="auto"/>
            <w:hideMark/>
          </w:tcPr>
          <w:p w14:paraId="038852AD"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-0.8254</w:t>
            </w:r>
          </w:p>
        </w:tc>
        <w:tc>
          <w:tcPr>
            <w:tcW w:w="0" w:type="auto"/>
            <w:hideMark/>
          </w:tcPr>
          <w:p w14:paraId="1FD869F3"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b/>
                <w:bCs/>
              </w:rPr>
              <w:t>Red</w:t>
            </w:r>
          </w:p>
        </w:tc>
      </w:tr>
      <w:tr w:rsidR="00EC7E10" w:rsidRPr="0084257F" w14:paraId="488CD412" w14:textId="77777777" w:rsidTr="00EC7E10">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68CC3D96" w14:textId="77777777" w:rsidR="00EC7E10" w:rsidRPr="00EC7E10" w:rsidRDefault="00EC7E10" w:rsidP="00EC7E10">
            <w:pPr>
              <w:spacing w:line="360" w:lineRule="auto"/>
              <w:jc w:val="both"/>
              <w:rPr>
                <w:rFonts w:ascii="Arial" w:hAnsi="Arial" w:cs="Arial"/>
              </w:rPr>
            </w:pPr>
            <w:r w:rsidRPr="00EC7E10">
              <w:rPr>
                <w:rFonts w:ascii="Arial" w:hAnsi="Arial" w:cs="Arial"/>
              </w:rPr>
              <w:lastRenderedPageBreak/>
              <w:t>2023</w:t>
            </w:r>
          </w:p>
        </w:tc>
        <w:tc>
          <w:tcPr>
            <w:tcW w:w="0" w:type="auto"/>
            <w:hideMark/>
          </w:tcPr>
          <w:p w14:paraId="7E639634"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0.2746</w:t>
            </w:r>
          </w:p>
        </w:tc>
        <w:tc>
          <w:tcPr>
            <w:tcW w:w="0" w:type="auto"/>
            <w:hideMark/>
          </w:tcPr>
          <w:p w14:paraId="4D864C9D"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0.6535</w:t>
            </w:r>
          </w:p>
        </w:tc>
        <w:tc>
          <w:tcPr>
            <w:tcW w:w="0" w:type="auto"/>
            <w:hideMark/>
          </w:tcPr>
          <w:p w14:paraId="34360977"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-0.2393</w:t>
            </w:r>
          </w:p>
        </w:tc>
        <w:tc>
          <w:tcPr>
            <w:tcW w:w="0" w:type="auto"/>
            <w:hideMark/>
          </w:tcPr>
          <w:p w14:paraId="1815D953"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1.0111</w:t>
            </w:r>
          </w:p>
        </w:tc>
        <w:tc>
          <w:tcPr>
            <w:tcW w:w="0" w:type="auto"/>
            <w:hideMark/>
          </w:tcPr>
          <w:p w14:paraId="193EF662"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1.1818</w:t>
            </w:r>
          </w:p>
        </w:tc>
        <w:tc>
          <w:tcPr>
            <w:tcW w:w="0" w:type="auto"/>
            <w:hideMark/>
          </w:tcPr>
          <w:p w14:paraId="1F7ECE0B"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1.2 × 0.2746 + 1.4 × 0.6535 + 3.3 × (-0.2393) + 0.6 × 1.0111 + 1.0 × 1.1818</w:t>
            </w:r>
          </w:p>
        </w:tc>
        <w:tc>
          <w:tcPr>
            <w:tcW w:w="0" w:type="auto"/>
            <w:hideMark/>
          </w:tcPr>
          <w:p w14:paraId="5EB33790"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-0.6004</w:t>
            </w:r>
          </w:p>
        </w:tc>
        <w:tc>
          <w:tcPr>
            <w:tcW w:w="0" w:type="auto"/>
            <w:hideMark/>
          </w:tcPr>
          <w:p w14:paraId="1C6778AA"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b/>
                <w:bCs/>
              </w:rPr>
              <w:t>Red</w:t>
            </w:r>
          </w:p>
        </w:tc>
      </w:tr>
      <w:tr w:rsidR="00EC7E10" w:rsidRPr="0084257F" w14:paraId="0EEEFBAB" w14:textId="77777777" w:rsidTr="00EC7E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5DB086DC" w14:textId="77777777" w:rsidR="00EC7E10" w:rsidRPr="00EC7E10" w:rsidRDefault="00EC7E10" w:rsidP="00EC7E10">
            <w:pPr>
              <w:spacing w:line="360" w:lineRule="auto"/>
              <w:jc w:val="both"/>
              <w:rPr>
                <w:rFonts w:ascii="Arial" w:hAnsi="Arial" w:cs="Arial"/>
              </w:rPr>
            </w:pPr>
            <w:r w:rsidRPr="00EC7E10">
              <w:rPr>
                <w:rFonts w:ascii="Arial" w:hAnsi="Arial" w:cs="Arial"/>
              </w:rPr>
              <w:t>2022</w:t>
            </w:r>
          </w:p>
        </w:tc>
        <w:tc>
          <w:tcPr>
            <w:tcW w:w="0" w:type="auto"/>
            <w:hideMark/>
          </w:tcPr>
          <w:p w14:paraId="58329B55"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0.2415</w:t>
            </w:r>
          </w:p>
        </w:tc>
        <w:tc>
          <w:tcPr>
            <w:tcW w:w="0" w:type="auto"/>
            <w:hideMark/>
          </w:tcPr>
          <w:p w14:paraId="287DFDEC"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0.4615</w:t>
            </w:r>
          </w:p>
        </w:tc>
        <w:tc>
          <w:tcPr>
            <w:tcW w:w="0" w:type="auto"/>
            <w:hideMark/>
          </w:tcPr>
          <w:p w14:paraId="04830BBF"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0.0289</w:t>
            </w:r>
          </w:p>
        </w:tc>
        <w:tc>
          <w:tcPr>
            <w:tcW w:w="0" w:type="auto"/>
            <w:hideMark/>
          </w:tcPr>
          <w:p w14:paraId="32665D07"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0.9861</w:t>
            </w:r>
          </w:p>
        </w:tc>
        <w:tc>
          <w:tcPr>
            <w:tcW w:w="0" w:type="auto"/>
            <w:hideMark/>
          </w:tcPr>
          <w:p w14:paraId="1C0BA9B1"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1.0785</w:t>
            </w:r>
          </w:p>
        </w:tc>
        <w:tc>
          <w:tcPr>
            <w:tcW w:w="0" w:type="auto"/>
            <w:hideMark/>
          </w:tcPr>
          <w:p w14:paraId="06799E1B"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1.2 × 0.2415 + 1.4 × 0.4615 + 3.3 × 0.0289 + 0.6 × 0.9861 + 1.0 × 1.0785</w:t>
            </w:r>
          </w:p>
        </w:tc>
        <w:tc>
          <w:tcPr>
            <w:tcW w:w="0" w:type="auto"/>
            <w:hideMark/>
          </w:tcPr>
          <w:p w14:paraId="02B32B22"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2.5852</w:t>
            </w:r>
          </w:p>
        </w:tc>
        <w:tc>
          <w:tcPr>
            <w:tcW w:w="0" w:type="auto"/>
            <w:hideMark/>
          </w:tcPr>
          <w:p w14:paraId="2E8A691B"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b/>
                <w:bCs/>
              </w:rPr>
              <w:t>Yellow</w:t>
            </w:r>
          </w:p>
        </w:tc>
      </w:tr>
      <w:tr w:rsidR="00EC7E10" w:rsidRPr="0084257F" w14:paraId="74451622" w14:textId="77777777" w:rsidTr="00EC7E10">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013984D9" w14:textId="77777777" w:rsidR="00EC7E10" w:rsidRPr="00EC7E10" w:rsidRDefault="00EC7E10" w:rsidP="00EC7E10">
            <w:pPr>
              <w:spacing w:line="360" w:lineRule="auto"/>
              <w:jc w:val="both"/>
              <w:rPr>
                <w:rFonts w:ascii="Arial" w:hAnsi="Arial" w:cs="Arial"/>
              </w:rPr>
            </w:pPr>
            <w:r w:rsidRPr="00EC7E10">
              <w:rPr>
                <w:rFonts w:ascii="Arial" w:hAnsi="Arial" w:cs="Arial"/>
              </w:rPr>
              <w:t>2021</w:t>
            </w:r>
          </w:p>
        </w:tc>
        <w:tc>
          <w:tcPr>
            <w:tcW w:w="0" w:type="auto"/>
            <w:hideMark/>
          </w:tcPr>
          <w:p w14:paraId="16AA3560"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0.2353</w:t>
            </w:r>
          </w:p>
        </w:tc>
        <w:tc>
          <w:tcPr>
            <w:tcW w:w="0" w:type="auto"/>
            <w:hideMark/>
          </w:tcPr>
          <w:p w14:paraId="1ACE74BA"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0.4555</w:t>
            </w:r>
          </w:p>
        </w:tc>
        <w:tc>
          <w:tcPr>
            <w:tcW w:w="0" w:type="auto"/>
            <w:hideMark/>
          </w:tcPr>
          <w:p w14:paraId="7D60C22B"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0.0456</w:t>
            </w:r>
          </w:p>
        </w:tc>
        <w:tc>
          <w:tcPr>
            <w:tcW w:w="0" w:type="auto"/>
            <w:hideMark/>
          </w:tcPr>
          <w:p w14:paraId="0405F5D5"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0.9910</w:t>
            </w:r>
          </w:p>
        </w:tc>
        <w:tc>
          <w:tcPr>
            <w:tcW w:w="0" w:type="auto"/>
            <w:hideMark/>
          </w:tcPr>
          <w:p w14:paraId="73B48E2B"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1.1791</w:t>
            </w:r>
          </w:p>
        </w:tc>
        <w:tc>
          <w:tcPr>
            <w:tcW w:w="0" w:type="auto"/>
            <w:hideMark/>
          </w:tcPr>
          <w:p w14:paraId="70BF04C0"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1.2 × 0.2353 + 1.4 × 0.4555 + 3.3 × 0.0456 + 0.6 × 0.9910 + 1.0 × 1.1791</w:t>
            </w:r>
          </w:p>
        </w:tc>
        <w:tc>
          <w:tcPr>
            <w:tcW w:w="0" w:type="auto"/>
            <w:hideMark/>
          </w:tcPr>
          <w:p w14:paraId="6B2620C6"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2.8716</w:t>
            </w:r>
          </w:p>
        </w:tc>
        <w:tc>
          <w:tcPr>
            <w:tcW w:w="0" w:type="auto"/>
            <w:hideMark/>
          </w:tcPr>
          <w:p w14:paraId="30C442D8"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b/>
                <w:bCs/>
              </w:rPr>
              <w:t>Yellow</w:t>
            </w:r>
          </w:p>
        </w:tc>
      </w:tr>
      <w:tr w:rsidR="00EC7E10" w:rsidRPr="0084257F" w14:paraId="79633E6E" w14:textId="77777777" w:rsidTr="00EC7E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196F0300" w14:textId="77777777" w:rsidR="00EC7E10" w:rsidRPr="00EC7E10" w:rsidRDefault="00EC7E10" w:rsidP="00EC7E10">
            <w:pPr>
              <w:spacing w:line="360" w:lineRule="auto"/>
              <w:jc w:val="both"/>
              <w:rPr>
                <w:rFonts w:ascii="Arial" w:hAnsi="Arial" w:cs="Arial"/>
              </w:rPr>
            </w:pPr>
            <w:r w:rsidRPr="00EC7E10">
              <w:rPr>
                <w:rFonts w:ascii="Arial" w:hAnsi="Arial" w:cs="Arial"/>
              </w:rPr>
              <w:t>2020</w:t>
            </w:r>
          </w:p>
        </w:tc>
        <w:tc>
          <w:tcPr>
            <w:tcW w:w="0" w:type="auto"/>
            <w:hideMark/>
          </w:tcPr>
          <w:p w14:paraId="52D2D929"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0.2889</w:t>
            </w:r>
          </w:p>
        </w:tc>
        <w:tc>
          <w:tcPr>
            <w:tcW w:w="0" w:type="auto"/>
            <w:hideMark/>
          </w:tcPr>
          <w:p w14:paraId="7DE1E2A4"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0.5523</w:t>
            </w:r>
          </w:p>
        </w:tc>
        <w:tc>
          <w:tcPr>
            <w:tcW w:w="0" w:type="auto"/>
            <w:hideMark/>
          </w:tcPr>
          <w:p w14:paraId="5DC0AB3B"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0.0730</w:t>
            </w:r>
          </w:p>
        </w:tc>
        <w:tc>
          <w:tcPr>
            <w:tcW w:w="0" w:type="auto"/>
            <w:hideMark/>
          </w:tcPr>
          <w:p w14:paraId="4375E7CD"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1.4293</w:t>
            </w:r>
          </w:p>
        </w:tc>
        <w:tc>
          <w:tcPr>
            <w:tcW w:w="0" w:type="auto"/>
            <w:hideMark/>
          </w:tcPr>
          <w:p w14:paraId="1D4A767F"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1.2051</w:t>
            </w:r>
          </w:p>
        </w:tc>
        <w:tc>
          <w:tcPr>
            <w:tcW w:w="0" w:type="auto"/>
            <w:hideMark/>
          </w:tcPr>
          <w:p w14:paraId="4CB0A381"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 xml:space="preserve">1.2 × 0.2889 + 1.4 × </w:t>
            </w:r>
            <w:r w:rsidRPr="00EC7E10">
              <w:rPr>
                <w:rFonts w:ascii="Arial" w:hAnsi="Arial" w:cs="Arial"/>
              </w:rPr>
              <w:lastRenderedPageBreak/>
              <w:t>0.5523 + 3.3 × 0.0730 + 0.6 × 1.4293 + 1.0 × 1.2051</w:t>
            </w:r>
          </w:p>
        </w:tc>
        <w:tc>
          <w:tcPr>
            <w:tcW w:w="0" w:type="auto"/>
            <w:hideMark/>
          </w:tcPr>
          <w:p w14:paraId="2F7D5CA3"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lastRenderedPageBreak/>
              <w:t>4.2509</w:t>
            </w:r>
          </w:p>
        </w:tc>
        <w:tc>
          <w:tcPr>
            <w:tcW w:w="0" w:type="auto"/>
            <w:hideMark/>
          </w:tcPr>
          <w:p w14:paraId="7757ABB5"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b/>
                <w:bCs/>
              </w:rPr>
              <w:t>Green</w:t>
            </w:r>
          </w:p>
        </w:tc>
      </w:tr>
    </w:tbl>
    <w:p w14:paraId="771CA216" w14:textId="20833016" w:rsidR="00EC7E10" w:rsidRPr="0084257F" w:rsidRDefault="00EC7E10">
      <w:r w:rsidRPr="0084257F">
        <w:br w:type="page"/>
      </w:r>
    </w:p>
    <w:p w14:paraId="63D88CD7" w14:textId="3E8EDB99" w:rsidR="00EC7E10" w:rsidRPr="0084257F" w:rsidRDefault="00EC7E10" w:rsidP="00EC7E10">
      <w:pPr>
        <w:pStyle w:val="Heading2"/>
      </w:pPr>
      <w:bookmarkStart w:id="43" w:name="_Toc215418654"/>
      <w:r w:rsidRPr="0084257F">
        <w:lastRenderedPageBreak/>
        <w:t>Appendix B Working Capital Analysis</w:t>
      </w:r>
      <w:bookmarkEnd w:id="43"/>
    </w:p>
    <w:p w14:paraId="68530884" w14:textId="638E72A7" w:rsidR="00EC7E10" w:rsidRPr="0084257F" w:rsidRDefault="00EC7E10" w:rsidP="00EC7E10">
      <w:pPr>
        <w:rPr>
          <w:lang w:val="en-GB"/>
        </w:rPr>
      </w:pPr>
      <w:r w:rsidRPr="00EC7E10">
        <w:rPr>
          <w:lang w:val="en-GB"/>
        </w:rPr>
        <w:t>Cash Operating Cycle for 202</w:t>
      </w:r>
      <w:r w:rsidRPr="0084257F">
        <w:rPr>
          <w:lang w:val="en-GB"/>
        </w:rPr>
        <w:t>4</w:t>
      </w:r>
    </w:p>
    <w:tbl>
      <w:tblPr>
        <w:tblStyle w:val="GridTable3-Accent2"/>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792"/>
        <w:gridCol w:w="2872"/>
        <w:gridCol w:w="1992"/>
        <w:gridCol w:w="1324"/>
      </w:tblGrid>
      <w:tr w:rsidR="00EC7E10" w:rsidRPr="00EC7E10" w14:paraId="36733F08" w14:textId="77777777" w:rsidTr="00EC7E1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5BDAEA0C" w14:textId="77777777" w:rsidR="00EC7E10" w:rsidRPr="00EC7E10" w:rsidRDefault="00EC7E10" w:rsidP="00EC7E10">
            <w:pPr>
              <w:spacing w:line="360" w:lineRule="auto"/>
              <w:jc w:val="both"/>
              <w:rPr>
                <w:rFonts w:ascii="Arial" w:hAnsi="Arial" w:cs="Arial"/>
              </w:rPr>
            </w:pPr>
            <w:r w:rsidRPr="00EC7E10">
              <w:rPr>
                <w:rFonts w:ascii="Arial" w:hAnsi="Arial" w:cs="Arial"/>
              </w:rPr>
              <w:t>Component</w:t>
            </w:r>
          </w:p>
        </w:tc>
        <w:tc>
          <w:tcPr>
            <w:tcW w:w="0" w:type="auto"/>
            <w:tcBorders>
              <w:top w:val="none" w:sz="0" w:space="0" w:color="auto"/>
              <w:left w:val="none" w:sz="0" w:space="0" w:color="auto"/>
              <w:right w:val="none" w:sz="0" w:space="0" w:color="auto"/>
            </w:tcBorders>
            <w:hideMark/>
          </w:tcPr>
          <w:p w14:paraId="7851BADA" w14:textId="77777777" w:rsidR="00EC7E10" w:rsidRPr="00EC7E10" w:rsidRDefault="00EC7E10" w:rsidP="00EC7E1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Formula</w:t>
            </w:r>
          </w:p>
        </w:tc>
        <w:tc>
          <w:tcPr>
            <w:tcW w:w="0" w:type="auto"/>
            <w:tcBorders>
              <w:top w:val="none" w:sz="0" w:space="0" w:color="auto"/>
              <w:left w:val="none" w:sz="0" w:space="0" w:color="auto"/>
              <w:right w:val="none" w:sz="0" w:space="0" w:color="auto"/>
            </w:tcBorders>
            <w:hideMark/>
          </w:tcPr>
          <w:p w14:paraId="727A3DFF" w14:textId="77777777" w:rsidR="00EC7E10" w:rsidRPr="00EC7E10" w:rsidRDefault="00EC7E10" w:rsidP="00EC7E1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Value on the Formula</w:t>
            </w:r>
          </w:p>
        </w:tc>
        <w:tc>
          <w:tcPr>
            <w:tcW w:w="0" w:type="auto"/>
            <w:tcBorders>
              <w:top w:val="none" w:sz="0" w:space="0" w:color="auto"/>
              <w:left w:val="none" w:sz="0" w:space="0" w:color="auto"/>
              <w:right w:val="none" w:sz="0" w:space="0" w:color="auto"/>
            </w:tcBorders>
            <w:hideMark/>
          </w:tcPr>
          <w:p w14:paraId="56A942C4" w14:textId="77777777" w:rsidR="00EC7E10" w:rsidRPr="00EC7E10" w:rsidRDefault="00EC7E10" w:rsidP="00EC7E1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Result (Days)</w:t>
            </w:r>
          </w:p>
        </w:tc>
      </w:tr>
      <w:tr w:rsidR="00EC7E10" w:rsidRPr="00EC7E10" w14:paraId="0A28851D" w14:textId="77777777" w:rsidTr="00EC7E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7E45E9F9" w14:textId="77777777" w:rsidR="00EC7E10" w:rsidRPr="00EC7E10" w:rsidRDefault="00EC7E10" w:rsidP="00EC7E10">
            <w:pPr>
              <w:spacing w:line="360" w:lineRule="auto"/>
              <w:jc w:val="both"/>
              <w:rPr>
                <w:rFonts w:ascii="Arial" w:hAnsi="Arial" w:cs="Arial"/>
              </w:rPr>
            </w:pPr>
            <w:r w:rsidRPr="00EC7E10">
              <w:rPr>
                <w:rFonts w:ascii="Arial" w:hAnsi="Arial" w:cs="Arial"/>
                <w:b/>
                <w:bCs/>
              </w:rPr>
              <w:t>Days Inventory Outstanding (DIO)</w:t>
            </w:r>
          </w:p>
        </w:tc>
        <w:tc>
          <w:tcPr>
            <w:tcW w:w="0" w:type="auto"/>
            <w:hideMark/>
          </w:tcPr>
          <w:p w14:paraId="5B2DEE04"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(Inventory / Cost of Sales) * 365</w:t>
            </w:r>
          </w:p>
        </w:tc>
        <w:tc>
          <w:tcPr>
            <w:tcW w:w="0" w:type="auto"/>
            <w:hideMark/>
          </w:tcPr>
          <w:p w14:paraId="0C10F356"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(79,355 / 280,885) * 365</w:t>
            </w:r>
          </w:p>
        </w:tc>
        <w:tc>
          <w:tcPr>
            <w:tcW w:w="0" w:type="auto"/>
            <w:hideMark/>
          </w:tcPr>
          <w:p w14:paraId="0153E298"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103.12</w:t>
            </w:r>
          </w:p>
        </w:tc>
      </w:tr>
      <w:tr w:rsidR="00EC7E10" w:rsidRPr="00EC7E10" w14:paraId="736B4565" w14:textId="77777777" w:rsidTr="00EC7E10">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4F875D3C" w14:textId="77777777" w:rsidR="00EC7E10" w:rsidRPr="00EC7E10" w:rsidRDefault="00EC7E10" w:rsidP="00EC7E10">
            <w:pPr>
              <w:spacing w:line="360" w:lineRule="auto"/>
              <w:jc w:val="both"/>
              <w:rPr>
                <w:rFonts w:ascii="Arial" w:hAnsi="Arial" w:cs="Arial"/>
              </w:rPr>
            </w:pPr>
            <w:r w:rsidRPr="00EC7E10">
              <w:rPr>
                <w:rFonts w:ascii="Arial" w:hAnsi="Arial" w:cs="Arial"/>
                <w:b/>
                <w:bCs/>
              </w:rPr>
              <w:t>Days Sales Outstanding (DSO)</w:t>
            </w:r>
          </w:p>
        </w:tc>
        <w:tc>
          <w:tcPr>
            <w:tcW w:w="0" w:type="auto"/>
            <w:hideMark/>
          </w:tcPr>
          <w:p w14:paraId="1710B8E1"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(Accounts Receivable / Net Sales) * 365</w:t>
            </w:r>
          </w:p>
        </w:tc>
        <w:tc>
          <w:tcPr>
            <w:tcW w:w="0" w:type="auto"/>
            <w:hideMark/>
          </w:tcPr>
          <w:p w14:paraId="77914516"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(114,182 / 394,879) * 365</w:t>
            </w:r>
          </w:p>
        </w:tc>
        <w:tc>
          <w:tcPr>
            <w:tcW w:w="0" w:type="auto"/>
            <w:hideMark/>
          </w:tcPr>
          <w:p w14:paraId="1B14436C"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105.54</w:t>
            </w:r>
          </w:p>
        </w:tc>
      </w:tr>
      <w:tr w:rsidR="00EC7E10" w:rsidRPr="00EC7E10" w14:paraId="78E8BA24" w14:textId="77777777" w:rsidTr="00EC7E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7552389C" w14:textId="77777777" w:rsidR="00EC7E10" w:rsidRPr="00EC7E10" w:rsidRDefault="00EC7E10" w:rsidP="00EC7E10">
            <w:pPr>
              <w:spacing w:line="360" w:lineRule="auto"/>
              <w:jc w:val="both"/>
              <w:rPr>
                <w:rFonts w:ascii="Arial" w:hAnsi="Arial" w:cs="Arial"/>
              </w:rPr>
            </w:pPr>
            <w:r w:rsidRPr="00EC7E10">
              <w:rPr>
                <w:rFonts w:ascii="Arial" w:hAnsi="Arial" w:cs="Arial"/>
                <w:b/>
                <w:bCs/>
              </w:rPr>
              <w:t>Days Payables Outstanding (DPO)</w:t>
            </w:r>
          </w:p>
        </w:tc>
        <w:tc>
          <w:tcPr>
            <w:tcW w:w="0" w:type="auto"/>
            <w:hideMark/>
          </w:tcPr>
          <w:p w14:paraId="6E52C1DD"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(Accounts Payable / Cost of Sales) * 365</w:t>
            </w:r>
          </w:p>
        </w:tc>
        <w:tc>
          <w:tcPr>
            <w:tcW w:w="0" w:type="auto"/>
            <w:hideMark/>
          </w:tcPr>
          <w:p w14:paraId="77E42B99"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(72,031 / 280,885) * 365</w:t>
            </w:r>
          </w:p>
        </w:tc>
        <w:tc>
          <w:tcPr>
            <w:tcW w:w="0" w:type="auto"/>
            <w:hideMark/>
          </w:tcPr>
          <w:p w14:paraId="07699794" w14:textId="77777777" w:rsidR="00EC7E10" w:rsidRPr="00EC7E10" w:rsidRDefault="00EC7E10" w:rsidP="00EC7E1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C7E10">
              <w:rPr>
                <w:rFonts w:ascii="Arial" w:hAnsi="Arial" w:cs="Arial"/>
              </w:rPr>
              <w:t>93.60</w:t>
            </w:r>
          </w:p>
        </w:tc>
      </w:tr>
      <w:tr w:rsidR="00EC7E10" w:rsidRPr="00EC7E10" w14:paraId="029D116F" w14:textId="77777777" w:rsidTr="00EC7E10">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1339EBD2" w14:textId="77777777" w:rsidR="00EC7E10" w:rsidRPr="00EC7E10" w:rsidRDefault="00EC7E10" w:rsidP="00EC7E10">
            <w:pPr>
              <w:spacing w:line="360" w:lineRule="auto"/>
              <w:jc w:val="both"/>
              <w:rPr>
                <w:rFonts w:ascii="Arial" w:hAnsi="Arial" w:cs="Arial"/>
              </w:rPr>
            </w:pPr>
            <w:r w:rsidRPr="00EC7E10">
              <w:rPr>
                <w:rFonts w:ascii="Arial" w:hAnsi="Arial" w:cs="Arial"/>
                <w:b/>
                <w:bCs/>
              </w:rPr>
              <w:t>Cash Operating Cycle (COC)</w:t>
            </w:r>
          </w:p>
        </w:tc>
        <w:tc>
          <w:tcPr>
            <w:tcW w:w="0" w:type="auto"/>
            <w:hideMark/>
          </w:tcPr>
          <w:p w14:paraId="30188AC4"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DIO + DSO - DPO</w:t>
            </w:r>
          </w:p>
        </w:tc>
        <w:tc>
          <w:tcPr>
            <w:tcW w:w="0" w:type="auto"/>
            <w:hideMark/>
          </w:tcPr>
          <w:p w14:paraId="389052E0"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103.12 + 105.54 - 93.60</w:t>
            </w:r>
          </w:p>
        </w:tc>
        <w:tc>
          <w:tcPr>
            <w:tcW w:w="0" w:type="auto"/>
            <w:hideMark/>
          </w:tcPr>
          <w:p w14:paraId="13C834C4" w14:textId="77777777" w:rsidR="00EC7E10" w:rsidRPr="00EC7E10" w:rsidRDefault="00EC7E10" w:rsidP="00EC7E1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C7E10">
              <w:rPr>
                <w:rFonts w:ascii="Arial" w:hAnsi="Arial" w:cs="Arial"/>
              </w:rPr>
              <w:t>115.06</w:t>
            </w:r>
          </w:p>
        </w:tc>
      </w:tr>
    </w:tbl>
    <w:p w14:paraId="30ACD4BE" w14:textId="77777777" w:rsidR="00EC7E10" w:rsidRPr="0084257F" w:rsidRDefault="00EC7E10" w:rsidP="00EC7E10">
      <w:pPr>
        <w:rPr>
          <w:lang w:val="en-GB"/>
        </w:rPr>
      </w:pPr>
    </w:p>
    <w:p w14:paraId="7BEA5A76" w14:textId="5684BF26" w:rsidR="00EC7E10" w:rsidRPr="0084257F" w:rsidRDefault="00EC7E10" w:rsidP="00EC7E10">
      <w:pPr>
        <w:rPr>
          <w:lang w:val="en-GB"/>
        </w:rPr>
      </w:pPr>
      <w:r w:rsidRPr="0084257F">
        <w:rPr>
          <w:lang w:val="en-GB"/>
        </w:rPr>
        <w:t>Cash Operating Cycle for 2023</w:t>
      </w:r>
    </w:p>
    <w:tbl>
      <w:tblPr>
        <w:tblStyle w:val="GridTable3-Accent2"/>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792"/>
        <w:gridCol w:w="2872"/>
        <w:gridCol w:w="1992"/>
        <w:gridCol w:w="1324"/>
      </w:tblGrid>
      <w:tr w:rsidR="0084257F" w:rsidRPr="0084257F" w14:paraId="7C2913D4" w14:textId="77777777" w:rsidTr="0084257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4D31A1B5" w14:textId="77777777" w:rsidR="0084257F" w:rsidRPr="0084257F" w:rsidRDefault="0084257F" w:rsidP="0084257F">
            <w:pPr>
              <w:spacing w:line="360" w:lineRule="auto"/>
              <w:jc w:val="both"/>
              <w:rPr>
                <w:rFonts w:ascii="Arial" w:hAnsi="Arial" w:cs="Arial"/>
              </w:rPr>
            </w:pPr>
            <w:r w:rsidRPr="0084257F">
              <w:rPr>
                <w:rFonts w:ascii="Arial" w:hAnsi="Arial" w:cs="Arial"/>
              </w:rPr>
              <w:t>Component</w:t>
            </w:r>
          </w:p>
        </w:tc>
        <w:tc>
          <w:tcPr>
            <w:tcW w:w="0" w:type="auto"/>
            <w:tcBorders>
              <w:top w:val="none" w:sz="0" w:space="0" w:color="auto"/>
              <w:left w:val="none" w:sz="0" w:space="0" w:color="auto"/>
              <w:right w:val="none" w:sz="0" w:space="0" w:color="auto"/>
            </w:tcBorders>
            <w:hideMark/>
          </w:tcPr>
          <w:p w14:paraId="04156D75" w14:textId="77777777" w:rsidR="0084257F" w:rsidRPr="0084257F" w:rsidRDefault="0084257F" w:rsidP="008425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Formula</w:t>
            </w:r>
          </w:p>
        </w:tc>
        <w:tc>
          <w:tcPr>
            <w:tcW w:w="0" w:type="auto"/>
            <w:tcBorders>
              <w:top w:val="none" w:sz="0" w:space="0" w:color="auto"/>
              <w:left w:val="none" w:sz="0" w:space="0" w:color="auto"/>
              <w:right w:val="none" w:sz="0" w:space="0" w:color="auto"/>
            </w:tcBorders>
            <w:hideMark/>
          </w:tcPr>
          <w:p w14:paraId="4514C6AB" w14:textId="77777777" w:rsidR="0084257F" w:rsidRPr="0084257F" w:rsidRDefault="0084257F" w:rsidP="008425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Value on the Formula</w:t>
            </w:r>
          </w:p>
        </w:tc>
        <w:tc>
          <w:tcPr>
            <w:tcW w:w="0" w:type="auto"/>
            <w:tcBorders>
              <w:top w:val="none" w:sz="0" w:space="0" w:color="auto"/>
              <w:left w:val="none" w:sz="0" w:space="0" w:color="auto"/>
              <w:right w:val="none" w:sz="0" w:space="0" w:color="auto"/>
            </w:tcBorders>
            <w:hideMark/>
          </w:tcPr>
          <w:p w14:paraId="49166B8E" w14:textId="77777777" w:rsidR="0084257F" w:rsidRPr="0084257F" w:rsidRDefault="0084257F" w:rsidP="008425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Result (Days)</w:t>
            </w:r>
          </w:p>
        </w:tc>
      </w:tr>
      <w:tr w:rsidR="0084257F" w:rsidRPr="0084257F" w14:paraId="257966E3"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4EEAA5C6" w14:textId="77777777" w:rsidR="0084257F" w:rsidRPr="0084257F" w:rsidRDefault="0084257F" w:rsidP="0084257F">
            <w:pPr>
              <w:spacing w:line="360" w:lineRule="auto"/>
              <w:jc w:val="both"/>
              <w:rPr>
                <w:rFonts w:ascii="Arial" w:hAnsi="Arial" w:cs="Arial"/>
              </w:rPr>
            </w:pPr>
            <w:r w:rsidRPr="0084257F">
              <w:rPr>
                <w:rFonts w:ascii="Arial" w:hAnsi="Arial" w:cs="Arial"/>
                <w:b/>
                <w:bCs/>
              </w:rPr>
              <w:t>Days Inventory Outstanding (DIO)</w:t>
            </w:r>
          </w:p>
        </w:tc>
        <w:tc>
          <w:tcPr>
            <w:tcW w:w="0" w:type="auto"/>
            <w:hideMark/>
          </w:tcPr>
          <w:p w14:paraId="1AE67D37"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(Inventory / Cost of Sales) * 365</w:t>
            </w:r>
          </w:p>
        </w:tc>
        <w:tc>
          <w:tcPr>
            <w:tcW w:w="0" w:type="auto"/>
            <w:hideMark/>
          </w:tcPr>
          <w:p w14:paraId="175E6A1E"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(88,273 / 322,897) * 365</w:t>
            </w:r>
          </w:p>
        </w:tc>
        <w:tc>
          <w:tcPr>
            <w:tcW w:w="0" w:type="auto"/>
            <w:hideMark/>
          </w:tcPr>
          <w:p w14:paraId="1C19D126"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99.67</w:t>
            </w:r>
          </w:p>
        </w:tc>
      </w:tr>
      <w:tr w:rsidR="0084257F" w:rsidRPr="0084257F" w14:paraId="21E3E0EF" w14:textId="77777777" w:rsidTr="0084257F">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3D6CE244" w14:textId="77777777" w:rsidR="0084257F" w:rsidRPr="0084257F" w:rsidRDefault="0084257F" w:rsidP="0084257F">
            <w:pPr>
              <w:spacing w:line="360" w:lineRule="auto"/>
              <w:jc w:val="both"/>
              <w:rPr>
                <w:rFonts w:ascii="Arial" w:hAnsi="Arial" w:cs="Arial"/>
              </w:rPr>
            </w:pPr>
            <w:r w:rsidRPr="0084257F">
              <w:rPr>
                <w:rFonts w:ascii="Arial" w:hAnsi="Arial" w:cs="Arial"/>
                <w:b/>
                <w:bCs/>
              </w:rPr>
              <w:t>Days Sales Outstanding (DSO)</w:t>
            </w:r>
          </w:p>
        </w:tc>
        <w:tc>
          <w:tcPr>
            <w:tcW w:w="0" w:type="auto"/>
            <w:hideMark/>
          </w:tcPr>
          <w:p w14:paraId="15310F57"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(Accounts Receivable / Net Sales) * 365</w:t>
            </w:r>
          </w:p>
        </w:tc>
        <w:tc>
          <w:tcPr>
            <w:tcW w:w="0" w:type="auto"/>
            <w:hideMark/>
          </w:tcPr>
          <w:p w14:paraId="16263EC5"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(112,596 / 420,457) * 365</w:t>
            </w:r>
          </w:p>
        </w:tc>
        <w:tc>
          <w:tcPr>
            <w:tcW w:w="0" w:type="auto"/>
            <w:hideMark/>
          </w:tcPr>
          <w:p w14:paraId="5442CDF4"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97.49</w:t>
            </w:r>
          </w:p>
        </w:tc>
      </w:tr>
      <w:tr w:rsidR="0084257F" w:rsidRPr="0084257F" w14:paraId="5368FF0E"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3E38FBC1" w14:textId="77777777" w:rsidR="0084257F" w:rsidRPr="0084257F" w:rsidRDefault="0084257F" w:rsidP="0084257F">
            <w:pPr>
              <w:spacing w:line="360" w:lineRule="auto"/>
              <w:jc w:val="both"/>
              <w:rPr>
                <w:rFonts w:ascii="Arial" w:hAnsi="Arial" w:cs="Arial"/>
              </w:rPr>
            </w:pPr>
            <w:r w:rsidRPr="0084257F">
              <w:rPr>
                <w:rFonts w:ascii="Arial" w:hAnsi="Arial" w:cs="Arial"/>
                <w:b/>
                <w:bCs/>
              </w:rPr>
              <w:t>Days Payables Outstanding (DPO)</w:t>
            </w:r>
          </w:p>
        </w:tc>
        <w:tc>
          <w:tcPr>
            <w:tcW w:w="0" w:type="auto"/>
            <w:hideMark/>
          </w:tcPr>
          <w:p w14:paraId="2B1EE72B"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(Accounts Payable / Cost of Sales) * 365</w:t>
            </w:r>
          </w:p>
        </w:tc>
        <w:tc>
          <w:tcPr>
            <w:tcW w:w="0" w:type="auto"/>
            <w:hideMark/>
          </w:tcPr>
          <w:p w14:paraId="5B971E1B"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(57,033 / 322,897) * 365</w:t>
            </w:r>
          </w:p>
        </w:tc>
        <w:tc>
          <w:tcPr>
            <w:tcW w:w="0" w:type="auto"/>
            <w:hideMark/>
          </w:tcPr>
          <w:p w14:paraId="4F6AE892"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64.44</w:t>
            </w:r>
          </w:p>
        </w:tc>
      </w:tr>
      <w:tr w:rsidR="0084257F" w:rsidRPr="0084257F" w14:paraId="39CF3ABB" w14:textId="77777777" w:rsidTr="0084257F">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7E0DAA01" w14:textId="77777777" w:rsidR="0084257F" w:rsidRPr="0084257F" w:rsidRDefault="0084257F" w:rsidP="0084257F">
            <w:pPr>
              <w:spacing w:line="360" w:lineRule="auto"/>
              <w:jc w:val="both"/>
              <w:rPr>
                <w:rFonts w:ascii="Arial" w:hAnsi="Arial" w:cs="Arial"/>
              </w:rPr>
            </w:pPr>
            <w:r w:rsidRPr="0084257F">
              <w:rPr>
                <w:rFonts w:ascii="Arial" w:hAnsi="Arial" w:cs="Arial"/>
                <w:b/>
                <w:bCs/>
              </w:rPr>
              <w:t>Cash Operating Cycle (COC)</w:t>
            </w:r>
          </w:p>
        </w:tc>
        <w:tc>
          <w:tcPr>
            <w:tcW w:w="0" w:type="auto"/>
            <w:hideMark/>
          </w:tcPr>
          <w:p w14:paraId="6D3FD41C"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DIO + DSO - DPO</w:t>
            </w:r>
          </w:p>
        </w:tc>
        <w:tc>
          <w:tcPr>
            <w:tcW w:w="0" w:type="auto"/>
            <w:hideMark/>
          </w:tcPr>
          <w:p w14:paraId="44B917CE"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99.67 + 97.49 - 64.44</w:t>
            </w:r>
          </w:p>
        </w:tc>
        <w:tc>
          <w:tcPr>
            <w:tcW w:w="0" w:type="auto"/>
            <w:hideMark/>
          </w:tcPr>
          <w:p w14:paraId="0BD30764"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132.72</w:t>
            </w:r>
          </w:p>
        </w:tc>
      </w:tr>
    </w:tbl>
    <w:p w14:paraId="142C3525" w14:textId="77777777" w:rsidR="00EC7E10" w:rsidRPr="0084257F" w:rsidRDefault="00EC7E10" w:rsidP="00EC7E10">
      <w:pPr>
        <w:rPr>
          <w:lang w:val="en-GB"/>
        </w:rPr>
      </w:pPr>
    </w:p>
    <w:p w14:paraId="0215AC16" w14:textId="214B26EB" w:rsidR="00EC7E10" w:rsidRPr="0084257F" w:rsidRDefault="00EC7E10" w:rsidP="00EC7E10">
      <w:pPr>
        <w:rPr>
          <w:lang w:val="en-GB"/>
        </w:rPr>
      </w:pPr>
      <w:r w:rsidRPr="0084257F">
        <w:rPr>
          <w:lang w:val="en-GB"/>
        </w:rPr>
        <w:t>Cash Operating Cycle for 2022</w:t>
      </w:r>
    </w:p>
    <w:tbl>
      <w:tblPr>
        <w:tblStyle w:val="GridTable3-Accent2"/>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792"/>
        <w:gridCol w:w="2872"/>
        <w:gridCol w:w="1992"/>
        <w:gridCol w:w="1324"/>
      </w:tblGrid>
      <w:tr w:rsidR="0084257F" w:rsidRPr="0084257F" w14:paraId="6805949D" w14:textId="77777777" w:rsidTr="0084257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66B87400" w14:textId="77777777" w:rsidR="0084257F" w:rsidRPr="0084257F" w:rsidRDefault="0084257F" w:rsidP="0084257F">
            <w:pPr>
              <w:spacing w:line="360" w:lineRule="auto"/>
              <w:jc w:val="both"/>
              <w:rPr>
                <w:rFonts w:ascii="Arial" w:hAnsi="Arial" w:cs="Arial"/>
              </w:rPr>
            </w:pPr>
            <w:r w:rsidRPr="0084257F">
              <w:rPr>
                <w:rFonts w:ascii="Arial" w:hAnsi="Arial" w:cs="Arial"/>
              </w:rPr>
              <w:t>Component</w:t>
            </w:r>
          </w:p>
        </w:tc>
        <w:tc>
          <w:tcPr>
            <w:tcW w:w="0" w:type="auto"/>
            <w:tcBorders>
              <w:top w:val="none" w:sz="0" w:space="0" w:color="auto"/>
              <w:left w:val="none" w:sz="0" w:space="0" w:color="auto"/>
              <w:right w:val="none" w:sz="0" w:space="0" w:color="auto"/>
            </w:tcBorders>
            <w:hideMark/>
          </w:tcPr>
          <w:p w14:paraId="4D4713F1" w14:textId="77777777" w:rsidR="0084257F" w:rsidRPr="0084257F" w:rsidRDefault="0084257F" w:rsidP="008425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Formula</w:t>
            </w:r>
          </w:p>
        </w:tc>
        <w:tc>
          <w:tcPr>
            <w:tcW w:w="0" w:type="auto"/>
            <w:tcBorders>
              <w:top w:val="none" w:sz="0" w:space="0" w:color="auto"/>
              <w:left w:val="none" w:sz="0" w:space="0" w:color="auto"/>
              <w:right w:val="none" w:sz="0" w:space="0" w:color="auto"/>
            </w:tcBorders>
            <w:hideMark/>
          </w:tcPr>
          <w:p w14:paraId="3AD4ECA0" w14:textId="77777777" w:rsidR="0084257F" w:rsidRPr="0084257F" w:rsidRDefault="0084257F" w:rsidP="008425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Value on the Formula</w:t>
            </w:r>
          </w:p>
        </w:tc>
        <w:tc>
          <w:tcPr>
            <w:tcW w:w="0" w:type="auto"/>
            <w:tcBorders>
              <w:top w:val="none" w:sz="0" w:space="0" w:color="auto"/>
              <w:left w:val="none" w:sz="0" w:space="0" w:color="auto"/>
              <w:right w:val="none" w:sz="0" w:space="0" w:color="auto"/>
            </w:tcBorders>
            <w:hideMark/>
          </w:tcPr>
          <w:p w14:paraId="15869B6E" w14:textId="77777777" w:rsidR="0084257F" w:rsidRPr="0084257F" w:rsidRDefault="0084257F" w:rsidP="008425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Result (Days)</w:t>
            </w:r>
          </w:p>
        </w:tc>
      </w:tr>
      <w:tr w:rsidR="0084257F" w:rsidRPr="0084257F" w14:paraId="49A99F13"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39233A14" w14:textId="77777777" w:rsidR="0084257F" w:rsidRPr="0084257F" w:rsidRDefault="0084257F" w:rsidP="0084257F">
            <w:pPr>
              <w:spacing w:line="360" w:lineRule="auto"/>
              <w:jc w:val="both"/>
              <w:rPr>
                <w:rFonts w:ascii="Arial" w:hAnsi="Arial" w:cs="Arial"/>
              </w:rPr>
            </w:pPr>
            <w:r w:rsidRPr="0084257F">
              <w:rPr>
                <w:rFonts w:ascii="Arial" w:hAnsi="Arial" w:cs="Arial"/>
                <w:b/>
                <w:bCs/>
              </w:rPr>
              <w:t>Days Inventory Outstanding (DIO)</w:t>
            </w:r>
          </w:p>
        </w:tc>
        <w:tc>
          <w:tcPr>
            <w:tcW w:w="0" w:type="auto"/>
            <w:hideMark/>
          </w:tcPr>
          <w:p w14:paraId="1777F273"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(Inventory / Cost of Sales) * 365</w:t>
            </w:r>
          </w:p>
        </w:tc>
        <w:tc>
          <w:tcPr>
            <w:tcW w:w="0" w:type="auto"/>
            <w:hideMark/>
          </w:tcPr>
          <w:p w14:paraId="6F9CEFCE"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(140,181 / 390,459) * 365</w:t>
            </w:r>
          </w:p>
        </w:tc>
        <w:tc>
          <w:tcPr>
            <w:tcW w:w="0" w:type="auto"/>
            <w:hideMark/>
          </w:tcPr>
          <w:p w14:paraId="72A89D5B"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130.51</w:t>
            </w:r>
          </w:p>
        </w:tc>
      </w:tr>
      <w:tr w:rsidR="0084257F" w:rsidRPr="0084257F" w14:paraId="02D15ABE" w14:textId="77777777" w:rsidTr="0084257F">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0B486EDA" w14:textId="77777777" w:rsidR="0084257F" w:rsidRPr="0084257F" w:rsidRDefault="0084257F" w:rsidP="0084257F">
            <w:pPr>
              <w:spacing w:line="360" w:lineRule="auto"/>
              <w:jc w:val="both"/>
              <w:rPr>
                <w:rFonts w:ascii="Arial" w:hAnsi="Arial" w:cs="Arial"/>
              </w:rPr>
            </w:pPr>
            <w:r w:rsidRPr="0084257F">
              <w:rPr>
                <w:rFonts w:ascii="Arial" w:hAnsi="Arial" w:cs="Arial"/>
                <w:b/>
                <w:bCs/>
              </w:rPr>
              <w:lastRenderedPageBreak/>
              <w:t>Days Sales Outstanding (DSO)</w:t>
            </w:r>
          </w:p>
        </w:tc>
        <w:tc>
          <w:tcPr>
            <w:tcW w:w="0" w:type="auto"/>
            <w:hideMark/>
          </w:tcPr>
          <w:p w14:paraId="74D15797"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(Accounts Receivable / Net Sales) * 365</w:t>
            </w:r>
          </w:p>
        </w:tc>
        <w:tc>
          <w:tcPr>
            <w:tcW w:w="0" w:type="auto"/>
            <w:hideMark/>
          </w:tcPr>
          <w:p w14:paraId="1E1A371D"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(112,346 / 542,751) * 365</w:t>
            </w:r>
          </w:p>
        </w:tc>
        <w:tc>
          <w:tcPr>
            <w:tcW w:w="0" w:type="auto"/>
            <w:hideMark/>
          </w:tcPr>
          <w:p w14:paraId="6EC125BB"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75.43</w:t>
            </w:r>
          </w:p>
        </w:tc>
      </w:tr>
      <w:tr w:rsidR="0084257F" w:rsidRPr="0084257F" w14:paraId="389AEEEA"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3492DC67" w14:textId="77777777" w:rsidR="0084257F" w:rsidRPr="0084257F" w:rsidRDefault="0084257F" w:rsidP="0084257F">
            <w:pPr>
              <w:spacing w:line="360" w:lineRule="auto"/>
              <w:jc w:val="both"/>
              <w:rPr>
                <w:rFonts w:ascii="Arial" w:hAnsi="Arial" w:cs="Arial"/>
              </w:rPr>
            </w:pPr>
            <w:r w:rsidRPr="0084257F">
              <w:rPr>
                <w:rFonts w:ascii="Arial" w:hAnsi="Arial" w:cs="Arial"/>
                <w:b/>
                <w:bCs/>
              </w:rPr>
              <w:t>Days Payables Outstanding (DPO)</w:t>
            </w:r>
          </w:p>
        </w:tc>
        <w:tc>
          <w:tcPr>
            <w:tcW w:w="0" w:type="auto"/>
            <w:hideMark/>
          </w:tcPr>
          <w:p w14:paraId="011E29CD"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(Accounts Payable / Cost of Sales) * 365</w:t>
            </w:r>
          </w:p>
        </w:tc>
        <w:tc>
          <w:tcPr>
            <w:tcW w:w="0" w:type="auto"/>
            <w:hideMark/>
          </w:tcPr>
          <w:p w14:paraId="7D36416F"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(71,373 / 390,459) * 365</w:t>
            </w:r>
          </w:p>
        </w:tc>
        <w:tc>
          <w:tcPr>
            <w:tcW w:w="0" w:type="auto"/>
            <w:hideMark/>
          </w:tcPr>
          <w:p w14:paraId="257946B9"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66.65</w:t>
            </w:r>
          </w:p>
        </w:tc>
      </w:tr>
      <w:tr w:rsidR="0084257F" w:rsidRPr="0084257F" w14:paraId="6B233D7F" w14:textId="77777777" w:rsidTr="0084257F">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2ACC5A54" w14:textId="77777777" w:rsidR="0084257F" w:rsidRPr="0084257F" w:rsidRDefault="0084257F" w:rsidP="0084257F">
            <w:pPr>
              <w:spacing w:line="360" w:lineRule="auto"/>
              <w:jc w:val="both"/>
              <w:rPr>
                <w:rFonts w:ascii="Arial" w:hAnsi="Arial" w:cs="Arial"/>
              </w:rPr>
            </w:pPr>
            <w:r w:rsidRPr="0084257F">
              <w:rPr>
                <w:rFonts w:ascii="Arial" w:hAnsi="Arial" w:cs="Arial"/>
                <w:b/>
                <w:bCs/>
              </w:rPr>
              <w:t>Cash Operating Cycle (COC)</w:t>
            </w:r>
          </w:p>
        </w:tc>
        <w:tc>
          <w:tcPr>
            <w:tcW w:w="0" w:type="auto"/>
            <w:hideMark/>
          </w:tcPr>
          <w:p w14:paraId="7CB221C0"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DIO + DSO - DPO</w:t>
            </w:r>
          </w:p>
        </w:tc>
        <w:tc>
          <w:tcPr>
            <w:tcW w:w="0" w:type="auto"/>
            <w:hideMark/>
          </w:tcPr>
          <w:p w14:paraId="58C5CFC4"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130.51 + 75.43 - 66.65</w:t>
            </w:r>
          </w:p>
        </w:tc>
        <w:tc>
          <w:tcPr>
            <w:tcW w:w="0" w:type="auto"/>
            <w:hideMark/>
          </w:tcPr>
          <w:p w14:paraId="37C06659"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139.29</w:t>
            </w:r>
          </w:p>
        </w:tc>
      </w:tr>
    </w:tbl>
    <w:p w14:paraId="2DF4885A" w14:textId="77777777" w:rsidR="00EC7E10" w:rsidRPr="0084257F" w:rsidRDefault="00EC7E10" w:rsidP="00EC7E10">
      <w:pPr>
        <w:rPr>
          <w:lang w:val="en-GB"/>
        </w:rPr>
      </w:pPr>
    </w:p>
    <w:p w14:paraId="2DF4F43E" w14:textId="13A1F483" w:rsidR="00EC7E10" w:rsidRPr="0084257F" w:rsidRDefault="00EC7E10" w:rsidP="00EC7E10">
      <w:pPr>
        <w:rPr>
          <w:lang w:val="en-GB"/>
        </w:rPr>
      </w:pPr>
      <w:r w:rsidRPr="0084257F">
        <w:rPr>
          <w:lang w:val="en-GB"/>
        </w:rPr>
        <w:t>Cash Operating Cycle for 2021</w:t>
      </w:r>
    </w:p>
    <w:tbl>
      <w:tblPr>
        <w:tblStyle w:val="GridTable3-Accent2"/>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792"/>
        <w:gridCol w:w="2872"/>
        <w:gridCol w:w="1992"/>
        <w:gridCol w:w="1324"/>
      </w:tblGrid>
      <w:tr w:rsidR="0084257F" w:rsidRPr="0084257F" w14:paraId="60272048" w14:textId="77777777" w:rsidTr="0084257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03D3B4C9" w14:textId="77777777" w:rsidR="0084257F" w:rsidRPr="0084257F" w:rsidRDefault="0084257F" w:rsidP="0084257F">
            <w:pPr>
              <w:spacing w:line="360" w:lineRule="auto"/>
              <w:jc w:val="both"/>
              <w:rPr>
                <w:rFonts w:ascii="Arial" w:hAnsi="Arial" w:cs="Arial"/>
              </w:rPr>
            </w:pPr>
            <w:r w:rsidRPr="0084257F">
              <w:rPr>
                <w:rFonts w:ascii="Arial" w:hAnsi="Arial" w:cs="Arial"/>
              </w:rPr>
              <w:t>Component</w:t>
            </w:r>
          </w:p>
        </w:tc>
        <w:tc>
          <w:tcPr>
            <w:tcW w:w="0" w:type="auto"/>
            <w:tcBorders>
              <w:top w:val="none" w:sz="0" w:space="0" w:color="auto"/>
              <w:left w:val="none" w:sz="0" w:space="0" w:color="auto"/>
              <w:right w:val="none" w:sz="0" w:space="0" w:color="auto"/>
            </w:tcBorders>
            <w:hideMark/>
          </w:tcPr>
          <w:p w14:paraId="6BCB40FC" w14:textId="77777777" w:rsidR="0084257F" w:rsidRPr="0084257F" w:rsidRDefault="0084257F" w:rsidP="008425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Formula</w:t>
            </w:r>
          </w:p>
        </w:tc>
        <w:tc>
          <w:tcPr>
            <w:tcW w:w="0" w:type="auto"/>
            <w:tcBorders>
              <w:top w:val="none" w:sz="0" w:space="0" w:color="auto"/>
              <w:left w:val="none" w:sz="0" w:space="0" w:color="auto"/>
              <w:right w:val="none" w:sz="0" w:space="0" w:color="auto"/>
            </w:tcBorders>
            <w:hideMark/>
          </w:tcPr>
          <w:p w14:paraId="6F88E5B3" w14:textId="77777777" w:rsidR="0084257F" w:rsidRPr="0084257F" w:rsidRDefault="0084257F" w:rsidP="008425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Value on the Formula</w:t>
            </w:r>
          </w:p>
        </w:tc>
        <w:tc>
          <w:tcPr>
            <w:tcW w:w="0" w:type="auto"/>
            <w:tcBorders>
              <w:top w:val="none" w:sz="0" w:space="0" w:color="auto"/>
              <w:left w:val="none" w:sz="0" w:space="0" w:color="auto"/>
              <w:right w:val="none" w:sz="0" w:space="0" w:color="auto"/>
            </w:tcBorders>
            <w:hideMark/>
          </w:tcPr>
          <w:p w14:paraId="71E1026E" w14:textId="77777777" w:rsidR="0084257F" w:rsidRPr="0084257F" w:rsidRDefault="0084257F" w:rsidP="008425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Result (Days)</w:t>
            </w:r>
          </w:p>
        </w:tc>
      </w:tr>
      <w:tr w:rsidR="0084257F" w:rsidRPr="0084257F" w14:paraId="19F87894"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580E60C4" w14:textId="77777777" w:rsidR="0084257F" w:rsidRPr="0084257F" w:rsidRDefault="0084257F" w:rsidP="0084257F">
            <w:pPr>
              <w:spacing w:line="360" w:lineRule="auto"/>
              <w:jc w:val="both"/>
              <w:rPr>
                <w:rFonts w:ascii="Arial" w:hAnsi="Arial" w:cs="Arial"/>
              </w:rPr>
            </w:pPr>
            <w:r w:rsidRPr="0084257F">
              <w:rPr>
                <w:rFonts w:ascii="Arial" w:hAnsi="Arial" w:cs="Arial"/>
                <w:b/>
                <w:bCs/>
              </w:rPr>
              <w:t>Days Inventory Outstanding (DIO)</w:t>
            </w:r>
          </w:p>
        </w:tc>
        <w:tc>
          <w:tcPr>
            <w:tcW w:w="0" w:type="auto"/>
            <w:hideMark/>
          </w:tcPr>
          <w:p w14:paraId="3AA32DA6"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(Inventory / Cost of Sales) * 365</w:t>
            </w:r>
          </w:p>
        </w:tc>
        <w:tc>
          <w:tcPr>
            <w:tcW w:w="0" w:type="auto"/>
            <w:hideMark/>
          </w:tcPr>
          <w:p w14:paraId="211B091B"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(134,469 / 428,586) * 365</w:t>
            </w:r>
          </w:p>
        </w:tc>
        <w:tc>
          <w:tcPr>
            <w:tcW w:w="0" w:type="auto"/>
            <w:hideMark/>
          </w:tcPr>
          <w:p w14:paraId="25391572"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114.53</w:t>
            </w:r>
          </w:p>
        </w:tc>
      </w:tr>
      <w:tr w:rsidR="0084257F" w:rsidRPr="0084257F" w14:paraId="0FA327A4" w14:textId="77777777" w:rsidTr="0084257F">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6C368826" w14:textId="77777777" w:rsidR="0084257F" w:rsidRPr="0084257F" w:rsidRDefault="0084257F" w:rsidP="0084257F">
            <w:pPr>
              <w:spacing w:line="360" w:lineRule="auto"/>
              <w:jc w:val="both"/>
              <w:rPr>
                <w:rFonts w:ascii="Arial" w:hAnsi="Arial" w:cs="Arial"/>
              </w:rPr>
            </w:pPr>
            <w:r w:rsidRPr="0084257F">
              <w:rPr>
                <w:rFonts w:ascii="Arial" w:hAnsi="Arial" w:cs="Arial"/>
                <w:b/>
                <w:bCs/>
              </w:rPr>
              <w:t>Days Sales Outstanding (DSO)</w:t>
            </w:r>
          </w:p>
        </w:tc>
        <w:tc>
          <w:tcPr>
            <w:tcW w:w="0" w:type="auto"/>
            <w:hideMark/>
          </w:tcPr>
          <w:p w14:paraId="03121777"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(Accounts Receivable / Net Sales) * 365</w:t>
            </w:r>
          </w:p>
        </w:tc>
        <w:tc>
          <w:tcPr>
            <w:tcW w:w="0" w:type="auto"/>
            <w:hideMark/>
          </w:tcPr>
          <w:p w14:paraId="681AD4DE"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(129,215 / 601,602) * 365</w:t>
            </w:r>
          </w:p>
        </w:tc>
        <w:tc>
          <w:tcPr>
            <w:tcW w:w="0" w:type="auto"/>
            <w:hideMark/>
          </w:tcPr>
          <w:p w14:paraId="68654208"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78.50</w:t>
            </w:r>
          </w:p>
        </w:tc>
      </w:tr>
      <w:tr w:rsidR="0084257F" w:rsidRPr="0084257F" w14:paraId="4E23FFF8"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0134864A" w14:textId="77777777" w:rsidR="0084257F" w:rsidRPr="0084257F" w:rsidRDefault="0084257F" w:rsidP="0084257F">
            <w:pPr>
              <w:spacing w:line="360" w:lineRule="auto"/>
              <w:jc w:val="both"/>
              <w:rPr>
                <w:rFonts w:ascii="Arial" w:hAnsi="Arial" w:cs="Arial"/>
              </w:rPr>
            </w:pPr>
            <w:r w:rsidRPr="0084257F">
              <w:rPr>
                <w:rFonts w:ascii="Arial" w:hAnsi="Arial" w:cs="Arial"/>
                <w:b/>
                <w:bCs/>
              </w:rPr>
              <w:t>Days Payables Outstanding (DPO)</w:t>
            </w:r>
          </w:p>
        </w:tc>
        <w:tc>
          <w:tcPr>
            <w:tcW w:w="0" w:type="auto"/>
            <w:hideMark/>
          </w:tcPr>
          <w:p w14:paraId="571071D7"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(Accounts Payable / Cost of Sales) * 365</w:t>
            </w:r>
          </w:p>
        </w:tc>
        <w:tc>
          <w:tcPr>
            <w:tcW w:w="0" w:type="auto"/>
            <w:hideMark/>
          </w:tcPr>
          <w:p w14:paraId="2CEC1E59"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(92,707 / 428,586) * 365</w:t>
            </w:r>
          </w:p>
        </w:tc>
        <w:tc>
          <w:tcPr>
            <w:tcW w:w="0" w:type="auto"/>
            <w:hideMark/>
          </w:tcPr>
          <w:p w14:paraId="79550815"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78.80</w:t>
            </w:r>
          </w:p>
        </w:tc>
      </w:tr>
      <w:tr w:rsidR="0084257F" w:rsidRPr="0084257F" w14:paraId="6606843E" w14:textId="77777777" w:rsidTr="0084257F">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561FAE20" w14:textId="77777777" w:rsidR="0084257F" w:rsidRPr="0084257F" w:rsidRDefault="0084257F" w:rsidP="0084257F">
            <w:pPr>
              <w:spacing w:line="360" w:lineRule="auto"/>
              <w:jc w:val="both"/>
              <w:rPr>
                <w:rFonts w:ascii="Arial" w:hAnsi="Arial" w:cs="Arial"/>
              </w:rPr>
            </w:pPr>
            <w:r w:rsidRPr="0084257F">
              <w:rPr>
                <w:rFonts w:ascii="Arial" w:hAnsi="Arial" w:cs="Arial"/>
                <w:b/>
                <w:bCs/>
              </w:rPr>
              <w:t>Cash Operating Cycle (COC)</w:t>
            </w:r>
          </w:p>
        </w:tc>
        <w:tc>
          <w:tcPr>
            <w:tcW w:w="0" w:type="auto"/>
            <w:hideMark/>
          </w:tcPr>
          <w:p w14:paraId="1867E415"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DIO + DSO - DPO</w:t>
            </w:r>
          </w:p>
        </w:tc>
        <w:tc>
          <w:tcPr>
            <w:tcW w:w="0" w:type="auto"/>
            <w:hideMark/>
          </w:tcPr>
          <w:p w14:paraId="64A5C707"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114.53 + 78.50 - 78.80</w:t>
            </w:r>
          </w:p>
        </w:tc>
        <w:tc>
          <w:tcPr>
            <w:tcW w:w="0" w:type="auto"/>
            <w:hideMark/>
          </w:tcPr>
          <w:p w14:paraId="46D149BC"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114.23</w:t>
            </w:r>
          </w:p>
        </w:tc>
      </w:tr>
    </w:tbl>
    <w:p w14:paraId="6E178AE4" w14:textId="77777777" w:rsidR="00EC7E10" w:rsidRPr="0084257F" w:rsidRDefault="00EC7E10" w:rsidP="00EC7E10">
      <w:pPr>
        <w:rPr>
          <w:lang w:val="en-GB"/>
        </w:rPr>
      </w:pPr>
    </w:p>
    <w:p w14:paraId="198048A7" w14:textId="4C005898" w:rsidR="00EC7E10" w:rsidRPr="0084257F" w:rsidRDefault="00EC7E10" w:rsidP="00EC7E10">
      <w:pPr>
        <w:rPr>
          <w:lang w:val="en-GB"/>
        </w:rPr>
      </w:pPr>
      <w:r w:rsidRPr="0084257F">
        <w:rPr>
          <w:lang w:val="en-GB"/>
        </w:rPr>
        <w:t>Cash Operating Cycle for 2020</w:t>
      </w:r>
    </w:p>
    <w:p w14:paraId="4368B839" w14:textId="77777777" w:rsidR="00EC7E10" w:rsidRPr="00EC7E10" w:rsidRDefault="00EC7E10" w:rsidP="00EC7E10">
      <w:pPr>
        <w:rPr>
          <w:lang w:val="en-GB"/>
        </w:rPr>
      </w:pPr>
    </w:p>
    <w:tbl>
      <w:tblPr>
        <w:tblStyle w:val="GridTable3-Accent2"/>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792"/>
        <w:gridCol w:w="2872"/>
        <w:gridCol w:w="1992"/>
        <w:gridCol w:w="1324"/>
      </w:tblGrid>
      <w:tr w:rsidR="0084257F" w:rsidRPr="0084257F" w14:paraId="3851C432" w14:textId="77777777" w:rsidTr="0084257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4E21CF0C" w14:textId="77777777" w:rsidR="0084257F" w:rsidRPr="0084257F" w:rsidRDefault="0084257F" w:rsidP="0084257F">
            <w:pPr>
              <w:spacing w:line="360" w:lineRule="auto"/>
              <w:jc w:val="both"/>
              <w:rPr>
                <w:rFonts w:ascii="Arial" w:hAnsi="Arial" w:cs="Arial"/>
              </w:rPr>
            </w:pPr>
            <w:r w:rsidRPr="0084257F">
              <w:rPr>
                <w:rFonts w:ascii="Arial" w:hAnsi="Arial" w:cs="Arial"/>
              </w:rPr>
              <w:t>Component</w:t>
            </w:r>
          </w:p>
        </w:tc>
        <w:tc>
          <w:tcPr>
            <w:tcW w:w="0" w:type="auto"/>
            <w:tcBorders>
              <w:top w:val="none" w:sz="0" w:space="0" w:color="auto"/>
              <w:left w:val="none" w:sz="0" w:space="0" w:color="auto"/>
              <w:right w:val="none" w:sz="0" w:space="0" w:color="auto"/>
            </w:tcBorders>
            <w:hideMark/>
          </w:tcPr>
          <w:p w14:paraId="0210E950" w14:textId="77777777" w:rsidR="0084257F" w:rsidRPr="0084257F" w:rsidRDefault="0084257F" w:rsidP="008425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Formula</w:t>
            </w:r>
          </w:p>
        </w:tc>
        <w:tc>
          <w:tcPr>
            <w:tcW w:w="0" w:type="auto"/>
            <w:tcBorders>
              <w:top w:val="none" w:sz="0" w:space="0" w:color="auto"/>
              <w:left w:val="none" w:sz="0" w:space="0" w:color="auto"/>
              <w:right w:val="none" w:sz="0" w:space="0" w:color="auto"/>
            </w:tcBorders>
            <w:hideMark/>
          </w:tcPr>
          <w:p w14:paraId="5DD34F65" w14:textId="77777777" w:rsidR="0084257F" w:rsidRPr="0084257F" w:rsidRDefault="0084257F" w:rsidP="008425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Value on the Formula</w:t>
            </w:r>
          </w:p>
        </w:tc>
        <w:tc>
          <w:tcPr>
            <w:tcW w:w="0" w:type="auto"/>
            <w:tcBorders>
              <w:top w:val="none" w:sz="0" w:space="0" w:color="auto"/>
              <w:left w:val="none" w:sz="0" w:space="0" w:color="auto"/>
              <w:right w:val="none" w:sz="0" w:space="0" w:color="auto"/>
            </w:tcBorders>
            <w:hideMark/>
          </w:tcPr>
          <w:p w14:paraId="0E99AB6A" w14:textId="77777777" w:rsidR="0084257F" w:rsidRPr="0084257F" w:rsidRDefault="0084257F" w:rsidP="008425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Result (Days)</w:t>
            </w:r>
          </w:p>
        </w:tc>
      </w:tr>
      <w:tr w:rsidR="0084257F" w:rsidRPr="0084257F" w14:paraId="6A48A04F"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33E07EF7" w14:textId="77777777" w:rsidR="0084257F" w:rsidRPr="0084257F" w:rsidRDefault="0084257F" w:rsidP="0084257F">
            <w:pPr>
              <w:spacing w:line="360" w:lineRule="auto"/>
              <w:jc w:val="both"/>
              <w:rPr>
                <w:rFonts w:ascii="Arial" w:hAnsi="Arial" w:cs="Arial"/>
              </w:rPr>
            </w:pPr>
            <w:r w:rsidRPr="0084257F">
              <w:rPr>
                <w:rFonts w:ascii="Arial" w:hAnsi="Arial" w:cs="Arial"/>
                <w:b/>
                <w:bCs/>
              </w:rPr>
              <w:t>Days Inventory Outstanding (DIO)</w:t>
            </w:r>
          </w:p>
        </w:tc>
        <w:tc>
          <w:tcPr>
            <w:tcW w:w="0" w:type="auto"/>
            <w:hideMark/>
          </w:tcPr>
          <w:p w14:paraId="4673AA8A"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(Inventory / Cost of Sales) * 365</w:t>
            </w:r>
          </w:p>
        </w:tc>
        <w:tc>
          <w:tcPr>
            <w:tcW w:w="0" w:type="auto"/>
            <w:hideMark/>
          </w:tcPr>
          <w:p w14:paraId="5E623DAF"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(120,430 / 438,424) * 365</w:t>
            </w:r>
          </w:p>
        </w:tc>
        <w:tc>
          <w:tcPr>
            <w:tcW w:w="0" w:type="auto"/>
            <w:hideMark/>
          </w:tcPr>
          <w:p w14:paraId="79E53C56"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100.05</w:t>
            </w:r>
          </w:p>
        </w:tc>
      </w:tr>
      <w:tr w:rsidR="0084257F" w:rsidRPr="0084257F" w14:paraId="3AEA25F6" w14:textId="77777777" w:rsidTr="0084257F">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7F3AD448" w14:textId="77777777" w:rsidR="0084257F" w:rsidRPr="0084257F" w:rsidRDefault="0084257F" w:rsidP="0084257F">
            <w:pPr>
              <w:spacing w:line="360" w:lineRule="auto"/>
              <w:jc w:val="both"/>
              <w:rPr>
                <w:rFonts w:ascii="Arial" w:hAnsi="Arial" w:cs="Arial"/>
              </w:rPr>
            </w:pPr>
            <w:r w:rsidRPr="0084257F">
              <w:rPr>
                <w:rFonts w:ascii="Arial" w:hAnsi="Arial" w:cs="Arial"/>
                <w:b/>
                <w:bCs/>
              </w:rPr>
              <w:t>Days Sales Outstanding (DSO)</w:t>
            </w:r>
          </w:p>
        </w:tc>
        <w:tc>
          <w:tcPr>
            <w:tcW w:w="0" w:type="auto"/>
            <w:hideMark/>
          </w:tcPr>
          <w:p w14:paraId="0EEEC957"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(Accounts Receivable / Net Sales) * 365</w:t>
            </w:r>
          </w:p>
        </w:tc>
        <w:tc>
          <w:tcPr>
            <w:tcW w:w="0" w:type="auto"/>
            <w:hideMark/>
          </w:tcPr>
          <w:p w14:paraId="79AED9C1"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(129,433 / 614,680) * 365</w:t>
            </w:r>
          </w:p>
        </w:tc>
        <w:tc>
          <w:tcPr>
            <w:tcW w:w="0" w:type="auto"/>
            <w:hideMark/>
          </w:tcPr>
          <w:p w14:paraId="43E4C86F"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76.65</w:t>
            </w:r>
          </w:p>
        </w:tc>
      </w:tr>
      <w:tr w:rsidR="0084257F" w:rsidRPr="0084257F" w14:paraId="62D08DB7"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43BF2DD3" w14:textId="77777777" w:rsidR="0084257F" w:rsidRPr="0084257F" w:rsidRDefault="0084257F" w:rsidP="0084257F">
            <w:pPr>
              <w:spacing w:line="360" w:lineRule="auto"/>
              <w:jc w:val="both"/>
              <w:rPr>
                <w:rFonts w:ascii="Arial" w:hAnsi="Arial" w:cs="Arial"/>
              </w:rPr>
            </w:pPr>
            <w:r w:rsidRPr="0084257F">
              <w:rPr>
                <w:rFonts w:ascii="Arial" w:hAnsi="Arial" w:cs="Arial"/>
                <w:b/>
                <w:bCs/>
              </w:rPr>
              <w:t>Days Payables Outstanding (DPO)</w:t>
            </w:r>
          </w:p>
        </w:tc>
        <w:tc>
          <w:tcPr>
            <w:tcW w:w="0" w:type="auto"/>
            <w:hideMark/>
          </w:tcPr>
          <w:p w14:paraId="184DE13B"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(Accounts Payable / Cost of Sales) * 365</w:t>
            </w:r>
          </w:p>
        </w:tc>
        <w:tc>
          <w:tcPr>
            <w:tcW w:w="0" w:type="auto"/>
            <w:hideMark/>
          </w:tcPr>
          <w:p w14:paraId="7EC64549"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(83,229 / 438,424) * 365</w:t>
            </w:r>
          </w:p>
        </w:tc>
        <w:tc>
          <w:tcPr>
            <w:tcW w:w="0" w:type="auto"/>
            <w:hideMark/>
          </w:tcPr>
          <w:p w14:paraId="175CEBD8" w14:textId="77777777" w:rsidR="0084257F" w:rsidRPr="0084257F" w:rsidRDefault="0084257F" w:rsidP="008425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4257F">
              <w:rPr>
                <w:rFonts w:ascii="Arial" w:hAnsi="Arial" w:cs="Arial"/>
              </w:rPr>
              <w:t>68.81</w:t>
            </w:r>
          </w:p>
        </w:tc>
      </w:tr>
      <w:tr w:rsidR="0084257F" w:rsidRPr="0084257F" w14:paraId="296D0302" w14:textId="77777777" w:rsidTr="0084257F">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75D993EC" w14:textId="77777777" w:rsidR="0084257F" w:rsidRPr="0084257F" w:rsidRDefault="0084257F" w:rsidP="0084257F">
            <w:pPr>
              <w:spacing w:line="360" w:lineRule="auto"/>
              <w:jc w:val="both"/>
              <w:rPr>
                <w:rFonts w:ascii="Arial" w:hAnsi="Arial" w:cs="Arial"/>
              </w:rPr>
            </w:pPr>
            <w:r w:rsidRPr="0084257F">
              <w:rPr>
                <w:rFonts w:ascii="Arial" w:hAnsi="Arial" w:cs="Arial"/>
                <w:b/>
                <w:bCs/>
              </w:rPr>
              <w:t>Cash Operating Cycle (COC)</w:t>
            </w:r>
          </w:p>
        </w:tc>
        <w:tc>
          <w:tcPr>
            <w:tcW w:w="0" w:type="auto"/>
            <w:hideMark/>
          </w:tcPr>
          <w:p w14:paraId="370CBAE6"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DIO + DSO - DPO</w:t>
            </w:r>
          </w:p>
        </w:tc>
        <w:tc>
          <w:tcPr>
            <w:tcW w:w="0" w:type="auto"/>
            <w:hideMark/>
          </w:tcPr>
          <w:p w14:paraId="7E6ACE43"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100.05 + 76.65 - 68.81</w:t>
            </w:r>
          </w:p>
        </w:tc>
        <w:tc>
          <w:tcPr>
            <w:tcW w:w="0" w:type="auto"/>
            <w:hideMark/>
          </w:tcPr>
          <w:p w14:paraId="6277CFD5" w14:textId="77777777" w:rsidR="0084257F" w:rsidRPr="0084257F" w:rsidRDefault="0084257F" w:rsidP="0084257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4257F">
              <w:rPr>
                <w:rFonts w:ascii="Arial" w:hAnsi="Arial" w:cs="Arial"/>
              </w:rPr>
              <w:t>107.89</w:t>
            </w:r>
          </w:p>
        </w:tc>
      </w:tr>
    </w:tbl>
    <w:p w14:paraId="1565BFA8" w14:textId="77777777" w:rsidR="00EC7E10" w:rsidRPr="0084257F" w:rsidRDefault="00EC7E10"/>
    <w:p w14:paraId="2578EB46" w14:textId="77777777" w:rsidR="0084257F" w:rsidRPr="0084257F" w:rsidRDefault="0084257F">
      <w:r w:rsidRPr="0084257F">
        <w:lastRenderedPageBreak/>
        <w:br/>
      </w:r>
    </w:p>
    <w:p w14:paraId="6EB1F4D5" w14:textId="77777777" w:rsidR="0084257F" w:rsidRPr="0084257F" w:rsidRDefault="0084257F">
      <w:r w:rsidRPr="0084257F">
        <w:br w:type="page"/>
      </w:r>
    </w:p>
    <w:p w14:paraId="006CFBFE" w14:textId="102E69F8" w:rsidR="0084257F" w:rsidRPr="0084257F" w:rsidRDefault="0084257F" w:rsidP="0084257F">
      <w:pPr>
        <w:pStyle w:val="Heading2"/>
      </w:pPr>
      <w:bookmarkStart w:id="44" w:name="_Toc215418655"/>
      <w:r w:rsidRPr="0084257F">
        <w:lastRenderedPageBreak/>
        <w:t>Appendix C Capital Budgeting Analysis</w:t>
      </w:r>
      <w:bookmarkEnd w:id="44"/>
    </w:p>
    <w:p w14:paraId="3041D4D2" w14:textId="77777777" w:rsidR="0084257F" w:rsidRPr="0084257F" w:rsidRDefault="0084257F" w:rsidP="0084257F">
      <w:r w:rsidRPr="0084257F">
        <w:t>Payback Period Calculation</w:t>
      </w:r>
    </w:p>
    <w:tbl>
      <w:tblPr>
        <w:tblStyle w:val="GridTable3-Accent2"/>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473"/>
        <w:gridCol w:w="2141"/>
        <w:gridCol w:w="3141"/>
        <w:gridCol w:w="2271"/>
      </w:tblGrid>
      <w:tr w:rsidR="0084257F" w:rsidRPr="0084257F" w14:paraId="3F0DA856" w14:textId="77777777" w:rsidTr="0084257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88E3C47" w14:textId="77777777" w:rsidR="0084257F" w:rsidRPr="000C7DB4" w:rsidRDefault="0084257F" w:rsidP="006C578E">
            <w:pPr>
              <w:spacing w:after="160" w:line="360" w:lineRule="auto"/>
              <w:jc w:val="both"/>
              <w:rPr>
                <w:rFonts w:ascii="Arial" w:hAnsi="Arial" w:cs="Arial"/>
              </w:rPr>
            </w:pPr>
            <w:r w:rsidRPr="000C7DB4">
              <w:rPr>
                <w:rFonts w:ascii="Arial" w:hAnsi="Arial" w:cs="Arial"/>
              </w:rPr>
              <w:t>Year</w:t>
            </w:r>
          </w:p>
        </w:tc>
        <w:tc>
          <w:tcPr>
            <w:tcW w:w="0" w:type="auto"/>
            <w:hideMark/>
          </w:tcPr>
          <w:p w14:paraId="33AB4E47"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Cash Inflows (£m)</w:t>
            </w:r>
          </w:p>
        </w:tc>
        <w:tc>
          <w:tcPr>
            <w:tcW w:w="0" w:type="auto"/>
            <w:hideMark/>
          </w:tcPr>
          <w:p w14:paraId="4DE6D581"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Cumulative Cash Flow (£m)</w:t>
            </w:r>
          </w:p>
        </w:tc>
        <w:tc>
          <w:tcPr>
            <w:tcW w:w="0" w:type="auto"/>
            <w:hideMark/>
          </w:tcPr>
          <w:p w14:paraId="2B999C4B"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Calculation</w:t>
            </w:r>
          </w:p>
        </w:tc>
      </w:tr>
      <w:tr w:rsidR="0084257F" w:rsidRPr="0084257F" w14:paraId="10B66AC7"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FFC2D6"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1</w:t>
            </w:r>
          </w:p>
        </w:tc>
        <w:tc>
          <w:tcPr>
            <w:tcW w:w="0" w:type="auto"/>
            <w:hideMark/>
          </w:tcPr>
          <w:p w14:paraId="33E24C2E"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10</w:t>
            </w:r>
          </w:p>
        </w:tc>
        <w:tc>
          <w:tcPr>
            <w:tcW w:w="0" w:type="auto"/>
            <w:hideMark/>
          </w:tcPr>
          <w:p w14:paraId="0B9162A5"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10</w:t>
            </w:r>
          </w:p>
        </w:tc>
        <w:tc>
          <w:tcPr>
            <w:tcW w:w="0" w:type="auto"/>
            <w:hideMark/>
          </w:tcPr>
          <w:p w14:paraId="638216ED"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Initial inflow = 10</w:t>
            </w:r>
          </w:p>
        </w:tc>
      </w:tr>
      <w:tr w:rsidR="0084257F" w:rsidRPr="0084257F" w14:paraId="2DEB11AB" w14:textId="77777777" w:rsidTr="0084257F">
        <w:tc>
          <w:tcPr>
            <w:cnfStyle w:val="001000000000" w:firstRow="0" w:lastRow="0" w:firstColumn="1" w:lastColumn="0" w:oddVBand="0" w:evenVBand="0" w:oddHBand="0" w:evenHBand="0" w:firstRowFirstColumn="0" w:firstRowLastColumn="0" w:lastRowFirstColumn="0" w:lastRowLastColumn="0"/>
            <w:tcW w:w="0" w:type="auto"/>
            <w:hideMark/>
          </w:tcPr>
          <w:p w14:paraId="412AFE41"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2</w:t>
            </w:r>
          </w:p>
        </w:tc>
        <w:tc>
          <w:tcPr>
            <w:tcW w:w="0" w:type="auto"/>
            <w:hideMark/>
          </w:tcPr>
          <w:p w14:paraId="2968D2AA"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12</w:t>
            </w:r>
          </w:p>
        </w:tc>
        <w:tc>
          <w:tcPr>
            <w:tcW w:w="0" w:type="auto"/>
            <w:hideMark/>
          </w:tcPr>
          <w:p w14:paraId="35668F70"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22</w:t>
            </w:r>
          </w:p>
        </w:tc>
        <w:tc>
          <w:tcPr>
            <w:tcW w:w="0" w:type="auto"/>
            <w:hideMark/>
          </w:tcPr>
          <w:p w14:paraId="3A9980B2"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10 + 12 = 22</w:t>
            </w:r>
          </w:p>
        </w:tc>
      </w:tr>
      <w:tr w:rsidR="0084257F" w:rsidRPr="0084257F" w14:paraId="48ED875C"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11A144"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3</w:t>
            </w:r>
          </w:p>
        </w:tc>
        <w:tc>
          <w:tcPr>
            <w:tcW w:w="0" w:type="auto"/>
            <w:hideMark/>
          </w:tcPr>
          <w:p w14:paraId="756486DD"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14</w:t>
            </w:r>
          </w:p>
        </w:tc>
        <w:tc>
          <w:tcPr>
            <w:tcW w:w="0" w:type="auto"/>
            <w:hideMark/>
          </w:tcPr>
          <w:p w14:paraId="2C96D255"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36</w:t>
            </w:r>
          </w:p>
        </w:tc>
        <w:tc>
          <w:tcPr>
            <w:tcW w:w="0" w:type="auto"/>
            <w:hideMark/>
          </w:tcPr>
          <w:p w14:paraId="310FDF12"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22 + 14 = 36</w:t>
            </w:r>
          </w:p>
        </w:tc>
      </w:tr>
      <w:tr w:rsidR="0084257F" w:rsidRPr="0084257F" w14:paraId="28C4F6D1" w14:textId="77777777" w:rsidTr="0084257F">
        <w:tc>
          <w:tcPr>
            <w:cnfStyle w:val="001000000000" w:firstRow="0" w:lastRow="0" w:firstColumn="1" w:lastColumn="0" w:oddVBand="0" w:evenVBand="0" w:oddHBand="0" w:evenHBand="0" w:firstRowFirstColumn="0" w:firstRowLastColumn="0" w:lastRowFirstColumn="0" w:lastRowLastColumn="0"/>
            <w:tcW w:w="0" w:type="auto"/>
            <w:hideMark/>
          </w:tcPr>
          <w:p w14:paraId="5B6EBBBF"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4</w:t>
            </w:r>
          </w:p>
        </w:tc>
        <w:tc>
          <w:tcPr>
            <w:tcW w:w="0" w:type="auto"/>
            <w:hideMark/>
          </w:tcPr>
          <w:p w14:paraId="42257ABC"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10</w:t>
            </w:r>
          </w:p>
        </w:tc>
        <w:tc>
          <w:tcPr>
            <w:tcW w:w="0" w:type="auto"/>
            <w:hideMark/>
          </w:tcPr>
          <w:p w14:paraId="32E24ACD"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46</w:t>
            </w:r>
          </w:p>
        </w:tc>
        <w:tc>
          <w:tcPr>
            <w:tcW w:w="0" w:type="auto"/>
            <w:hideMark/>
          </w:tcPr>
          <w:p w14:paraId="2E5C5F68"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36 + 10 = 46</w:t>
            </w:r>
          </w:p>
        </w:tc>
      </w:tr>
      <w:tr w:rsidR="0084257F" w:rsidRPr="0084257F" w14:paraId="5B4DF8F7"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3D8831"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5</w:t>
            </w:r>
          </w:p>
        </w:tc>
        <w:tc>
          <w:tcPr>
            <w:tcW w:w="0" w:type="auto"/>
            <w:hideMark/>
          </w:tcPr>
          <w:p w14:paraId="7E9E9896"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8</w:t>
            </w:r>
          </w:p>
        </w:tc>
        <w:tc>
          <w:tcPr>
            <w:tcW w:w="0" w:type="auto"/>
            <w:hideMark/>
          </w:tcPr>
          <w:p w14:paraId="2550BC10"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54</w:t>
            </w:r>
          </w:p>
        </w:tc>
        <w:tc>
          <w:tcPr>
            <w:tcW w:w="0" w:type="auto"/>
            <w:hideMark/>
          </w:tcPr>
          <w:p w14:paraId="254B782C"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46 + 8 = 54</w:t>
            </w:r>
          </w:p>
        </w:tc>
      </w:tr>
      <w:tr w:rsidR="0084257F" w:rsidRPr="0084257F" w14:paraId="2980EEF0" w14:textId="77777777" w:rsidTr="0084257F">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5954F26C"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Payback Period</w:t>
            </w:r>
          </w:p>
        </w:tc>
        <w:tc>
          <w:tcPr>
            <w:tcW w:w="0" w:type="auto"/>
            <w:gridSpan w:val="3"/>
            <w:hideMark/>
          </w:tcPr>
          <w:p w14:paraId="2AE4F925" w14:textId="77777777" w:rsidR="0084257F" w:rsidRPr="0084257F" w:rsidRDefault="0084257F" w:rsidP="006C578E">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The initial investment of £40m is fully recovered during Year 4, as the cumulative cash flow of £46m exceeds the £40m investment.</w:t>
            </w:r>
          </w:p>
          <w:p w14:paraId="2D36C71A"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b/>
                <w:bCs/>
              </w:rPr>
              <w:t>Payback Period</w:t>
            </w:r>
            <w:r w:rsidRPr="000C7DB4">
              <w:rPr>
                <w:rFonts w:ascii="Arial" w:hAnsi="Arial" w:cs="Arial"/>
              </w:rPr>
              <w:t xml:space="preserve">: 3 years (from the cumulative cash flow reaching £36m at Year 3) + 0.4 year (from Year 4) = </w:t>
            </w:r>
            <w:r w:rsidRPr="000C7DB4">
              <w:rPr>
                <w:rFonts w:ascii="Arial" w:hAnsi="Arial" w:cs="Arial"/>
                <w:b/>
                <w:bCs/>
              </w:rPr>
              <w:t>3.6 years</w:t>
            </w:r>
            <w:r w:rsidRPr="000C7DB4">
              <w:rPr>
                <w:rFonts w:ascii="Arial" w:hAnsi="Arial" w:cs="Arial"/>
              </w:rPr>
              <w:t>.</w:t>
            </w:r>
          </w:p>
        </w:tc>
      </w:tr>
    </w:tbl>
    <w:p w14:paraId="525B3365" w14:textId="77777777" w:rsidR="0084257F" w:rsidRPr="0084257F" w:rsidRDefault="0084257F" w:rsidP="0084257F"/>
    <w:tbl>
      <w:tblPr>
        <w:tblStyle w:val="GridTable3-Accent2"/>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462"/>
        <w:gridCol w:w="2168"/>
        <w:gridCol w:w="3180"/>
        <w:gridCol w:w="2216"/>
      </w:tblGrid>
      <w:tr w:rsidR="0084257F" w:rsidRPr="0084257F" w14:paraId="191F6100" w14:textId="77777777" w:rsidTr="0084257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FCF8B1A" w14:textId="77777777" w:rsidR="0084257F" w:rsidRPr="000C7DB4" w:rsidRDefault="0084257F" w:rsidP="006C578E">
            <w:pPr>
              <w:spacing w:after="160" w:line="360" w:lineRule="auto"/>
              <w:jc w:val="both"/>
              <w:rPr>
                <w:rFonts w:ascii="Arial" w:hAnsi="Arial" w:cs="Arial"/>
              </w:rPr>
            </w:pPr>
            <w:r w:rsidRPr="000C7DB4">
              <w:rPr>
                <w:rFonts w:ascii="Arial" w:hAnsi="Arial" w:cs="Arial"/>
              </w:rPr>
              <w:t>Year</w:t>
            </w:r>
          </w:p>
        </w:tc>
        <w:tc>
          <w:tcPr>
            <w:tcW w:w="0" w:type="auto"/>
            <w:hideMark/>
          </w:tcPr>
          <w:p w14:paraId="28181D05"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Cash Inflows (£m)</w:t>
            </w:r>
          </w:p>
        </w:tc>
        <w:tc>
          <w:tcPr>
            <w:tcW w:w="0" w:type="auto"/>
            <w:hideMark/>
          </w:tcPr>
          <w:p w14:paraId="401E019D"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Cumulative Cash Flow (£m)</w:t>
            </w:r>
          </w:p>
        </w:tc>
        <w:tc>
          <w:tcPr>
            <w:tcW w:w="0" w:type="auto"/>
            <w:hideMark/>
          </w:tcPr>
          <w:p w14:paraId="5A30B1BC"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Calculation</w:t>
            </w:r>
          </w:p>
        </w:tc>
      </w:tr>
      <w:tr w:rsidR="0084257F" w:rsidRPr="0084257F" w14:paraId="5719FA19"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D8FF76"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1</w:t>
            </w:r>
          </w:p>
        </w:tc>
        <w:tc>
          <w:tcPr>
            <w:tcW w:w="0" w:type="auto"/>
            <w:hideMark/>
          </w:tcPr>
          <w:p w14:paraId="16CD3021"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6</w:t>
            </w:r>
          </w:p>
        </w:tc>
        <w:tc>
          <w:tcPr>
            <w:tcW w:w="0" w:type="auto"/>
            <w:hideMark/>
          </w:tcPr>
          <w:p w14:paraId="58BC28CB"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6</w:t>
            </w:r>
          </w:p>
        </w:tc>
        <w:tc>
          <w:tcPr>
            <w:tcW w:w="0" w:type="auto"/>
            <w:hideMark/>
          </w:tcPr>
          <w:p w14:paraId="4575E689"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Initial inflow = 6</w:t>
            </w:r>
          </w:p>
        </w:tc>
      </w:tr>
      <w:tr w:rsidR="0084257F" w:rsidRPr="0084257F" w14:paraId="1C49EF55" w14:textId="77777777" w:rsidTr="0084257F">
        <w:tc>
          <w:tcPr>
            <w:cnfStyle w:val="001000000000" w:firstRow="0" w:lastRow="0" w:firstColumn="1" w:lastColumn="0" w:oddVBand="0" w:evenVBand="0" w:oddHBand="0" w:evenHBand="0" w:firstRowFirstColumn="0" w:firstRowLastColumn="0" w:lastRowFirstColumn="0" w:lastRowLastColumn="0"/>
            <w:tcW w:w="0" w:type="auto"/>
            <w:hideMark/>
          </w:tcPr>
          <w:p w14:paraId="1A9C733E"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2</w:t>
            </w:r>
          </w:p>
        </w:tc>
        <w:tc>
          <w:tcPr>
            <w:tcW w:w="0" w:type="auto"/>
            <w:hideMark/>
          </w:tcPr>
          <w:p w14:paraId="7EFDC30C"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6</w:t>
            </w:r>
          </w:p>
        </w:tc>
        <w:tc>
          <w:tcPr>
            <w:tcW w:w="0" w:type="auto"/>
            <w:hideMark/>
          </w:tcPr>
          <w:p w14:paraId="6830A608"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12</w:t>
            </w:r>
          </w:p>
        </w:tc>
        <w:tc>
          <w:tcPr>
            <w:tcW w:w="0" w:type="auto"/>
            <w:hideMark/>
          </w:tcPr>
          <w:p w14:paraId="2D5E78B8"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6 + 6 = 12</w:t>
            </w:r>
          </w:p>
        </w:tc>
      </w:tr>
      <w:tr w:rsidR="0084257F" w:rsidRPr="0084257F" w14:paraId="6D6C52AE"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6F441A"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3</w:t>
            </w:r>
          </w:p>
        </w:tc>
        <w:tc>
          <w:tcPr>
            <w:tcW w:w="0" w:type="auto"/>
            <w:hideMark/>
          </w:tcPr>
          <w:p w14:paraId="56948A70"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6</w:t>
            </w:r>
          </w:p>
        </w:tc>
        <w:tc>
          <w:tcPr>
            <w:tcW w:w="0" w:type="auto"/>
            <w:hideMark/>
          </w:tcPr>
          <w:p w14:paraId="1B8FC13B"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18</w:t>
            </w:r>
          </w:p>
        </w:tc>
        <w:tc>
          <w:tcPr>
            <w:tcW w:w="0" w:type="auto"/>
            <w:hideMark/>
          </w:tcPr>
          <w:p w14:paraId="74F4C667"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12 + 6 = 18</w:t>
            </w:r>
          </w:p>
        </w:tc>
      </w:tr>
      <w:tr w:rsidR="0084257F" w:rsidRPr="0084257F" w14:paraId="6E62CE53" w14:textId="77777777" w:rsidTr="0084257F">
        <w:tc>
          <w:tcPr>
            <w:cnfStyle w:val="001000000000" w:firstRow="0" w:lastRow="0" w:firstColumn="1" w:lastColumn="0" w:oddVBand="0" w:evenVBand="0" w:oddHBand="0" w:evenHBand="0" w:firstRowFirstColumn="0" w:firstRowLastColumn="0" w:lastRowFirstColumn="0" w:lastRowLastColumn="0"/>
            <w:tcW w:w="0" w:type="auto"/>
            <w:hideMark/>
          </w:tcPr>
          <w:p w14:paraId="6FACC163"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4</w:t>
            </w:r>
          </w:p>
        </w:tc>
        <w:tc>
          <w:tcPr>
            <w:tcW w:w="0" w:type="auto"/>
            <w:hideMark/>
          </w:tcPr>
          <w:p w14:paraId="5183ED9F"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6</w:t>
            </w:r>
          </w:p>
        </w:tc>
        <w:tc>
          <w:tcPr>
            <w:tcW w:w="0" w:type="auto"/>
            <w:hideMark/>
          </w:tcPr>
          <w:p w14:paraId="4D3FD3F0"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24</w:t>
            </w:r>
          </w:p>
        </w:tc>
        <w:tc>
          <w:tcPr>
            <w:tcW w:w="0" w:type="auto"/>
            <w:hideMark/>
          </w:tcPr>
          <w:p w14:paraId="24B27C99"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18 + 6 = 24</w:t>
            </w:r>
          </w:p>
        </w:tc>
      </w:tr>
      <w:tr w:rsidR="0084257F" w:rsidRPr="0084257F" w14:paraId="0CF3DAC3"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9230B3"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5</w:t>
            </w:r>
          </w:p>
        </w:tc>
        <w:tc>
          <w:tcPr>
            <w:tcW w:w="0" w:type="auto"/>
            <w:hideMark/>
          </w:tcPr>
          <w:p w14:paraId="06632842"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6</w:t>
            </w:r>
          </w:p>
        </w:tc>
        <w:tc>
          <w:tcPr>
            <w:tcW w:w="0" w:type="auto"/>
            <w:hideMark/>
          </w:tcPr>
          <w:p w14:paraId="250C2EAA"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30</w:t>
            </w:r>
          </w:p>
        </w:tc>
        <w:tc>
          <w:tcPr>
            <w:tcW w:w="0" w:type="auto"/>
            <w:hideMark/>
          </w:tcPr>
          <w:p w14:paraId="5F66FC8F"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24 + 6 = 30</w:t>
            </w:r>
          </w:p>
        </w:tc>
      </w:tr>
      <w:tr w:rsidR="0084257F" w:rsidRPr="0084257F" w14:paraId="0448D0ED" w14:textId="77777777" w:rsidTr="0084257F">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021C1208"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Payback Period</w:t>
            </w:r>
          </w:p>
        </w:tc>
        <w:tc>
          <w:tcPr>
            <w:tcW w:w="0" w:type="auto"/>
            <w:gridSpan w:val="3"/>
            <w:hideMark/>
          </w:tcPr>
          <w:p w14:paraId="09EC7050" w14:textId="77777777" w:rsidR="0084257F" w:rsidRPr="0084257F" w:rsidRDefault="0084257F" w:rsidP="006C578E">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 xml:space="preserve">The initial investment of £30m is fully recovered by the </w:t>
            </w:r>
            <w:r w:rsidRPr="000C7DB4">
              <w:rPr>
                <w:rFonts w:ascii="Arial" w:hAnsi="Arial" w:cs="Arial"/>
                <w:b/>
                <w:bCs/>
              </w:rPr>
              <w:t>end of Year 5</w:t>
            </w:r>
            <w:r w:rsidRPr="000C7DB4">
              <w:rPr>
                <w:rFonts w:ascii="Arial" w:hAnsi="Arial" w:cs="Arial"/>
              </w:rPr>
              <w:t>, as the cumulative cash flow of £30m matches the investment.</w:t>
            </w:r>
          </w:p>
          <w:p w14:paraId="4E9D5168"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b/>
                <w:bCs/>
              </w:rPr>
              <w:t>Payback Period</w:t>
            </w:r>
            <w:r w:rsidRPr="000C7DB4">
              <w:rPr>
                <w:rFonts w:ascii="Arial" w:hAnsi="Arial" w:cs="Arial"/>
              </w:rPr>
              <w:t xml:space="preserve">: The company recovers the full £30m at the </w:t>
            </w:r>
            <w:r w:rsidRPr="000C7DB4">
              <w:rPr>
                <w:rFonts w:ascii="Arial" w:hAnsi="Arial" w:cs="Arial"/>
                <w:b/>
                <w:bCs/>
              </w:rPr>
              <w:t>end of Year 5</w:t>
            </w:r>
            <w:r w:rsidRPr="000C7DB4">
              <w:rPr>
                <w:rFonts w:ascii="Arial" w:hAnsi="Arial" w:cs="Arial"/>
              </w:rPr>
              <w:t xml:space="preserve">. Therefore, the </w:t>
            </w:r>
            <w:r w:rsidRPr="000C7DB4">
              <w:rPr>
                <w:rFonts w:ascii="Arial" w:hAnsi="Arial" w:cs="Arial"/>
                <w:b/>
                <w:bCs/>
              </w:rPr>
              <w:t>payback period</w:t>
            </w:r>
            <w:r w:rsidRPr="000C7DB4">
              <w:rPr>
                <w:rFonts w:ascii="Arial" w:hAnsi="Arial" w:cs="Arial"/>
              </w:rPr>
              <w:t xml:space="preserve"> for </w:t>
            </w:r>
            <w:r w:rsidRPr="000C7DB4">
              <w:rPr>
                <w:rFonts w:ascii="Arial" w:hAnsi="Arial" w:cs="Arial"/>
                <w:b/>
                <w:bCs/>
              </w:rPr>
              <w:t>Project B</w:t>
            </w:r>
            <w:r w:rsidRPr="000C7DB4">
              <w:rPr>
                <w:rFonts w:ascii="Arial" w:hAnsi="Arial" w:cs="Arial"/>
              </w:rPr>
              <w:t xml:space="preserve"> is </w:t>
            </w:r>
            <w:r w:rsidRPr="000C7DB4">
              <w:rPr>
                <w:rFonts w:ascii="Arial" w:hAnsi="Arial" w:cs="Arial"/>
                <w:b/>
                <w:bCs/>
              </w:rPr>
              <w:t>5.0 years</w:t>
            </w:r>
            <w:r w:rsidRPr="000C7DB4">
              <w:rPr>
                <w:rFonts w:ascii="Arial" w:hAnsi="Arial" w:cs="Arial"/>
              </w:rPr>
              <w:t>.</w:t>
            </w:r>
          </w:p>
        </w:tc>
      </w:tr>
    </w:tbl>
    <w:p w14:paraId="7883C998" w14:textId="77777777" w:rsidR="0084257F" w:rsidRPr="0084257F" w:rsidRDefault="0084257F" w:rsidP="0084257F"/>
    <w:tbl>
      <w:tblPr>
        <w:tblStyle w:val="GridTable3-Accent2"/>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458"/>
        <w:gridCol w:w="2168"/>
        <w:gridCol w:w="3180"/>
        <w:gridCol w:w="2220"/>
      </w:tblGrid>
      <w:tr w:rsidR="0084257F" w:rsidRPr="000C7DB4" w14:paraId="433174A9" w14:textId="77777777" w:rsidTr="0084257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72D9C094" w14:textId="77777777" w:rsidR="0084257F" w:rsidRPr="000C7DB4" w:rsidRDefault="0084257F" w:rsidP="006C578E">
            <w:pPr>
              <w:spacing w:after="160" w:line="360" w:lineRule="auto"/>
              <w:jc w:val="both"/>
              <w:rPr>
                <w:rFonts w:ascii="Arial" w:hAnsi="Arial" w:cs="Arial"/>
              </w:rPr>
            </w:pPr>
            <w:r w:rsidRPr="000C7DB4">
              <w:rPr>
                <w:rFonts w:ascii="Arial" w:hAnsi="Arial" w:cs="Arial"/>
              </w:rPr>
              <w:lastRenderedPageBreak/>
              <w:t>Year</w:t>
            </w:r>
          </w:p>
        </w:tc>
        <w:tc>
          <w:tcPr>
            <w:tcW w:w="0" w:type="auto"/>
            <w:hideMark/>
          </w:tcPr>
          <w:p w14:paraId="26BDF16B"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Cash Inflows (£m)</w:t>
            </w:r>
          </w:p>
        </w:tc>
        <w:tc>
          <w:tcPr>
            <w:tcW w:w="0" w:type="auto"/>
            <w:hideMark/>
          </w:tcPr>
          <w:p w14:paraId="5FE34EE4"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Cumulative Cash Flow (£m)</w:t>
            </w:r>
          </w:p>
        </w:tc>
        <w:tc>
          <w:tcPr>
            <w:tcW w:w="0" w:type="auto"/>
            <w:hideMark/>
          </w:tcPr>
          <w:p w14:paraId="2E56636F"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Calculation</w:t>
            </w:r>
          </w:p>
        </w:tc>
      </w:tr>
      <w:tr w:rsidR="0084257F" w:rsidRPr="000C7DB4" w14:paraId="7B3FA517"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556157"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1</w:t>
            </w:r>
          </w:p>
        </w:tc>
        <w:tc>
          <w:tcPr>
            <w:tcW w:w="0" w:type="auto"/>
            <w:hideMark/>
          </w:tcPr>
          <w:p w14:paraId="758440A9"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5</w:t>
            </w:r>
          </w:p>
        </w:tc>
        <w:tc>
          <w:tcPr>
            <w:tcW w:w="0" w:type="auto"/>
            <w:hideMark/>
          </w:tcPr>
          <w:p w14:paraId="6DB18F79"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5</w:t>
            </w:r>
          </w:p>
        </w:tc>
        <w:tc>
          <w:tcPr>
            <w:tcW w:w="0" w:type="auto"/>
            <w:hideMark/>
          </w:tcPr>
          <w:p w14:paraId="4FDA0D5E"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Initial inflow = 5</w:t>
            </w:r>
          </w:p>
        </w:tc>
      </w:tr>
      <w:tr w:rsidR="0084257F" w:rsidRPr="000C7DB4" w14:paraId="222E3C93" w14:textId="77777777" w:rsidTr="0084257F">
        <w:tc>
          <w:tcPr>
            <w:cnfStyle w:val="001000000000" w:firstRow="0" w:lastRow="0" w:firstColumn="1" w:lastColumn="0" w:oddVBand="0" w:evenVBand="0" w:oddHBand="0" w:evenHBand="0" w:firstRowFirstColumn="0" w:firstRowLastColumn="0" w:lastRowFirstColumn="0" w:lastRowLastColumn="0"/>
            <w:tcW w:w="0" w:type="auto"/>
            <w:hideMark/>
          </w:tcPr>
          <w:p w14:paraId="53AD4A4E"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2</w:t>
            </w:r>
          </w:p>
        </w:tc>
        <w:tc>
          <w:tcPr>
            <w:tcW w:w="0" w:type="auto"/>
            <w:hideMark/>
          </w:tcPr>
          <w:p w14:paraId="3A08825B"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10</w:t>
            </w:r>
          </w:p>
        </w:tc>
        <w:tc>
          <w:tcPr>
            <w:tcW w:w="0" w:type="auto"/>
            <w:hideMark/>
          </w:tcPr>
          <w:p w14:paraId="737DA5BC"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15</w:t>
            </w:r>
          </w:p>
        </w:tc>
        <w:tc>
          <w:tcPr>
            <w:tcW w:w="0" w:type="auto"/>
            <w:hideMark/>
          </w:tcPr>
          <w:p w14:paraId="364C24D8"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5 + 10 = 15</w:t>
            </w:r>
          </w:p>
        </w:tc>
      </w:tr>
      <w:tr w:rsidR="0084257F" w:rsidRPr="000C7DB4" w14:paraId="0B11BBCB"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D69F87"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3</w:t>
            </w:r>
          </w:p>
        </w:tc>
        <w:tc>
          <w:tcPr>
            <w:tcW w:w="0" w:type="auto"/>
            <w:hideMark/>
          </w:tcPr>
          <w:p w14:paraId="5EB2ECDC"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20</w:t>
            </w:r>
          </w:p>
        </w:tc>
        <w:tc>
          <w:tcPr>
            <w:tcW w:w="0" w:type="auto"/>
            <w:hideMark/>
          </w:tcPr>
          <w:p w14:paraId="1135A691"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35</w:t>
            </w:r>
          </w:p>
        </w:tc>
        <w:tc>
          <w:tcPr>
            <w:tcW w:w="0" w:type="auto"/>
            <w:hideMark/>
          </w:tcPr>
          <w:p w14:paraId="5243B8B4"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15 + 20 = 35</w:t>
            </w:r>
          </w:p>
        </w:tc>
      </w:tr>
      <w:tr w:rsidR="0084257F" w:rsidRPr="000C7DB4" w14:paraId="73D890F2" w14:textId="77777777" w:rsidTr="0084257F">
        <w:tc>
          <w:tcPr>
            <w:cnfStyle w:val="001000000000" w:firstRow="0" w:lastRow="0" w:firstColumn="1" w:lastColumn="0" w:oddVBand="0" w:evenVBand="0" w:oddHBand="0" w:evenHBand="0" w:firstRowFirstColumn="0" w:firstRowLastColumn="0" w:lastRowFirstColumn="0" w:lastRowLastColumn="0"/>
            <w:tcW w:w="0" w:type="auto"/>
            <w:hideMark/>
          </w:tcPr>
          <w:p w14:paraId="425E0B86"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4</w:t>
            </w:r>
          </w:p>
        </w:tc>
        <w:tc>
          <w:tcPr>
            <w:tcW w:w="0" w:type="auto"/>
            <w:hideMark/>
          </w:tcPr>
          <w:p w14:paraId="2CECF709"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25</w:t>
            </w:r>
          </w:p>
        </w:tc>
        <w:tc>
          <w:tcPr>
            <w:tcW w:w="0" w:type="auto"/>
            <w:hideMark/>
          </w:tcPr>
          <w:p w14:paraId="19CDE891"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60</w:t>
            </w:r>
          </w:p>
        </w:tc>
        <w:tc>
          <w:tcPr>
            <w:tcW w:w="0" w:type="auto"/>
            <w:hideMark/>
          </w:tcPr>
          <w:p w14:paraId="0B5FC36B"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35 + 25 = 60</w:t>
            </w:r>
          </w:p>
        </w:tc>
      </w:tr>
      <w:tr w:rsidR="0084257F" w:rsidRPr="000C7DB4" w14:paraId="625FFDCC"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3D9324"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Year 5</w:t>
            </w:r>
          </w:p>
        </w:tc>
        <w:tc>
          <w:tcPr>
            <w:tcW w:w="0" w:type="auto"/>
            <w:hideMark/>
          </w:tcPr>
          <w:p w14:paraId="1342B668"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15</w:t>
            </w:r>
          </w:p>
        </w:tc>
        <w:tc>
          <w:tcPr>
            <w:tcW w:w="0" w:type="auto"/>
            <w:hideMark/>
          </w:tcPr>
          <w:p w14:paraId="015C5D98"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75</w:t>
            </w:r>
          </w:p>
        </w:tc>
        <w:tc>
          <w:tcPr>
            <w:tcW w:w="0" w:type="auto"/>
            <w:hideMark/>
          </w:tcPr>
          <w:p w14:paraId="4F7F5155"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60 + 15 = 75</w:t>
            </w:r>
          </w:p>
        </w:tc>
      </w:tr>
      <w:tr w:rsidR="0084257F" w:rsidRPr="0084257F" w14:paraId="122FD8CB" w14:textId="77777777" w:rsidTr="0084257F">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17987133"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Payback Period</w:t>
            </w:r>
          </w:p>
        </w:tc>
        <w:tc>
          <w:tcPr>
            <w:tcW w:w="0" w:type="auto"/>
            <w:gridSpan w:val="3"/>
            <w:hideMark/>
          </w:tcPr>
          <w:p w14:paraId="4E3B6F31" w14:textId="77777777" w:rsidR="0084257F" w:rsidRPr="0084257F" w:rsidRDefault="0084257F" w:rsidP="006C578E">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 xml:space="preserve">The initial investment of £50m is fully recovered during </w:t>
            </w:r>
            <w:r w:rsidRPr="000C7DB4">
              <w:rPr>
                <w:rFonts w:ascii="Arial" w:hAnsi="Arial" w:cs="Arial"/>
                <w:b/>
                <w:bCs/>
              </w:rPr>
              <w:t>Year 4</w:t>
            </w:r>
            <w:r w:rsidRPr="000C7DB4">
              <w:rPr>
                <w:rFonts w:ascii="Arial" w:hAnsi="Arial" w:cs="Arial"/>
              </w:rPr>
              <w:t xml:space="preserve">, as the </w:t>
            </w:r>
            <w:r w:rsidRPr="000C7DB4">
              <w:rPr>
                <w:rFonts w:ascii="Arial" w:hAnsi="Arial" w:cs="Arial"/>
                <w:b/>
                <w:bCs/>
              </w:rPr>
              <w:t>cumulative cash flow</w:t>
            </w:r>
            <w:r w:rsidRPr="000C7DB4">
              <w:rPr>
                <w:rFonts w:ascii="Arial" w:hAnsi="Arial" w:cs="Arial"/>
              </w:rPr>
              <w:t xml:space="preserve"> of </w:t>
            </w:r>
            <w:r w:rsidRPr="000C7DB4">
              <w:rPr>
                <w:rFonts w:ascii="Arial" w:hAnsi="Arial" w:cs="Arial"/>
                <w:b/>
                <w:bCs/>
              </w:rPr>
              <w:t>£60m</w:t>
            </w:r>
            <w:r w:rsidRPr="000C7DB4">
              <w:rPr>
                <w:rFonts w:ascii="Arial" w:hAnsi="Arial" w:cs="Arial"/>
              </w:rPr>
              <w:t xml:space="preserve"> exceeds the </w:t>
            </w:r>
            <w:r w:rsidRPr="000C7DB4">
              <w:rPr>
                <w:rFonts w:ascii="Arial" w:hAnsi="Arial" w:cs="Arial"/>
                <w:b/>
                <w:bCs/>
              </w:rPr>
              <w:t>£50m investment</w:t>
            </w:r>
            <w:r w:rsidRPr="000C7DB4">
              <w:rPr>
                <w:rFonts w:ascii="Arial" w:hAnsi="Arial" w:cs="Arial"/>
              </w:rPr>
              <w:t>.</w:t>
            </w:r>
          </w:p>
          <w:p w14:paraId="59259772"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b/>
                <w:bCs/>
              </w:rPr>
              <w:t>Payback Period</w:t>
            </w:r>
            <w:r w:rsidRPr="000C7DB4">
              <w:rPr>
                <w:rFonts w:ascii="Arial" w:hAnsi="Arial" w:cs="Arial"/>
              </w:rPr>
              <w:t xml:space="preserve">: The initial investment is recovered by </w:t>
            </w:r>
            <w:r w:rsidRPr="000C7DB4">
              <w:rPr>
                <w:rFonts w:ascii="Arial" w:hAnsi="Arial" w:cs="Arial"/>
                <w:b/>
                <w:bCs/>
              </w:rPr>
              <w:t>Year 4</w:t>
            </w:r>
            <w:r w:rsidRPr="000C7DB4">
              <w:rPr>
                <w:rFonts w:ascii="Arial" w:hAnsi="Arial" w:cs="Arial"/>
              </w:rPr>
              <w:t xml:space="preserve"> as the cumulative cash flow of </w:t>
            </w:r>
            <w:r w:rsidRPr="000C7DB4">
              <w:rPr>
                <w:rFonts w:ascii="Arial" w:hAnsi="Arial" w:cs="Arial"/>
                <w:b/>
                <w:bCs/>
              </w:rPr>
              <w:t>£60m</w:t>
            </w:r>
            <w:r w:rsidRPr="000C7DB4">
              <w:rPr>
                <w:rFonts w:ascii="Arial" w:hAnsi="Arial" w:cs="Arial"/>
              </w:rPr>
              <w:t xml:space="preserve"> exceeds the £50m initial investment.</w:t>
            </w:r>
          </w:p>
        </w:tc>
      </w:tr>
    </w:tbl>
    <w:p w14:paraId="509C9832" w14:textId="77777777" w:rsidR="0084257F" w:rsidRPr="0084257F" w:rsidRDefault="0084257F" w:rsidP="0084257F"/>
    <w:p w14:paraId="228795B3" w14:textId="77777777" w:rsidR="0084257F" w:rsidRPr="0084257F" w:rsidRDefault="0084257F" w:rsidP="0084257F">
      <w:r w:rsidRPr="0084257F">
        <w:t>ARR calculation</w:t>
      </w:r>
    </w:p>
    <w:tbl>
      <w:tblPr>
        <w:tblStyle w:val="GridTable3-Accent2"/>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2929"/>
        <w:gridCol w:w="2101"/>
        <w:gridCol w:w="1947"/>
        <w:gridCol w:w="2049"/>
      </w:tblGrid>
      <w:tr w:rsidR="0084257F" w:rsidRPr="000C7DB4" w14:paraId="02A6DED3" w14:textId="77777777" w:rsidTr="0084257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686BE35" w14:textId="77777777" w:rsidR="0084257F" w:rsidRPr="000C7DB4" w:rsidRDefault="0084257F" w:rsidP="006C578E">
            <w:pPr>
              <w:spacing w:after="160" w:line="360" w:lineRule="auto"/>
              <w:jc w:val="both"/>
              <w:rPr>
                <w:rFonts w:ascii="Arial" w:hAnsi="Arial" w:cs="Arial"/>
              </w:rPr>
            </w:pPr>
            <w:r w:rsidRPr="000C7DB4">
              <w:rPr>
                <w:rFonts w:ascii="Arial" w:hAnsi="Arial" w:cs="Arial"/>
              </w:rPr>
              <w:t>Component</w:t>
            </w:r>
          </w:p>
        </w:tc>
        <w:tc>
          <w:tcPr>
            <w:tcW w:w="0" w:type="auto"/>
            <w:hideMark/>
          </w:tcPr>
          <w:p w14:paraId="3A3BCA5A"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Project A</w:t>
            </w:r>
          </w:p>
        </w:tc>
        <w:tc>
          <w:tcPr>
            <w:tcW w:w="0" w:type="auto"/>
            <w:hideMark/>
          </w:tcPr>
          <w:p w14:paraId="22CEA308"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Project B</w:t>
            </w:r>
          </w:p>
        </w:tc>
        <w:tc>
          <w:tcPr>
            <w:tcW w:w="0" w:type="auto"/>
            <w:hideMark/>
          </w:tcPr>
          <w:p w14:paraId="6C51368E"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Project C</w:t>
            </w:r>
          </w:p>
        </w:tc>
      </w:tr>
      <w:tr w:rsidR="0084257F" w:rsidRPr="000C7DB4" w14:paraId="5A7765E2"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BEF43B"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Initial Investment (£m)</w:t>
            </w:r>
          </w:p>
        </w:tc>
        <w:tc>
          <w:tcPr>
            <w:tcW w:w="0" w:type="auto"/>
            <w:hideMark/>
          </w:tcPr>
          <w:p w14:paraId="76AC6262"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40</w:t>
            </w:r>
          </w:p>
        </w:tc>
        <w:tc>
          <w:tcPr>
            <w:tcW w:w="0" w:type="auto"/>
            <w:hideMark/>
          </w:tcPr>
          <w:p w14:paraId="4E475079"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30</w:t>
            </w:r>
          </w:p>
        </w:tc>
        <w:tc>
          <w:tcPr>
            <w:tcW w:w="0" w:type="auto"/>
            <w:hideMark/>
          </w:tcPr>
          <w:p w14:paraId="20E70A00"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50</w:t>
            </w:r>
          </w:p>
        </w:tc>
      </w:tr>
      <w:tr w:rsidR="0084257F" w:rsidRPr="000C7DB4" w14:paraId="4305CB55" w14:textId="77777777" w:rsidTr="0084257F">
        <w:tc>
          <w:tcPr>
            <w:cnfStyle w:val="001000000000" w:firstRow="0" w:lastRow="0" w:firstColumn="1" w:lastColumn="0" w:oddVBand="0" w:evenVBand="0" w:oddHBand="0" w:evenHBand="0" w:firstRowFirstColumn="0" w:firstRowLastColumn="0" w:lastRowFirstColumn="0" w:lastRowLastColumn="0"/>
            <w:tcW w:w="0" w:type="auto"/>
            <w:hideMark/>
          </w:tcPr>
          <w:p w14:paraId="318C7EAC"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Cash Inflows (£m)</w:t>
            </w:r>
          </w:p>
        </w:tc>
        <w:tc>
          <w:tcPr>
            <w:tcW w:w="0" w:type="auto"/>
            <w:hideMark/>
          </w:tcPr>
          <w:p w14:paraId="75E451B7"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1: 10</w:t>
            </w:r>
          </w:p>
        </w:tc>
        <w:tc>
          <w:tcPr>
            <w:tcW w:w="0" w:type="auto"/>
            <w:hideMark/>
          </w:tcPr>
          <w:p w14:paraId="531FD363"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1: 6</w:t>
            </w:r>
          </w:p>
        </w:tc>
        <w:tc>
          <w:tcPr>
            <w:tcW w:w="0" w:type="auto"/>
            <w:hideMark/>
          </w:tcPr>
          <w:p w14:paraId="06FD6B30"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1: 5</w:t>
            </w:r>
          </w:p>
        </w:tc>
      </w:tr>
      <w:tr w:rsidR="0084257F" w:rsidRPr="000C7DB4" w14:paraId="382A0C60"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564CE0" w14:textId="77777777" w:rsidR="0084257F" w:rsidRPr="000C7DB4" w:rsidRDefault="0084257F" w:rsidP="006C578E">
            <w:pPr>
              <w:spacing w:after="160" w:line="360" w:lineRule="auto"/>
              <w:jc w:val="both"/>
              <w:rPr>
                <w:rFonts w:ascii="Arial" w:hAnsi="Arial" w:cs="Arial"/>
              </w:rPr>
            </w:pPr>
          </w:p>
        </w:tc>
        <w:tc>
          <w:tcPr>
            <w:tcW w:w="0" w:type="auto"/>
            <w:hideMark/>
          </w:tcPr>
          <w:p w14:paraId="19D014C7"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Year 2: 12</w:t>
            </w:r>
          </w:p>
        </w:tc>
        <w:tc>
          <w:tcPr>
            <w:tcW w:w="0" w:type="auto"/>
            <w:hideMark/>
          </w:tcPr>
          <w:p w14:paraId="5EB9E33E"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Year 2: 6</w:t>
            </w:r>
          </w:p>
        </w:tc>
        <w:tc>
          <w:tcPr>
            <w:tcW w:w="0" w:type="auto"/>
            <w:hideMark/>
          </w:tcPr>
          <w:p w14:paraId="1C4FB045"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Year 2: 10</w:t>
            </w:r>
          </w:p>
        </w:tc>
      </w:tr>
      <w:tr w:rsidR="0084257F" w:rsidRPr="000C7DB4" w14:paraId="14C32F6D" w14:textId="77777777" w:rsidTr="0084257F">
        <w:tc>
          <w:tcPr>
            <w:cnfStyle w:val="001000000000" w:firstRow="0" w:lastRow="0" w:firstColumn="1" w:lastColumn="0" w:oddVBand="0" w:evenVBand="0" w:oddHBand="0" w:evenHBand="0" w:firstRowFirstColumn="0" w:firstRowLastColumn="0" w:lastRowFirstColumn="0" w:lastRowLastColumn="0"/>
            <w:tcW w:w="0" w:type="auto"/>
            <w:hideMark/>
          </w:tcPr>
          <w:p w14:paraId="40299964" w14:textId="77777777" w:rsidR="0084257F" w:rsidRPr="000C7DB4" w:rsidRDefault="0084257F" w:rsidP="006C578E">
            <w:pPr>
              <w:spacing w:after="160" w:line="360" w:lineRule="auto"/>
              <w:jc w:val="both"/>
              <w:rPr>
                <w:rFonts w:ascii="Arial" w:hAnsi="Arial" w:cs="Arial"/>
              </w:rPr>
            </w:pPr>
          </w:p>
        </w:tc>
        <w:tc>
          <w:tcPr>
            <w:tcW w:w="0" w:type="auto"/>
            <w:hideMark/>
          </w:tcPr>
          <w:p w14:paraId="16EE54FE"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3: 14</w:t>
            </w:r>
          </w:p>
        </w:tc>
        <w:tc>
          <w:tcPr>
            <w:tcW w:w="0" w:type="auto"/>
            <w:hideMark/>
          </w:tcPr>
          <w:p w14:paraId="503F4893"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3: 6</w:t>
            </w:r>
          </w:p>
        </w:tc>
        <w:tc>
          <w:tcPr>
            <w:tcW w:w="0" w:type="auto"/>
            <w:hideMark/>
          </w:tcPr>
          <w:p w14:paraId="26D00100"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3: 20</w:t>
            </w:r>
          </w:p>
        </w:tc>
      </w:tr>
      <w:tr w:rsidR="0084257F" w:rsidRPr="000C7DB4" w14:paraId="4FF1BE4F"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FF1495" w14:textId="77777777" w:rsidR="0084257F" w:rsidRPr="000C7DB4" w:rsidRDefault="0084257F" w:rsidP="006C578E">
            <w:pPr>
              <w:spacing w:after="160" w:line="360" w:lineRule="auto"/>
              <w:jc w:val="both"/>
              <w:rPr>
                <w:rFonts w:ascii="Arial" w:hAnsi="Arial" w:cs="Arial"/>
              </w:rPr>
            </w:pPr>
          </w:p>
        </w:tc>
        <w:tc>
          <w:tcPr>
            <w:tcW w:w="0" w:type="auto"/>
            <w:hideMark/>
          </w:tcPr>
          <w:p w14:paraId="3AC56382"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Year 4: 10</w:t>
            </w:r>
          </w:p>
        </w:tc>
        <w:tc>
          <w:tcPr>
            <w:tcW w:w="0" w:type="auto"/>
            <w:hideMark/>
          </w:tcPr>
          <w:p w14:paraId="418741BA"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Year 4: 6</w:t>
            </w:r>
          </w:p>
        </w:tc>
        <w:tc>
          <w:tcPr>
            <w:tcW w:w="0" w:type="auto"/>
            <w:hideMark/>
          </w:tcPr>
          <w:p w14:paraId="7CF14BB1"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Year 4: 25</w:t>
            </w:r>
          </w:p>
        </w:tc>
      </w:tr>
      <w:tr w:rsidR="0084257F" w:rsidRPr="000C7DB4" w14:paraId="4C3049C8" w14:textId="77777777" w:rsidTr="0084257F">
        <w:tc>
          <w:tcPr>
            <w:cnfStyle w:val="001000000000" w:firstRow="0" w:lastRow="0" w:firstColumn="1" w:lastColumn="0" w:oddVBand="0" w:evenVBand="0" w:oddHBand="0" w:evenHBand="0" w:firstRowFirstColumn="0" w:firstRowLastColumn="0" w:lastRowFirstColumn="0" w:lastRowLastColumn="0"/>
            <w:tcW w:w="0" w:type="auto"/>
            <w:hideMark/>
          </w:tcPr>
          <w:p w14:paraId="081EC407" w14:textId="77777777" w:rsidR="0084257F" w:rsidRPr="000C7DB4" w:rsidRDefault="0084257F" w:rsidP="006C578E">
            <w:pPr>
              <w:spacing w:after="160" w:line="360" w:lineRule="auto"/>
              <w:jc w:val="both"/>
              <w:rPr>
                <w:rFonts w:ascii="Arial" w:hAnsi="Arial" w:cs="Arial"/>
              </w:rPr>
            </w:pPr>
          </w:p>
        </w:tc>
        <w:tc>
          <w:tcPr>
            <w:tcW w:w="0" w:type="auto"/>
            <w:hideMark/>
          </w:tcPr>
          <w:p w14:paraId="1F530687"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5: 8</w:t>
            </w:r>
          </w:p>
        </w:tc>
        <w:tc>
          <w:tcPr>
            <w:tcW w:w="0" w:type="auto"/>
            <w:hideMark/>
          </w:tcPr>
          <w:p w14:paraId="4F2E358B"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5: 6</w:t>
            </w:r>
          </w:p>
        </w:tc>
        <w:tc>
          <w:tcPr>
            <w:tcW w:w="0" w:type="auto"/>
            <w:hideMark/>
          </w:tcPr>
          <w:p w14:paraId="3AC900CB"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5: 15</w:t>
            </w:r>
          </w:p>
        </w:tc>
      </w:tr>
      <w:tr w:rsidR="0084257F" w:rsidRPr="000C7DB4" w14:paraId="7FBF9585"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8B55EB"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Total Cash Inflows (£m)</w:t>
            </w:r>
          </w:p>
        </w:tc>
        <w:tc>
          <w:tcPr>
            <w:tcW w:w="0" w:type="auto"/>
            <w:hideMark/>
          </w:tcPr>
          <w:p w14:paraId="436C1786"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54</w:t>
            </w:r>
          </w:p>
        </w:tc>
        <w:tc>
          <w:tcPr>
            <w:tcW w:w="0" w:type="auto"/>
            <w:hideMark/>
          </w:tcPr>
          <w:p w14:paraId="24CF52F6"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30</w:t>
            </w:r>
          </w:p>
        </w:tc>
        <w:tc>
          <w:tcPr>
            <w:tcW w:w="0" w:type="auto"/>
            <w:hideMark/>
          </w:tcPr>
          <w:p w14:paraId="40AE74B2"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75</w:t>
            </w:r>
          </w:p>
        </w:tc>
      </w:tr>
      <w:tr w:rsidR="0084257F" w:rsidRPr="000C7DB4" w14:paraId="4CB766EC" w14:textId="77777777" w:rsidTr="0084257F">
        <w:tc>
          <w:tcPr>
            <w:cnfStyle w:val="001000000000" w:firstRow="0" w:lastRow="0" w:firstColumn="1" w:lastColumn="0" w:oddVBand="0" w:evenVBand="0" w:oddHBand="0" w:evenHBand="0" w:firstRowFirstColumn="0" w:firstRowLastColumn="0" w:lastRowFirstColumn="0" w:lastRowLastColumn="0"/>
            <w:tcW w:w="0" w:type="auto"/>
            <w:hideMark/>
          </w:tcPr>
          <w:p w14:paraId="73D80CBE"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Depreciation (£m)</w:t>
            </w:r>
          </w:p>
        </w:tc>
        <w:tc>
          <w:tcPr>
            <w:tcW w:w="0" w:type="auto"/>
            <w:hideMark/>
          </w:tcPr>
          <w:p w14:paraId="426DD7EC"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8</w:t>
            </w:r>
          </w:p>
        </w:tc>
        <w:tc>
          <w:tcPr>
            <w:tcW w:w="0" w:type="auto"/>
            <w:hideMark/>
          </w:tcPr>
          <w:p w14:paraId="0B015F2A"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6</w:t>
            </w:r>
          </w:p>
        </w:tc>
        <w:tc>
          <w:tcPr>
            <w:tcW w:w="0" w:type="auto"/>
            <w:hideMark/>
          </w:tcPr>
          <w:p w14:paraId="4EAC8D59"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10</w:t>
            </w:r>
          </w:p>
        </w:tc>
      </w:tr>
      <w:tr w:rsidR="0084257F" w:rsidRPr="000C7DB4" w14:paraId="4050CB9F"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F4528A"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Total Depreciation (£m)</w:t>
            </w:r>
          </w:p>
        </w:tc>
        <w:tc>
          <w:tcPr>
            <w:tcW w:w="0" w:type="auto"/>
            <w:hideMark/>
          </w:tcPr>
          <w:p w14:paraId="620F33B3"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40</w:t>
            </w:r>
          </w:p>
        </w:tc>
        <w:tc>
          <w:tcPr>
            <w:tcW w:w="0" w:type="auto"/>
            <w:hideMark/>
          </w:tcPr>
          <w:p w14:paraId="7C3F4360"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30</w:t>
            </w:r>
          </w:p>
        </w:tc>
        <w:tc>
          <w:tcPr>
            <w:tcW w:w="0" w:type="auto"/>
            <w:hideMark/>
          </w:tcPr>
          <w:p w14:paraId="2208A28D"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50</w:t>
            </w:r>
          </w:p>
        </w:tc>
      </w:tr>
      <w:tr w:rsidR="0084257F" w:rsidRPr="000C7DB4" w14:paraId="717A8792" w14:textId="77777777" w:rsidTr="0084257F">
        <w:tc>
          <w:tcPr>
            <w:cnfStyle w:val="001000000000" w:firstRow="0" w:lastRow="0" w:firstColumn="1" w:lastColumn="0" w:oddVBand="0" w:evenVBand="0" w:oddHBand="0" w:evenHBand="0" w:firstRowFirstColumn="0" w:firstRowLastColumn="0" w:lastRowFirstColumn="0" w:lastRowLastColumn="0"/>
            <w:tcW w:w="0" w:type="auto"/>
            <w:hideMark/>
          </w:tcPr>
          <w:p w14:paraId="76A068C7"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Average Annual Profit (£m)</w:t>
            </w:r>
          </w:p>
        </w:tc>
        <w:tc>
          <w:tcPr>
            <w:tcW w:w="0" w:type="auto"/>
            <w:hideMark/>
          </w:tcPr>
          <w:p w14:paraId="02E08838"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(54 - 40) / 5 = 2.8</w:t>
            </w:r>
          </w:p>
        </w:tc>
        <w:tc>
          <w:tcPr>
            <w:tcW w:w="0" w:type="auto"/>
            <w:hideMark/>
          </w:tcPr>
          <w:p w14:paraId="7AD66B70"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(30 - 30) / 5 = 0</w:t>
            </w:r>
          </w:p>
        </w:tc>
        <w:tc>
          <w:tcPr>
            <w:tcW w:w="0" w:type="auto"/>
            <w:hideMark/>
          </w:tcPr>
          <w:p w14:paraId="0EE49025"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(75 - 50) / 5 = 5</w:t>
            </w:r>
          </w:p>
        </w:tc>
      </w:tr>
      <w:tr w:rsidR="0084257F" w:rsidRPr="000C7DB4" w14:paraId="0460FB7A"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AFEBB9"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lastRenderedPageBreak/>
              <w:t>ARR (%)</w:t>
            </w:r>
          </w:p>
        </w:tc>
        <w:tc>
          <w:tcPr>
            <w:tcW w:w="0" w:type="auto"/>
            <w:hideMark/>
          </w:tcPr>
          <w:p w14:paraId="6BF2B919"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(2.8 / 40) * 100 = 7%</w:t>
            </w:r>
          </w:p>
        </w:tc>
        <w:tc>
          <w:tcPr>
            <w:tcW w:w="0" w:type="auto"/>
            <w:hideMark/>
          </w:tcPr>
          <w:p w14:paraId="59B3EA51"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(0 / 30) * 100 = 0%</w:t>
            </w:r>
          </w:p>
        </w:tc>
        <w:tc>
          <w:tcPr>
            <w:tcW w:w="0" w:type="auto"/>
            <w:hideMark/>
          </w:tcPr>
          <w:p w14:paraId="6631178A"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(5 / 50) * 100 = 10%</w:t>
            </w:r>
          </w:p>
        </w:tc>
      </w:tr>
    </w:tbl>
    <w:p w14:paraId="179C31D8" w14:textId="77777777" w:rsidR="0084257F" w:rsidRPr="0084257F" w:rsidRDefault="0084257F" w:rsidP="0084257F"/>
    <w:p w14:paraId="5E30D9A0" w14:textId="77777777" w:rsidR="0084257F" w:rsidRPr="0084257F" w:rsidRDefault="0084257F" w:rsidP="0084257F">
      <w:pPr>
        <w:rPr>
          <w:b/>
          <w:bCs/>
        </w:rPr>
      </w:pPr>
      <w:r w:rsidRPr="0084257F">
        <w:rPr>
          <w:b/>
          <w:bCs/>
        </w:rPr>
        <w:t>Profitability Index (PI) Calculation</w:t>
      </w:r>
    </w:p>
    <w:tbl>
      <w:tblPr>
        <w:tblStyle w:val="GridTable3-Accent2"/>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013"/>
        <w:gridCol w:w="1456"/>
        <w:gridCol w:w="895"/>
        <w:gridCol w:w="895"/>
        <w:gridCol w:w="895"/>
        <w:gridCol w:w="895"/>
        <w:gridCol w:w="895"/>
        <w:gridCol w:w="1025"/>
        <w:gridCol w:w="1057"/>
      </w:tblGrid>
      <w:tr w:rsidR="0084257F" w:rsidRPr="000C7DB4" w14:paraId="60C0C2BB" w14:textId="77777777" w:rsidTr="0084257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319A4C5" w14:textId="77777777" w:rsidR="0084257F" w:rsidRPr="000C7DB4" w:rsidRDefault="0084257F" w:rsidP="006C578E">
            <w:pPr>
              <w:spacing w:after="160" w:line="360" w:lineRule="auto"/>
              <w:jc w:val="both"/>
              <w:rPr>
                <w:rFonts w:ascii="Arial" w:hAnsi="Arial" w:cs="Arial"/>
              </w:rPr>
            </w:pPr>
            <w:r w:rsidRPr="000C7DB4">
              <w:rPr>
                <w:rFonts w:ascii="Arial" w:hAnsi="Arial" w:cs="Arial"/>
              </w:rPr>
              <w:t>Project</w:t>
            </w:r>
          </w:p>
        </w:tc>
        <w:tc>
          <w:tcPr>
            <w:tcW w:w="0" w:type="auto"/>
            <w:hideMark/>
          </w:tcPr>
          <w:p w14:paraId="59D2E4A5"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Initial Investment (£m)</w:t>
            </w:r>
          </w:p>
        </w:tc>
        <w:tc>
          <w:tcPr>
            <w:tcW w:w="0" w:type="auto"/>
            <w:hideMark/>
          </w:tcPr>
          <w:p w14:paraId="0A9A67EF"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1 Inflow (£m)</w:t>
            </w:r>
          </w:p>
        </w:tc>
        <w:tc>
          <w:tcPr>
            <w:tcW w:w="0" w:type="auto"/>
            <w:hideMark/>
          </w:tcPr>
          <w:p w14:paraId="6091F511"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2 Inflow (£m)</w:t>
            </w:r>
          </w:p>
        </w:tc>
        <w:tc>
          <w:tcPr>
            <w:tcW w:w="0" w:type="auto"/>
            <w:hideMark/>
          </w:tcPr>
          <w:p w14:paraId="5A7384AF"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3 Inflow (£m)</w:t>
            </w:r>
          </w:p>
        </w:tc>
        <w:tc>
          <w:tcPr>
            <w:tcW w:w="0" w:type="auto"/>
            <w:hideMark/>
          </w:tcPr>
          <w:p w14:paraId="1CB622EA"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4 Inflow (£m)</w:t>
            </w:r>
          </w:p>
        </w:tc>
        <w:tc>
          <w:tcPr>
            <w:tcW w:w="0" w:type="auto"/>
            <w:hideMark/>
          </w:tcPr>
          <w:p w14:paraId="12662FB8"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Year 5 Inflow (£m)</w:t>
            </w:r>
          </w:p>
        </w:tc>
        <w:tc>
          <w:tcPr>
            <w:tcW w:w="0" w:type="auto"/>
            <w:hideMark/>
          </w:tcPr>
          <w:p w14:paraId="75416EF9"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Total Cash Inflows (£m)</w:t>
            </w:r>
          </w:p>
        </w:tc>
        <w:tc>
          <w:tcPr>
            <w:tcW w:w="0" w:type="auto"/>
            <w:hideMark/>
          </w:tcPr>
          <w:p w14:paraId="6A4B2B15" w14:textId="77777777" w:rsidR="0084257F" w:rsidRPr="000C7DB4" w:rsidRDefault="0084257F" w:rsidP="006C578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PV of Cash Inflows (£m)</w:t>
            </w:r>
          </w:p>
        </w:tc>
      </w:tr>
      <w:tr w:rsidR="0084257F" w:rsidRPr="000C7DB4" w14:paraId="6EF277F7"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FB74AC"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Project A</w:t>
            </w:r>
          </w:p>
        </w:tc>
        <w:tc>
          <w:tcPr>
            <w:tcW w:w="0" w:type="auto"/>
            <w:hideMark/>
          </w:tcPr>
          <w:p w14:paraId="12B7C42D"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40</w:t>
            </w:r>
          </w:p>
        </w:tc>
        <w:tc>
          <w:tcPr>
            <w:tcW w:w="0" w:type="auto"/>
            <w:hideMark/>
          </w:tcPr>
          <w:p w14:paraId="2EEDB616"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10</w:t>
            </w:r>
          </w:p>
        </w:tc>
        <w:tc>
          <w:tcPr>
            <w:tcW w:w="0" w:type="auto"/>
            <w:hideMark/>
          </w:tcPr>
          <w:p w14:paraId="706F2542"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12</w:t>
            </w:r>
          </w:p>
        </w:tc>
        <w:tc>
          <w:tcPr>
            <w:tcW w:w="0" w:type="auto"/>
            <w:hideMark/>
          </w:tcPr>
          <w:p w14:paraId="72F548D0"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14</w:t>
            </w:r>
          </w:p>
        </w:tc>
        <w:tc>
          <w:tcPr>
            <w:tcW w:w="0" w:type="auto"/>
            <w:hideMark/>
          </w:tcPr>
          <w:p w14:paraId="46F74CDF"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10</w:t>
            </w:r>
          </w:p>
        </w:tc>
        <w:tc>
          <w:tcPr>
            <w:tcW w:w="0" w:type="auto"/>
            <w:hideMark/>
          </w:tcPr>
          <w:p w14:paraId="184CE3DA"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8</w:t>
            </w:r>
          </w:p>
        </w:tc>
        <w:tc>
          <w:tcPr>
            <w:tcW w:w="0" w:type="auto"/>
            <w:hideMark/>
          </w:tcPr>
          <w:p w14:paraId="58CDD7B1"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54</w:t>
            </w:r>
          </w:p>
        </w:tc>
        <w:tc>
          <w:tcPr>
            <w:tcW w:w="0" w:type="auto"/>
            <w:hideMark/>
          </w:tcPr>
          <w:p w14:paraId="6BD895A9"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 xml:space="preserve">[10 / (1 + </w:t>
            </w:r>
            <w:proofErr w:type="gramStart"/>
            <w:r w:rsidRPr="000C7DB4">
              <w:rPr>
                <w:rFonts w:ascii="Arial" w:hAnsi="Arial" w:cs="Arial"/>
              </w:rPr>
              <w:t>0.10)^</w:t>
            </w:r>
            <w:proofErr w:type="gramEnd"/>
            <w:r w:rsidRPr="000C7DB4">
              <w:rPr>
                <w:rFonts w:ascii="Arial" w:hAnsi="Arial" w:cs="Arial"/>
              </w:rPr>
              <w:t>1] + [12 / (1 + 0.10)^2] + [14 / (1 + 0.10)^3] + [10 / (1 + 0.10)^4] + [8 / (1 + 0.10)^5] = 41.33</w:t>
            </w:r>
          </w:p>
        </w:tc>
      </w:tr>
      <w:tr w:rsidR="0084257F" w:rsidRPr="000C7DB4" w14:paraId="1C4A33DF" w14:textId="77777777" w:rsidTr="0084257F">
        <w:tc>
          <w:tcPr>
            <w:cnfStyle w:val="001000000000" w:firstRow="0" w:lastRow="0" w:firstColumn="1" w:lastColumn="0" w:oddVBand="0" w:evenVBand="0" w:oddHBand="0" w:evenHBand="0" w:firstRowFirstColumn="0" w:firstRowLastColumn="0" w:lastRowFirstColumn="0" w:lastRowLastColumn="0"/>
            <w:tcW w:w="0" w:type="auto"/>
            <w:hideMark/>
          </w:tcPr>
          <w:p w14:paraId="66F13D6F"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t>Project B</w:t>
            </w:r>
          </w:p>
        </w:tc>
        <w:tc>
          <w:tcPr>
            <w:tcW w:w="0" w:type="auto"/>
            <w:hideMark/>
          </w:tcPr>
          <w:p w14:paraId="4FCEAB28"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30</w:t>
            </w:r>
          </w:p>
        </w:tc>
        <w:tc>
          <w:tcPr>
            <w:tcW w:w="0" w:type="auto"/>
            <w:hideMark/>
          </w:tcPr>
          <w:p w14:paraId="46890395"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6</w:t>
            </w:r>
          </w:p>
        </w:tc>
        <w:tc>
          <w:tcPr>
            <w:tcW w:w="0" w:type="auto"/>
            <w:hideMark/>
          </w:tcPr>
          <w:p w14:paraId="115B541B"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6</w:t>
            </w:r>
          </w:p>
        </w:tc>
        <w:tc>
          <w:tcPr>
            <w:tcW w:w="0" w:type="auto"/>
            <w:hideMark/>
          </w:tcPr>
          <w:p w14:paraId="77B655A4"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6</w:t>
            </w:r>
          </w:p>
        </w:tc>
        <w:tc>
          <w:tcPr>
            <w:tcW w:w="0" w:type="auto"/>
            <w:hideMark/>
          </w:tcPr>
          <w:p w14:paraId="29005982"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6</w:t>
            </w:r>
          </w:p>
        </w:tc>
        <w:tc>
          <w:tcPr>
            <w:tcW w:w="0" w:type="auto"/>
            <w:hideMark/>
          </w:tcPr>
          <w:p w14:paraId="0D769D7B"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6</w:t>
            </w:r>
          </w:p>
        </w:tc>
        <w:tc>
          <w:tcPr>
            <w:tcW w:w="0" w:type="auto"/>
            <w:hideMark/>
          </w:tcPr>
          <w:p w14:paraId="1A843594"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30</w:t>
            </w:r>
          </w:p>
        </w:tc>
        <w:tc>
          <w:tcPr>
            <w:tcW w:w="0" w:type="auto"/>
            <w:hideMark/>
          </w:tcPr>
          <w:p w14:paraId="5D082397" w14:textId="77777777" w:rsidR="0084257F" w:rsidRPr="000C7DB4" w:rsidRDefault="0084257F" w:rsidP="006C57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C7DB4">
              <w:rPr>
                <w:rFonts w:ascii="Arial" w:hAnsi="Arial" w:cs="Arial"/>
              </w:rPr>
              <w:t xml:space="preserve">[6 / (1 + </w:t>
            </w:r>
            <w:proofErr w:type="gramStart"/>
            <w:r w:rsidRPr="000C7DB4">
              <w:rPr>
                <w:rFonts w:ascii="Arial" w:hAnsi="Arial" w:cs="Arial"/>
              </w:rPr>
              <w:t>0.10)^</w:t>
            </w:r>
            <w:proofErr w:type="gramEnd"/>
            <w:r w:rsidRPr="000C7DB4">
              <w:rPr>
                <w:rFonts w:ascii="Arial" w:hAnsi="Arial" w:cs="Arial"/>
              </w:rPr>
              <w:t xml:space="preserve">1] + [6 / (1 + 0.10)^2] + [6 / </w:t>
            </w:r>
            <w:r w:rsidRPr="000C7DB4">
              <w:rPr>
                <w:rFonts w:ascii="Arial" w:hAnsi="Arial" w:cs="Arial"/>
              </w:rPr>
              <w:lastRenderedPageBreak/>
              <w:t>(1 + 0.10)^3] + [6 / (1 + 0.10)^4] + [6 / (1 + 0.10)^5] = 22.75</w:t>
            </w:r>
          </w:p>
        </w:tc>
      </w:tr>
      <w:tr w:rsidR="0084257F" w:rsidRPr="000C7DB4" w14:paraId="14BEB807" w14:textId="77777777" w:rsidTr="008425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B4A795" w14:textId="77777777" w:rsidR="0084257F" w:rsidRPr="000C7DB4" w:rsidRDefault="0084257F" w:rsidP="006C578E">
            <w:pPr>
              <w:spacing w:after="160" w:line="360" w:lineRule="auto"/>
              <w:jc w:val="both"/>
              <w:rPr>
                <w:rFonts w:ascii="Arial" w:hAnsi="Arial" w:cs="Arial"/>
              </w:rPr>
            </w:pPr>
            <w:r w:rsidRPr="000C7DB4">
              <w:rPr>
                <w:rFonts w:ascii="Arial" w:hAnsi="Arial" w:cs="Arial"/>
                <w:b/>
                <w:bCs/>
              </w:rPr>
              <w:lastRenderedPageBreak/>
              <w:t>Project C</w:t>
            </w:r>
          </w:p>
        </w:tc>
        <w:tc>
          <w:tcPr>
            <w:tcW w:w="0" w:type="auto"/>
            <w:hideMark/>
          </w:tcPr>
          <w:p w14:paraId="5E8DFA76"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50</w:t>
            </w:r>
          </w:p>
        </w:tc>
        <w:tc>
          <w:tcPr>
            <w:tcW w:w="0" w:type="auto"/>
            <w:hideMark/>
          </w:tcPr>
          <w:p w14:paraId="07CE59F6"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5</w:t>
            </w:r>
          </w:p>
        </w:tc>
        <w:tc>
          <w:tcPr>
            <w:tcW w:w="0" w:type="auto"/>
            <w:hideMark/>
          </w:tcPr>
          <w:p w14:paraId="125DE4B9"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10</w:t>
            </w:r>
          </w:p>
        </w:tc>
        <w:tc>
          <w:tcPr>
            <w:tcW w:w="0" w:type="auto"/>
            <w:hideMark/>
          </w:tcPr>
          <w:p w14:paraId="371C4315"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20</w:t>
            </w:r>
          </w:p>
        </w:tc>
        <w:tc>
          <w:tcPr>
            <w:tcW w:w="0" w:type="auto"/>
            <w:hideMark/>
          </w:tcPr>
          <w:p w14:paraId="5246471B"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25</w:t>
            </w:r>
          </w:p>
        </w:tc>
        <w:tc>
          <w:tcPr>
            <w:tcW w:w="0" w:type="auto"/>
            <w:hideMark/>
          </w:tcPr>
          <w:p w14:paraId="6D22C5C6"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15</w:t>
            </w:r>
          </w:p>
        </w:tc>
        <w:tc>
          <w:tcPr>
            <w:tcW w:w="0" w:type="auto"/>
            <w:hideMark/>
          </w:tcPr>
          <w:p w14:paraId="6A0A3D81"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75</w:t>
            </w:r>
          </w:p>
        </w:tc>
        <w:tc>
          <w:tcPr>
            <w:tcW w:w="0" w:type="auto"/>
            <w:hideMark/>
          </w:tcPr>
          <w:p w14:paraId="25E67261" w14:textId="77777777" w:rsidR="0084257F" w:rsidRPr="000C7DB4" w:rsidRDefault="0084257F" w:rsidP="006C57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C7DB4">
              <w:rPr>
                <w:rFonts w:ascii="Arial" w:hAnsi="Arial" w:cs="Arial"/>
              </w:rPr>
              <w:t xml:space="preserve">[5 / (1 + </w:t>
            </w:r>
            <w:proofErr w:type="gramStart"/>
            <w:r w:rsidRPr="000C7DB4">
              <w:rPr>
                <w:rFonts w:ascii="Arial" w:hAnsi="Arial" w:cs="Arial"/>
              </w:rPr>
              <w:t>0.10)^</w:t>
            </w:r>
            <w:proofErr w:type="gramEnd"/>
            <w:r w:rsidRPr="000C7DB4">
              <w:rPr>
                <w:rFonts w:ascii="Arial" w:hAnsi="Arial" w:cs="Arial"/>
              </w:rPr>
              <w:t>1] + [10 / (1 + 0.10)^2] + [20 / (1 + 0.10)^3] + [25 / (1 + 0.10)^4] + [15 / (1 + 0.10)^5] = 54.25</w:t>
            </w:r>
          </w:p>
        </w:tc>
      </w:tr>
    </w:tbl>
    <w:p w14:paraId="73A68E46" w14:textId="77777777" w:rsidR="0084257F" w:rsidRPr="0084257F" w:rsidRDefault="0084257F" w:rsidP="0084257F"/>
    <w:p w14:paraId="373436CE" w14:textId="77777777" w:rsidR="0084257F" w:rsidRPr="0084257F" w:rsidRDefault="0084257F" w:rsidP="0084257F"/>
    <w:sectPr w:rsidR="0084257F" w:rsidRPr="0084257F" w:rsidSect="0084257F">
      <w:pgSz w:w="11906" w:h="16838"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48576" w14:textId="77777777" w:rsidR="00A10132" w:rsidRDefault="00A10132">
      <w:pPr>
        <w:spacing w:line="240" w:lineRule="auto"/>
      </w:pPr>
      <w:r>
        <w:separator/>
      </w:r>
    </w:p>
  </w:endnote>
  <w:endnote w:type="continuationSeparator" w:id="0">
    <w:p w14:paraId="5E39EACE" w14:textId="77777777" w:rsidR="00A10132" w:rsidRDefault="00A101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02AC5E83-B040-429D-B64E-73205F81B34F}"/>
    <w:embedBold r:id="rId2" w:fontKey="{0DBB1AB9-807A-4713-AE03-2C0824BA7FC0}"/>
    <w:embedItalic r:id="rId3" w:fontKey="{AED4700C-D602-41D3-A8ED-8D0278E905A5}"/>
    <w:embedBoldItalic r:id="rId4" w:fontKey="{EDA89E3C-8C83-4B2E-860A-BACC191636F8}"/>
  </w:font>
  <w:font w:name="Calibri">
    <w:panose1 w:val="020F0502020204030204"/>
    <w:charset w:val="00"/>
    <w:family w:val="swiss"/>
    <w:pitch w:val="variable"/>
    <w:sig w:usb0="E4002EFF" w:usb1="C200247B" w:usb2="00000009" w:usb3="00000000" w:csb0="000001FF" w:csb1="00000000"/>
    <w:embedRegular r:id="rId5" w:fontKey="{78D07BB7-9644-4D12-9087-57ED68B57E6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8066223"/>
      <w:docPartObj>
        <w:docPartGallery w:val="Page Numbers (Bottom of Page)"/>
        <w:docPartUnique/>
      </w:docPartObj>
    </w:sdtPr>
    <w:sdtEndPr>
      <w:rPr>
        <w:noProof/>
      </w:rPr>
    </w:sdtEndPr>
    <w:sdtContent>
      <w:p w14:paraId="704661A3" w14:textId="489C4978" w:rsidR="0084257F" w:rsidRDefault="008425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4BC5D7" w14:textId="77777777" w:rsidR="0084257F" w:rsidRDefault="008425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36E00" w14:textId="77777777" w:rsidR="00A10132" w:rsidRDefault="00A10132">
      <w:pPr>
        <w:spacing w:line="240" w:lineRule="auto"/>
      </w:pPr>
      <w:r>
        <w:separator/>
      </w:r>
    </w:p>
  </w:footnote>
  <w:footnote w:type="continuationSeparator" w:id="0">
    <w:p w14:paraId="237F2B68" w14:textId="77777777" w:rsidR="00A10132" w:rsidRDefault="00A101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25128"/>
    <w:multiLevelType w:val="multilevel"/>
    <w:tmpl w:val="47E811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AB1B67"/>
    <w:multiLevelType w:val="multilevel"/>
    <w:tmpl w:val="E44AA6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4A1D4B"/>
    <w:multiLevelType w:val="multilevel"/>
    <w:tmpl w:val="ED044F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A631B19"/>
    <w:multiLevelType w:val="multilevel"/>
    <w:tmpl w:val="827676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D8D6060"/>
    <w:multiLevelType w:val="multilevel"/>
    <w:tmpl w:val="028865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8B97357"/>
    <w:multiLevelType w:val="multilevel"/>
    <w:tmpl w:val="66D676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A9D02DE"/>
    <w:multiLevelType w:val="multilevel"/>
    <w:tmpl w:val="5D46AE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A572AF"/>
    <w:multiLevelType w:val="multilevel"/>
    <w:tmpl w:val="EEF832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5"/>
  </w:num>
  <w:num w:numId="5">
    <w:abstractNumId w:val="6"/>
  </w:num>
  <w:num w:numId="6">
    <w:abstractNumId w:val="4"/>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218E"/>
    <w:rsid w:val="00036F14"/>
    <w:rsid w:val="000F1C25"/>
    <w:rsid w:val="0023218E"/>
    <w:rsid w:val="00326E74"/>
    <w:rsid w:val="00422FBB"/>
    <w:rsid w:val="0084257F"/>
    <w:rsid w:val="00A10132"/>
    <w:rsid w:val="00AA439B"/>
    <w:rsid w:val="00AE6533"/>
    <w:rsid w:val="00C74196"/>
    <w:rsid w:val="00EC7E10"/>
    <w:rsid w:val="00EE7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F42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4257F"/>
    <w:pPr>
      <w:keepNext/>
      <w:keepLines/>
      <w:pBdr>
        <w:top w:val="single" w:sz="18" w:space="1" w:color="auto"/>
        <w:left w:val="single" w:sz="18" w:space="4" w:color="auto"/>
        <w:bottom w:val="single" w:sz="18" w:space="1" w:color="auto"/>
        <w:right w:val="single" w:sz="18" w:space="4" w:color="auto"/>
        <w:between w:val="single" w:sz="18" w:space="1" w:color="auto"/>
        <w:bar w:val="single" w:sz="18" w:color="auto"/>
      </w:pBdr>
      <w:shd w:val="clear" w:color="auto" w:fill="DAEEF3" w:themeFill="accent5" w:themeFillTint="33"/>
      <w:outlineLvl w:val="0"/>
    </w:pPr>
    <w:rPr>
      <w:b/>
      <w:bCs/>
      <w:color w:val="03045E"/>
      <w:sz w:val="32"/>
      <w:szCs w:val="32"/>
    </w:rPr>
  </w:style>
  <w:style w:type="paragraph" w:styleId="Heading2">
    <w:name w:val="heading 2"/>
    <w:basedOn w:val="Normal"/>
    <w:next w:val="Normal"/>
    <w:uiPriority w:val="9"/>
    <w:unhideWhenUsed/>
    <w:qFormat/>
    <w:pPr>
      <w:keepNext/>
      <w:keepLines/>
      <w:outlineLvl w:val="1"/>
    </w:pPr>
    <w:rPr>
      <w:b/>
      <w:bCs/>
      <w:color w:val="1155CC"/>
      <w:sz w:val="28"/>
      <w:szCs w:val="28"/>
    </w:rPr>
  </w:style>
  <w:style w:type="paragraph" w:styleId="Heading3">
    <w:name w:val="heading 3"/>
    <w:basedOn w:val="Normal"/>
    <w:next w:val="Normal"/>
    <w:uiPriority w:val="9"/>
    <w:unhideWhenUsed/>
    <w:qFormat/>
    <w:pPr>
      <w:keepNext/>
      <w:keepLines/>
      <w:outlineLvl w:val="2"/>
    </w:pPr>
    <w:rPr>
      <w:b/>
      <w:bCs/>
      <w:color w:val="1155CC"/>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styleId="TableGrid">
    <w:name w:val="Table Grid"/>
    <w:basedOn w:val="TableNormal"/>
    <w:uiPriority w:val="39"/>
    <w:rsid w:val="00EC7E1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6">
    <w:name w:val="Grid Table 3 Accent 6"/>
    <w:basedOn w:val="TableNormal"/>
    <w:uiPriority w:val="48"/>
    <w:rsid w:val="00EC7E10"/>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paragraph" w:styleId="Caption">
    <w:name w:val="caption"/>
    <w:basedOn w:val="Normal"/>
    <w:next w:val="Normal"/>
    <w:uiPriority w:val="35"/>
    <w:unhideWhenUsed/>
    <w:qFormat/>
    <w:rsid w:val="00EC7E10"/>
    <w:pPr>
      <w:spacing w:after="200" w:line="240" w:lineRule="auto"/>
      <w:jc w:val="center"/>
    </w:pPr>
    <w:rPr>
      <w:b/>
      <w:bCs/>
      <w:i/>
      <w:iCs/>
      <w:color w:val="1F497D" w:themeColor="text2"/>
    </w:rPr>
  </w:style>
  <w:style w:type="table" w:styleId="GridTable3-Accent2">
    <w:name w:val="Grid Table 3 Accent 2"/>
    <w:basedOn w:val="TableNormal"/>
    <w:uiPriority w:val="48"/>
    <w:rsid w:val="00EC7E10"/>
    <w:pPr>
      <w:spacing w:line="240" w:lineRule="auto"/>
      <w:jc w:val="left"/>
    </w:pPr>
    <w:rPr>
      <w:rFonts w:asciiTheme="minorHAnsi" w:eastAsiaTheme="minorHAnsi" w:hAnsiTheme="minorHAnsi" w:cstheme="minorBidi"/>
      <w:lang w:val="en-GB" w:eastAsia="en-US"/>
      <w14:ligatures w14:val="standardContextual"/>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 w:type="paragraph" w:styleId="Header">
    <w:name w:val="header"/>
    <w:basedOn w:val="Normal"/>
    <w:link w:val="HeaderChar"/>
    <w:uiPriority w:val="99"/>
    <w:unhideWhenUsed/>
    <w:rsid w:val="0084257F"/>
    <w:pPr>
      <w:tabs>
        <w:tab w:val="center" w:pos="4513"/>
        <w:tab w:val="right" w:pos="9026"/>
      </w:tabs>
      <w:spacing w:line="240" w:lineRule="auto"/>
    </w:pPr>
  </w:style>
  <w:style w:type="character" w:customStyle="1" w:styleId="HeaderChar">
    <w:name w:val="Header Char"/>
    <w:basedOn w:val="DefaultParagraphFont"/>
    <w:link w:val="Header"/>
    <w:uiPriority w:val="99"/>
    <w:rsid w:val="0084257F"/>
  </w:style>
  <w:style w:type="paragraph" w:styleId="Footer">
    <w:name w:val="footer"/>
    <w:basedOn w:val="Normal"/>
    <w:link w:val="FooterChar"/>
    <w:uiPriority w:val="99"/>
    <w:unhideWhenUsed/>
    <w:rsid w:val="0084257F"/>
    <w:pPr>
      <w:tabs>
        <w:tab w:val="center" w:pos="4513"/>
        <w:tab w:val="right" w:pos="9026"/>
      </w:tabs>
      <w:spacing w:line="240" w:lineRule="auto"/>
    </w:pPr>
  </w:style>
  <w:style w:type="character" w:customStyle="1" w:styleId="FooterChar">
    <w:name w:val="Footer Char"/>
    <w:basedOn w:val="DefaultParagraphFont"/>
    <w:link w:val="Footer"/>
    <w:uiPriority w:val="99"/>
    <w:rsid w:val="0084257F"/>
  </w:style>
  <w:style w:type="paragraph" w:styleId="TOCHeading">
    <w:name w:val="TOC Heading"/>
    <w:basedOn w:val="Heading1"/>
    <w:next w:val="Normal"/>
    <w:uiPriority w:val="39"/>
    <w:unhideWhenUsed/>
    <w:qFormat/>
    <w:rsid w:val="0084257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auto"/>
      <w:spacing w:before="240" w:line="259" w:lineRule="auto"/>
      <w:jc w:val="left"/>
      <w:outlineLvl w:val="9"/>
    </w:pPr>
    <w:rPr>
      <w:rFonts w:asciiTheme="majorHAnsi" w:eastAsiaTheme="majorEastAsia" w:hAnsiTheme="majorHAnsi" w:cstheme="majorBidi"/>
      <w:b w:val="0"/>
      <w:bCs w:val="0"/>
      <w:color w:val="365F91" w:themeColor="accent1" w:themeShade="BF"/>
      <w:lang w:val="en-US" w:eastAsia="en-US"/>
    </w:rPr>
  </w:style>
  <w:style w:type="paragraph" w:styleId="TOC1">
    <w:name w:val="toc 1"/>
    <w:basedOn w:val="Normal"/>
    <w:next w:val="Normal"/>
    <w:autoRedefine/>
    <w:uiPriority w:val="39"/>
    <w:unhideWhenUsed/>
    <w:rsid w:val="0084257F"/>
    <w:pPr>
      <w:spacing w:after="100"/>
    </w:pPr>
  </w:style>
  <w:style w:type="paragraph" w:styleId="TOC2">
    <w:name w:val="toc 2"/>
    <w:basedOn w:val="Normal"/>
    <w:next w:val="Normal"/>
    <w:autoRedefine/>
    <w:uiPriority w:val="39"/>
    <w:unhideWhenUsed/>
    <w:rsid w:val="0084257F"/>
    <w:pPr>
      <w:spacing w:after="100"/>
      <w:ind w:left="240"/>
    </w:pPr>
  </w:style>
  <w:style w:type="paragraph" w:styleId="TOC3">
    <w:name w:val="toc 3"/>
    <w:basedOn w:val="Normal"/>
    <w:next w:val="Normal"/>
    <w:autoRedefine/>
    <w:uiPriority w:val="39"/>
    <w:unhideWhenUsed/>
    <w:rsid w:val="0084257F"/>
    <w:pPr>
      <w:spacing w:after="100"/>
      <w:ind w:left="480"/>
    </w:pPr>
  </w:style>
  <w:style w:type="character" w:styleId="Hyperlink">
    <w:name w:val="Hyperlink"/>
    <w:basedOn w:val="DefaultParagraphFont"/>
    <w:uiPriority w:val="99"/>
    <w:unhideWhenUsed/>
    <w:rsid w:val="0084257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51405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1CA01A-127E-43DB-A382-8FF3A1CCE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7786</Words>
  <Characters>44383</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2025-12-01T23:20:00Z</dcterms:created>
  <dcterms:modified xsi:type="dcterms:W3CDTF">2025-12-02T12:40:00Z</dcterms:modified>
</cp:coreProperties>
</file>