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480" w:lineRule="auto"/>
        <w:jc w:val="left"/>
        <w:rPr>
          <w:rFonts w:ascii="Times New Roman" w:hAnsi="Times New Roman" w:cs="Times New Roman"/>
          <w:sz w:val="24"/>
          <w:szCs w:val="24"/>
        </w:rPr>
      </w:pPr>
      <w:r>
        <w:drawing>
          <wp:inline distT="0" distB="0" distL="114300" distR="114300">
            <wp:extent cx="1912620" cy="944880"/>
            <wp:effectExtent l="0" t="0" r="762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7"/>
                    <a:stretch>
                      <a:fillRect/>
                    </a:stretch>
                  </pic:blipFill>
                  <pic:spPr>
                    <a:xfrm>
                      <a:off x="0" y="0"/>
                      <a:ext cx="1912620" cy="944880"/>
                    </a:xfrm>
                    <a:prstGeom prst="rect">
                      <a:avLst/>
                    </a:prstGeom>
                    <a:noFill/>
                    <a:ln>
                      <a:noFill/>
                    </a:ln>
                  </pic:spPr>
                </pic:pic>
              </a:graphicData>
            </a:graphic>
          </wp:inline>
        </w:drawing>
      </w:r>
    </w:p>
    <w:p>
      <w:pPr>
        <w:spacing w:line="480" w:lineRule="auto"/>
        <w:jc w:val="center"/>
        <w:rPr>
          <w:rFonts w:ascii="Times New Roman" w:hAnsi="Times New Roman" w:cs="Times New Roman"/>
          <w:sz w:val="24"/>
          <w:szCs w:val="24"/>
        </w:rPr>
      </w:pPr>
    </w:p>
    <w:p>
      <w:pPr>
        <w:spacing w:line="480" w:lineRule="auto"/>
        <w:jc w:val="center"/>
        <w:rPr>
          <w:rFonts w:ascii="Times New Roman" w:hAnsi="Times New Roman" w:cs="Times New Roman"/>
          <w:b/>
          <w:sz w:val="24"/>
          <w:szCs w:val="24"/>
        </w:rPr>
      </w:pPr>
      <w:r>
        <w:rPr>
          <w:rFonts w:ascii="Times New Roman" w:hAnsi="Times New Roman" w:cs="Times New Roman"/>
          <w:b/>
          <w:sz w:val="24"/>
          <w:szCs w:val="24"/>
        </w:rPr>
        <w:t xml:space="preserve">International Business Communication </w:t>
      </w:r>
    </w:p>
    <w:p>
      <w:pPr>
        <w:spacing w:line="480" w:lineRule="auto"/>
        <w:jc w:val="center"/>
        <w:rPr>
          <w:rFonts w:ascii="Times New Roman" w:hAnsi="Times New Roman" w:cs="Times New Roman"/>
          <w:sz w:val="24"/>
          <w:szCs w:val="24"/>
        </w:rPr>
      </w:pPr>
    </w:p>
    <w:p>
      <w:pPr>
        <w:spacing w:line="480" w:lineRule="auto"/>
        <w:jc w:val="center"/>
        <w:rPr>
          <w:rFonts w:ascii="Times New Roman" w:hAnsi="Times New Roman" w:cs="Times New Roman"/>
          <w:sz w:val="24"/>
          <w:szCs w:val="24"/>
        </w:rPr>
      </w:pPr>
    </w:p>
    <w:p>
      <w:pPr>
        <w:spacing w:line="480" w:lineRule="auto"/>
        <w:jc w:val="center"/>
        <w:rPr>
          <w:rFonts w:ascii="Times New Roman" w:hAnsi="Times New Roman" w:cs="Times New Roman"/>
          <w:sz w:val="24"/>
          <w:szCs w:val="24"/>
        </w:rPr>
      </w:pPr>
    </w:p>
    <w:p>
      <w:pPr>
        <w:spacing w:line="480" w:lineRule="auto"/>
        <w:jc w:val="center"/>
        <w:rPr>
          <w:rFonts w:ascii="Times New Roman" w:hAnsi="Times New Roman" w:cs="Times New Roman"/>
          <w:sz w:val="24"/>
          <w:szCs w:val="24"/>
        </w:rPr>
      </w:pPr>
    </w:p>
    <w:p>
      <w:pPr>
        <w:spacing w:line="480" w:lineRule="auto"/>
        <w:jc w:val="center"/>
        <w:rPr>
          <w:rFonts w:ascii="Times New Roman" w:hAnsi="Times New Roman" w:cs="Times New Roman"/>
          <w:sz w:val="24"/>
          <w:szCs w:val="24"/>
        </w:rPr>
      </w:pPr>
      <w:r>
        <w:rPr>
          <w:rFonts w:ascii="Times New Roman" w:hAnsi="Times New Roman" w:cs="Times New Roman"/>
          <w:sz w:val="24"/>
          <w:szCs w:val="24"/>
        </w:rPr>
        <w:t>Student’s Name</w:t>
      </w:r>
    </w:p>
    <w:p>
      <w:pPr>
        <w:spacing w:line="480" w:lineRule="auto"/>
        <w:jc w:val="center"/>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DaHao Liu</w:t>
      </w:r>
    </w:p>
    <w:p>
      <w:pPr>
        <w:spacing w:line="480" w:lineRule="auto"/>
        <w:jc w:val="center"/>
        <w:rPr>
          <w:rFonts w:ascii="Times New Roman" w:hAnsi="Times New Roman" w:cs="Times New Roman"/>
          <w:sz w:val="24"/>
          <w:szCs w:val="24"/>
        </w:rPr>
      </w:pPr>
      <w:r>
        <w:rPr>
          <w:rFonts w:ascii="Times New Roman" w:hAnsi="Times New Roman" w:cs="Times New Roman"/>
          <w:sz w:val="24"/>
          <w:szCs w:val="24"/>
        </w:rPr>
        <w:t>Course Name and Number</w:t>
      </w:r>
    </w:p>
    <w:p>
      <w:pPr>
        <w:spacing w:line="480" w:lineRule="auto"/>
        <w:jc w:val="center"/>
        <w:rPr>
          <w:rFonts w:ascii="Times New Roman" w:hAnsi="Times New Roman" w:cs="Times New Roman"/>
          <w:sz w:val="24"/>
          <w:szCs w:val="24"/>
        </w:rPr>
      </w:pPr>
      <w:r>
        <w:rPr>
          <w:rFonts w:hint="default" w:ascii="Times New Roman" w:hAnsi="Times New Roman" w:eastAsia="宋体" w:cs="Times New Roman"/>
          <w:sz w:val="24"/>
          <w:szCs w:val="24"/>
          <w:lang w:val="en-US" w:eastAsia="zh-CN"/>
        </w:rPr>
        <w:t>International Business Communication (BMBM6021)</w:t>
      </w:r>
    </w:p>
    <w:p>
      <w:pPr>
        <w:spacing w:line="480" w:lineRule="auto"/>
        <w:jc w:val="center"/>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2022.1.7</w:t>
      </w:r>
    </w:p>
    <w:p>
      <w:pPr>
        <w:spacing w:line="480" w:lineRule="auto"/>
        <w:jc w:val="center"/>
        <w:rPr>
          <w:rFonts w:ascii="Times New Roman" w:hAnsi="Times New Roman" w:cs="Times New Roman"/>
          <w:sz w:val="24"/>
          <w:szCs w:val="24"/>
        </w:rPr>
      </w:pPr>
    </w:p>
    <w:p>
      <w:pPr>
        <w:spacing w:line="480" w:lineRule="auto"/>
        <w:jc w:val="center"/>
        <w:rPr>
          <w:rFonts w:ascii="Times New Roman" w:hAnsi="Times New Roman" w:cs="Times New Roman"/>
          <w:sz w:val="24"/>
          <w:szCs w:val="24"/>
        </w:rPr>
      </w:pPr>
    </w:p>
    <w:p>
      <w:pPr>
        <w:spacing w:line="480" w:lineRule="auto"/>
        <w:jc w:val="center"/>
        <w:rPr>
          <w:rFonts w:ascii="Times New Roman" w:hAnsi="Times New Roman" w:cs="Times New Roman"/>
          <w:sz w:val="24"/>
          <w:szCs w:val="24"/>
        </w:rPr>
      </w:pPr>
    </w:p>
    <w:p>
      <w:pPr>
        <w:spacing w:line="480" w:lineRule="auto"/>
        <w:jc w:val="center"/>
        <w:rPr>
          <w:rFonts w:ascii="Times New Roman" w:hAnsi="Times New Roman" w:cs="Times New Roman"/>
          <w:sz w:val="24"/>
          <w:szCs w:val="24"/>
        </w:rPr>
      </w:pPr>
    </w:p>
    <w:p>
      <w:pPr>
        <w:spacing w:line="480" w:lineRule="auto"/>
        <w:jc w:val="center"/>
        <w:rPr>
          <w:rFonts w:ascii="Times New Roman" w:hAnsi="Times New Roman" w:cs="Times New Roman"/>
          <w:sz w:val="24"/>
          <w:szCs w:val="24"/>
        </w:rPr>
      </w:pPr>
    </w:p>
    <w:p>
      <w:pPr>
        <w:spacing w:line="480" w:lineRule="auto"/>
        <w:jc w:val="center"/>
        <w:rPr>
          <w:rFonts w:ascii="Times New Roman" w:hAnsi="Times New Roman" w:cs="Times New Roman"/>
          <w:sz w:val="24"/>
          <w:szCs w:val="24"/>
        </w:rPr>
      </w:pPr>
    </w:p>
    <w:p>
      <w:pPr>
        <w:spacing w:line="480" w:lineRule="auto"/>
        <w:jc w:val="center"/>
        <w:rPr>
          <w:rFonts w:ascii="Times New Roman" w:hAnsi="Times New Roman" w:cs="Times New Roman"/>
          <w:b/>
          <w:sz w:val="24"/>
          <w:szCs w:val="24"/>
        </w:rPr>
      </w:pPr>
      <w:r>
        <w:rPr>
          <w:rFonts w:ascii="Times New Roman" w:hAnsi="Times New Roman" w:cs="Times New Roman"/>
          <w:b/>
          <w:sz w:val="24"/>
          <w:szCs w:val="24"/>
        </w:rPr>
        <w:t>International Business Communication</w:t>
      </w:r>
      <w:bookmarkStart w:id="0" w:name="_GoBack"/>
      <w:bookmarkEnd w:id="0"/>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As the world goes global, countries are becoming more integrated, and doing business is becoming better </w:t>
      </w:r>
      <w:r>
        <w:rPr>
          <w:rFonts w:ascii="Times New Roman" w:hAnsi="Times New Roman" w:cs="Times New Roman"/>
          <w:sz w:val="24"/>
          <w:szCs w:val="24"/>
          <w:shd w:val="clear" w:color="auto" w:fill="FFFFFF"/>
        </w:rPr>
        <w:t>(Levitt, 1983)</w:t>
      </w:r>
      <w:r>
        <w:rPr>
          <w:rFonts w:ascii="Times New Roman" w:hAnsi="Times New Roman" w:cs="Times New Roman"/>
          <w:sz w:val="24"/>
          <w:szCs w:val="24"/>
        </w:rPr>
        <w:t xml:space="preserve">. However, cultural and communication differences between individuals in different countries pose challenges to business operations </w:t>
      </w:r>
      <w:r>
        <w:rPr>
          <w:rFonts w:ascii="Times New Roman" w:hAnsi="Times New Roman" w:cs="Times New Roman"/>
          <w:sz w:val="24"/>
          <w:szCs w:val="24"/>
          <w:shd w:val="clear" w:color="auto" w:fill="FFFFFF"/>
        </w:rPr>
        <w:t>(Buckermann, 2012)</w:t>
      </w:r>
      <w:r>
        <w:rPr>
          <w:rFonts w:ascii="Times New Roman" w:hAnsi="Times New Roman" w:cs="Times New Roman"/>
          <w:sz w:val="24"/>
          <w:szCs w:val="24"/>
        </w:rPr>
        <w:t xml:space="preserve">. Intercultural issues affect businesses that operate internationally. Communication across different cultures and languages is problematic because people interpret messages in split seconds based on their languages, past experiences, and cultural grids passed down to them in their home cultures </w:t>
      </w:r>
      <w:r>
        <w:rPr>
          <w:rFonts w:ascii="Times New Roman" w:hAnsi="Times New Roman" w:cs="Times New Roman"/>
          <w:sz w:val="24"/>
          <w:szCs w:val="24"/>
          <w:shd w:val="clear" w:color="auto" w:fill="FFFFFF"/>
        </w:rPr>
        <w:t>(Arent, 2009)</w:t>
      </w:r>
      <w:r>
        <w:rPr>
          <w:rFonts w:ascii="Times New Roman" w:hAnsi="Times New Roman" w:cs="Times New Roman"/>
          <w:sz w:val="24"/>
          <w:szCs w:val="24"/>
        </w:rPr>
        <w:t xml:space="preserve">. Culture influences how people listen, understand and speak with other people from different societies </w:t>
      </w:r>
      <w:r>
        <w:rPr>
          <w:rFonts w:ascii="Times New Roman" w:hAnsi="Times New Roman" w:cs="Times New Roman"/>
          <w:sz w:val="24"/>
          <w:szCs w:val="24"/>
          <w:shd w:val="clear" w:color="auto" w:fill="FFFFFF"/>
        </w:rPr>
        <w:t>(Schwartz and Bardi, 2001)</w:t>
      </w:r>
      <w:r>
        <w:rPr>
          <w:rFonts w:ascii="Times New Roman" w:hAnsi="Times New Roman" w:cs="Times New Roman"/>
          <w:sz w:val="24"/>
          <w:szCs w:val="24"/>
        </w:rPr>
        <w:t xml:space="preserve">. To survive, work, and operate the business effectively in an international environment, understanding cultural differences is critical rather than viewing them as obstacles. This report explains and critically evaluates the challenges and sensitivities from a British perspective of doing business with France. </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Intercultural communication is defined as the communication between individuals that originate from two different cultural backgrounds which define them </w:t>
      </w:r>
      <w:r>
        <w:rPr>
          <w:rFonts w:ascii="Times New Roman" w:hAnsi="Times New Roman" w:cs="Times New Roman"/>
          <w:sz w:val="24"/>
          <w:szCs w:val="24"/>
          <w:shd w:val="clear" w:color="auto" w:fill="FFFFFF"/>
        </w:rPr>
        <w:t>(Croucher et al., 2015)</w:t>
      </w:r>
      <w:r>
        <w:rPr>
          <w:rFonts w:ascii="Times New Roman" w:hAnsi="Times New Roman" w:cs="Times New Roman"/>
          <w:sz w:val="24"/>
          <w:szCs w:val="24"/>
        </w:rPr>
        <w:t xml:space="preserve">. It also refers to the negotiated understanding of meaning in human experience in different societies and social systems </w:t>
      </w:r>
      <w:r>
        <w:rPr>
          <w:rFonts w:ascii="Times New Roman" w:hAnsi="Times New Roman" w:cs="Times New Roman"/>
          <w:sz w:val="24"/>
          <w:szCs w:val="24"/>
          <w:shd w:val="clear" w:color="auto" w:fill="FFFFFF"/>
        </w:rPr>
        <w:t>(Arent, 2009)</w:t>
      </w:r>
      <w:r>
        <w:rPr>
          <w:rFonts w:ascii="Times New Roman" w:hAnsi="Times New Roman" w:cs="Times New Roman"/>
          <w:sz w:val="24"/>
          <w:szCs w:val="24"/>
        </w:rPr>
        <w:t xml:space="preserve">. Thus, when people from different cultures come together, they create shared meanings to integrate and work effectively. An example of intercultural communication is when business people from Britain do business in France and thus interact for the business's success. Since the two countries have different cultural inclinations, individuals from them can only work collaboratively and effectively by creating shared meaning.  Through this, the British people get to know the information conveyed to them by those from France. Therefore, intercultural communication is very important since it creates healthier communities as they integrate and work collaboratively </w:t>
      </w:r>
      <w:r>
        <w:rPr>
          <w:rFonts w:ascii="Times New Roman" w:hAnsi="Times New Roman" w:cs="Times New Roman"/>
          <w:sz w:val="24"/>
          <w:szCs w:val="24"/>
          <w:shd w:val="clear" w:color="auto" w:fill="FFFFFF"/>
        </w:rPr>
        <w:t>(Lauring, 2011)</w:t>
      </w:r>
      <w:r>
        <w:rPr>
          <w:rFonts w:ascii="Times New Roman" w:hAnsi="Times New Roman" w:cs="Times New Roman"/>
          <w:sz w:val="24"/>
          <w:szCs w:val="24"/>
        </w:rPr>
        <w:t xml:space="preserve">. Besides, it enhances national, international, and local commerce. When British people do business in France and communicate effectively, businesses in the country flourish and benefit the citizens and the economy. Thus intercultural communication not only benefits the people doing business but also the citizens of the country where business is done </w:t>
      </w:r>
      <w:r>
        <w:rPr>
          <w:rFonts w:ascii="Times New Roman" w:hAnsi="Times New Roman" w:cs="Times New Roman"/>
          <w:sz w:val="24"/>
          <w:szCs w:val="24"/>
          <w:shd w:val="clear" w:color="auto" w:fill="FFFFFF"/>
        </w:rPr>
        <w:t>(Dumitraşcu-Băldău &amp; Dumitraşcu, 2019)</w:t>
      </w:r>
      <w:r>
        <w:rPr>
          <w:rFonts w:ascii="Times New Roman" w:hAnsi="Times New Roman" w:cs="Times New Roman"/>
          <w:sz w:val="24"/>
          <w:szCs w:val="24"/>
        </w:rPr>
        <w:t xml:space="preserve">. Through intercultural communication, the conflict between people with different cultures reduces since they can understand one another </w:t>
      </w:r>
      <w:r>
        <w:rPr>
          <w:rFonts w:ascii="Times New Roman" w:hAnsi="Times New Roman" w:cs="Times New Roman"/>
          <w:sz w:val="24"/>
          <w:szCs w:val="24"/>
          <w:shd w:val="clear" w:color="auto" w:fill="FFFFFF"/>
        </w:rPr>
        <w:t>(Krawiec, 2017)</w:t>
      </w:r>
      <w:r>
        <w:rPr>
          <w:rFonts w:ascii="Times New Roman" w:hAnsi="Times New Roman" w:cs="Times New Roman"/>
          <w:sz w:val="24"/>
          <w:szCs w:val="24"/>
        </w:rPr>
        <w:t xml:space="preserve">. Besides, people build tolerance and, as a result, attain personal growth. </w:t>
      </w:r>
      <w:r>
        <w:rPr>
          <w:rFonts w:ascii="Times New Roman" w:hAnsi="Times New Roman" w:cs="Times New Roman"/>
          <w:sz w:val="24"/>
          <w:szCs w:val="24"/>
        </w:rPr>
        <w:tab/>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Hofstede intercultural communication theory has six dimensions that describe a country's cultural aspects that affect the operation of a business </w:t>
      </w:r>
      <w:r>
        <w:rPr>
          <w:rFonts w:ascii="Times New Roman" w:hAnsi="Times New Roman" w:cs="Times New Roman"/>
          <w:sz w:val="24"/>
          <w:szCs w:val="24"/>
          <w:shd w:val="clear" w:color="auto" w:fill="FFFFFF"/>
        </w:rPr>
        <w:t>(Hofstede, 2011)</w:t>
      </w:r>
      <w:r>
        <w:rPr>
          <w:rFonts w:ascii="Times New Roman" w:hAnsi="Times New Roman" w:cs="Times New Roman"/>
          <w:sz w:val="24"/>
          <w:szCs w:val="24"/>
        </w:rPr>
        <w:t xml:space="preserve">. It depicts the effects of societal culture on values or its dwellers and how they relate to their behavior (Price, 2008). Those dimensions are power distance, uncertainty avoidance, individualism versus collectivism, long-term versus short-term orientation, masculinity versus femininity, and indulgence versus restraint (Hofstede &amp; Minkov, 2010). The intercultural dimension theory positions each country by scoring on each of the six dimensions. </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Power distance refers to the extent to which the less privileged individuals in a society, institution, and organization accept and expect that power is distributed unequally (Hofstede et al., 2010). Therefore, it is a representation of inequality. France has a fairly high power distance score of 68, which indicates that the individuals in the country have a fair extent of unequal acceptance. There is high dominance of people in the upper class while the middle and lower class are less dominant. This centralization of power is because the country has a high aristocracy enriched in wealth. Thus, the government's custodian of the law heavily controls and maintains the law and regulation process. With regulation, the government imposes a strict and lengthy governance action. Managers embrace a more formal attitude, and the flow of information is hierarchical. In this regard, people in the higher hierarchical levels exert authority on those in the lower hierarchical levels. This ruling and level of power distance have existed throughout history and are still maintained.  </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Britain has lower power distance scores of 35 (</w:t>
      </w:r>
      <w:r>
        <w:rPr>
          <w:rFonts w:ascii="Times New Roman" w:hAnsi="Times New Roman" w:cs="Times New Roman"/>
          <w:sz w:val="24"/>
          <w:szCs w:val="24"/>
          <w:lang w:val="en-US"/>
        </w:rPr>
        <w:t>Hofstede Insights, 2022)</w:t>
      </w:r>
      <w:r>
        <w:rPr>
          <w:rFonts w:ascii="Times New Roman" w:hAnsi="Times New Roman" w:cs="Times New Roman"/>
          <w:sz w:val="24"/>
          <w:szCs w:val="24"/>
        </w:rPr>
        <w:t>. These scores mean that Britain has a society that does not accept inequalities and feels that they should be reduced or eliminated (</w:t>
      </w:r>
      <w:r>
        <w:rPr>
          <w:rFonts w:ascii="Times New Roman" w:hAnsi="Times New Roman" w:cs="Times New Roman"/>
          <w:sz w:val="24"/>
          <w:szCs w:val="24"/>
          <w:lang w:val="en-US"/>
        </w:rPr>
        <w:t>Hofstede Insights, 2022)</w:t>
      </w:r>
      <w:r>
        <w:rPr>
          <w:rFonts w:ascii="Times New Roman" w:hAnsi="Times New Roman" w:cs="Times New Roman"/>
          <w:sz w:val="24"/>
          <w:szCs w:val="24"/>
        </w:rPr>
        <w:t>. The inequality in power distance in the B retains society is higher among the higher class than the working class. The scores reveal the tensions that exist within the British culture. There are two incongruent beliefs in the British culture where on the one hand, there is a deep-seated belief that the place of birth does not limit the extent to which a person can travel and, on the other hand, the importance given to the birth rank. However, the region's sense of fair play compels people to believe that everyone should receive equal treatment.</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This indicates that the British will find it difficult to do business in France, where companies have one or more hierarchical levels than companies in the UK </w:t>
      </w:r>
      <w:r>
        <w:rPr>
          <w:rFonts w:ascii="Times New Roman" w:hAnsi="Times New Roman" w:cs="Times New Roman"/>
          <w:sz w:val="24"/>
          <w:szCs w:val="24"/>
          <w:shd w:val="clear" w:color="auto" w:fill="FFFFFF"/>
        </w:rPr>
        <w:t>(Hofstede Insights, 2022)</w:t>
      </w:r>
      <w:r>
        <w:rPr>
          <w:rFonts w:ascii="Times New Roman" w:hAnsi="Times New Roman" w:cs="Times New Roman"/>
          <w:sz w:val="24"/>
          <w:szCs w:val="24"/>
        </w:rPr>
        <w:t xml:space="preserve">. The CEO of the companies in France hold prestigious titles than those in the UK. Succumbing to this level of hierarchical levels would prove difficult. French like flirting, which is not the case with the British people. Thus, the British would find it uncomfortable doing business in France. However, the good side of doing business in France is that jobs are more protected than in the UK. This implies that the employers in France cannot fire employees anyhow as they have to ensure the right person is employed from the beginning. </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Uncertainty avoidance refers to the extent to which a culture programs people to either feel comfortable or uncomfortable in ambiguous situations (Hofstede et al., 2010).  This factor relates to how a society deals with how the future can be known, controlled, or let happen (Hofstede, 2001). The ambiguity on what to do about the future introduces anxieties among different cultures since they deal with them differently. How people from different cultures perceive or uncertainties and try to avoid them is reflected in the uncertainty avoidance score. Companies operating in countries with high uncertainty avoidance scores experience high impedance in the integration process </w:t>
      </w:r>
      <w:r>
        <w:rPr>
          <w:rFonts w:ascii="Times New Roman" w:hAnsi="Times New Roman" w:cs="Times New Roman"/>
          <w:sz w:val="24"/>
          <w:szCs w:val="24"/>
          <w:shd w:val="clear" w:color="auto" w:fill="FFFFFF"/>
        </w:rPr>
        <w:t>(Qu and Yang, 2015)</w:t>
      </w:r>
      <w:r>
        <w:rPr>
          <w:rFonts w:ascii="Times New Roman" w:hAnsi="Times New Roman" w:cs="Times New Roman"/>
          <w:sz w:val="24"/>
          <w:szCs w:val="24"/>
        </w:rPr>
        <w:t xml:space="preserve">.  Snitker (2010) posited that cultures with high scores in uncertainty avoidance have a greater preference for structured circumstances and rules, while employees have a longer retention rate with their employer. </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UK has an uncertainty avoidance score of 35 (</w:t>
      </w:r>
      <w:r>
        <w:rPr>
          <w:rFonts w:ascii="Times New Roman" w:hAnsi="Times New Roman" w:cs="Times New Roman"/>
          <w:sz w:val="24"/>
          <w:szCs w:val="24"/>
          <w:lang w:val="en-US"/>
        </w:rPr>
        <w:t>Hofstede Insights, 2022)</w:t>
      </w:r>
      <w:r>
        <w:rPr>
          <w:rFonts w:ascii="Times New Roman" w:hAnsi="Times New Roman" w:cs="Times New Roman"/>
          <w:sz w:val="24"/>
          <w:szCs w:val="24"/>
        </w:rPr>
        <w:t>. The low scores reveal that British people are comfortable with ambiguous situations. British society has few rules which are highly adhered to. For instance, the British people love queuing as they have a high value of fair play. The nation is happy waking up to know nothing about what the day holds for them. They are happy that they can embrace whatever comes their way and makeup by changing plans to match the new formations and situations that arise.</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Businesswise, British people, succumb to planning that is not detail-oriented. Besides, there are shorter planning horizons and clear end goals. People are also highly flexible to the changing and emerging environment as the detail of how they get to the end goals is light, and the actual process is fluid. As a result of the combination between the curious nation and the highly individualistic culture, people possess a high level of creativity and a strong need for innovation. Therefore, there is a greater tendency to risk investment and innovation in what is attractive. This is particularly triggered by the heavy level of consumerism and the humorous nature of society. The rampant consumerism rate makes it possible for people to crave new innovative products, making it easy for the highly creative industries to thrive as there is a ready market.</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France has an uncertainty avoidance score of 85, which means the culture differs from that of the UK, thus denoting a controversy that might hinder communication and business operations </w:t>
      </w:r>
      <w:r>
        <w:rPr>
          <w:rFonts w:ascii="Times New Roman" w:hAnsi="Times New Roman" w:cs="Times New Roman"/>
          <w:sz w:val="24"/>
          <w:szCs w:val="24"/>
          <w:shd w:val="clear" w:color="auto" w:fill="FFFFFF"/>
        </w:rPr>
        <w:t>(Hofstede Insights, 2022)</w:t>
      </w:r>
      <w:r>
        <w:rPr>
          <w:rFonts w:ascii="Times New Roman" w:hAnsi="Times New Roman" w:cs="Times New Roman"/>
          <w:sz w:val="24"/>
          <w:szCs w:val="24"/>
        </w:rPr>
        <w:t xml:space="preserve">. French people hate gambling and surprises and work on plans and schedules. When going for the meeting, French people like to have all the required information beforehand; thus, when running a business, one will be required to provide information before settling on anything. The British will find this challenging as they are used to the contrary behavior. However, they would be better in businesses that require attention to detail, detailed information, planning, and calculation, such as aviation, rapid trains, and nuclear power plants. They can develop and run businesses that involve technicalities and complexities in a stable environment. This implies that for Britain to fit in France for business and ensure effective communication, it must invest in complex technologies and systems such as the medical field. Such businesses would include 3D printing technology for organs such as skin and others. </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Individualism versus collectivism refers to how people are integrated into groups </w:t>
      </w:r>
      <w:r>
        <w:rPr>
          <w:rFonts w:ascii="Times New Roman" w:hAnsi="Times New Roman" w:cs="Times New Roman"/>
          <w:sz w:val="24"/>
          <w:szCs w:val="24"/>
          <w:shd w:val="clear" w:color="auto" w:fill="FFFFFF"/>
        </w:rPr>
        <w:t>(Schwartz, 1994; Schimmack, Oishi, and Diener, 2005)</w:t>
      </w:r>
      <w:r>
        <w:rPr>
          <w:rFonts w:ascii="Times New Roman" w:hAnsi="Times New Roman" w:cs="Times New Roman"/>
          <w:sz w:val="24"/>
          <w:szCs w:val="24"/>
        </w:rPr>
        <w:t xml:space="preserve">. Individualistic cultures have people with loose ties </w:t>
      </w:r>
      <w:r>
        <w:rPr>
          <w:rFonts w:ascii="Times New Roman" w:hAnsi="Times New Roman" w:cs="Times New Roman"/>
          <w:sz w:val="24"/>
          <w:szCs w:val="24"/>
          <w:shd w:val="clear" w:color="auto" w:fill="FFFFFF"/>
        </w:rPr>
        <w:t xml:space="preserve">(McSweeney, 2002). </w:t>
      </w:r>
      <w:r>
        <w:rPr>
          <w:rFonts w:ascii="Times New Roman" w:hAnsi="Times New Roman" w:cs="Times New Roman"/>
          <w:sz w:val="24"/>
          <w:szCs w:val="24"/>
        </w:rPr>
        <w:t xml:space="preserve">Thus, it looks at whether the country is comprised of individualistic or collectivist people. The individualistic society is where people only look at themselves and their direct family. They are not concerned about other people. At the same time, collectivist cultures have people integrated into strong, cohesive groups since birth (Hofstede et al., 2010). </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United Kingdom has an individualistic score of 89, while France has 71 (</w:t>
      </w:r>
      <w:r>
        <w:rPr>
          <w:rFonts w:ascii="Times New Roman" w:hAnsi="Times New Roman" w:cs="Times New Roman"/>
          <w:sz w:val="24"/>
          <w:szCs w:val="24"/>
          <w:lang w:val="en-US"/>
        </w:rPr>
        <w:t>Hofstede Insights, 2022)</w:t>
      </w:r>
      <w:r>
        <w:rPr>
          <w:rFonts w:ascii="Times New Roman" w:hAnsi="Times New Roman" w:cs="Times New Roman"/>
          <w:sz w:val="24"/>
          <w:szCs w:val="24"/>
        </w:rPr>
        <w:t>. This denotes that Britain is part of the United Kingdom and has highly individualistic and private people.  Thus as children grow up in Britain, they are taught to be independent and think independently. They are made to develop a culture where they can identify their purpose in life and uniquely contribute to society without waiting for others to think on their behalf (Hofstede, 2001). People in the individualist cultures such as Britain attain happiness through personal fulfillment. The “ME” culture is inherently engraved in the minds of the British people. The spread of wealth has strengthened this type of culture to the North and the rapid rise of consumerism. Under rampant consumerism, there is an increase in the consumption of consumer goods and services to enhance people’s wellbeing and happiness. Material possession is highly prevalent in Britain, leading to a rapid rise in the “Me” culture.</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Similarly, France is an individualistic society which means on this dimension, and they two would have effective intercommunication and thus operate a business. However, the high scores in individualism and the high score in power distance show that French people have greater respect for the elderly and are more emotionally glued to their families than other individualistic societies. </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There is also a higher need to distinguish between private life and work than in the UK, where the individualistic scores are higher </w:t>
      </w:r>
      <w:r>
        <w:rPr>
          <w:rFonts w:ascii="Times New Roman" w:hAnsi="Times New Roman" w:cs="Times New Roman"/>
          <w:sz w:val="24"/>
          <w:szCs w:val="24"/>
          <w:shd w:val="clear" w:color="auto" w:fill="FFFFFF"/>
        </w:rPr>
        <w:t>(Hofstede Insights, 2022)</w:t>
      </w:r>
      <w:r>
        <w:rPr>
          <w:rFonts w:ascii="Times New Roman" w:hAnsi="Times New Roman" w:cs="Times New Roman"/>
          <w:sz w:val="24"/>
          <w:szCs w:val="24"/>
        </w:rPr>
        <w:t xml:space="preserve">. Due to their emotional dependence, employees in France feel under pressure than in the UK. The trade unions and the employers exist in different species due to the huge separation gap between the employees and their bosses. This relates to the issue of formality which is high in France than in the UK. In France, people often ignore the rules to ensure they live in manageable levels of simplicity and sanity. Besides, they conform to specific formalities of behavioral codes which people must adhere to (Spielmann, 2015). This is contrary to the British people, who are flexible and do not adhere to certain strict norms and behavioral codes. They are more inclined to self-motivation and thus are the best in their trade. They expect that people should respect their ad what they do, and once that is accomplished, they will serve all well. This implies that with the UK having the same high scores, they can communicate and work effectively. </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Masculinity and femininity denote the distribution of values between males and females (Hofstede et al., 2010; </w:t>
      </w:r>
      <w:r>
        <w:rPr>
          <w:rFonts w:ascii="Times New Roman" w:hAnsi="Times New Roman" w:cs="Times New Roman"/>
          <w:sz w:val="24"/>
          <w:szCs w:val="24"/>
          <w:shd w:val="clear" w:color="auto" w:fill="FFFFFF"/>
        </w:rPr>
        <w:t>Cattell, 1949</w:t>
      </w:r>
      <w:r>
        <w:rPr>
          <w:rFonts w:ascii="Times New Roman" w:hAnsi="Times New Roman" w:cs="Times New Roman"/>
          <w:sz w:val="24"/>
          <w:szCs w:val="24"/>
        </w:rPr>
        <w:t>). Britain has a high masculine score of 66 which means it is a masculine society like Colombia (</w:t>
      </w:r>
      <w:r>
        <w:rPr>
          <w:rFonts w:ascii="Times New Roman" w:hAnsi="Times New Roman" w:cs="Times New Roman"/>
          <w:sz w:val="24"/>
          <w:szCs w:val="24"/>
          <w:lang w:val="en-US"/>
        </w:rPr>
        <w:t>Hofstede Insights, 2022)</w:t>
      </w:r>
      <w:r>
        <w:rPr>
          <w:rFonts w:ascii="Times New Roman" w:hAnsi="Times New Roman" w:cs="Times New Roman"/>
          <w:sz w:val="24"/>
          <w:szCs w:val="24"/>
        </w:rPr>
        <w:t>. The British people display a masculine culture since what they say is not always what is meant; thus, the purpose of living is to work and possess a clear performance ambition. In addition, Britain has a culture characterized by understatement and modesty that differs from the successful value-driven cultures. The high scores in masculinity indicate that the country is not driven by competition, success, and achievement, as is the case for the UK with high scores. The winner is the one who defines success for people in France.</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France has a masculinity score of 43 which means it is a feministic culture that values the quality of life and its purpose; besides, males and females have equal social roles </w:t>
      </w:r>
      <w:r>
        <w:rPr>
          <w:rFonts w:ascii="Times New Roman" w:hAnsi="Times New Roman" w:cs="Times New Roman"/>
          <w:sz w:val="24"/>
          <w:szCs w:val="24"/>
          <w:shd w:val="clear" w:color="auto" w:fill="FFFFFF"/>
        </w:rPr>
        <w:t>(Hofstede Insights, 2022)</w:t>
      </w:r>
      <w:r>
        <w:rPr>
          <w:rFonts w:ascii="Times New Roman" w:hAnsi="Times New Roman" w:cs="Times New Roman"/>
          <w:sz w:val="24"/>
          <w:szCs w:val="24"/>
        </w:rPr>
        <w:t xml:space="preserve">. This is evident by the 35-hour working week and five weeks of the holiday welfare system. The low scores indicate that the people care for others and their quality of life. Rather than the winner defining success, quality of life signals success. Besides, people do not value standing out and admiring the action. The top managers are less than what such people should earn. </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Indulgence describes a society that entertains relatively free gratification of basic and natural human desires related to enjoying life and engaging in fun </w:t>
      </w:r>
      <w:r>
        <w:rPr>
          <w:rFonts w:ascii="Times New Roman" w:hAnsi="Times New Roman" w:cs="Times New Roman"/>
          <w:sz w:val="24"/>
          <w:szCs w:val="24"/>
          <w:shd w:val="clear" w:color="auto" w:fill="FFFFFF"/>
        </w:rPr>
        <w:t>(Hofstede, Hofstede, and Minkov, 2010)</w:t>
      </w:r>
      <w:r>
        <w:rPr>
          <w:rFonts w:ascii="Times New Roman" w:hAnsi="Times New Roman" w:cs="Times New Roman"/>
          <w:sz w:val="24"/>
          <w:szCs w:val="24"/>
        </w:rPr>
        <w:t xml:space="preserve">. Restraint refers to a society with a strong control on the gratification of needs and thus regulates them through its strict social norms </w:t>
      </w:r>
      <w:r>
        <w:rPr>
          <w:rFonts w:ascii="Times New Roman" w:hAnsi="Times New Roman" w:cs="Times New Roman"/>
          <w:sz w:val="24"/>
          <w:szCs w:val="24"/>
          <w:shd w:val="clear" w:color="auto" w:fill="FFFFFF"/>
        </w:rPr>
        <w:t>(Hofstede, Hofstede, and Minkov, 2010)</w:t>
      </w:r>
      <w:r>
        <w:rPr>
          <w:rFonts w:ascii="Times New Roman" w:hAnsi="Times New Roman" w:cs="Times New Roman"/>
          <w:sz w:val="24"/>
          <w:szCs w:val="24"/>
        </w:rPr>
        <w:t xml:space="preserve">. </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indulgence levels of the UK are 69, which means people exhibit a willingness to experience desires and impulses regarding enjoyment of life and indulging in fun </w:t>
      </w:r>
      <w:r>
        <w:rPr>
          <w:rFonts w:ascii="Times New Roman" w:hAnsi="Times New Roman" w:cs="Times New Roman"/>
          <w:sz w:val="24"/>
          <w:szCs w:val="24"/>
          <w:shd w:val="clear" w:color="auto" w:fill="FFFFFF"/>
        </w:rPr>
        <w:t>(Hofstede Insights, 2022)</w:t>
      </w:r>
      <w:r>
        <w:rPr>
          <w:rFonts w:ascii="Times New Roman" w:hAnsi="Times New Roman" w:cs="Times New Roman"/>
          <w:sz w:val="24"/>
          <w:szCs w:val="24"/>
        </w:rPr>
        <w:t xml:space="preserve">. Due to their positive attitude, they tend to be optimistic.  People value leisure and spend money as they wish to have fun. This is contrary to the French culture, where people are restraint. France has an average score of 48 on indulgence versus restraint </w:t>
      </w:r>
      <w:r>
        <w:rPr>
          <w:rFonts w:ascii="Times New Roman" w:hAnsi="Times New Roman" w:cs="Times New Roman"/>
          <w:sz w:val="24"/>
          <w:szCs w:val="24"/>
          <w:shd w:val="clear" w:color="auto" w:fill="FFFFFF"/>
        </w:rPr>
        <w:t>(Hofstede Insights, 2022)</w:t>
      </w:r>
      <w:r>
        <w:rPr>
          <w:rFonts w:ascii="Times New Roman" w:hAnsi="Times New Roman" w:cs="Times New Roman"/>
          <w:sz w:val="24"/>
          <w:szCs w:val="24"/>
        </w:rPr>
        <w:t xml:space="preserve">. These scores reveal that the French are less relaxed and enjoy life less than generally perceived in society. Thus, the dwellers are not very happy as their scores are low on the happiness indices. </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Britain has an average long-term orientation score of 51, making it difficult to determine the type of society </w:t>
      </w:r>
      <w:r>
        <w:rPr>
          <w:rFonts w:ascii="Times New Roman" w:hAnsi="Times New Roman" w:cs="Times New Roman"/>
          <w:sz w:val="24"/>
          <w:szCs w:val="24"/>
          <w:shd w:val="clear" w:color="auto" w:fill="FFFFFF"/>
        </w:rPr>
        <w:t>(Hofstede Insights, 2022)</w:t>
      </w:r>
      <w:r>
        <w:rPr>
          <w:rFonts w:ascii="Times New Roman" w:hAnsi="Times New Roman" w:cs="Times New Roman"/>
          <w:sz w:val="24"/>
          <w:szCs w:val="24"/>
        </w:rPr>
        <w:t xml:space="preserve">. On the other hand, France has higher scores (63) on long-term orientation </w:t>
      </w:r>
      <w:r>
        <w:rPr>
          <w:rFonts w:ascii="Times New Roman" w:hAnsi="Times New Roman" w:cs="Times New Roman"/>
          <w:sz w:val="24"/>
          <w:szCs w:val="24"/>
          <w:shd w:val="clear" w:color="auto" w:fill="FFFFFF"/>
        </w:rPr>
        <w:t>(Hofstede Insights, 2022)</w:t>
      </w:r>
      <w:r>
        <w:rPr>
          <w:rFonts w:ascii="Times New Roman" w:hAnsi="Times New Roman" w:cs="Times New Roman"/>
          <w:sz w:val="24"/>
          <w:szCs w:val="24"/>
        </w:rPr>
        <w:t>. Thus, France is a pragmatic society where people ascribe to the view that truth is dependent on the situation, time, and context. Whenever there is a change in situations and circumstances, they can adjust to the traditions. Such people possess a high inclination towards saving and investment. They also persevere and wait for the results until they are achieved. They require little explanation as they believe it is impossible to understand life's complexities completely. However, their cultural orientation towards traditions is changing as they are now more inclined towards corporate social responsibility. They have a strong distinguishing principle where the business people believe in the strong role of the state (</w:t>
      </w:r>
      <w:r>
        <w:rPr>
          <w:rFonts w:ascii="Times New Roman" w:hAnsi="Times New Roman" w:eastAsia="Arial Unicode MS" w:cs="Times New Roman"/>
          <w:sz w:val="24"/>
          <w:szCs w:val="24"/>
          <w:shd w:val="clear" w:color="auto" w:fill="FFFFFF"/>
        </w:rPr>
        <w:t>Charkham, 1995)</w:t>
      </w:r>
      <w:r>
        <w:rPr>
          <w:rFonts w:ascii="Times New Roman" w:hAnsi="Times New Roman" w:cs="Times New Roman"/>
          <w:sz w:val="24"/>
          <w:szCs w:val="24"/>
        </w:rPr>
        <w:t xml:space="preserve">. They expect the government to influence their businesses w3here appropriate, and they respect and admire such initiatives. </w:t>
      </w:r>
    </w:p>
    <w:p>
      <w:pPr>
        <w:spacing w:line="480" w:lineRule="auto"/>
        <w:ind w:firstLine="720"/>
        <w:rPr>
          <w:rFonts w:ascii="Times New Roman" w:hAnsi="Times New Roman" w:eastAsia="Arial Unicode MS" w:cs="Times New Roman"/>
          <w:sz w:val="24"/>
          <w:szCs w:val="24"/>
        </w:rPr>
      </w:pPr>
      <w:r>
        <w:rPr>
          <w:rFonts w:ascii="Times New Roman" w:hAnsi="Times New Roman" w:cs="Times New Roman"/>
          <w:sz w:val="24"/>
          <w:szCs w:val="24"/>
        </w:rPr>
        <w:t xml:space="preserve">One of the recommendations for effective intercultural communication between the UK and France is to form mergers and franchises between companies </w:t>
      </w:r>
      <w:r>
        <w:rPr>
          <w:rFonts w:ascii="Times New Roman" w:hAnsi="Times New Roman" w:eastAsia="Arial Unicode MS" w:cs="Times New Roman"/>
          <w:sz w:val="24"/>
          <w:szCs w:val="24"/>
        </w:rPr>
        <w:t>(Rudd and Lawson, 2007)</w:t>
      </w:r>
      <w:r>
        <w:rPr>
          <w:rFonts w:ascii="Times New Roman" w:hAnsi="Times New Roman" w:cs="Times New Roman"/>
          <w:sz w:val="24"/>
          <w:szCs w:val="24"/>
        </w:rPr>
        <w:t>. Secondly, the uncertainty theory should reduce the uncertainty among the French people. Based on this theory, non-verbal expressiveness, such as passive, active, and interactive strategies, should be employed to reduce the uncertainties (Foss &amp; Littlejohn, 2008). Furthermore, as Berger &amp; Calabrese (1975) pointed out</w:t>
      </w:r>
      <w:r>
        <w:rPr>
          <w:rFonts w:ascii="Times New Roman" w:hAnsi="Times New Roman" w:cs="Times New Roman"/>
          <w:sz w:val="24"/>
          <w:szCs w:val="24"/>
          <w:shd w:val="clear" w:color="auto" w:fill="FFFFFF"/>
        </w:rPr>
        <w:t>, they should seek information among people they interact with.</w:t>
      </w:r>
      <w:r>
        <w:rPr>
          <w:rFonts w:ascii="Times New Roman" w:hAnsi="Times New Roman" w:cs="Times New Roman"/>
          <w:sz w:val="24"/>
          <w:szCs w:val="24"/>
        </w:rPr>
        <w:t xml:space="preserve"> </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 conclusion, France and UK have related scores on individualism, but contradictory ones on indulgence, long-term orientation, gender, power distance, and uncertainty avoidance. This indicates that the two countries have distinct cultures that agree only on individualism. The implication is that it would be very difficult for the British people to do business and communicate with the French due to cultural differences. </w:t>
      </w:r>
    </w:p>
    <w:p>
      <w:pPr>
        <w:spacing w:line="480" w:lineRule="auto"/>
        <w:rPr>
          <w:rFonts w:ascii="Times New Roman" w:hAnsi="Times New Roman" w:cs="Times New Roman"/>
          <w:sz w:val="24"/>
          <w:szCs w:val="24"/>
        </w:rPr>
      </w:pPr>
    </w:p>
    <w:p>
      <w:pPr>
        <w:spacing w:line="480" w:lineRule="auto"/>
        <w:rPr>
          <w:rFonts w:ascii="Times New Roman" w:hAnsi="Times New Roman" w:cs="Times New Roman"/>
          <w:sz w:val="24"/>
          <w:szCs w:val="24"/>
        </w:rPr>
      </w:pPr>
    </w:p>
    <w:p>
      <w:pPr>
        <w:spacing w:line="480" w:lineRule="auto"/>
        <w:rPr>
          <w:rFonts w:ascii="Times New Roman" w:hAnsi="Times New Roman" w:cs="Times New Roman"/>
          <w:sz w:val="24"/>
          <w:szCs w:val="24"/>
        </w:rPr>
      </w:pPr>
    </w:p>
    <w:p>
      <w:pPr>
        <w:spacing w:line="480" w:lineRule="auto"/>
        <w:rPr>
          <w:rFonts w:ascii="Times New Roman" w:hAnsi="Times New Roman" w:cs="Times New Roman"/>
          <w:sz w:val="24"/>
          <w:szCs w:val="24"/>
        </w:rPr>
      </w:pPr>
    </w:p>
    <w:p>
      <w:pPr>
        <w:spacing w:line="480" w:lineRule="auto"/>
        <w:rPr>
          <w:rFonts w:ascii="Times New Roman" w:hAnsi="Times New Roman" w:cs="Times New Roman"/>
          <w:sz w:val="24"/>
          <w:szCs w:val="24"/>
        </w:rPr>
      </w:pPr>
    </w:p>
    <w:p>
      <w:pPr>
        <w:spacing w:line="480" w:lineRule="auto"/>
        <w:rPr>
          <w:rFonts w:ascii="Times New Roman" w:hAnsi="Times New Roman" w:cs="Times New Roman"/>
          <w:sz w:val="24"/>
          <w:szCs w:val="24"/>
        </w:rPr>
      </w:pPr>
    </w:p>
    <w:p>
      <w:pPr>
        <w:spacing w:line="480" w:lineRule="auto"/>
        <w:rPr>
          <w:rFonts w:ascii="Times New Roman" w:hAnsi="Times New Roman" w:cs="Times New Roman"/>
          <w:sz w:val="24"/>
          <w:szCs w:val="24"/>
        </w:rPr>
      </w:pPr>
    </w:p>
    <w:p>
      <w:pPr>
        <w:spacing w:line="480" w:lineRule="auto"/>
        <w:rPr>
          <w:rFonts w:ascii="Times New Roman" w:hAnsi="Times New Roman" w:cs="Times New Roman"/>
          <w:sz w:val="24"/>
          <w:szCs w:val="24"/>
        </w:rPr>
      </w:pPr>
    </w:p>
    <w:p>
      <w:pPr>
        <w:spacing w:line="480" w:lineRule="auto"/>
        <w:rPr>
          <w:rFonts w:ascii="Times New Roman" w:hAnsi="Times New Roman" w:cs="Times New Roman"/>
          <w:sz w:val="24"/>
          <w:szCs w:val="24"/>
        </w:rPr>
      </w:pPr>
    </w:p>
    <w:p>
      <w:pPr>
        <w:spacing w:line="480" w:lineRule="auto"/>
        <w:rPr>
          <w:rFonts w:ascii="Times New Roman" w:hAnsi="Times New Roman" w:cs="Times New Roman"/>
          <w:sz w:val="24"/>
          <w:szCs w:val="24"/>
        </w:rPr>
      </w:pPr>
    </w:p>
    <w:p>
      <w:pPr>
        <w:spacing w:line="480" w:lineRule="auto"/>
        <w:rPr>
          <w:rFonts w:ascii="Times New Roman" w:hAnsi="Times New Roman" w:cs="Times New Roman"/>
          <w:sz w:val="24"/>
          <w:szCs w:val="24"/>
        </w:rPr>
      </w:pPr>
    </w:p>
    <w:p>
      <w:pPr>
        <w:spacing w:line="480" w:lineRule="auto"/>
        <w:rPr>
          <w:rFonts w:ascii="Times New Roman" w:hAnsi="Times New Roman" w:cs="Times New Roman"/>
          <w:sz w:val="24"/>
          <w:szCs w:val="24"/>
        </w:rPr>
      </w:pPr>
    </w:p>
    <w:p>
      <w:pPr>
        <w:spacing w:line="480" w:lineRule="auto"/>
        <w:rPr>
          <w:rFonts w:ascii="Times New Roman" w:hAnsi="Times New Roman" w:cs="Times New Roman"/>
          <w:sz w:val="24"/>
          <w:szCs w:val="24"/>
        </w:rPr>
      </w:pPr>
    </w:p>
    <w:p>
      <w:pPr>
        <w:spacing w:line="480" w:lineRule="auto"/>
        <w:rPr>
          <w:rFonts w:ascii="Times New Roman" w:hAnsi="Times New Roman" w:cs="Times New Roman"/>
          <w:sz w:val="24"/>
          <w:szCs w:val="24"/>
        </w:rPr>
      </w:pPr>
    </w:p>
    <w:p>
      <w:pPr>
        <w:spacing w:line="480" w:lineRule="auto"/>
        <w:rPr>
          <w:rFonts w:ascii="Times New Roman" w:hAnsi="Times New Roman" w:cs="Times New Roman"/>
          <w:sz w:val="24"/>
          <w:szCs w:val="24"/>
        </w:rPr>
      </w:pPr>
    </w:p>
    <w:p>
      <w:pPr>
        <w:spacing w:line="480" w:lineRule="auto"/>
        <w:rPr>
          <w:rFonts w:ascii="Times New Roman" w:hAnsi="Times New Roman" w:cs="Times New Roman"/>
          <w:sz w:val="24"/>
          <w:szCs w:val="24"/>
        </w:rPr>
      </w:pPr>
    </w:p>
    <w:p>
      <w:pPr>
        <w:spacing w:line="480" w:lineRule="auto"/>
        <w:rPr>
          <w:rFonts w:ascii="Times New Roman" w:hAnsi="Times New Roman" w:cs="Times New Roman"/>
          <w:sz w:val="24"/>
          <w:szCs w:val="24"/>
        </w:rPr>
      </w:pPr>
    </w:p>
    <w:p>
      <w:pPr>
        <w:spacing w:line="480" w:lineRule="auto"/>
        <w:jc w:val="center"/>
        <w:rPr>
          <w:rFonts w:ascii="Times New Roman" w:hAnsi="Times New Roman" w:cs="Times New Roman"/>
          <w:b/>
          <w:sz w:val="24"/>
          <w:szCs w:val="24"/>
        </w:rPr>
      </w:pPr>
      <w:r>
        <w:rPr>
          <w:rFonts w:ascii="Times New Roman" w:hAnsi="Times New Roman" w:cs="Times New Roman"/>
          <w:b/>
          <w:sz w:val="24"/>
          <w:szCs w:val="24"/>
        </w:rPr>
        <w:t>References</w:t>
      </w:r>
    </w:p>
    <w:p>
      <w:pPr>
        <w:spacing w:after="180" w:line="480" w:lineRule="auto"/>
        <w:ind w:left="450" w:hanging="450"/>
        <w:rPr>
          <w:rFonts w:ascii="Times New Roman" w:hAnsi="Times New Roman" w:eastAsia="Arial Unicode MS" w:cs="Times New Roman"/>
          <w:sz w:val="24"/>
          <w:szCs w:val="24"/>
          <w:shd w:val="clear" w:color="auto" w:fill="FFFFFF"/>
        </w:rPr>
      </w:pPr>
      <w:r>
        <w:rPr>
          <w:rFonts w:ascii="Times New Roman" w:hAnsi="Times New Roman" w:cs="Times New Roman"/>
          <w:sz w:val="24"/>
          <w:szCs w:val="24"/>
          <w:shd w:val="clear" w:color="auto" w:fill="FFFFFF"/>
        </w:rPr>
        <w:t>Antal, A., &amp; Sobczak, A. (2007). Corporate Social Responsibility in France. </w:t>
      </w:r>
      <w:r>
        <w:rPr>
          <w:rFonts w:ascii="Times New Roman" w:hAnsi="Times New Roman" w:cs="Times New Roman"/>
          <w:i/>
          <w:iCs/>
          <w:sz w:val="24"/>
          <w:szCs w:val="24"/>
          <w:shd w:val="clear" w:color="auto" w:fill="FFFFFF"/>
        </w:rPr>
        <w:t>Business &amp; Society</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46</w:t>
      </w:r>
      <w:r>
        <w:rPr>
          <w:rFonts w:ascii="Times New Roman" w:hAnsi="Times New Roman" w:cs="Times New Roman"/>
          <w:sz w:val="24"/>
          <w:szCs w:val="24"/>
          <w:shd w:val="clear" w:color="auto" w:fill="FFFFFF"/>
        </w:rPr>
        <w:t>(1), 9-32. https://doi.org/10.1177/0007650306293391</w:t>
      </w:r>
    </w:p>
    <w:p>
      <w:pPr>
        <w:pStyle w:val="4"/>
        <w:spacing w:before="0" w:beforeAutospacing="0" w:after="180" w:afterAutospacing="0" w:line="480" w:lineRule="auto"/>
        <w:ind w:left="450" w:hanging="450"/>
      </w:pPr>
      <w:r>
        <w:t>Arent, R. (2009). </w:t>
      </w:r>
      <w:r>
        <w:rPr>
          <w:i/>
          <w:iCs/>
        </w:rPr>
        <w:t>Bridging the Cross-Cultural Gap: Listening and Speaking Tasks for Developing Fluency in English</w:t>
      </w:r>
      <w:r>
        <w:t>. University of Michigan Press.</w:t>
      </w:r>
    </w:p>
    <w:p>
      <w:pPr>
        <w:spacing w:after="180" w:line="480" w:lineRule="auto"/>
        <w:ind w:left="450" w:hanging="450"/>
        <w:rPr>
          <w:rFonts w:ascii="Times New Roman" w:hAnsi="Times New Roman" w:eastAsia="Times New Roman" w:cs="Times New Roman"/>
          <w:sz w:val="24"/>
          <w:szCs w:val="24"/>
          <w:lang w:val="en-US"/>
        </w:rPr>
      </w:pPr>
      <w:r>
        <w:rPr>
          <w:rFonts w:ascii="Times New Roman" w:hAnsi="Times New Roman" w:eastAsia="Times New Roman" w:cs="Times New Roman"/>
          <w:sz w:val="24"/>
          <w:szCs w:val="24"/>
          <w:lang w:val="en-US"/>
        </w:rPr>
        <w:t>Berger, C., &amp; Calabrese, R. (1975). Some Explorations in Initial Interaction and Beyond: Toward A Developmental Theory of Interpersonal Communication. </w:t>
      </w:r>
      <w:r>
        <w:rPr>
          <w:rFonts w:ascii="Times New Roman" w:hAnsi="Times New Roman" w:eastAsia="Times New Roman" w:cs="Times New Roman"/>
          <w:i/>
          <w:iCs/>
          <w:sz w:val="24"/>
          <w:szCs w:val="24"/>
          <w:lang w:val="en-US"/>
        </w:rPr>
        <w:t>Human Communication Research</w:t>
      </w:r>
      <w:r>
        <w:rPr>
          <w:rFonts w:ascii="Times New Roman" w:hAnsi="Times New Roman" w:eastAsia="Times New Roman" w:cs="Times New Roman"/>
          <w:sz w:val="24"/>
          <w:szCs w:val="24"/>
          <w:lang w:val="en-US"/>
        </w:rPr>
        <w:t>, </w:t>
      </w:r>
      <w:r>
        <w:rPr>
          <w:rFonts w:ascii="Times New Roman" w:hAnsi="Times New Roman" w:eastAsia="Times New Roman" w:cs="Times New Roman"/>
          <w:i/>
          <w:iCs/>
          <w:sz w:val="24"/>
          <w:szCs w:val="24"/>
          <w:lang w:val="en-US"/>
        </w:rPr>
        <w:t>1</w:t>
      </w:r>
      <w:r>
        <w:rPr>
          <w:rFonts w:ascii="Times New Roman" w:hAnsi="Times New Roman" w:eastAsia="Times New Roman" w:cs="Times New Roman"/>
          <w:sz w:val="24"/>
          <w:szCs w:val="24"/>
          <w:lang w:val="en-US"/>
        </w:rPr>
        <w:t>(2), 99-112. https://doi.org/10.1111/j.1468-2958.1975.tb00258.x</w:t>
      </w:r>
    </w:p>
    <w:p>
      <w:pPr>
        <w:pStyle w:val="4"/>
        <w:spacing w:before="0" w:beforeAutospacing="0" w:after="180" w:afterAutospacing="0" w:line="480" w:lineRule="auto"/>
        <w:ind w:left="450" w:hanging="450"/>
      </w:pPr>
      <w:r>
        <w:t>Buckermann, W. (2012). </w:t>
      </w:r>
      <w:r>
        <w:rPr>
          <w:i/>
          <w:iCs/>
        </w:rPr>
        <w:t>Corporate Culture and Management Style of a French Multinational Petroleum Company: an Empirical Analysis on the Influence of Cultural Standards and Dimensions</w:t>
      </w:r>
      <w:r>
        <w:t>. Esslingen Hochschule Esslingen.</w:t>
      </w:r>
    </w:p>
    <w:p>
      <w:pPr>
        <w:pStyle w:val="4"/>
        <w:spacing w:before="0" w:beforeAutospacing="0" w:after="180" w:afterAutospacing="0" w:line="480" w:lineRule="auto"/>
        <w:ind w:left="450" w:hanging="450"/>
      </w:pPr>
      <w:r>
        <w:t>Cattell, R. (1949). The dimensions of culture patterns by factorization of national characters. </w:t>
      </w:r>
      <w:r>
        <w:rPr>
          <w:i/>
          <w:iCs/>
        </w:rPr>
        <w:t>The Journal of Abnormal and Social Psychology</w:t>
      </w:r>
      <w:r>
        <w:t>, </w:t>
      </w:r>
      <w:r>
        <w:rPr>
          <w:i/>
          <w:iCs/>
        </w:rPr>
        <w:t>44</w:t>
      </w:r>
      <w:r>
        <w:t>(4), 443-469. https://doi.org/10.1037/h0054760</w:t>
      </w:r>
    </w:p>
    <w:p>
      <w:pPr>
        <w:spacing w:after="180" w:line="480" w:lineRule="auto"/>
        <w:ind w:left="450" w:hanging="450"/>
        <w:rPr>
          <w:rFonts w:ascii="Times New Roman" w:hAnsi="Times New Roman" w:eastAsia="Arial Unicode MS" w:cs="Times New Roman"/>
          <w:sz w:val="24"/>
          <w:szCs w:val="24"/>
          <w:shd w:val="clear" w:color="auto" w:fill="FFFFFF"/>
        </w:rPr>
      </w:pPr>
      <w:r>
        <w:rPr>
          <w:rFonts w:ascii="Times New Roman" w:hAnsi="Times New Roman" w:eastAsia="Arial Unicode MS" w:cs="Times New Roman"/>
          <w:sz w:val="24"/>
          <w:szCs w:val="24"/>
          <w:shd w:val="clear" w:color="auto" w:fill="FFFFFF"/>
        </w:rPr>
        <w:t>Charkham, J. P. (1995). </w:t>
      </w:r>
      <w:r>
        <w:rPr>
          <w:rFonts w:ascii="Times New Roman" w:hAnsi="Times New Roman" w:eastAsia="Arial Unicode MS" w:cs="Times New Roman"/>
          <w:i/>
          <w:iCs/>
          <w:sz w:val="24"/>
          <w:szCs w:val="24"/>
          <w:shd w:val="clear" w:color="auto" w:fill="FFFFFF"/>
        </w:rPr>
        <w:t>Keeping good company: A study of corporate governance in five countries</w:t>
      </w:r>
      <w:r>
        <w:rPr>
          <w:rFonts w:ascii="Times New Roman" w:hAnsi="Times New Roman" w:eastAsia="Arial Unicode MS" w:cs="Times New Roman"/>
          <w:sz w:val="24"/>
          <w:szCs w:val="24"/>
          <w:shd w:val="clear" w:color="auto" w:fill="FFFFFF"/>
        </w:rPr>
        <w:t>. Oxford University Press.</w:t>
      </w:r>
    </w:p>
    <w:p>
      <w:pPr>
        <w:spacing w:after="180" w:line="480" w:lineRule="auto"/>
        <w:ind w:left="450" w:hanging="450"/>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Croucher, S., Sommier, M., &amp; Rahmani, D. (2015). Intercultural communication: Where we’ve been, where we’re going, issues we face. </w:t>
      </w:r>
      <w:r>
        <w:rPr>
          <w:rFonts w:ascii="Times New Roman" w:hAnsi="Times New Roman" w:cs="Times New Roman"/>
          <w:i/>
          <w:iCs/>
          <w:sz w:val="24"/>
          <w:szCs w:val="24"/>
          <w:shd w:val="clear" w:color="auto" w:fill="FFFFFF"/>
        </w:rPr>
        <w:t>Communication Research and Practice</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1</w:t>
      </w:r>
      <w:r>
        <w:rPr>
          <w:rFonts w:ascii="Times New Roman" w:hAnsi="Times New Roman" w:cs="Times New Roman"/>
          <w:sz w:val="24"/>
          <w:szCs w:val="24"/>
          <w:shd w:val="clear" w:color="auto" w:fill="FFFFFF"/>
        </w:rPr>
        <w:t xml:space="preserve">(1), 71-87. </w:t>
      </w:r>
      <w:r>
        <w:fldChar w:fldCharType="begin"/>
      </w:r>
      <w:r>
        <w:instrText xml:space="preserve"> HYPERLINK "https://doi.org/10.1080/22041451.2015.1042422" </w:instrText>
      </w:r>
      <w:r>
        <w:fldChar w:fldCharType="separate"/>
      </w:r>
      <w:r>
        <w:rPr>
          <w:rStyle w:val="8"/>
          <w:rFonts w:ascii="Times New Roman" w:hAnsi="Times New Roman" w:cs="Times New Roman"/>
          <w:color w:val="auto"/>
          <w:sz w:val="24"/>
          <w:szCs w:val="24"/>
          <w:shd w:val="clear" w:color="auto" w:fill="FFFFFF"/>
        </w:rPr>
        <w:t>https://doi.org/10.1080/22041451.2015.1042422</w:t>
      </w:r>
      <w:r>
        <w:fldChar w:fldCharType="end"/>
      </w:r>
    </w:p>
    <w:p>
      <w:pPr>
        <w:spacing w:after="180" w:line="480" w:lineRule="auto"/>
        <w:ind w:left="450" w:hanging="450"/>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Dumitraşcu-Băldău, I., &amp; Dumitraşcu, D. (2019). Intercultural Communication and its Challenges within the International Virtual Project Team. </w:t>
      </w:r>
      <w:r>
        <w:rPr>
          <w:rFonts w:ascii="Times New Roman" w:hAnsi="Times New Roman" w:cs="Times New Roman"/>
          <w:i/>
          <w:iCs/>
          <w:sz w:val="24"/>
          <w:szCs w:val="24"/>
          <w:shd w:val="clear" w:color="auto" w:fill="FFFFFF"/>
        </w:rPr>
        <w:t>MATEC Web of Conferences</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290</w:t>
      </w:r>
      <w:r>
        <w:rPr>
          <w:rFonts w:ascii="Times New Roman" w:hAnsi="Times New Roman" w:cs="Times New Roman"/>
          <w:sz w:val="24"/>
          <w:szCs w:val="24"/>
          <w:shd w:val="clear" w:color="auto" w:fill="FFFFFF"/>
        </w:rPr>
        <w:t xml:space="preserve">(07005). </w:t>
      </w:r>
      <w:r>
        <w:fldChar w:fldCharType="begin"/>
      </w:r>
      <w:r>
        <w:instrText xml:space="preserve"> HYPERLINK "https://doi.org/10.1051/matecconf/201929007005" </w:instrText>
      </w:r>
      <w:r>
        <w:fldChar w:fldCharType="separate"/>
      </w:r>
      <w:r>
        <w:rPr>
          <w:rStyle w:val="8"/>
          <w:rFonts w:ascii="Times New Roman" w:hAnsi="Times New Roman" w:cs="Times New Roman"/>
          <w:color w:val="auto"/>
          <w:sz w:val="24"/>
          <w:szCs w:val="24"/>
          <w:shd w:val="clear" w:color="auto" w:fill="FFFFFF"/>
        </w:rPr>
        <w:t>https://doi.org/10.1051/matecconf/201929007005</w:t>
      </w:r>
      <w:r>
        <w:fldChar w:fldCharType="end"/>
      </w:r>
      <w:r>
        <w:rPr>
          <w:rFonts w:ascii="Times New Roman" w:hAnsi="Times New Roman" w:cs="Times New Roman"/>
          <w:sz w:val="24"/>
          <w:szCs w:val="24"/>
          <w:shd w:val="clear" w:color="auto" w:fill="FFFFFF"/>
        </w:rPr>
        <w:t xml:space="preserve"> </w:t>
      </w:r>
    </w:p>
    <w:p>
      <w:pPr>
        <w:spacing w:after="180" w:line="480" w:lineRule="auto"/>
        <w:ind w:left="450" w:hanging="450"/>
        <w:rPr>
          <w:rFonts w:ascii="Times New Roman" w:hAnsi="Times New Roman" w:eastAsia="Times New Roman" w:cs="Times New Roman"/>
          <w:sz w:val="24"/>
          <w:szCs w:val="24"/>
          <w:lang w:val="en-US"/>
        </w:rPr>
      </w:pPr>
      <w:r>
        <w:rPr>
          <w:rFonts w:ascii="Times New Roman" w:hAnsi="Times New Roman" w:cs="Times New Roman"/>
          <w:sz w:val="24"/>
          <w:szCs w:val="24"/>
        </w:rPr>
        <w:t xml:space="preserve">Foss, K. &amp; Littlejohn, S. (2008). </w:t>
      </w:r>
      <w:r>
        <w:rPr>
          <w:rFonts w:ascii="Times New Roman" w:hAnsi="Times New Roman" w:cs="Times New Roman"/>
          <w:i/>
          <w:sz w:val="24"/>
          <w:szCs w:val="24"/>
        </w:rPr>
        <w:t>Theories of Human Communication</w:t>
      </w:r>
      <w:r>
        <w:rPr>
          <w:rFonts w:ascii="Times New Roman" w:hAnsi="Times New Roman" w:cs="Times New Roman"/>
          <w:sz w:val="24"/>
          <w:szCs w:val="24"/>
        </w:rPr>
        <w:t xml:space="preserve">, (9th ed.). </w:t>
      </w:r>
      <w:r>
        <w:rPr>
          <w:rFonts w:ascii="Times New Roman" w:hAnsi="Times New Roman" w:cs="Times New Roman"/>
          <w:sz w:val="24"/>
          <w:szCs w:val="24"/>
          <w:shd w:val="clear" w:color="auto" w:fill="FFFFFF"/>
        </w:rPr>
        <w:t>Wadsworth Publishing</w:t>
      </w:r>
    </w:p>
    <w:p>
      <w:pPr>
        <w:spacing w:after="180" w:line="480" w:lineRule="auto"/>
        <w:ind w:left="450" w:hanging="450"/>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Hofstede Insights. (2022). Country Comparison. Retrieved 7 January 2022, from </w:t>
      </w:r>
      <w:r>
        <w:fldChar w:fldCharType="begin"/>
      </w:r>
      <w:r>
        <w:instrText xml:space="preserve"> HYPERLINK "https://www.hofstede-insights.com/country-comparison/france/" </w:instrText>
      </w:r>
      <w:r>
        <w:fldChar w:fldCharType="separate"/>
      </w:r>
      <w:r>
        <w:rPr>
          <w:rStyle w:val="8"/>
          <w:rFonts w:ascii="Times New Roman" w:hAnsi="Times New Roman" w:cs="Times New Roman"/>
          <w:color w:val="auto"/>
          <w:sz w:val="24"/>
          <w:szCs w:val="24"/>
          <w:shd w:val="clear" w:color="auto" w:fill="FFFFFF"/>
        </w:rPr>
        <w:t>https://www.hofstede-insights.com/country-comparison/france/</w:t>
      </w:r>
      <w:r>
        <w:fldChar w:fldCharType="end"/>
      </w:r>
    </w:p>
    <w:p>
      <w:pPr>
        <w:spacing w:after="180" w:line="480" w:lineRule="auto"/>
        <w:ind w:left="450" w:hanging="450"/>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Hofstede Insights. (2022). Country Comparison. Retrieved 7 January 2022, from </w:t>
      </w:r>
      <w:r>
        <w:fldChar w:fldCharType="begin"/>
      </w:r>
      <w:r>
        <w:instrText xml:space="preserve"> HYPERLINK "https://www.hofstede-insights.com/country-comparison/the-uk/" </w:instrText>
      </w:r>
      <w:r>
        <w:fldChar w:fldCharType="separate"/>
      </w:r>
      <w:r>
        <w:rPr>
          <w:rStyle w:val="8"/>
          <w:rFonts w:ascii="Times New Roman" w:hAnsi="Times New Roman" w:cs="Times New Roman"/>
          <w:color w:val="auto"/>
          <w:sz w:val="24"/>
          <w:szCs w:val="24"/>
          <w:shd w:val="clear" w:color="auto" w:fill="FFFFFF"/>
        </w:rPr>
        <w:t>https://www.hofstede-insights.com/country-comparison/the-uk/</w:t>
      </w:r>
      <w:r>
        <w:fldChar w:fldCharType="end"/>
      </w:r>
    </w:p>
    <w:p>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Hofstede, G. (2001). </w:t>
      </w:r>
      <w:r>
        <w:rPr>
          <w:rFonts w:ascii="Times New Roman" w:hAnsi="Times New Roman" w:cs="Times New Roman"/>
          <w:i/>
          <w:sz w:val="24"/>
          <w:szCs w:val="24"/>
        </w:rPr>
        <w:t>Culture’s Consequences: International differences in work-related values (2nd ed.)</w:t>
      </w:r>
      <w:r>
        <w:rPr>
          <w:rFonts w:ascii="Times New Roman" w:hAnsi="Times New Roman" w:cs="Times New Roman"/>
          <w:sz w:val="24"/>
          <w:szCs w:val="24"/>
        </w:rPr>
        <w:t xml:space="preserve">. Sage Publications. </w:t>
      </w:r>
    </w:p>
    <w:p>
      <w:pPr>
        <w:pStyle w:val="4"/>
        <w:spacing w:before="0" w:beforeAutospacing="0" w:after="180" w:afterAutospacing="0" w:line="480" w:lineRule="auto"/>
        <w:ind w:left="450" w:hanging="450"/>
      </w:pPr>
      <w:r>
        <w:t>Hofstede, G. (2001). </w:t>
      </w:r>
      <w:r>
        <w:rPr>
          <w:i/>
          <w:iCs/>
        </w:rPr>
        <w:t>Culture's consequences: comparing values, behaviors, institutions, and organizations across nations</w:t>
      </w:r>
      <w:r>
        <w:t> (2nd ed.). Sage Publications.</w:t>
      </w:r>
    </w:p>
    <w:p>
      <w:pPr>
        <w:pStyle w:val="4"/>
        <w:spacing w:before="0" w:beforeAutospacing="0" w:after="180" w:afterAutospacing="0" w:line="480" w:lineRule="auto"/>
        <w:ind w:left="450" w:hanging="450"/>
      </w:pPr>
      <w:r>
        <w:t>Hofstede, G. (2010). The GLOBE debate: Back to relevance. </w:t>
      </w:r>
      <w:r>
        <w:rPr>
          <w:i/>
          <w:iCs/>
        </w:rPr>
        <w:t>Journal of International Business Studies</w:t>
      </w:r>
      <w:r>
        <w:t>, </w:t>
      </w:r>
      <w:r>
        <w:rPr>
          <w:i/>
          <w:iCs/>
        </w:rPr>
        <w:t>41</w:t>
      </w:r>
      <w:r>
        <w:t>(8), 1339-1346. https://doi.org/10.1057/jibs.2010.31</w:t>
      </w:r>
    </w:p>
    <w:p>
      <w:pPr>
        <w:pStyle w:val="4"/>
        <w:spacing w:before="0" w:beforeAutospacing="0" w:after="180" w:afterAutospacing="0" w:line="480" w:lineRule="auto"/>
        <w:ind w:left="450" w:hanging="450"/>
      </w:pPr>
      <w:r>
        <w:t>Hofstede, G. (2011). Dimensionalizing Cultures: The Hofstede Model in Context. </w:t>
      </w:r>
      <w:r>
        <w:rPr>
          <w:i/>
          <w:iCs/>
        </w:rPr>
        <w:t>Online Readings in Psychology and Culture</w:t>
      </w:r>
      <w:r>
        <w:t>, </w:t>
      </w:r>
      <w:r>
        <w:rPr>
          <w:i/>
          <w:iCs/>
        </w:rPr>
        <w:t>2</w:t>
      </w:r>
      <w:r>
        <w:t>(1). https://doi.org/10.9707/2307-0919.1014</w:t>
      </w:r>
    </w:p>
    <w:p>
      <w:pPr>
        <w:pStyle w:val="4"/>
        <w:spacing w:before="0" w:beforeAutospacing="0" w:after="180" w:afterAutospacing="0" w:line="480" w:lineRule="auto"/>
        <w:ind w:left="450" w:hanging="450"/>
      </w:pPr>
      <w:r>
        <w:t>Hofstede, G., Hofstede, G., &amp; Minkov, M. (2010). </w:t>
      </w:r>
      <w:r>
        <w:rPr>
          <w:i/>
          <w:iCs/>
        </w:rPr>
        <w:t>Cultures and organizations: software of the mind: intercultural cooperation and its importance for survival</w:t>
      </w:r>
      <w:r>
        <w:t> (3rd ed.). McGraw-Hill.</w:t>
      </w:r>
    </w:p>
    <w:p>
      <w:pPr>
        <w:pStyle w:val="4"/>
        <w:spacing w:before="0" w:beforeAutospacing="0" w:after="180" w:afterAutospacing="0" w:line="480" w:lineRule="auto"/>
        <w:ind w:left="450" w:hanging="450"/>
      </w:pPr>
      <w:r>
        <w:t>Krawiec, M. (2017). </w:t>
      </w:r>
      <w:r>
        <w:rPr>
          <w:i/>
          <w:iCs/>
        </w:rPr>
        <w:t>Foreign language education and its cross-curricular links</w:t>
      </w:r>
      <w:r>
        <w:t>. Cambridge Scholars Publishing.</w:t>
      </w:r>
    </w:p>
    <w:p>
      <w:pPr>
        <w:pStyle w:val="4"/>
        <w:spacing w:before="0" w:beforeAutospacing="0" w:after="180" w:afterAutospacing="0" w:line="480" w:lineRule="auto"/>
        <w:ind w:left="450" w:hanging="450"/>
      </w:pPr>
      <w:r>
        <w:t>Lauring, J. (2011). Intercultural Organizational Communication: The Social Organizing of Interaction in International Encounters. </w:t>
      </w:r>
      <w:r>
        <w:rPr>
          <w:i/>
          <w:iCs/>
        </w:rPr>
        <w:t>Journal of Business Communication</w:t>
      </w:r>
      <w:r>
        <w:t>, </w:t>
      </w:r>
      <w:r>
        <w:rPr>
          <w:i/>
          <w:iCs/>
        </w:rPr>
        <w:t>48</w:t>
      </w:r>
      <w:r>
        <w:t>(3), 231-255. https://doi.org/10.1177/0021943611406500</w:t>
      </w:r>
    </w:p>
    <w:p>
      <w:pPr>
        <w:pStyle w:val="4"/>
        <w:spacing w:before="0" w:beforeAutospacing="0" w:after="180" w:afterAutospacing="0" w:line="480" w:lineRule="auto"/>
        <w:ind w:left="450" w:hanging="450"/>
      </w:pPr>
      <w:r>
        <w:t>Levitt, T. (1983). The Globalization of Markets. </w:t>
      </w:r>
      <w:r>
        <w:rPr>
          <w:i/>
          <w:iCs/>
        </w:rPr>
        <w:t>Harvard Business Review</w:t>
      </w:r>
      <w:r>
        <w:t>. Retrieved 7 January 2022, from https://hbr.org/1983/05/the-globalization-of-markets.</w:t>
      </w:r>
    </w:p>
    <w:p>
      <w:pPr>
        <w:spacing w:after="180" w:line="480" w:lineRule="auto"/>
        <w:ind w:left="450" w:hanging="450"/>
        <w:rPr>
          <w:rFonts w:ascii="Times New Roman" w:hAnsi="Times New Roman" w:eastAsia="Times New Roman" w:cs="Times New Roman"/>
          <w:sz w:val="24"/>
          <w:szCs w:val="24"/>
          <w:lang w:val="en-US"/>
        </w:rPr>
      </w:pPr>
      <w:r>
        <w:rPr>
          <w:rFonts w:ascii="Times New Roman" w:hAnsi="Times New Roman" w:eastAsia="Times New Roman" w:cs="Times New Roman"/>
          <w:sz w:val="24"/>
          <w:szCs w:val="24"/>
          <w:lang w:val="en-US"/>
        </w:rPr>
        <w:t>McSweeney, B. (2002). Hofstede’s Model of National Cultural Differences and their Consequences: A Triumph of Faith - a Failure of Analysis. </w:t>
      </w:r>
      <w:r>
        <w:rPr>
          <w:rFonts w:ascii="Times New Roman" w:hAnsi="Times New Roman" w:eastAsia="Times New Roman" w:cs="Times New Roman"/>
          <w:i/>
          <w:iCs/>
          <w:sz w:val="24"/>
          <w:szCs w:val="24"/>
          <w:lang w:val="en-US"/>
        </w:rPr>
        <w:t>Human Relations</w:t>
      </w:r>
      <w:r>
        <w:rPr>
          <w:rFonts w:ascii="Times New Roman" w:hAnsi="Times New Roman" w:eastAsia="Times New Roman" w:cs="Times New Roman"/>
          <w:sz w:val="24"/>
          <w:szCs w:val="24"/>
          <w:lang w:val="en-US"/>
        </w:rPr>
        <w:t>, </w:t>
      </w:r>
      <w:r>
        <w:rPr>
          <w:rFonts w:ascii="Times New Roman" w:hAnsi="Times New Roman" w:eastAsia="Times New Roman" w:cs="Times New Roman"/>
          <w:i/>
          <w:iCs/>
          <w:sz w:val="24"/>
          <w:szCs w:val="24"/>
          <w:lang w:val="en-US"/>
        </w:rPr>
        <w:t>55</w:t>
      </w:r>
      <w:r>
        <w:rPr>
          <w:rFonts w:ascii="Times New Roman" w:hAnsi="Times New Roman" w:eastAsia="Times New Roman" w:cs="Times New Roman"/>
          <w:sz w:val="24"/>
          <w:szCs w:val="24"/>
          <w:lang w:val="en-US"/>
        </w:rPr>
        <w:t>(1), 89-118. https://doi.org/10.1177/0018726702551004</w:t>
      </w:r>
    </w:p>
    <w:p>
      <w:pPr>
        <w:spacing w:after="180" w:line="480" w:lineRule="auto"/>
        <w:ind w:left="450" w:hanging="450"/>
        <w:rPr>
          <w:rFonts w:ascii="Times New Roman" w:hAnsi="Times New Roman" w:cs="Times New Roman"/>
          <w:sz w:val="24"/>
          <w:szCs w:val="24"/>
        </w:rPr>
      </w:pPr>
      <w:r>
        <w:rPr>
          <w:rFonts w:ascii="Times New Roman" w:hAnsi="Times New Roman" w:cs="Times New Roman"/>
          <w:sz w:val="24"/>
          <w:szCs w:val="24"/>
        </w:rPr>
        <w:t>Price, B. (2008). </w:t>
      </w:r>
      <w:r>
        <w:rPr>
          <w:rFonts w:ascii="Times New Roman" w:hAnsi="Times New Roman" w:cs="Times New Roman"/>
          <w:i/>
          <w:sz w:val="24"/>
          <w:szCs w:val="24"/>
        </w:rPr>
        <w:t>Understanding Cross-Cultural management</w:t>
      </w:r>
      <w:r>
        <w:rPr>
          <w:rFonts w:ascii="Times New Roman" w:hAnsi="Times New Roman" w:cs="Times New Roman"/>
          <w:sz w:val="24"/>
          <w:szCs w:val="24"/>
        </w:rPr>
        <w:t>.  Pearson.</w:t>
      </w:r>
    </w:p>
    <w:p>
      <w:pPr>
        <w:pStyle w:val="4"/>
        <w:spacing w:before="0" w:beforeAutospacing="0" w:after="180" w:afterAutospacing="0" w:line="480" w:lineRule="auto"/>
        <w:ind w:left="450" w:hanging="450"/>
      </w:pPr>
      <w:r>
        <w:t>Qu, W., &amp; Yang, Z. (2015). The effect of uncertainty avoidance and social trust on supply chain collaboration. </w:t>
      </w:r>
      <w:r>
        <w:rPr>
          <w:i/>
          <w:iCs/>
        </w:rPr>
        <w:t>Journal of Business Research</w:t>
      </w:r>
      <w:r>
        <w:t>, </w:t>
      </w:r>
      <w:r>
        <w:rPr>
          <w:i/>
          <w:iCs/>
        </w:rPr>
        <w:t>68</w:t>
      </w:r>
      <w:r>
        <w:t>(5), 911-918. https://doi.org/10.1016/j.jbusres.2014.09.017</w:t>
      </w:r>
    </w:p>
    <w:p>
      <w:pPr>
        <w:pStyle w:val="4"/>
        <w:spacing w:before="0" w:beforeAutospacing="0" w:after="180" w:afterAutospacing="0" w:line="480" w:lineRule="auto"/>
        <w:ind w:left="450" w:hanging="450"/>
      </w:pPr>
      <w:r>
        <w:t>Schimmack, U., Oishi, S., &amp; Diener, E. (2005). Individualism: A Valid and Important Dimension of Cultural Differences between Nations. </w:t>
      </w:r>
      <w:r>
        <w:rPr>
          <w:i/>
          <w:iCs/>
        </w:rPr>
        <w:t>Personality and Social Psychology Review</w:t>
      </w:r>
      <w:r>
        <w:t>, </w:t>
      </w:r>
      <w:r>
        <w:rPr>
          <w:i/>
          <w:iCs/>
        </w:rPr>
        <w:t>9</w:t>
      </w:r>
      <w:r>
        <w:t>(1), 17-31. https://doi.org/10.1207/s15327957pspr0901_2</w:t>
      </w:r>
    </w:p>
    <w:p>
      <w:pPr>
        <w:pStyle w:val="4"/>
        <w:spacing w:before="0" w:beforeAutospacing="0" w:after="180" w:afterAutospacing="0" w:line="480" w:lineRule="auto"/>
        <w:ind w:left="450" w:hanging="450"/>
      </w:pPr>
      <w:r>
        <w:t>Schwartz, S. (1994). Beyond individualism/collectivism: New cultural dimensions of values. In U. Kim, H. Triandis, C. Kagitcibasi, S. Choi &amp; G. Yoon, </w:t>
      </w:r>
      <w:r>
        <w:rPr>
          <w:i/>
          <w:iCs/>
        </w:rPr>
        <w:t>Individualism and collectivism: Theory, method, and applications</w:t>
      </w:r>
      <w:r>
        <w:t> (pp. 85–119). Sage Publications, Inc. Retrieved 7 January 2022, from.</w:t>
      </w:r>
    </w:p>
    <w:p>
      <w:pPr>
        <w:pStyle w:val="4"/>
        <w:spacing w:before="0" w:beforeAutospacing="0" w:after="180" w:afterAutospacing="0" w:line="480" w:lineRule="auto"/>
        <w:ind w:left="450" w:hanging="450"/>
      </w:pPr>
      <w:r>
        <w:t>Schwartz, S., &amp; Bardi, A. (2001). Value Hierarchies across Cultures. </w:t>
      </w:r>
      <w:r>
        <w:rPr>
          <w:i/>
          <w:iCs/>
        </w:rPr>
        <w:t>Journal of Cross-Cultural Psychology</w:t>
      </w:r>
      <w:r>
        <w:t>, </w:t>
      </w:r>
      <w:r>
        <w:rPr>
          <w:i/>
          <w:iCs/>
        </w:rPr>
        <w:t>32</w:t>
      </w:r>
      <w:r>
        <w:t>(3), 268-290. https://doi.org/10.1177/0022022101032003002</w:t>
      </w:r>
    </w:p>
    <w:p>
      <w:pPr>
        <w:spacing w:after="180" w:line="480" w:lineRule="auto"/>
        <w:ind w:left="450" w:hanging="450"/>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Snitker, T. (2010). The impact of culture on user research. </w:t>
      </w:r>
      <w:r>
        <w:rPr>
          <w:rFonts w:ascii="Times New Roman" w:hAnsi="Times New Roman" w:cs="Times New Roman"/>
          <w:i/>
          <w:iCs/>
          <w:sz w:val="24"/>
          <w:szCs w:val="24"/>
          <w:shd w:val="clear" w:color="auto" w:fill="FFFFFF"/>
        </w:rPr>
        <w:t>Handbook of Global User Research</w:t>
      </w:r>
      <w:r>
        <w:rPr>
          <w:rFonts w:ascii="Times New Roman" w:hAnsi="Times New Roman" w:cs="Times New Roman"/>
          <w:sz w:val="24"/>
          <w:szCs w:val="24"/>
          <w:shd w:val="clear" w:color="auto" w:fill="FFFFFF"/>
        </w:rPr>
        <w:t xml:space="preserve">, 257-277. </w:t>
      </w:r>
      <w:r>
        <w:fldChar w:fldCharType="begin"/>
      </w:r>
      <w:r>
        <w:instrText xml:space="preserve"> HYPERLINK "https://doi.org/10.1016/b978-0-12-374852-2.00009-4" </w:instrText>
      </w:r>
      <w:r>
        <w:fldChar w:fldCharType="separate"/>
      </w:r>
      <w:r>
        <w:rPr>
          <w:rStyle w:val="8"/>
          <w:rFonts w:ascii="Times New Roman" w:hAnsi="Times New Roman" w:cs="Times New Roman"/>
          <w:color w:val="auto"/>
          <w:sz w:val="24"/>
          <w:szCs w:val="24"/>
          <w:shd w:val="clear" w:color="auto" w:fill="FFFFFF"/>
        </w:rPr>
        <w:t>https://doi.org/10.1016/b978-0-12-374852-2.00009-4</w:t>
      </w:r>
      <w:r>
        <w:fldChar w:fldCharType="end"/>
      </w:r>
    </w:p>
    <w:p>
      <w:pPr>
        <w:spacing w:after="180" w:line="480" w:lineRule="auto"/>
        <w:ind w:left="450" w:hanging="450"/>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Spielmann, G. (2015). </w:t>
      </w:r>
      <w:r>
        <w:rPr>
          <w:rFonts w:ascii="Times New Roman" w:hAnsi="Times New Roman" w:cs="Times New Roman"/>
          <w:i/>
          <w:iCs/>
          <w:sz w:val="24"/>
          <w:szCs w:val="24"/>
          <w:shd w:val="clear" w:color="auto" w:fill="FFFFFF"/>
        </w:rPr>
        <w:t>France: A Cultural Primer</w:t>
      </w:r>
      <w:r>
        <w:rPr>
          <w:rFonts w:ascii="Times New Roman" w:hAnsi="Times New Roman" w:cs="Times New Roman"/>
          <w:sz w:val="24"/>
          <w:szCs w:val="24"/>
          <w:shd w:val="clear" w:color="auto" w:fill="FFFFFF"/>
        </w:rPr>
        <w:t xml:space="preserve">. Opsis.georgetown.domains. Retrieved 7 January 2022, from </w:t>
      </w:r>
      <w:r>
        <w:fldChar w:fldCharType="begin"/>
      </w:r>
      <w:r>
        <w:instrText xml:space="preserve"> HYPERLINK "https://opsis.georgetown.domains/LaPageDeGuy/docs/france/primer.htm" </w:instrText>
      </w:r>
      <w:r>
        <w:fldChar w:fldCharType="separate"/>
      </w:r>
      <w:r>
        <w:rPr>
          <w:rStyle w:val="8"/>
          <w:rFonts w:ascii="Times New Roman" w:hAnsi="Times New Roman" w:cs="Times New Roman"/>
          <w:color w:val="auto"/>
          <w:sz w:val="24"/>
          <w:szCs w:val="24"/>
          <w:shd w:val="clear" w:color="auto" w:fill="FFFFFF"/>
        </w:rPr>
        <w:t>https://opsis.georgetown.domains/LaPageDeGuy/docs/france/primer.htm</w:t>
      </w:r>
      <w:r>
        <w:fldChar w:fldCharType="end"/>
      </w:r>
      <w:r>
        <w:rPr>
          <w:rFonts w:ascii="Times New Roman" w:hAnsi="Times New Roman" w:cs="Times New Roman"/>
          <w:sz w:val="24"/>
          <w:szCs w:val="24"/>
          <w:shd w:val="clear" w:color="auto" w:fill="FFFFFF"/>
        </w:rPr>
        <w:t>.</w:t>
      </w:r>
    </w:p>
    <w:p>
      <w:pPr>
        <w:spacing w:after="180" w:line="480" w:lineRule="auto"/>
        <w:ind w:left="450" w:hanging="450"/>
        <w:rPr>
          <w:rFonts w:ascii="Times New Roman" w:hAnsi="Times New Roman" w:cs="Times New Roman"/>
          <w:sz w:val="24"/>
          <w:szCs w:val="24"/>
        </w:rPr>
      </w:pPr>
      <w:r>
        <w:rPr>
          <w:rFonts w:ascii="Times New Roman" w:hAnsi="Times New Roman" w:cs="Times New Roman"/>
          <w:sz w:val="24"/>
          <w:szCs w:val="24"/>
        </w:rPr>
        <w:t xml:space="preserve">Trompenaars, F., </w:t>
      </w:r>
      <w:r>
        <w:rPr>
          <w:rFonts w:ascii="Times New Roman" w:hAnsi="Times New Roman" w:eastAsia="Times New Roman" w:cs="Times New Roman"/>
          <w:sz w:val="24"/>
          <w:szCs w:val="24"/>
          <w:lang w:val="en-US"/>
        </w:rPr>
        <w:t xml:space="preserve">&amp; </w:t>
      </w:r>
      <w:r>
        <w:rPr>
          <w:rFonts w:ascii="Times New Roman" w:hAnsi="Times New Roman" w:cs="Times New Roman"/>
          <w:sz w:val="24"/>
          <w:szCs w:val="24"/>
        </w:rPr>
        <w:t xml:space="preserve">Hampden-Turner, C. (1998). </w:t>
      </w:r>
      <w:r>
        <w:rPr>
          <w:rFonts w:ascii="Times New Roman" w:hAnsi="Times New Roman" w:cs="Times New Roman"/>
          <w:i/>
          <w:sz w:val="24"/>
          <w:szCs w:val="24"/>
        </w:rPr>
        <w:t>Riding the Waves of Culture: Understanding Cultural Diversity in Business (2nd ed.).</w:t>
      </w:r>
      <w:r>
        <w:rPr>
          <w:rFonts w:ascii="Times New Roman" w:hAnsi="Times New Roman" w:cs="Times New Roman"/>
          <w:sz w:val="24"/>
          <w:szCs w:val="24"/>
        </w:rPr>
        <w:t xml:space="preserve"> McGraw-Hill</w:t>
      </w:r>
    </w:p>
    <w:p>
      <w:pPr>
        <w:pStyle w:val="4"/>
        <w:spacing w:before="0" w:beforeAutospacing="0" w:after="180" w:afterAutospacing="0" w:line="480" w:lineRule="auto"/>
        <w:ind w:left="450" w:hanging="450"/>
      </w:pPr>
      <w:r>
        <w:t>Van Oudenhoven, J. (2001). Do organizations reflect national cultures? A 10-nation study. </w:t>
      </w:r>
      <w:r>
        <w:rPr>
          <w:i/>
          <w:iCs/>
        </w:rPr>
        <w:t>International Journal of Intercultural Relations</w:t>
      </w:r>
      <w:r>
        <w:t>, </w:t>
      </w:r>
      <w:r>
        <w:rPr>
          <w:i/>
          <w:iCs/>
        </w:rPr>
        <w:t>25</w:t>
      </w:r>
      <w:r>
        <w:t>(1), 89-107. https://doi.org/10.1016/s0147-1767(00)00044-4</w:t>
      </w:r>
    </w:p>
    <w:p>
      <w:pPr>
        <w:spacing w:after="180" w:line="480" w:lineRule="auto"/>
        <w:ind w:left="450" w:hanging="450"/>
        <w:rPr>
          <w:rStyle w:val="8"/>
          <w:rFonts w:ascii="Times New Roman" w:hAnsi="Times New Roman" w:eastAsia="Times New Roman" w:cs="Times New Roman"/>
          <w:color w:val="auto"/>
          <w:sz w:val="24"/>
          <w:szCs w:val="24"/>
          <w:lang w:val="en-US"/>
        </w:rPr>
      </w:pPr>
      <w:r>
        <w:rPr>
          <w:rFonts w:ascii="Times New Roman" w:hAnsi="Times New Roman" w:eastAsia="Times New Roman" w:cs="Times New Roman"/>
          <w:sz w:val="24"/>
          <w:szCs w:val="24"/>
          <w:lang w:val="en-US"/>
        </w:rPr>
        <w:t>Washington, M., Okoro, E., &amp; Thomas, O. (2012). Intercultural Communication in Global Business: An Analysis of Benefits and Challenges. </w:t>
      </w:r>
      <w:r>
        <w:rPr>
          <w:rFonts w:ascii="Times New Roman" w:hAnsi="Times New Roman" w:eastAsia="Times New Roman" w:cs="Times New Roman"/>
          <w:i/>
          <w:iCs/>
          <w:sz w:val="24"/>
          <w:szCs w:val="24"/>
          <w:lang w:val="en-US"/>
        </w:rPr>
        <w:t>International Business &amp; Economics Research Journal (IBER)</w:t>
      </w:r>
      <w:r>
        <w:rPr>
          <w:rFonts w:ascii="Times New Roman" w:hAnsi="Times New Roman" w:eastAsia="Times New Roman" w:cs="Times New Roman"/>
          <w:sz w:val="24"/>
          <w:szCs w:val="24"/>
          <w:lang w:val="en-US"/>
        </w:rPr>
        <w:t>, </w:t>
      </w:r>
      <w:r>
        <w:rPr>
          <w:rFonts w:ascii="Times New Roman" w:hAnsi="Times New Roman" w:eastAsia="Times New Roman" w:cs="Times New Roman"/>
          <w:i/>
          <w:iCs/>
          <w:sz w:val="24"/>
          <w:szCs w:val="24"/>
          <w:lang w:val="en-US"/>
        </w:rPr>
        <w:t>11</w:t>
      </w:r>
      <w:r>
        <w:rPr>
          <w:rFonts w:ascii="Times New Roman" w:hAnsi="Times New Roman" w:eastAsia="Times New Roman" w:cs="Times New Roman"/>
          <w:sz w:val="24"/>
          <w:szCs w:val="24"/>
          <w:lang w:val="en-US"/>
        </w:rPr>
        <w:t xml:space="preserve">(2), 217. </w:t>
      </w:r>
      <w:r>
        <w:fldChar w:fldCharType="begin"/>
      </w:r>
      <w:r>
        <w:instrText xml:space="preserve"> HYPERLINK "https://doi.org/10.19030/iber.v11i2.6776" </w:instrText>
      </w:r>
      <w:r>
        <w:fldChar w:fldCharType="separate"/>
      </w:r>
      <w:r>
        <w:rPr>
          <w:rStyle w:val="8"/>
          <w:rFonts w:ascii="Times New Roman" w:hAnsi="Times New Roman" w:eastAsia="Times New Roman" w:cs="Times New Roman"/>
          <w:color w:val="auto"/>
          <w:sz w:val="24"/>
          <w:szCs w:val="24"/>
          <w:lang w:val="en-US"/>
        </w:rPr>
        <w:t>https://doi.org/10.19030/iber.v11i2.6776</w:t>
      </w:r>
      <w:r>
        <w:fldChar w:fldCharType="end"/>
      </w:r>
    </w:p>
    <w:p>
      <w:pPr>
        <w:spacing w:line="480" w:lineRule="auto"/>
        <w:rPr>
          <w:rFonts w:ascii="Times New Roman" w:hAnsi="Times New Roman" w:cs="Times New Roman"/>
          <w:sz w:val="24"/>
          <w:szCs w:val="24"/>
        </w:rPr>
      </w:pPr>
    </w:p>
    <w:p>
      <w:pPr>
        <w:spacing w:line="480" w:lineRule="auto"/>
        <w:rPr>
          <w:rFonts w:ascii="Times New Roman" w:hAnsi="Times New Roman" w:cs="Times New Roman"/>
          <w:sz w:val="24"/>
          <w:szCs w:val="24"/>
        </w:rPr>
      </w:pPr>
    </w:p>
    <w:p>
      <w:pPr>
        <w:spacing w:line="480" w:lineRule="auto"/>
        <w:rPr>
          <w:rFonts w:ascii="Times New Roman" w:hAnsi="Times New Roman" w:cs="Times New Roman"/>
          <w:sz w:val="24"/>
          <w:szCs w:val="24"/>
        </w:rPr>
      </w:pPr>
    </w:p>
    <w:sectPr>
      <w:headerReference r:id="rId5" w:type="default"/>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Arial Unicode MS">
    <w:altName w:val="Arial"/>
    <w:panose1 w:val="020B0604020002020204"/>
    <w:charset w:val="80"/>
    <w:family w:val="swiss"/>
    <w:pitch w:val="default"/>
    <w:sig w:usb0="00000000" w:usb1="00000000" w:usb2="0000003F" w:usb3="00000000" w:csb0="003F01FF" w:csb1="00000000"/>
  </w:font>
  <w:font w:name="Arial">
    <w:panose1 w:val="020B0604020202020204"/>
    <w:charset w:val="00"/>
    <w:family w:val="auto"/>
    <w:pitch w:val="default"/>
    <w:sig w:usb0="E0002EFF" w:usb1="C000785B" w:usb2="00000009" w:usb3="00000000" w:csb0="400001FF" w:csb1="FFFF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spacing w:line="480" w:lineRule="auto"/>
      <w:jc w:val="right"/>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   \* MERGEFORMAT </w:instrText>
    </w:r>
    <w:r>
      <w:rPr>
        <w:rFonts w:ascii="Times New Roman" w:hAnsi="Times New Roman" w:cs="Times New Roman"/>
        <w:sz w:val="24"/>
        <w:szCs w:val="24"/>
      </w:rPr>
      <w:fldChar w:fldCharType="separate"/>
    </w:r>
    <w:r>
      <w:rPr>
        <w:rFonts w:ascii="Times New Roman" w:hAnsi="Times New Roman" w:cs="Times New Roman"/>
        <w:sz w:val="24"/>
        <w:szCs w:val="24"/>
      </w:rPr>
      <w:t>1</w:t>
    </w:r>
    <w:r>
      <w:rPr>
        <w:rFonts w:ascii="Times New Roman" w:hAnsi="Times New Roman" w:cs="Times New Roman"/>
        <w:sz w:val="24"/>
        <w:szCs w:val="24"/>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0000"/>
    <w:rsid w:val="15301512"/>
    <w:rsid w:val="2C105DF1"/>
    <w:rsid w:val="6BB1352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Calibri" w:hAnsi="Calibri" w:eastAsia="Calibri" w:cs="宋体"/>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99" w:semiHidden="0" w:name="header"/>
    <w:lsdException w:unhideWhenUsed="0" w:uiPriority="99"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1" w:semiHidden="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99"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99" w:semiHidden="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39"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Calibri" w:hAnsi="Calibri" w:eastAsia="Calibri" w:cs="宋体"/>
      <w:sz w:val="22"/>
      <w:szCs w:val="22"/>
      <w:lang w:val="en-GB" w:eastAsia="en-US" w:bidi="ar-SA"/>
    </w:rPr>
  </w:style>
  <w:style w:type="character" w:default="1" w:styleId="7">
    <w:name w:val="Default Paragraph Font"/>
    <w:uiPriority w:val="1"/>
  </w:style>
  <w:style w:type="table" w:default="1" w:styleId="5">
    <w:name w:val="Normal Table"/>
    <w:qFormat/>
    <w:uiPriority w:val="99"/>
    <w:tblPr>
      <w:tblCellMar>
        <w:top w:w="0" w:type="dxa"/>
        <w:left w:w="108" w:type="dxa"/>
        <w:bottom w:w="0" w:type="dxa"/>
        <w:right w:w="108" w:type="dxa"/>
      </w:tblCellMar>
    </w:tblPr>
  </w:style>
  <w:style w:type="paragraph" w:styleId="2">
    <w:name w:val="footer"/>
    <w:basedOn w:val="1"/>
    <w:link w:val="10"/>
    <w:uiPriority w:val="99"/>
    <w:pPr>
      <w:tabs>
        <w:tab w:val="center" w:pos="4680"/>
        <w:tab w:val="right" w:pos="9360"/>
      </w:tabs>
      <w:spacing w:after="0" w:line="240" w:lineRule="auto"/>
    </w:pPr>
  </w:style>
  <w:style w:type="paragraph" w:styleId="3">
    <w:name w:val="header"/>
    <w:basedOn w:val="1"/>
    <w:link w:val="9"/>
    <w:uiPriority w:val="99"/>
    <w:pPr>
      <w:tabs>
        <w:tab w:val="center" w:pos="4680"/>
        <w:tab w:val="right" w:pos="9360"/>
      </w:tabs>
      <w:spacing w:after="0" w:line="240" w:lineRule="auto"/>
    </w:pPr>
  </w:style>
  <w:style w:type="paragraph" w:styleId="4">
    <w:name w:val="Normal (Web)"/>
    <w:basedOn w:val="1"/>
    <w:uiPriority w:val="99"/>
    <w:pPr>
      <w:spacing w:before="100" w:beforeAutospacing="1" w:after="100" w:afterAutospacing="1" w:line="240" w:lineRule="auto"/>
    </w:pPr>
    <w:rPr>
      <w:rFonts w:ascii="Times New Roman" w:hAnsi="Times New Roman" w:eastAsia="Times New Roman" w:cs="Times New Roman"/>
      <w:sz w:val="24"/>
      <w:szCs w:val="24"/>
      <w:lang w:val="en-US"/>
    </w:rPr>
  </w:style>
  <w:style w:type="table" w:styleId="6">
    <w:name w:val="Table Grid"/>
    <w:basedOn w:val="5"/>
    <w:qFormat/>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character" w:styleId="8">
    <w:name w:val="Hyperlink"/>
    <w:basedOn w:val="7"/>
    <w:uiPriority w:val="99"/>
    <w:rPr>
      <w:color w:val="0563C1"/>
      <w:u w:val="single"/>
    </w:rPr>
  </w:style>
  <w:style w:type="character" w:customStyle="1" w:styleId="9">
    <w:name w:val="Header Char_d1609f53-b47b-4d99-8864-5f5038bb924e"/>
    <w:basedOn w:val="7"/>
    <w:link w:val="3"/>
    <w:uiPriority w:val="99"/>
    <w:rPr>
      <w:sz w:val="22"/>
      <w:szCs w:val="22"/>
      <w:lang w:val="en-GB"/>
    </w:rPr>
  </w:style>
  <w:style w:type="character" w:customStyle="1" w:styleId="10">
    <w:name w:val="Footer Char_47519deb-cc96-4db3-908b-5e72fa238066"/>
    <w:basedOn w:val="7"/>
    <w:link w:val="2"/>
    <w:uiPriority w:val="99"/>
    <w:rPr>
      <w:sz w:val="22"/>
      <w:szCs w:val="22"/>
      <w:lang w:val="en-GB"/>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1.xm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Company>University of Wales Trinity Saint David</Company>
  <Pages>14</Pages>
  <Words>3206</Words>
  <Characters>19070</Characters>
  <Paragraphs>95</Paragraphs>
  <TotalTime>1</TotalTime>
  <ScaleCrop>false</ScaleCrop>
  <LinksUpToDate>false</LinksUpToDate>
  <CharactersWithSpaces>22243</CharactersWithSpaces>
  <Application>WPS Office_11.1.0.11194_F1E327BC-269C-435d-A152-05C5408002CA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2022-01-07T19:14:00Z</dcterms:created>
  <dc:creator>Marie Pitson</dc:creator>
  <cp:lastModifiedBy>驳壳枪</cp:lastModifiedBy>
  <dcterms:modified xsi:type="dcterms:W3CDTF">2022-01-07T21:35:34Z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2052-11.1.0.11194</vt:lpwstr>
  </property>
  <property fmtid="{D5CDD505-2E9C-101B-9397-08002B2CF9AE}" pid="3" name="ICV">
    <vt:lpwstr>93c357445d994ee693ccd3072d936e79</vt:lpwstr>
  </property>
</Properties>
</file>