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CC0F550" w:rsidP="4A7755F1" w:rsidRDefault="1CC0F550" w14:paraId="515BA81D" w14:textId="39C56CCC">
      <w:pPr>
        <w:spacing w:after="160" w:line="259" w:lineRule="auto"/>
        <w:rPr>
          <w:rFonts w:ascii="Calibri" w:hAnsi="Calibri" w:eastAsia="Calibri" w:cs="Calibri"/>
          <w:b w:val="1"/>
          <w:bCs w:val="1"/>
          <w:i w:val="0"/>
          <w:iCs w:val="0"/>
          <w:caps w:val="0"/>
          <w:smallCaps w:val="0"/>
          <w:color w:val="000000" w:themeColor="text1" w:themeTint="FF" w:themeShade="FF"/>
          <w:sz w:val="56"/>
          <w:szCs w:val="56"/>
        </w:rPr>
      </w:pPr>
      <w:r w:rsidRPr="4A7755F1" w:rsidR="2FE0B71A">
        <w:rPr>
          <w:rFonts w:ascii="Calibri" w:hAnsi="Calibri" w:eastAsia="Calibri" w:cs="Calibri"/>
          <w:b w:val="1"/>
          <w:bCs w:val="1"/>
          <w:i w:val="0"/>
          <w:iCs w:val="0"/>
          <w:caps w:val="0"/>
          <w:smallCaps w:val="0"/>
          <w:color w:val="000000" w:themeColor="text1" w:themeTint="FF" w:themeShade="FF"/>
          <w:sz w:val="56"/>
          <w:szCs w:val="56"/>
        </w:rPr>
        <w:t>Evidence-based policing and application</w:t>
      </w:r>
    </w:p>
    <w:p w:rsidR="1CC0F550" w:rsidP="4A7755F1" w:rsidRDefault="1CC0F550" w14:paraId="14C71851" w14:textId="6BCCE4E2">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7C7D4ACC" w14:textId="199711A4">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32A2B185" w14:textId="0865C37E">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6DB74679" w14:textId="496CD281">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2F034923" w14:textId="126D44DE">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4E8A943B" w14:textId="166BD107">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18779E16" w14:textId="06A11455">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332B29FC" w14:textId="72733530">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76C17C54" w14:textId="2E8E5D39">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4868A54F" w14:textId="07B90DA2">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03ACE013" w14:textId="25478329">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629AEEE2" w14:textId="63AAC420">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514A37D3" w14:textId="002F8C75">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225BC41D" w14:textId="482B7C42">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15583D5B" w14:textId="5B360D41">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33CF2DC3" w14:textId="240AFDBB">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406D1876" w14:textId="36CA00F9">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534D0747" w14:textId="6ECDD4FC">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617E0EE9" w14:textId="31F80470">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0765BAE2" w14:textId="47F6A738">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4C18CFF8" w14:textId="3B463A4E">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374774C1" w14:textId="1E99249A">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p>
    <w:p w:rsidR="1CC0F550" w:rsidP="4A7755F1" w:rsidRDefault="1CC0F550" w14:paraId="2897DEBF" w14:textId="6FE1418F">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4A7755F1" w:rsidR="2FE0B71A">
        <w:rPr>
          <w:rFonts w:ascii="Calibri" w:hAnsi="Calibri" w:eastAsia="Calibri" w:cs="Calibri"/>
          <w:b w:val="0"/>
          <w:bCs w:val="0"/>
          <w:i w:val="0"/>
          <w:iCs w:val="0"/>
          <w:caps w:val="0"/>
          <w:smallCaps w:val="0"/>
          <w:color w:val="000000" w:themeColor="text1" w:themeTint="FF" w:themeShade="FF"/>
          <w:sz w:val="22"/>
          <w:szCs w:val="22"/>
        </w:rPr>
        <w:t>Leighann Eddison</w:t>
      </w:r>
    </w:p>
    <w:p w:rsidR="1CC0F550" w:rsidP="4A7755F1" w:rsidRDefault="1CC0F550" w14:paraId="2B51D2E8" w14:textId="5728533C">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4A7755F1" w:rsidR="2FE0B71A">
        <w:rPr>
          <w:rFonts w:ascii="Calibri" w:hAnsi="Calibri" w:eastAsia="Calibri" w:cs="Calibri"/>
          <w:b w:val="0"/>
          <w:bCs w:val="0"/>
          <w:i w:val="0"/>
          <w:iCs w:val="0"/>
          <w:caps w:val="0"/>
          <w:smallCaps w:val="0"/>
          <w:color w:val="000000" w:themeColor="text1" w:themeTint="FF" w:themeShade="FF"/>
          <w:sz w:val="22"/>
          <w:szCs w:val="22"/>
        </w:rPr>
        <w:t>2317252</w:t>
      </w:r>
    </w:p>
    <w:p w:rsidR="1CC0F550" w:rsidP="4A7755F1" w:rsidRDefault="1CC0F550" w14:paraId="3841EA8A" w14:textId="02CEBC56">
      <w:pPr>
        <w:pStyle w:val="Normal"/>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4A7755F1" w:rsidR="2FE0B71A">
        <w:rPr>
          <w:rFonts w:ascii="Calibri" w:hAnsi="Calibri" w:eastAsia="Calibri" w:cs="Calibri"/>
          <w:b w:val="0"/>
          <w:bCs w:val="0"/>
          <w:i w:val="0"/>
          <w:iCs w:val="0"/>
          <w:caps w:val="0"/>
          <w:smallCaps w:val="0"/>
          <w:color w:val="000000" w:themeColor="text1" w:themeTint="FF" w:themeShade="FF"/>
          <w:sz w:val="22"/>
          <w:szCs w:val="22"/>
        </w:rPr>
        <w:t>Sadie France</w:t>
      </w:r>
    </w:p>
    <w:p w:rsidR="1CC0F550" w:rsidP="4A7755F1" w:rsidRDefault="1CC0F550" w14:paraId="514D709B" w14:textId="3AA87585">
      <w:pPr>
        <w:pStyle w:val="Normal"/>
        <w:spacing w:after="160" w:line="259" w:lineRule="auto"/>
        <w:rPr>
          <w:rFonts w:ascii="Calibri" w:hAnsi="Calibri" w:eastAsia="Calibri" w:cs="Calibri"/>
          <w:noProof w:val="0"/>
          <w:sz w:val="22"/>
          <w:szCs w:val="22"/>
          <w:lang w:val="en-GB"/>
        </w:rPr>
      </w:pPr>
      <w:r w:rsidRPr="4A7755F1" w:rsidR="2FE0B71A">
        <w:rPr>
          <w:rFonts w:ascii="Calibri" w:hAnsi="Calibri" w:eastAsia="Calibri" w:cs="Calibri"/>
          <w:b w:val="0"/>
          <w:bCs w:val="0"/>
          <w:i w:val="0"/>
          <w:iCs w:val="0"/>
          <w:caps w:val="0"/>
          <w:smallCaps w:val="0"/>
          <w:color w:val="000000" w:themeColor="text1" w:themeTint="FF" w:themeShade="FF"/>
          <w:sz w:val="22"/>
          <w:szCs w:val="22"/>
        </w:rPr>
        <w:t>BMCP4000</w:t>
      </w:r>
    </w:p>
    <w:p w:rsidR="1CC0F550" w:rsidP="4A7755F1" w:rsidRDefault="1CC0F550" w14:paraId="23A1FC49" w14:textId="2995D922">
      <w:pPr>
        <w:pStyle w:val="Normal"/>
        <w:spacing w:after="160" w:line="480" w:lineRule="auto"/>
        <w:rPr>
          <w:rFonts w:ascii="Calibri" w:hAnsi="Calibri" w:eastAsia="Calibri" w:cs="Calibri"/>
          <w:noProof w:val="0"/>
          <w:sz w:val="22"/>
          <w:szCs w:val="22"/>
          <w:lang w:val="en-GB"/>
        </w:rPr>
      </w:pPr>
      <w:r w:rsidRPr="4A7755F1" w:rsidR="43D326B8">
        <w:rPr>
          <w:rFonts w:ascii="Calibri" w:hAnsi="Calibri" w:eastAsia="Calibri" w:cs="Calibri"/>
          <w:noProof w:val="0"/>
          <w:sz w:val="22"/>
          <w:szCs w:val="22"/>
          <w:lang w:val="en-GB"/>
        </w:rPr>
        <w:t xml:space="preserve">This essay </w:t>
      </w:r>
      <w:r w:rsidRPr="4A7755F1" w:rsidR="43D326B8">
        <w:rPr>
          <w:rFonts w:ascii="Calibri" w:hAnsi="Calibri" w:eastAsia="Calibri" w:cs="Calibri"/>
          <w:noProof w:val="0"/>
          <w:sz w:val="22"/>
          <w:szCs w:val="22"/>
          <w:lang w:val="en-GB"/>
        </w:rPr>
        <w:t>provides</w:t>
      </w:r>
      <w:r w:rsidRPr="4A7755F1" w:rsidR="43D326B8">
        <w:rPr>
          <w:rFonts w:ascii="Calibri" w:hAnsi="Calibri" w:eastAsia="Calibri" w:cs="Calibri"/>
          <w:noProof w:val="0"/>
          <w:sz w:val="22"/>
          <w:szCs w:val="22"/>
          <w:lang w:val="en-GB"/>
        </w:rPr>
        <w:t xml:space="preserve"> a comprehensive analysis of the ethical predicaments that the public and police officers encounter on a day-to-day basis. The implementation of evidence-based policing presents a multitude of challenges that ought to be addressed to ensure that each task follows the code of ethics, thereby guaranteeing the impartiality and reliability of the evidence presented. Law enforcement officers face </w:t>
      </w:r>
      <w:r w:rsidRPr="4A7755F1" w:rsidR="43D326B8">
        <w:rPr>
          <w:rFonts w:ascii="Calibri" w:hAnsi="Calibri" w:eastAsia="Calibri" w:cs="Calibri"/>
          <w:noProof w:val="0"/>
          <w:sz w:val="22"/>
          <w:szCs w:val="22"/>
          <w:lang w:val="en-GB"/>
        </w:rPr>
        <w:t>numerous</w:t>
      </w:r>
      <w:r w:rsidRPr="4A7755F1" w:rsidR="43D326B8">
        <w:rPr>
          <w:rFonts w:ascii="Calibri" w:hAnsi="Calibri" w:eastAsia="Calibri" w:cs="Calibri"/>
          <w:noProof w:val="0"/>
          <w:sz w:val="22"/>
          <w:szCs w:val="22"/>
          <w:lang w:val="en-GB"/>
        </w:rPr>
        <w:t xml:space="preserve"> moral dilemmas daily, including but not limited to, bias, invasions of privacy, and monitoring. These ethical challenges require careful consideration and attention to ensure that the rights of citizens are protected while </w:t>
      </w:r>
      <w:r w:rsidRPr="4A7755F1" w:rsidR="43D326B8">
        <w:rPr>
          <w:rFonts w:ascii="Calibri" w:hAnsi="Calibri" w:eastAsia="Calibri" w:cs="Calibri"/>
          <w:noProof w:val="0"/>
          <w:sz w:val="22"/>
          <w:szCs w:val="22"/>
          <w:lang w:val="en-GB"/>
        </w:rPr>
        <w:t>maintaining</w:t>
      </w:r>
      <w:r w:rsidRPr="4A7755F1" w:rsidR="43D326B8">
        <w:rPr>
          <w:rFonts w:ascii="Calibri" w:hAnsi="Calibri" w:eastAsia="Calibri" w:cs="Calibri"/>
          <w:noProof w:val="0"/>
          <w:sz w:val="22"/>
          <w:szCs w:val="22"/>
          <w:lang w:val="en-GB"/>
        </w:rPr>
        <w:t xml:space="preserve"> the integrity of the criminal justice system.</w:t>
      </w:r>
      <w:r w:rsidRPr="4A7755F1" w:rsidR="17B8A2D9">
        <w:rPr>
          <w:rFonts w:ascii="Calibri" w:hAnsi="Calibri" w:eastAsia="Calibri" w:cs="Calibri"/>
          <w:noProof w:val="0"/>
          <w:sz w:val="22"/>
          <w:szCs w:val="22"/>
          <w:lang w:val="en-GB"/>
        </w:rPr>
        <w:t xml:space="preserve"> Furthermore, monitoring, including the use of surveillance technology, is another ethical challenge that law enforcement must navigate. The use of such technology raises concerns about privacy and how the evidence generated will be used. Police officers must strike a balance between protecting citizens and respecting their right to privacy.</w:t>
      </w:r>
    </w:p>
    <w:p w:rsidR="78505E75" w:rsidP="4A7755F1" w:rsidRDefault="78505E75" w14:paraId="5D8BFE3C" w14:textId="0B417EB2">
      <w:pPr>
        <w:pStyle w:val="Normal"/>
        <w:spacing w:after="160" w:line="480" w:lineRule="auto"/>
        <w:rPr>
          <w:rFonts w:ascii="Calibri" w:hAnsi="Calibri" w:eastAsia="Calibri" w:cs="Calibri"/>
          <w:noProof w:val="0"/>
          <w:sz w:val="22"/>
          <w:szCs w:val="22"/>
          <w:lang w:val="en-GB"/>
        </w:rPr>
      </w:pPr>
    </w:p>
    <w:p w:rsidR="7EEB89F6" w:rsidP="4A7755F1" w:rsidRDefault="7EEB89F6" w14:paraId="1CC2F91D" w14:textId="5C2456EE">
      <w:pPr>
        <w:pStyle w:val="Normal"/>
        <w:spacing w:line="480" w:lineRule="auto"/>
        <w:rPr>
          <w:rFonts w:ascii="Calibri" w:hAnsi="Calibri" w:eastAsia="Calibri" w:cs="Calibri"/>
          <w:sz w:val="24"/>
          <w:szCs w:val="24"/>
        </w:rPr>
      </w:pPr>
      <w:r w:rsidRPr="4A7755F1" w:rsidR="4E20FDFF">
        <w:rPr>
          <w:rFonts w:ascii="Calibri" w:hAnsi="Calibri" w:eastAsia="Calibri" w:cs="Calibri" w:asciiTheme="minorAscii" w:hAnsiTheme="minorAscii" w:eastAsiaTheme="minorAscii" w:cstheme="minorAscii"/>
          <w:b w:val="0"/>
          <w:bCs w:val="0"/>
          <w:i w:val="0"/>
          <w:iCs w:val="0"/>
          <w:caps w:val="0"/>
          <w:smallCaps w:val="0"/>
          <w:color w:val="161719"/>
          <w:sz w:val="24"/>
          <w:szCs w:val="24"/>
        </w:rPr>
        <w:t xml:space="preserve">Surveillance is considered a potential crime prevention strategy. To </w:t>
      </w:r>
      <w:r w:rsidRPr="4A7755F1" w:rsidR="4E20FDFF">
        <w:rPr>
          <w:rFonts w:ascii="Calibri" w:hAnsi="Calibri" w:eastAsia="Calibri" w:cs="Calibri" w:asciiTheme="minorAscii" w:hAnsiTheme="minorAscii" w:eastAsiaTheme="minorAscii" w:cstheme="minorAscii"/>
          <w:b w:val="0"/>
          <w:bCs w:val="0"/>
          <w:i w:val="0"/>
          <w:iCs w:val="0"/>
          <w:caps w:val="0"/>
          <w:smallCaps w:val="0"/>
          <w:color w:val="161719"/>
          <w:sz w:val="24"/>
          <w:szCs w:val="24"/>
        </w:rPr>
        <w:t>determine</w:t>
      </w:r>
      <w:r w:rsidRPr="4A7755F1" w:rsidR="4E20FDFF">
        <w:rPr>
          <w:rFonts w:ascii="Calibri" w:hAnsi="Calibri" w:eastAsia="Calibri" w:cs="Calibri" w:asciiTheme="minorAscii" w:hAnsiTheme="minorAscii" w:eastAsiaTheme="minorAscii" w:cstheme="minorAscii"/>
          <w:b w:val="0"/>
          <w:bCs w:val="0"/>
          <w:i w:val="0"/>
          <w:iCs w:val="0"/>
          <w:caps w:val="0"/>
          <w:smallCaps w:val="0"/>
          <w:color w:val="161719"/>
          <w:sz w:val="24"/>
          <w:szCs w:val="24"/>
        </w:rPr>
        <w:t xml:space="preserve"> its effectiveness, a meta-analysis was conducted, which involved various reviews and strategies to assess the impact of surveillance on reducing crime in public areas (Welsh and Farrington, 2009). CCTV is one of the most common surveillance tools, used for detecting offenders, crowd control, public order scenarios and in general aiding in crime prevention. Privacy concerns have been raised against surveillance since the late 19th century. </w:t>
      </w:r>
      <w:r w:rsidRPr="4A7755F1" w:rsidR="4E20FDFF">
        <w:rPr>
          <w:rFonts w:ascii="Calibri" w:hAnsi="Calibri" w:eastAsia="Calibri" w:cs="Calibri" w:asciiTheme="minorAscii" w:hAnsiTheme="minorAscii" w:eastAsiaTheme="minorAscii" w:cstheme="minorAscii"/>
          <w:b w:val="0"/>
          <w:bCs w:val="0"/>
          <w:i w:val="0"/>
          <w:iCs w:val="0"/>
          <w:caps w:val="0"/>
          <w:smallCaps w:val="0"/>
          <w:color w:val="161719"/>
          <w:sz w:val="24"/>
          <w:szCs w:val="24"/>
        </w:rPr>
        <w:t>Warren and Brandeis (1890) highlighted privacy's importance, which is valuable to individuals and society.</w:t>
      </w:r>
      <w:r w:rsidRPr="4A7755F1" w:rsidR="4E20FDFF">
        <w:rPr>
          <w:rFonts w:ascii="Calibri" w:hAnsi="Calibri" w:eastAsia="Calibri" w:cs="Calibri" w:asciiTheme="minorAscii" w:hAnsiTheme="minorAscii" w:eastAsiaTheme="minorAscii" w:cstheme="minorAscii"/>
          <w:b w:val="0"/>
          <w:bCs w:val="0"/>
          <w:i w:val="0"/>
          <w:iCs w:val="0"/>
          <w:caps w:val="0"/>
          <w:smallCaps w:val="0"/>
          <w:color w:val="161719"/>
          <w:sz w:val="24"/>
          <w:szCs w:val="24"/>
        </w:rPr>
        <w:t xml:space="preserve"> Although surveillance is helpful, it still poses a threat to public privacy. Thus, it is crucial to </w:t>
      </w:r>
      <w:r w:rsidRPr="4A7755F1" w:rsidR="4E20FDFF">
        <w:rPr>
          <w:rFonts w:ascii="Calibri" w:hAnsi="Calibri" w:eastAsia="Calibri" w:cs="Calibri" w:asciiTheme="minorAscii" w:hAnsiTheme="minorAscii" w:eastAsiaTheme="minorAscii" w:cstheme="minorAscii"/>
          <w:b w:val="0"/>
          <w:bCs w:val="0"/>
          <w:i w:val="0"/>
          <w:iCs w:val="0"/>
          <w:caps w:val="0"/>
          <w:smallCaps w:val="0"/>
          <w:color w:val="161719"/>
          <w:sz w:val="24"/>
          <w:szCs w:val="24"/>
        </w:rPr>
        <w:t>maintain</w:t>
      </w:r>
      <w:r w:rsidRPr="4A7755F1" w:rsidR="4E20FDFF">
        <w:rPr>
          <w:rFonts w:ascii="Calibri" w:hAnsi="Calibri" w:eastAsia="Calibri" w:cs="Calibri" w:asciiTheme="minorAscii" w:hAnsiTheme="minorAscii" w:eastAsiaTheme="minorAscii" w:cstheme="minorAscii"/>
          <w:b w:val="0"/>
          <w:bCs w:val="0"/>
          <w:i w:val="0"/>
          <w:iCs w:val="0"/>
          <w:caps w:val="0"/>
          <w:smallCaps w:val="0"/>
          <w:color w:val="161719"/>
          <w:sz w:val="24"/>
          <w:szCs w:val="24"/>
        </w:rPr>
        <w:t xml:space="preserve"> a balance between privacy and safety while using surveillance tools. Patrolling the area is necessary to catch offenders in the act (Norris &amp; Armstrong, 1999),</w:t>
      </w:r>
      <w:r w:rsidRPr="4A7755F1" w:rsidR="4E20FDFF">
        <w:rPr>
          <w:rFonts w:ascii="Calibri" w:hAnsi="Calibri" w:eastAsia="Calibri" w:cs="Calibri" w:asciiTheme="minorAscii" w:hAnsiTheme="minorAscii" w:eastAsiaTheme="minorAscii" w:cstheme="minorAscii"/>
          <w:sz w:val="24"/>
          <w:szCs w:val="24"/>
        </w:rPr>
        <w:t xml:space="preserve"> </w:t>
      </w:r>
      <w:r w:rsidRPr="4A7755F1" w:rsidR="52DFB23E">
        <w:rPr>
          <w:rFonts w:ascii="Calibri" w:hAnsi="Calibri" w:eastAsia="Calibri" w:cs="Calibri" w:asciiTheme="minorAscii" w:hAnsiTheme="minorAscii" w:eastAsiaTheme="minorAscii" w:cstheme="minorAscii"/>
          <w:sz w:val="24"/>
          <w:szCs w:val="24"/>
        </w:rPr>
        <w:t xml:space="preserve">Throughout the United States, the government </w:t>
      </w:r>
      <w:r w:rsidRPr="4A7755F1" w:rsidR="52DFB23E">
        <w:rPr>
          <w:rFonts w:ascii="Calibri" w:hAnsi="Calibri" w:eastAsia="Calibri" w:cs="Calibri" w:asciiTheme="minorAscii" w:hAnsiTheme="minorAscii" w:eastAsiaTheme="minorAscii" w:cstheme="minorAscii"/>
          <w:sz w:val="24"/>
          <w:szCs w:val="24"/>
        </w:rPr>
        <w:t>maintains</w:t>
      </w:r>
      <w:r w:rsidRPr="4A7755F1" w:rsidR="52DFB23E">
        <w:rPr>
          <w:rFonts w:ascii="Calibri" w:hAnsi="Calibri" w:eastAsia="Calibri" w:cs="Calibri" w:asciiTheme="minorAscii" w:hAnsiTheme="minorAscii" w:eastAsiaTheme="minorAscii" w:cstheme="minorAscii"/>
          <w:sz w:val="24"/>
          <w:szCs w:val="24"/>
        </w:rPr>
        <w:t xml:space="preserve"> a level of oversight in even the most minor aspects of citizens' lives. As a result, individual autonomy and agency have been slowly diminishing in relation to society over time. </w:t>
      </w:r>
      <w:r w:rsidRPr="4A7755F1" w:rsidR="2B2DE7B5">
        <w:rPr>
          <w:rFonts w:ascii="Calibri" w:hAnsi="Calibri" w:eastAsia="Calibri" w:cs="Calibri" w:asciiTheme="minorAscii" w:hAnsiTheme="minorAscii" w:eastAsiaTheme="minorAscii" w:cstheme="minorAscii"/>
          <w:sz w:val="24"/>
          <w:szCs w:val="24"/>
        </w:rPr>
        <w:t xml:space="preserve">This pattern was first </w:t>
      </w:r>
      <w:r w:rsidRPr="4A7755F1" w:rsidR="2B2DE7B5">
        <w:rPr>
          <w:rFonts w:ascii="Calibri" w:hAnsi="Calibri" w:eastAsia="Calibri" w:cs="Calibri" w:asciiTheme="minorAscii" w:hAnsiTheme="minorAscii" w:eastAsiaTheme="minorAscii" w:cstheme="minorAscii"/>
          <w:sz w:val="24"/>
          <w:szCs w:val="24"/>
        </w:rPr>
        <w:t>identified</w:t>
      </w:r>
      <w:r w:rsidRPr="4A7755F1" w:rsidR="2B2DE7B5">
        <w:rPr>
          <w:rFonts w:ascii="Calibri" w:hAnsi="Calibri" w:eastAsia="Calibri" w:cs="Calibri" w:asciiTheme="minorAscii" w:hAnsiTheme="minorAscii" w:eastAsiaTheme="minorAscii" w:cstheme="minorAscii"/>
          <w:sz w:val="24"/>
          <w:szCs w:val="24"/>
        </w:rPr>
        <w:t xml:space="preserve"> by Alexis de Tocqueville in </w:t>
      </w:r>
      <w:r w:rsidRPr="4A7755F1" w:rsidR="011126B0">
        <w:rPr>
          <w:rFonts w:ascii="Calibri" w:hAnsi="Calibri" w:eastAsia="Calibri" w:cs="Calibri" w:asciiTheme="minorAscii" w:hAnsiTheme="minorAscii" w:eastAsiaTheme="minorAscii" w:cstheme="minorAscii"/>
          <w:sz w:val="24"/>
          <w:szCs w:val="24"/>
        </w:rPr>
        <w:t>(</w:t>
      </w:r>
      <w:r w:rsidRPr="4A7755F1" w:rsidR="2B2DE7B5">
        <w:rPr>
          <w:rFonts w:ascii="Calibri" w:hAnsi="Calibri" w:eastAsia="Calibri" w:cs="Calibri" w:asciiTheme="minorAscii" w:hAnsiTheme="minorAscii" w:eastAsiaTheme="minorAscii" w:cstheme="minorAscii"/>
          <w:sz w:val="24"/>
          <w:szCs w:val="24"/>
        </w:rPr>
        <w:t>183</w:t>
      </w:r>
      <w:r w:rsidRPr="4A7755F1" w:rsidR="775DF45F">
        <w:rPr>
          <w:rFonts w:ascii="Calibri" w:hAnsi="Calibri" w:eastAsia="Calibri" w:cs="Calibri" w:asciiTheme="minorAscii" w:hAnsiTheme="minorAscii" w:eastAsiaTheme="minorAscii" w:cstheme="minorAscii"/>
          <w:sz w:val="24"/>
          <w:szCs w:val="24"/>
        </w:rPr>
        <w:t>5)</w:t>
      </w:r>
      <w:r w:rsidRPr="4A7755F1" w:rsidR="2B2DE7B5">
        <w:rPr>
          <w:rFonts w:ascii="Calibri" w:hAnsi="Calibri" w:eastAsia="Calibri" w:cs="Calibri" w:asciiTheme="minorAscii" w:hAnsiTheme="minorAscii" w:eastAsiaTheme="minorAscii" w:cstheme="minorAscii"/>
          <w:sz w:val="24"/>
          <w:szCs w:val="24"/>
        </w:rPr>
        <w:t xml:space="preserve"> and can be traced back to several underlying factors.</w:t>
      </w:r>
      <w:r w:rsidRPr="4A7755F1" w:rsidR="7EB6743E">
        <w:rPr>
          <w:rFonts w:ascii="Calibri" w:hAnsi="Calibri" w:eastAsia="Calibri" w:cs="Calibri" w:asciiTheme="minorAscii" w:hAnsiTheme="minorAscii" w:eastAsiaTheme="minorAscii" w:cstheme="minorAscii"/>
          <w:sz w:val="24"/>
          <w:szCs w:val="24"/>
        </w:rPr>
        <w:t xml:space="preserve"> </w:t>
      </w:r>
      <w:r w:rsidRPr="4A7755F1" w:rsidR="56A01F1D">
        <w:rPr>
          <w:rFonts w:ascii="Calibri" w:hAnsi="Calibri" w:eastAsia="Calibri" w:cs="Calibri"/>
          <w:sz w:val="24"/>
          <w:szCs w:val="24"/>
        </w:rPr>
        <w:t xml:space="preserve">The implementation of street lighting, police patrols, and other security measures have proven to be effective in reducing crime rates. By using real-time evidence, the police can prevent personal and property crimes by </w:t>
      </w:r>
      <w:r w:rsidRPr="4A7755F1" w:rsidR="56A01F1D">
        <w:rPr>
          <w:rFonts w:ascii="Calibri" w:hAnsi="Calibri" w:eastAsia="Calibri" w:cs="Calibri"/>
          <w:sz w:val="24"/>
          <w:szCs w:val="24"/>
        </w:rPr>
        <w:t>identifying</w:t>
      </w:r>
      <w:r w:rsidRPr="4A7755F1" w:rsidR="56A01F1D">
        <w:rPr>
          <w:rFonts w:ascii="Calibri" w:hAnsi="Calibri" w:eastAsia="Calibri" w:cs="Calibri"/>
          <w:sz w:val="24"/>
          <w:szCs w:val="24"/>
        </w:rPr>
        <w:t xml:space="preserve"> the offender and the actual circumstances surrounding the incident. This </w:t>
      </w:r>
      <w:r w:rsidRPr="4A7755F1" w:rsidR="231BA79D">
        <w:rPr>
          <w:rFonts w:ascii="Calibri" w:hAnsi="Calibri" w:eastAsia="Calibri" w:cs="Calibri"/>
          <w:sz w:val="24"/>
          <w:szCs w:val="24"/>
        </w:rPr>
        <w:t>gives a better insight in to what happened</w:t>
      </w:r>
      <w:r w:rsidRPr="4A7755F1" w:rsidR="56A01F1D">
        <w:rPr>
          <w:rFonts w:ascii="Calibri" w:hAnsi="Calibri" w:eastAsia="Calibri" w:cs="Calibri"/>
          <w:sz w:val="24"/>
          <w:szCs w:val="24"/>
        </w:rPr>
        <w:t xml:space="preserve"> and stronger evidence, which has a significant impact on crime prevention.</w:t>
      </w:r>
      <w:r w:rsidRPr="4A7755F1" w:rsidR="67B1788D">
        <w:rPr>
          <w:rFonts w:ascii="Calibri" w:hAnsi="Calibri" w:eastAsia="Calibri" w:cs="Calibri"/>
          <w:sz w:val="24"/>
          <w:szCs w:val="24"/>
        </w:rPr>
        <w:t xml:space="preserve"> </w:t>
      </w:r>
    </w:p>
    <w:p w:rsidR="57E3A80D" w:rsidP="4A7755F1" w:rsidRDefault="57E3A80D" w14:paraId="7C12D088" w14:textId="6CC99E8B">
      <w:pPr>
        <w:pStyle w:val="Normal"/>
        <w:spacing w:line="480" w:lineRule="auto"/>
        <w:rPr>
          <w:rFonts w:ascii="Calibri" w:hAnsi="Calibri" w:eastAsia="Calibri" w:cs="Calibri"/>
          <w:noProof w:val="0"/>
          <w:sz w:val="24"/>
          <w:szCs w:val="24"/>
          <w:lang w:val="en-US"/>
        </w:rPr>
      </w:pPr>
      <w:r w:rsidRPr="4A7755F1" w:rsidR="08D1BF63">
        <w:rPr>
          <w:rFonts w:ascii="Calibri" w:hAnsi="Calibri" w:eastAsia="Calibri" w:cs="Calibri"/>
          <w:sz w:val="24"/>
          <w:szCs w:val="24"/>
        </w:rPr>
        <w:t xml:space="preserve">In recent years, the use of body cameras by police has increased (Lum et al., 2020). The increase in usage has resulted in a decrease in complaints against officers and has improved the </w:t>
      </w:r>
      <w:r w:rsidRPr="4A7755F1" w:rsidR="6C19EC8D">
        <w:rPr>
          <w:rFonts w:ascii="Calibri" w:hAnsi="Calibri" w:eastAsia="Calibri" w:cs="Calibri"/>
          <w:sz w:val="24"/>
          <w:szCs w:val="24"/>
        </w:rPr>
        <w:t>behaviour</w:t>
      </w:r>
      <w:r w:rsidRPr="4A7755F1" w:rsidR="08D1BF63">
        <w:rPr>
          <w:rFonts w:ascii="Calibri" w:hAnsi="Calibri" w:eastAsia="Calibri" w:cs="Calibri"/>
          <w:sz w:val="24"/>
          <w:szCs w:val="24"/>
        </w:rPr>
        <w:t xml:space="preserve"> of both officers and the public during investigations. Body-worn cameras (BWCs) have been helpful in recording evidence, which can be used to train other officers and improve future strategies. However, concerns </w:t>
      </w:r>
      <w:r w:rsidRPr="4A7755F1" w:rsidR="08D1BF63">
        <w:rPr>
          <w:rFonts w:ascii="Calibri" w:hAnsi="Calibri" w:eastAsia="Calibri" w:cs="Calibri"/>
          <w:sz w:val="24"/>
          <w:szCs w:val="24"/>
        </w:rPr>
        <w:t>regarding</w:t>
      </w:r>
      <w:r w:rsidRPr="4A7755F1" w:rsidR="08D1BF63">
        <w:rPr>
          <w:rFonts w:ascii="Calibri" w:hAnsi="Calibri" w:eastAsia="Calibri" w:cs="Calibri"/>
          <w:sz w:val="24"/>
          <w:szCs w:val="24"/>
        </w:rPr>
        <w:t xml:space="preserve"> public privacy and the extent to which the footage is watched need to be addressed (Cubitt et al, 2017). It is important to have footage and audio recording equipment in police custody</w:t>
      </w:r>
      <w:r w:rsidRPr="4A7755F1" w:rsidR="1CB51139">
        <w:rPr>
          <w:rFonts w:ascii="Calibri" w:hAnsi="Calibri" w:eastAsia="Calibri" w:cs="Calibri"/>
          <w:sz w:val="24"/>
          <w:szCs w:val="24"/>
        </w:rPr>
        <w:t xml:space="preserve"> also</w:t>
      </w:r>
      <w:r w:rsidRPr="4A7755F1" w:rsidR="08D1BF63">
        <w:rPr>
          <w:rFonts w:ascii="Calibri" w:hAnsi="Calibri" w:eastAsia="Calibri" w:cs="Calibri"/>
          <w:sz w:val="24"/>
          <w:szCs w:val="24"/>
        </w:rPr>
        <w:t>. BWCs worn by law enforcement officials can play a vital role in improving safety</w:t>
      </w:r>
      <w:r w:rsidRPr="4A7755F1" w:rsidR="0EB06062">
        <w:rPr>
          <w:rFonts w:ascii="Calibri" w:hAnsi="Calibri" w:eastAsia="Calibri" w:cs="Calibri"/>
          <w:sz w:val="24"/>
          <w:szCs w:val="24"/>
        </w:rPr>
        <w:t>,</w:t>
      </w:r>
      <w:r w:rsidRPr="4A7755F1" w:rsidR="08D1BF63">
        <w:rPr>
          <w:rFonts w:ascii="Calibri" w:hAnsi="Calibri" w:eastAsia="Calibri" w:cs="Calibri"/>
          <w:sz w:val="24"/>
          <w:szCs w:val="24"/>
        </w:rPr>
        <w:t xml:space="preserve"> not only for police officers but also for the offenders. Being in custody can be a vulnerable and dangerous time, and incidents such as deaths, assaults, and </w:t>
      </w:r>
      <w:r w:rsidRPr="4A7755F1" w:rsidR="40249866">
        <w:rPr>
          <w:rFonts w:ascii="Calibri" w:hAnsi="Calibri" w:eastAsia="Calibri" w:cs="Calibri"/>
          <w:sz w:val="24"/>
          <w:szCs w:val="24"/>
        </w:rPr>
        <w:t xml:space="preserve">drug use have occurred. The recorded footage and audio can aid in investigations of such incidents </w:t>
      </w:r>
      <w:r w:rsidRPr="4A7755F1" w:rsidR="5103EEE8">
        <w:rPr>
          <w:rFonts w:ascii="Calibri" w:hAnsi="Calibri" w:eastAsia="Calibri" w:cs="Calibri"/>
          <w:sz w:val="24"/>
          <w:szCs w:val="24"/>
        </w:rPr>
        <w:t>Britannic</w:t>
      </w:r>
      <w:r w:rsidRPr="4A7755F1" w:rsidR="0FE069D8">
        <w:rPr>
          <w:rFonts w:ascii="Calibri" w:hAnsi="Calibri" w:eastAsia="Calibri" w:cs="Calibri"/>
          <w:sz w:val="24"/>
          <w:szCs w:val="24"/>
        </w:rPr>
        <w:t xml:space="preserve"> prorcon.org</w:t>
      </w:r>
      <w:r w:rsidRPr="4A7755F1" w:rsidR="4A426F27">
        <w:rPr>
          <w:rFonts w:ascii="Calibri" w:hAnsi="Calibri" w:eastAsia="Calibri" w:cs="Calibri"/>
          <w:sz w:val="24"/>
          <w:szCs w:val="24"/>
        </w:rPr>
        <w:t xml:space="preserve"> (2023</w:t>
      </w:r>
      <w:r w:rsidRPr="4A7755F1" w:rsidR="4C8FA1A6">
        <w:rPr>
          <w:rFonts w:ascii="Calibri" w:hAnsi="Calibri" w:eastAsia="Calibri" w:cs="Calibri"/>
          <w:sz w:val="24"/>
          <w:szCs w:val="24"/>
        </w:rPr>
        <w:t>).</w:t>
      </w:r>
    </w:p>
    <w:p w:rsidR="78505E75" w:rsidP="4A7755F1" w:rsidRDefault="78505E75" w14:paraId="035FE345" w14:textId="638C95B8">
      <w:pPr>
        <w:pStyle w:val="Normal"/>
        <w:spacing w:line="480" w:lineRule="auto"/>
        <w:rPr>
          <w:rFonts w:ascii="Calibri" w:hAnsi="Calibri" w:eastAsia="Calibri" w:cs="Calibri"/>
          <w:sz w:val="24"/>
          <w:szCs w:val="24"/>
        </w:rPr>
      </w:pPr>
    </w:p>
    <w:p w:rsidR="1CC0F550" w:rsidP="4A7755F1" w:rsidRDefault="1CC0F550" w14:paraId="2DA49C36" w14:textId="7EECABBC">
      <w:pPr>
        <w:pStyle w:val="Normal"/>
        <w:spacing w:before="240" w:beforeAutospacing="off" w:after="240" w:afterAutospacing="off" w:line="480" w:lineRule="auto"/>
        <w:rPr>
          <w:rFonts w:ascii="Calibri" w:hAnsi="Calibri" w:eastAsia="Calibri" w:cs="Calibri" w:asciiTheme="minorAscii" w:hAnsiTheme="minorAscii" w:eastAsiaTheme="minorAscii" w:cstheme="minorAscii"/>
          <w:color w:val="auto"/>
          <w:sz w:val="24"/>
          <w:szCs w:val="24"/>
        </w:rPr>
      </w:pPr>
      <w:r w:rsidRPr="4A7755F1" w:rsidR="71703F56">
        <w:rPr>
          <w:rFonts w:ascii="Calibri" w:hAnsi="Calibri" w:eastAsia="Calibri" w:cs="Calibri"/>
          <w:sz w:val="24"/>
          <w:szCs w:val="24"/>
        </w:rPr>
        <w:t xml:space="preserve">Racial profiling and xenophobia are two unethical issues that </w:t>
      </w:r>
      <w:r w:rsidRPr="4A7755F1" w:rsidR="71703F56">
        <w:rPr>
          <w:rFonts w:ascii="Calibri" w:hAnsi="Calibri" w:eastAsia="Calibri" w:cs="Calibri"/>
          <w:sz w:val="24"/>
          <w:szCs w:val="24"/>
        </w:rPr>
        <w:t>impact</w:t>
      </w:r>
      <w:r w:rsidRPr="4A7755F1" w:rsidR="71703F56">
        <w:rPr>
          <w:rFonts w:ascii="Calibri" w:hAnsi="Calibri" w:eastAsia="Calibri" w:cs="Calibri"/>
          <w:sz w:val="24"/>
          <w:szCs w:val="24"/>
        </w:rPr>
        <w:t xml:space="preserve"> the police force. These practices are unlawful and can lead to arbitrary arrests and the use of racial slurs against members of specific communities</w:t>
      </w:r>
      <w:r w:rsidRPr="4A7755F1" w:rsidR="44B67F60">
        <w:rPr>
          <w:rFonts w:ascii="sans-serif" w:hAnsi="sans-serif" w:eastAsia="sans-serif" w:cs="sans-serif"/>
          <w:b w:val="0"/>
          <w:bCs w:val="0"/>
          <w:i w:val="0"/>
          <w:iCs w:val="0"/>
          <w:caps w:val="0"/>
          <w:smallCaps w:val="0"/>
          <w:color w:val="18191B"/>
          <w:sz w:val="25"/>
          <w:szCs w:val="25"/>
        </w:rPr>
        <w:t xml:space="preserve"> </w:t>
      </w:r>
      <w:r w:rsidRPr="4A7755F1" w:rsidR="44B67F60">
        <w:rPr>
          <w:rFonts w:ascii="sans-serif" w:hAnsi="sans-serif" w:eastAsia="sans-serif" w:cs="sans-serif"/>
          <w:b w:val="0"/>
          <w:bCs w:val="0"/>
          <w:i w:val="0"/>
          <w:iCs w:val="0"/>
          <w:caps w:val="0"/>
          <w:smallCaps w:val="0"/>
          <w:color w:val="18191B"/>
          <w:sz w:val="24"/>
          <w:szCs w:val="24"/>
        </w:rPr>
        <w:t>(Cook, 1999, p. 30</w:t>
      </w:r>
      <w:r w:rsidRPr="4A7755F1" w:rsidR="2DEC8052">
        <w:rPr>
          <w:rFonts w:ascii="sans-serif" w:hAnsi="sans-serif" w:eastAsia="sans-serif" w:cs="sans-serif"/>
          <w:b w:val="0"/>
          <w:bCs w:val="0"/>
          <w:i w:val="0"/>
          <w:iCs w:val="0"/>
          <w:caps w:val="0"/>
          <w:smallCaps w:val="0"/>
          <w:color w:val="18191B"/>
          <w:sz w:val="24"/>
          <w:szCs w:val="24"/>
        </w:rPr>
        <w:t>)</w:t>
      </w:r>
      <w:r w:rsidRPr="4A7755F1" w:rsidR="2DEC8052">
        <w:rPr>
          <w:rFonts w:ascii="sans-serif" w:hAnsi="sans-serif" w:eastAsia="sans-serif" w:cs="sans-serif"/>
          <w:b w:val="0"/>
          <w:bCs w:val="0"/>
          <w:i w:val="0"/>
          <w:iCs w:val="0"/>
          <w:caps w:val="0"/>
          <w:smallCaps w:val="0"/>
          <w:color w:val="18191B"/>
          <w:sz w:val="24"/>
          <w:szCs w:val="24"/>
        </w:rPr>
        <w:t>.</w:t>
      </w:r>
      <w:r w:rsidRPr="4A7755F1" w:rsidR="71703F56">
        <w:rPr>
          <w:rFonts w:ascii="Calibri" w:hAnsi="Calibri" w:eastAsia="Calibri" w:cs="Calibri"/>
          <w:sz w:val="24"/>
          <w:szCs w:val="24"/>
        </w:rPr>
        <w:t xml:space="preserve"> </w:t>
      </w:r>
      <w:r w:rsidRPr="4A7755F1" w:rsidR="71703F56">
        <w:rPr>
          <w:rFonts w:ascii="Calibri" w:hAnsi="Calibri" w:eastAsia="Calibri" w:cs="Calibri"/>
          <w:sz w:val="24"/>
          <w:szCs w:val="24"/>
        </w:rPr>
        <w:t xml:space="preserve"> </w:t>
      </w:r>
      <w:r w:rsidRPr="4A7755F1" w:rsidR="61F07E32">
        <w:rPr>
          <w:rFonts w:ascii="Calibri" w:hAnsi="Calibri" w:eastAsia="Calibri" w:cs="Calibri"/>
          <w:noProof w:val="0"/>
          <w:sz w:val="24"/>
          <w:szCs w:val="24"/>
          <w:lang w:val="en-GB"/>
        </w:rPr>
        <w:t xml:space="preserve">When a minority group moves to a region where they are not the majority, they </w:t>
      </w:r>
      <w:r w:rsidRPr="4A7755F1" w:rsidR="61F07E32">
        <w:rPr>
          <w:rFonts w:ascii="Calibri" w:hAnsi="Calibri" w:eastAsia="Calibri" w:cs="Calibri"/>
          <w:noProof w:val="0"/>
          <w:sz w:val="24"/>
          <w:szCs w:val="24"/>
          <w:lang w:val="en-GB"/>
        </w:rPr>
        <w:t>frequently</w:t>
      </w:r>
      <w:r w:rsidRPr="4A7755F1" w:rsidR="61F07E32">
        <w:rPr>
          <w:rFonts w:ascii="Calibri" w:hAnsi="Calibri" w:eastAsia="Calibri" w:cs="Calibri"/>
          <w:noProof w:val="0"/>
          <w:sz w:val="24"/>
          <w:szCs w:val="24"/>
          <w:lang w:val="en-GB"/>
        </w:rPr>
        <w:t xml:space="preserve"> experience discrimination, which can make them feel unwelcome and marginalized. This experience can also lead the majority group to view them as invasive and unwanted in their community. The discrimination that minority groups face can take many forms, including being treated unfairly by the police.</w:t>
      </w:r>
    </w:p>
    <w:p w:rsidR="1CC0F550" w:rsidP="4A7755F1" w:rsidRDefault="1CC0F550" w14:paraId="5531C35E" w14:textId="000BFA3F">
      <w:pPr>
        <w:spacing w:before="240" w:beforeAutospacing="off" w:after="240" w:afterAutospacing="off" w:line="480" w:lineRule="auto"/>
      </w:pPr>
      <w:r w:rsidRPr="4A7755F1" w:rsidR="61F07E32">
        <w:rPr>
          <w:rFonts w:ascii="Calibri" w:hAnsi="Calibri" w:eastAsia="Calibri" w:cs="Calibri"/>
          <w:noProof w:val="0"/>
          <w:sz w:val="24"/>
          <w:szCs w:val="24"/>
          <w:lang w:val="en-GB"/>
        </w:rPr>
        <w:t xml:space="preserve"> </w:t>
      </w:r>
    </w:p>
    <w:p w:rsidR="1CC0F550" w:rsidP="4A7755F1" w:rsidRDefault="1CC0F550" w14:paraId="705533A6" w14:textId="4AF3D586">
      <w:pPr>
        <w:spacing w:before="240" w:beforeAutospacing="off" w:after="240" w:afterAutospacing="off" w:line="480" w:lineRule="auto"/>
      </w:pPr>
      <w:r w:rsidRPr="4A7755F1" w:rsidR="61F07E32">
        <w:rPr>
          <w:rFonts w:ascii="Calibri" w:hAnsi="Calibri" w:eastAsia="Calibri" w:cs="Calibri"/>
          <w:noProof w:val="0"/>
          <w:sz w:val="24"/>
          <w:szCs w:val="24"/>
          <w:lang w:val="en-GB"/>
        </w:rPr>
        <w:t xml:space="preserve">However, when </w:t>
      </w:r>
      <w:r w:rsidRPr="4A7755F1" w:rsidR="61F07E32">
        <w:rPr>
          <w:rFonts w:ascii="Calibri" w:hAnsi="Calibri" w:eastAsia="Calibri" w:cs="Calibri"/>
          <w:noProof w:val="0"/>
          <w:sz w:val="24"/>
          <w:szCs w:val="24"/>
          <w:lang w:val="en-GB"/>
        </w:rPr>
        <w:t>providing</w:t>
      </w:r>
      <w:r w:rsidRPr="4A7755F1" w:rsidR="61F07E32">
        <w:rPr>
          <w:rFonts w:ascii="Calibri" w:hAnsi="Calibri" w:eastAsia="Calibri" w:cs="Calibri"/>
          <w:noProof w:val="0"/>
          <w:sz w:val="24"/>
          <w:szCs w:val="24"/>
          <w:lang w:val="en-GB"/>
        </w:rPr>
        <w:t xml:space="preserve"> services to the public, police officers have a duty to act impartially and uphold the moral guidelines outlined in the force code of ethics. This means that police officers must treat all individuals equally, regardless of their race, ethnicity, or background. When police officers take sides in disputes involving minority groups, they risk losing their credibility as public servants and may even face disciplinary action or dismissal from their jobs.</w:t>
      </w:r>
    </w:p>
    <w:p w:rsidR="1CC0F550" w:rsidP="4A7755F1" w:rsidRDefault="1CC0F550" w14:paraId="2D7AA4A8" w14:textId="77A00396">
      <w:pPr>
        <w:spacing w:before="240" w:beforeAutospacing="off" w:after="240" w:afterAutospacing="off" w:line="480" w:lineRule="auto"/>
      </w:pPr>
      <w:r w:rsidRPr="4A7755F1" w:rsidR="61F07E32">
        <w:rPr>
          <w:rFonts w:ascii="Calibri" w:hAnsi="Calibri" w:eastAsia="Calibri" w:cs="Calibri"/>
          <w:noProof w:val="0"/>
          <w:sz w:val="24"/>
          <w:szCs w:val="24"/>
          <w:lang w:val="en-GB"/>
        </w:rPr>
        <w:t xml:space="preserve"> </w:t>
      </w:r>
    </w:p>
    <w:p w:rsidR="1CC0F550" w:rsidP="4A7755F1" w:rsidRDefault="1CC0F550" w14:paraId="12B958B3" w14:textId="09E42362">
      <w:pPr>
        <w:pStyle w:val="Normal"/>
        <w:spacing w:line="480" w:lineRule="auto"/>
      </w:pPr>
      <w:r w:rsidRPr="4A7755F1" w:rsidR="61F07E32">
        <w:rPr>
          <w:rFonts w:ascii="Calibri" w:hAnsi="Calibri" w:eastAsia="Calibri" w:cs="Calibri"/>
          <w:noProof w:val="0"/>
          <w:sz w:val="24"/>
          <w:szCs w:val="24"/>
          <w:lang w:val="en-GB"/>
        </w:rPr>
        <w:t>It is important for police officers to understand the impact of discrimination and to work towards creating a more inclusive and welcoming community for all individuals. By upholding the principles of impartiality and fairness, police officers can effectively serve their communities and build trust with the public they serve.</w:t>
      </w:r>
    </w:p>
    <w:p w:rsidR="0CC5E331" w:rsidP="4A7755F1" w:rsidRDefault="0CC5E331" w14:paraId="4536D090" w14:textId="3FEE5AE2">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4A7755F1" w:rsidR="538F4209">
        <w:rPr>
          <w:rFonts w:ascii="Calibri" w:hAnsi="Calibri" w:eastAsia="Calibri" w:cs="Calibri" w:asciiTheme="minorAscii" w:hAnsiTheme="minorAscii" w:eastAsiaTheme="minorAscii" w:cstheme="minorAscii"/>
          <w:b w:val="0"/>
          <w:bCs w:val="0"/>
          <w:i w:val="0"/>
          <w:iCs w:val="0"/>
          <w:caps w:val="0"/>
          <w:smallCaps w:val="0"/>
          <w:color w:val="auto"/>
          <w:sz w:val="24"/>
          <w:szCs w:val="24"/>
        </w:rPr>
        <w:t>A framework for sharing personal data with law enforcement agencies that must process it for their purposes—such as the prevention, investigation, and detection of criminal activity—is provided by the Date Protection A</w:t>
      </w:r>
      <w:r w:rsidRPr="4A7755F1" w:rsidR="669F0C8C">
        <w:rPr>
          <w:rFonts w:ascii="Calibri" w:hAnsi="Calibri" w:eastAsia="Calibri" w:cs="Calibri" w:asciiTheme="minorAscii" w:hAnsiTheme="minorAscii" w:eastAsiaTheme="minorAscii" w:cstheme="minorAscii"/>
          <w:b w:val="0"/>
          <w:bCs w:val="0"/>
          <w:i w:val="0"/>
          <w:iCs w:val="0"/>
          <w:caps w:val="0"/>
          <w:smallCaps w:val="0"/>
          <w:color w:val="auto"/>
          <w:sz w:val="24"/>
          <w:szCs w:val="24"/>
        </w:rPr>
        <w:t>ct</w:t>
      </w:r>
      <w:r w:rsidRPr="4A7755F1" w:rsidR="538F4209">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2018 and the UK GDPR</w:t>
      </w:r>
      <w:r w:rsidRPr="4A7755F1" w:rsidR="13FE3C5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(DPA 2018)</w:t>
      </w:r>
      <w:r w:rsidRPr="4A7755F1" w:rsidR="538F4209">
        <w:rPr>
          <w:rFonts w:ascii="Calibri" w:hAnsi="Calibri" w:eastAsia="Calibri" w:cs="Calibri" w:asciiTheme="minorAscii" w:hAnsiTheme="minorAscii" w:eastAsiaTheme="minorAscii" w:cstheme="minorAscii"/>
          <w:b w:val="0"/>
          <w:bCs w:val="0"/>
          <w:i w:val="0"/>
          <w:iCs w:val="0"/>
          <w:caps w:val="0"/>
          <w:smallCaps w:val="0"/>
          <w:color w:val="auto"/>
          <w:sz w:val="24"/>
          <w:szCs w:val="24"/>
        </w:rPr>
        <w:t>.</w:t>
      </w:r>
      <w:r w:rsidRPr="4A7755F1" w:rsidR="71703F56">
        <w:rPr>
          <w:rFonts w:ascii="Calibri" w:hAnsi="Calibri" w:eastAsia="Calibri" w:cs="Calibri"/>
          <w:sz w:val="24"/>
          <w:szCs w:val="24"/>
        </w:rPr>
        <w:t xml:space="preserve"> </w:t>
      </w:r>
      <w:r w:rsidRPr="4A7755F1" w:rsidR="71703F56">
        <w:rPr>
          <w:rFonts w:ascii="Calibri" w:hAnsi="Calibri" w:eastAsia="Calibri" w:cs="Calibri"/>
          <w:sz w:val="24"/>
          <w:szCs w:val="24"/>
        </w:rPr>
        <w:t xml:space="preserve">They are only allowed to use personal data if it is necessary and proportionate, and when the law </w:t>
      </w:r>
      <w:r w:rsidRPr="4A7755F1" w:rsidR="71703F56">
        <w:rPr>
          <w:rFonts w:ascii="Calibri" w:hAnsi="Calibri" w:eastAsia="Calibri" w:cs="Calibri"/>
          <w:sz w:val="24"/>
          <w:szCs w:val="24"/>
        </w:rPr>
        <w:t>p</w:t>
      </w:r>
      <w:r w:rsidRPr="4A7755F1" w:rsidR="71703F56">
        <w:rPr>
          <w:rFonts w:ascii="Calibri" w:hAnsi="Calibri" w:eastAsia="Calibri" w:cs="Calibri"/>
          <w:sz w:val="24"/>
          <w:szCs w:val="24"/>
        </w:rPr>
        <w:t>ermits</w:t>
      </w:r>
      <w:r w:rsidRPr="4A7755F1" w:rsidR="71703F56">
        <w:rPr>
          <w:rFonts w:ascii="Calibri" w:hAnsi="Calibri" w:eastAsia="Calibri" w:cs="Calibri"/>
          <w:sz w:val="24"/>
          <w:szCs w:val="24"/>
        </w:rPr>
        <w:t xml:space="preserve"> </w:t>
      </w:r>
      <w:r w:rsidRPr="4A7755F1" w:rsidR="71703F56">
        <w:rPr>
          <w:rFonts w:ascii="Calibri" w:hAnsi="Calibri" w:eastAsia="Calibri" w:cs="Calibri"/>
          <w:sz w:val="24"/>
          <w:szCs w:val="24"/>
        </w:rPr>
        <w:t>them to do so.</w:t>
      </w:r>
      <w:r w:rsidRPr="4A7755F1" w:rsidR="71703F56">
        <w:rPr>
          <w:rFonts w:ascii="Calibri" w:hAnsi="Calibri" w:eastAsia="Calibri" w:cs="Calibri"/>
          <w:sz w:val="24"/>
          <w:szCs w:val="24"/>
        </w:rPr>
        <w:t xml:space="preserve"> </w:t>
      </w:r>
      <w:r w:rsidRPr="4A7755F1" w:rsidR="138C6EA6">
        <w:rPr>
          <w:rFonts w:ascii="Calibri" w:hAnsi="Calibri" w:eastAsia="Calibri" w:cs="Calibri"/>
          <w:sz w:val="24"/>
          <w:szCs w:val="24"/>
        </w:rPr>
        <w:t>Note that an individual's privacy preferences may contradict regulatory requirements or may not be known.</w:t>
      </w:r>
      <w:r w:rsidRPr="4A7755F1" w:rsidR="71703F56">
        <w:rPr>
          <w:rFonts w:ascii="Calibri" w:hAnsi="Calibri" w:eastAsia="Calibri" w:cs="Calibri"/>
          <w:sz w:val="24"/>
          <w:szCs w:val="24"/>
        </w:rPr>
        <w:t xml:space="preserve"> All people's privacy preferences are unique, and a violation of privacy occurs when confidential information is misused. The law of confidence has evolved to </w:t>
      </w:r>
      <w:r w:rsidRPr="4A7755F1" w:rsidR="71703F56">
        <w:rPr>
          <w:rFonts w:ascii="Calibri" w:hAnsi="Calibri" w:eastAsia="Calibri" w:cs="Calibri"/>
          <w:sz w:val="24"/>
          <w:szCs w:val="24"/>
        </w:rPr>
        <w:t>p</w:t>
      </w:r>
      <w:r w:rsidRPr="4A7755F1" w:rsidR="71703F56">
        <w:rPr>
          <w:rFonts w:ascii="Calibri" w:hAnsi="Calibri" w:eastAsia="Calibri" w:cs="Calibri"/>
          <w:sz w:val="24"/>
          <w:szCs w:val="24"/>
        </w:rPr>
        <w:t>rovide</w:t>
      </w:r>
      <w:r w:rsidRPr="4A7755F1" w:rsidR="71703F56">
        <w:rPr>
          <w:rFonts w:ascii="Calibri" w:hAnsi="Calibri" w:eastAsia="Calibri" w:cs="Calibri"/>
          <w:sz w:val="24"/>
          <w:szCs w:val="24"/>
        </w:rPr>
        <w:t xml:space="preserve"> </w:t>
      </w:r>
      <w:r w:rsidRPr="4A7755F1" w:rsidR="71703F56">
        <w:rPr>
          <w:rFonts w:ascii="Calibri" w:hAnsi="Calibri" w:eastAsia="Calibri" w:cs="Calibri"/>
          <w:sz w:val="24"/>
          <w:szCs w:val="24"/>
        </w:rPr>
        <w:t xml:space="preserve">a remedy to protect privacy </w:t>
      </w:r>
      <w:r w:rsidRPr="4A7755F1" w:rsidR="51C63C5E">
        <w:rPr>
          <w:rFonts w:ascii="Calibri" w:hAnsi="Calibri" w:eastAsia="Calibri" w:cs="Calibri"/>
          <w:sz w:val="24"/>
          <w:szCs w:val="24"/>
        </w:rPr>
        <w:t>rights.</w:t>
      </w:r>
      <w:r w:rsidRPr="4A7755F1" w:rsidR="0844E6DD">
        <w:rPr>
          <w:rFonts w:ascii="Calibri" w:hAnsi="Calibri" w:eastAsia="Calibri" w:cs="Calibri"/>
          <w:sz w:val="24"/>
          <w:szCs w:val="24"/>
        </w:rPr>
        <w:t xml:space="preserve"> </w:t>
      </w:r>
      <w:r w:rsidRPr="4A7755F1" w:rsidR="57A8A0A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Consequently, when law enforcement officials discriminate against individuals based on their race, </w:t>
      </w:r>
      <w:r w:rsidRPr="4A7755F1" w:rsidR="2EDABF80">
        <w:rPr>
          <w:rFonts w:ascii="Calibri" w:hAnsi="Calibri" w:eastAsia="Calibri" w:cs="Calibri" w:asciiTheme="minorAscii" w:hAnsiTheme="minorAscii" w:eastAsiaTheme="minorAscii" w:cstheme="minorAscii"/>
          <w:b w:val="0"/>
          <w:bCs w:val="0"/>
          <w:i w:val="0"/>
          <w:iCs w:val="0"/>
          <w:caps w:val="0"/>
          <w:smallCaps w:val="0"/>
          <w:color w:val="auto"/>
          <w:sz w:val="24"/>
          <w:szCs w:val="24"/>
        </w:rPr>
        <w:t>colour</w:t>
      </w:r>
      <w:r w:rsidRPr="4A7755F1" w:rsidR="57A8A0A0">
        <w:rPr>
          <w:rFonts w:ascii="Calibri" w:hAnsi="Calibri" w:eastAsia="Calibri" w:cs="Calibri" w:asciiTheme="minorAscii" w:hAnsiTheme="minorAscii" w:eastAsiaTheme="minorAscii" w:cstheme="minorAscii"/>
          <w:b w:val="0"/>
          <w:bCs w:val="0"/>
          <w:i w:val="0"/>
          <w:iCs w:val="0"/>
          <w:caps w:val="0"/>
          <w:smallCaps w:val="0"/>
          <w:color w:val="auto"/>
          <w:sz w:val="24"/>
          <w:szCs w:val="24"/>
        </w:rPr>
        <w:t>, or national origin, they are violating their obligation to uphold the law (Kane, 1996, p. 68)</w:t>
      </w:r>
      <w:r w:rsidRPr="4A7755F1" w:rsidR="57A8A0A0">
        <w:rPr>
          <w:rFonts w:ascii="Open Sans" w:hAnsi="Open Sans" w:eastAsia="Open Sans" w:cs="Open Sans"/>
          <w:b w:val="0"/>
          <w:bCs w:val="0"/>
          <w:i w:val="0"/>
          <w:iCs w:val="0"/>
          <w:caps w:val="0"/>
          <w:smallCaps w:val="0"/>
          <w:color w:val="252525"/>
          <w:sz w:val="24"/>
          <w:szCs w:val="24"/>
        </w:rPr>
        <w:t>.</w:t>
      </w:r>
      <w:r w:rsidRPr="4A7755F1" w:rsidR="7F40F68D">
        <w:rPr>
          <w:rFonts w:ascii="Open Sans" w:hAnsi="Open Sans" w:eastAsia="Open Sans" w:cs="Open Sans"/>
          <w:b w:val="0"/>
          <w:bCs w:val="0"/>
          <w:i w:val="0"/>
          <w:iCs w:val="0"/>
          <w:caps w:val="0"/>
          <w:smallCaps w:val="0"/>
          <w:color w:val="252525"/>
          <w:sz w:val="24"/>
          <w:szCs w:val="24"/>
        </w:rPr>
        <w:t xml:space="preserve"> </w:t>
      </w:r>
    </w:p>
    <w:p w:rsidR="78505E75" w:rsidP="4A7755F1" w:rsidRDefault="78505E75" w14:paraId="6967B0CA" w14:textId="63F79F02">
      <w:pPr>
        <w:pStyle w:val="Normal"/>
        <w:spacing w:line="480" w:lineRule="auto"/>
        <w:rPr>
          <w:rFonts w:ascii="Open Sans" w:hAnsi="Open Sans" w:eastAsia="Open Sans" w:cs="Open Sans"/>
          <w:b w:val="0"/>
          <w:bCs w:val="0"/>
          <w:i w:val="0"/>
          <w:iCs w:val="0"/>
          <w:caps w:val="0"/>
          <w:smallCaps w:val="0"/>
          <w:color w:val="252525"/>
          <w:sz w:val="24"/>
          <w:szCs w:val="24"/>
        </w:rPr>
      </w:pPr>
    </w:p>
    <w:p w:rsidR="5E725A61" w:rsidP="4A7755F1" w:rsidRDefault="5E725A61" w14:paraId="297E87BE" w14:textId="100B7B72">
      <w:pPr>
        <w:pStyle w:val="Normal"/>
        <w:spacing w:line="480" w:lineRule="auto"/>
      </w:pPr>
      <w:r w:rsidRPr="4A7755F1" w:rsidR="5E725A61">
        <w:rPr>
          <w:rFonts w:ascii="Calibri" w:hAnsi="Calibri" w:eastAsia="Calibri" w:cs="Calibri"/>
          <w:noProof w:val="0"/>
          <w:sz w:val="24"/>
          <w:szCs w:val="24"/>
          <w:lang w:val="en-GB"/>
        </w:rPr>
        <w:t xml:space="preserve">Although the practice of stop and search should be fair to all members of the public and consistent with procedural justice, which is based on treating individuals equally and with respect, there have been instances where the metropolitan police have shown bias against members of ethnic minorities. Officers must base their decisions on </w:t>
      </w:r>
      <w:r w:rsidRPr="4A7755F1" w:rsidR="5E725A61">
        <w:rPr>
          <w:rFonts w:ascii="Calibri" w:hAnsi="Calibri" w:eastAsia="Calibri" w:cs="Calibri"/>
          <w:noProof w:val="0"/>
          <w:sz w:val="24"/>
          <w:szCs w:val="24"/>
          <w:lang w:val="en-GB"/>
        </w:rPr>
        <w:t>accurate</w:t>
      </w:r>
      <w:r w:rsidRPr="4A7755F1" w:rsidR="5E725A61">
        <w:rPr>
          <w:rFonts w:ascii="Calibri" w:hAnsi="Calibri" w:eastAsia="Calibri" w:cs="Calibri"/>
          <w:noProof w:val="0"/>
          <w:sz w:val="24"/>
          <w:szCs w:val="24"/>
          <w:lang w:val="en-GB"/>
        </w:rPr>
        <w:t xml:space="preserve"> information and be able to justify and support the evidence they present. When conducting stop and search procedures, they should listen to the person being searched and give them an opportunity to tell their story. By doing this, they will show respect for the person being searched and earn their trust. Officers can confirm or allay concerns about people using stop and search powers primarily to avoid using their arrest authority. </w:t>
      </w:r>
      <w:r w:rsidRPr="4A7755F1" w:rsidR="5E725A61">
        <w:rPr>
          <w:rFonts w:ascii="Calibri" w:hAnsi="Calibri" w:eastAsia="Calibri" w:cs="Calibri"/>
          <w:noProof w:val="0"/>
          <w:sz w:val="24"/>
          <w:szCs w:val="24"/>
          <w:lang w:val="en-GB"/>
        </w:rPr>
        <w:t>For</w:t>
      </w:r>
      <w:r w:rsidRPr="4A7755F1" w:rsidR="5E725A61">
        <w:rPr>
          <w:rFonts w:ascii="Calibri" w:hAnsi="Calibri" w:eastAsia="Calibri" w:cs="Calibri"/>
          <w:noProof w:val="0"/>
          <w:sz w:val="24"/>
          <w:szCs w:val="24"/>
          <w:lang w:val="en-GB"/>
        </w:rPr>
        <w:t xml:space="preserve"> officers to conduct a stop and search and not target certain types based on how they dress, colour of their skin etc, by following the correct and proper process in the communities this then can achieve a more peaceful and trusted community. (college of policing, 2023)</w:t>
      </w:r>
    </w:p>
    <w:p w:rsidR="6BC20A90" w:rsidP="4A7755F1" w:rsidRDefault="6BC20A90" w14:paraId="792C2BD5" w14:textId="7143A307">
      <w:pPr>
        <w:pStyle w:val="Normal"/>
        <w:spacing w:line="480" w:lineRule="auto"/>
        <w:rPr>
          <w:rFonts w:ascii="Calibri" w:hAnsi="Calibri" w:eastAsia="Calibri" w:cs="Calibri"/>
          <w:sz w:val="24"/>
          <w:szCs w:val="24"/>
        </w:rPr>
      </w:pPr>
    </w:p>
    <w:p w:rsidR="1CC0F550" w:rsidP="4A7755F1" w:rsidRDefault="1CC0F550" w14:paraId="510104E2" w14:textId="7827970D">
      <w:pPr>
        <w:pStyle w:val="Normal"/>
        <w:spacing w:line="480" w:lineRule="auto"/>
      </w:pPr>
      <w:r w:rsidRPr="4A7755F1" w:rsidR="6702D4BC">
        <w:rPr>
          <w:rFonts w:ascii="Calibri" w:hAnsi="Calibri" w:eastAsia="Calibri" w:cs="Calibri"/>
          <w:noProof w:val="0"/>
          <w:sz w:val="24"/>
          <w:szCs w:val="24"/>
          <w:lang w:val="en-GB"/>
        </w:rPr>
        <w:t xml:space="preserve">The significance of ethical concerns cannot be overstated when it comes to the operations of police forces across Wales and the UK. It is of utmost importance for police personnel to follow local laws to gain the respect and trust of the communities they serve. Every individual deserves to be heard and given many opportunities to explain themselves, regardless of their background. </w:t>
      </w:r>
      <w:r w:rsidRPr="4A7755F1" w:rsidR="6702D4BC">
        <w:rPr>
          <w:rFonts w:ascii="Calibri" w:hAnsi="Calibri" w:eastAsia="Calibri" w:cs="Calibri"/>
          <w:noProof w:val="0"/>
          <w:sz w:val="24"/>
          <w:szCs w:val="24"/>
          <w:lang w:val="en-GB"/>
        </w:rPr>
        <w:t>It is important to remember that appearances can often be deceiving, which is why there are safeguards in place to ensure that justice is served.</w:t>
      </w:r>
      <w:r w:rsidRPr="4A7755F1" w:rsidR="6702D4BC">
        <w:rPr>
          <w:rFonts w:ascii="Calibri" w:hAnsi="Calibri" w:eastAsia="Calibri" w:cs="Calibri"/>
          <w:noProof w:val="0"/>
          <w:sz w:val="24"/>
          <w:szCs w:val="24"/>
          <w:lang w:val="en-GB"/>
        </w:rPr>
        <w:t xml:space="preserve"> These safeguards are designed to provide support and ensure that all individuals, irrespective of their background, are treated fairly and with respect.</w:t>
      </w:r>
      <w:r w:rsidRPr="4A7755F1" w:rsidR="6BC34EB1">
        <w:rPr>
          <w:rFonts w:ascii="Calibri" w:hAnsi="Calibri" w:eastAsia="Calibri" w:cs="Calibri"/>
          <w:noProof w:val="0"/>
          <w:sz w:val="24"/>
          <w:szCs w:val="24"/>
          <w:lang w:val="en-GB"/>
        </w:rPr>
        <w:t xml:space="preserve"> Ethical dilemmas are pervasive in law enforcement and require careful consideration and attention. By addressing these ethical challenges, law enforcement can </w:t>
      </w:r>
      <w:r w:rsidRPr="4A7755F1" w:rsidR="6BC34EB1">
        <w:rPr>
          <w:rFonts w:ascii="Calibri" w:hAnsi="Calibri" w:eastAsia="Calibri" w:cs="Calibri"/>
          <w:noProof w:val="0"/>
          <w:sz w:val="24"/>
          <w:szCs w:val="24"/>
          <w:lang w:val="en-GB"/>
        </w:rPr>
        <w:t>maintain</w:t>
      </w:r>
      <w:r w:rsidRPr="4A7755F1" w:rsidR="6BC34EB1">
        <w:rPr>
          <w:rFonts w:ascii="Calibri" w:hAnsi="Calibri" w:eastAsia="Calibri" w:cs="Calibri"/>
          <w:noProof w:val="0"/>
          <w:sz w:val="24"/>
          <w:szCs w:val="24"/>
          <w:lang w:val="en-GB"/>
        </w:rPr>
        <w:t xml:space="preserve"> the integrity of the criminal justice system while upholding the rights of citizens.</w:t>
      </w:r>
    </w:p>
    <w:p w:rsidR="78505E75" w:rsidP="4A7755F1" w:rsidRDefault="78505E75" w14:paraId="7A35EE2C" w14:textId="214BA425">
      <w:pPr>
        <w:pStyle w:val="Normal"/>
        <w:spacing w:line="480" w:lineRule="auto"/>
        <w:rPr>
          <w:rFonts w:ascii="Calibri" w:hAnsi="Calibri" w:eastAsia="Calibri" w:cs="Calibri"/>
          <w:b w:val="0"/>
          <w:bCs w:val="0"/>
          <w:i w:val="0"/>
          <w:iCs w:val="0"/>
          <w:caps w:val="0"/>
          <w:smallCaps w:val="0"/>
          <w:color w:val="000000" w:themeColor="text1" w:themeTint="FF" w:themeShade="FF"/>
          <w:sz w:val="24"/>
          <w:szCs w:val="24"/>
        </w:rPr>
      </w:pPr>
    </w:p>
    <w:p w:rsidR="1CC0F550" w:rsidP="4A7755F1" w:rsidRDefault="1CC0F550" w14:paraId="69A44C60" w14:textId="21C09D56">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244F1533" w14:textId="5AC468DB">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6C5190DA" w14:textId="3B4908F1">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21D4BF68" w14:textId="3145EF01">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5CC4449C" w14:textId="5787C4A9">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7E525369" w14:textId="11712A48">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44DCBEFD" w14:textId="626AA84C">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3B3083AD" w14:textId="1B64FB7A">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C0F550" w:rsidP="4A7755F1" w:rsidRDefault="1CC0F550" w14:paraId="5C060561" w14:textId="69CE8C4A">
      <w:pPr>
        <w:pStyle w:val="Normal"/>
        <w:spacing w:line="48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1CC0F550" w:rsidP="4A7755F1" w:rsidRDefault="1CC0F550" w14:paraId="7892FCEE" w14:textId="77B8A769">
      <w:pPr>
        <w:spacing w:line="480" w:lineRule="auto"/>
        <w:rPr>
          <w:rFonts w:ascii="Calibri" w:hAnsi="Calibri" w:eastAsia="Calibri" w:cs="Calibri"/>
          <w:sz w:val="24"/>
          <w:szCs w:val="24"/>
        </w:rPr>
      </w:pPr>
    </w:p>
    <w:p w:rsidR="1CC0F550" w:rsidP="4A7755F1" w:rsidRDefault="1CC0F550" w14:paraId="5C5B3FFE" w14:textId="25FE0CF6">
      <w:pPr>
        <w:spacing w:line="480" w:lineRule="auto"/>
        <w:rPr>
          <w:rFonts w:ascii="Calibri" w:hAnsi="Calibri" w:eastAsia="Calibri" w:cs="Calibri"/>
          <w:sz w:val="24"/>
          <w:szCs w:val="24"/>
        </w:rPr>
      </w:pPr>
    </w:p>
    <w:p w:rsidR="1CC0F550" w:rsidP="4A7755F1" w:rsidRDefault="1CC0F550" w14:paraId="06252F7F" w14:textId="49F1A3D0">
      <w:pPr>
        <w:pStyle w:val="Normal"/>
        <w:spacing w:line="480" w:lineRule="auto"/>
        <w:rPr>
          <w:rFonts w:ascii="Calibri" w:hAnsi="Calibri" w:eastAsia="Calibri" w:cs="Calibri"/>
          <w:sz w:val="24"/>
          <w:szCs w:val="24"/>
        </w:rPr>
      </w:pPr>
      <w:r w:rsidRPr="4A7755F1" w:rsidR="38035C32">
        <w:rPr>
          <w:rFonts w:ascii="Calibri" w:hAnsi="Calibri" w:eastAsia="Calibri" w:cs="Calibri"/>
          <w:sz w:val="24"/>
          <w:szCs w:val="24"/>
        </w:rPr>
        <w:t xml:space="preserve">Britannic prorcon.org, (2023), </w:t>
      </w:r>
      <w:r w:rsidRPr="4A7755F1" w:rsidR="38035C32">
        <w:rPr>
          <w:rFonts w:ascii="Calibri" w:hAnsi="Calibri" w:eastAsia="Calibri" w:cs="Calibri"/>
          <w:i w:val="1"/>
          <w:iCs w:val="1"/>
          <w:sz w:val="24"/>
          <w:szCs w:val="24"/>
        </w:rPr>
        <w:t xml:space="preserve">Police Body Cameras: Top 3 Pros and Cons, </w:t>
      </w:r>
      <w:r w:rsidRPr="4A7755F1" w:rsidR="38035C32">
        <w:rPr>
          <w:rFonts w:ascii="Calibri" w:hAnsi="Calibri" w:eastAsia="Calibri" w:cs="Calibri"/>
          <w:sz w:val="24"/>
          <w:szCs w:val="24"/>
        </w:rPr>
        <w:t>Available</w:t>
      </w:r>
      <w:r w:rsidRPr="4A7755F1" w:rsidR="38035C32">
        <w:rPr>
          <w:rFonts w:ascii="Calibri" w:hAnsi="Calibri" w:eastAsia="Calibri" w:cs="Calibri"/>
          <w:sz w:val="24"/>
          <w:szCs w:val="24"/>
        </w:rPr>
        <w:t xml:space="preserve"> at: </w:t>
      </w:r>
      <w:hyperlink w:anchor=":~:text=Police%20body%20cameras%20invade%20the,public%20exposure%20of%20private%20medical%E2%80%A6" r:id="R14c2e7596f4240c3">
        <w:r w:rsidRPr="4A7755F1" w:rsidR="38035C32">
          <w:rPr>
            <w:rStyle w:val="Hyperlink"/>
            <w:rFonts w:ascii="Calibri" w:hAnsi="Calibri" w:eastAsia="Calibri" w:cs="Calibri"/>
            <w:sz w:val="24"/>
            <w:szCs w:val="24"/>
          </w:rPr>
          <w:t>https://www.procon.org/headlines/police-body-cameras-top-3-pros-and-cons/#:~:text=Police%20body%20cameras%20invade%20the,public%20exposure%20of%20private%20medical%E2%80%A6</w:t>
        </w:r>
      </w:hyperlink>
      <w:r w:rsidRPr="4A7755F1" w:rsidR="38035C32">
        <w:rPr>
          <w:rFonts w:ascii="Calibri" w:hAnsi="Calibri" w:eastAsia="Calibri" w:cs="Calibri"/>
          <w:sz w:val="24"/>
          <w:szCs w:val="24"/>
        </w:rPr>
        <w:t xml:space="preserve"> (Accessed 2 December 2023)</w:t>
      </w:r>
    </w:p>
    <w:p w:rsidR="625EA757" w:rsidP="4A7755F1" w:rsidRDefault="625EA757" w14:paraId="0845F918" w14:textId="3CB5030F">
      <w:pPr>
        <w:pStyle w:val="Normal"/>
        <w:spacing w:line="480" w:lineRule="auto"/>
        <w:rPr>
          <w:rFonts w:ascii="Calibri" w:hAnsi="Calibri" w:eastAsia="Calibri" w:cs="Calibri"/>
          <w:color w:val="0E101A"/>
          <w:sz w:val="24"/>
          <w:szCs w:val="24"/>
        </w:rPr>
      </w:pPr>
      <w:r w:rsidRPr="4A7755F1" w:rsidR="625EA757">
        <w:rPr>
          <w:rFonts w:ascii="Calibri" w:hAnsi="Calibri" w:eastAsia="Calibri" w:cs="Calibri"/>
          <w:color w:val="0E101A"/>
          <w:sz w:val="24"/>
          <w:szCs w:val="24"/>
        </w:rPr>
        <w:t>Cook, (1999</w:t>
      </w:r>
      <w:r w:rsidRPr="4A7755F1" w:rsidR="21038C89">
        <w:rPr>
          <w:rFonts w:ascii="Calibri" w:hAnsi="Calibri" w:eastAsia="Calibri" w:cs="Calibri"/>
          <w:color w:val="0E101A"/>
          <w:sz w:val="24"/>
          <w:szCs w:val="24"/>
        </w:rPr>
        <w:t>)</w:t>
      </w:r>
      <w:r w:rsidRPr="4A7755F1" w:rsidR="625EA757">
        <w:rPr>
          <w:rFonts w:ascii="Calibri" w:hAnsi="Calibri" w:eastAsia="Calibri" w:cs="Calibri"/>
          <w:color w:val="0E101A"/>
          <w:sz w:val="24"/>
          <w:szCs w:val="24"/>
        </w:rPr>
        <w:t xml:space="preserve">, Yung-Lien &amp; </w:t>
      </w:r>
      <w:r w:rsidRPr="4A7755F1" w:rsidR="625EA757">
        <w:rPr>
          <w:rFonts w:ascii="Calibri" w:hAnsi="Calibri" w:eastAsia="Calibri" w:cs="Calibri"/>
          <w:color w:val="0E101A"/>
          <w:sz w:val="24"/>
          <w:szCs w:val="24"/>
        </w:rPr>
        <w:t>Jihong</w:t>
      </w:r>
      <w:r w:rsidRPr="4A7755F1" w:rsidR="625EA757">
        <w:rPr>
          <w:rFonts w:ascii="Calibri" w:hAnsi="Calibri" w:eastAsia="Calibri" w:cs="Calibri"/>
          <w:color w:val="0E101A"/>
          <w:sz w:val="24"/>
          <w:szCs w:val="24"/>
        </w:rPr>
        <w:t xml:space="preserve">, </w:t>
      </w:r>
      <w:r w:rsidRPr="4A7755F1" w:rsidR="1238861F">
        <w:rPr>
          <w:rFonts w:ascii="Calibri" w:hAnsi="Calibri" w:eastAsia="Calibri" w:cs="Calibri"/>
          <w:color w:val="0E101A"/>
          <w:sz w:val="24"/>
          <w:szCs w:val="24"/>
        </w:rPr>
        <w:t>(</w:t>
      </w:r>
      <w:r w:rsidRPr="4A7755F1" w:rsidR="625EA757">
        <w:rPr>
          <w:rFonts w:ascii="Calibri" w:hAnsi="Calibri" w:eastAsia="Calibri" w:cs="Calibri"/>
          <w:color w:val="0E101A"/>
          <w:sz w:val="24"/>
          <w:szCs w:val="24"/>
        </w:rPr>
        <w:t>2010</w:t>
      </w:r>
      <w:r w:rsidRPr="4A7755F1" w:rsidR="1F053456">
        <w:rPr>
          <w:rFonts w:ascii="Calibri" w:hAnsi="Calibri" w:eastAsia="Calibri" w:cs="Calibri"/>
          <w:color w:val="0E101A"/>
          <w:sz w:val="24"/>
          <w:szCs w:val="24"/>
        </w:rPr>
        <w:t>)</w:t>
      </w:r>
      <w:r w:rsidRPr="4A7755F1" w:rsidR="625EA757">
        <w:rPr>
          <w:rFonts w:ascii="Calibri" w:hAnsi="Calibri" w:eastAsia="Calibri" w:cs="Calibri"/>
          <w:color w:val="0E101A"/>
          <w:sz w:val="24"/>
          <w:szCs w:val="24"/>
        </w:rPr>
        <w:t xml:space="preserve">, </w:t>
      </w:r>
      <w:r w:rsidRPr="4A7755F1" w:rsidR="625EA757">
        <w:rPr>
          <w:rFonts w:ascii="Calibri" w:hAnsi="Calibri" w:eastAsia="Calibri" w:cs="Calibri"/>
          <w:i w:val="1"/>
          <w:iCs w:val="1"/>
          <w:color w:val="0E101A"/>
          <w:sz w:val="24"/>
          <w:szCs w:val="24"/>
        </w:rPr>
        <w:t>Ethical</w:t>
      </w:r>
      <w:r w:rsidRPr="4A7755F1" w:rsidR="625EA757">
        <w:rPr>
          <w:rFonts w:ascii="Calibri" w:hAnsi="Calibri" w:eastAsia="Calibri" w:cs="Calibri"/>
          <w:i w:val="1"/>
          <w:iCs w:val="1"/>
          <w:sz w:val="24"/>
          <w:szCs w:val="24"/>
        </w:rPr>
        <w:t xml:space="preserve"> issues in Police Departments</w:t>
      </w:r>
      <w:r w:rsidRPr="4A7755F1" w:rsidR="625EA757">
        <w:rPr>
          <w:rFonts w:ascii="Calibri" w:hAnsi="Calibri" w:eastAsia="Calibri" w:cs="Calibri"/>
          <w:sz w:val="24"/>
          <w:szCs w:val="24"/>
        </w:rPr>
        <w:t>, Available at: https://lawbirdie.com/ethical-issues-in-police-departments/#:~:text=Racial%20profiling%20and%20xenophobia%20have,using%20racial%20slur%20against%20them (Accessed: 2 December 2023)</w:t>
      </w:r>
    </w:p>
    <w:p w:rsidR="734A4997" w:rsidP="4A7755F1" w:rsidRDefault="734A4997" w14:paraId="4B210928" w14:textId="3BD410DC">
      <w:pPr>
        <w:pStyle w:val="Normal"/>
        <w:spacing w:line="480" w:lineRule="auto"/>
      </w:pPr>
      <w:r w:rsidRPr="4A7755F1" w:rsidR="734A4997">
        <w:rPr>
          <w:rFonts w:ascii="Calibri" w:hAnsi="Calibri" w:eastAsia="Calibri" w:cs="Calibri"/>
          <w:noProof w:val="0"/>
          <w:sz w:val="24"/>
          <w:szCs w:val="24"/>
          <w:lang w:val="en-GB"/>
        </w:rPr>
        <w:t xml:space="preserve">College of policing (2023), Stop and search, Available at: </w:t>
      </w:r>
      <w:hyperlink r:id="Ra51e1671d5264f7c">
        <w:r w:rsidRPr="4A7755F1" w:rsidR="734A4997">
          <w:rPr>
            <w:rStyle w:val="Hyperlink"/>
            <w:rFonts w:ascii="Calibri" w:hAnsi="Calibri" w:eastAsia="Calibri" w:cs="Calibri"/>
            <w:noProof w:val="0"/>
            <w:sz w:val="24"/>
            <w:szCs w:val="24"/>
            <w:lang w:val="en-GB"/>
          </w:rPr>
          <w:t>https://www.college.police.uk/app/stop-and-search/stop-and-search</w:t>
        </w:r>
      </w:hyperlink>
      <w:r w:rsidRPr="4A7755F1" w:rsidR="734A4997">
        <w:rPr>
          <w:rFonts w:ascii="Calibri" w:hAnsi="Calibri" w:eastAsia="Calibri" w:cs="Calibri"/>
          <w:noProof w:val="0"/>
          <w:sz w:val="24"/>
          <w:szCs w:val="24"/>
          <w:lang w:val="en-GB"/>
        </w:rPr>
        <w:t xml:space="preserve"> (Assessed on 11</w:t>
      </w:r>
      <w:r w:rsidRPr="4A7755F1" w:rsidR="734A4997">
        <w:rPr>
          <w:rFonts w:ascii="Calibri" w:hAnsi="Calibri" w:eastAsia="Calibri" w:cs="Calibri"/>
          <w:noProof w:val="0"/>
          <w:sz w:val="24"/>
          <w:szCs w:val="24"/>
          <w:vertAlign w:val="superscript"/>
          <w:lang w:val="en-GB"/>
        </w:rPr>
        <w:t>th</w:t>
      </w:r>
      <w:r w:rsidRPr="4A7755F1" w:rsidR="734A4997">
        <w:rPr>
          <w:rFonts w:ascii="Calibri" w:hAnsi="Calibri" w:eastAsia="Calibri" w:cs="Calibri"/>
          <w:noProof w:val="0"/>
          <w:sz w:val="24"/>
          <w:szCs w:val="24"/>
          <w:lang w:val="en-GB"/>
        </w:rPr>
        <w:t xml:space="preserve"> January 2024)</w:t>
      </w:r>
    </w:p>
    <w:p w:rsidR="7CE0C7E5" w:rsidP="4A7755F1" w:rsidRDefault="7CE0C7E5" w14:paraId="36FB970F" w14:textId="235419C1">
      <w:pPr>
        <w:pStyle w:val="Normal"/>
        <w:spacing w:line="480" w:lineRule="auto"/>
      </w:pPr>
      <w:r w:rsidRPr="4A7755F1" w:rsidR="7CE0C7E5">
        <w:rPr>
          <w:rFonts w:ascii="Calibri" w:hAnsi="Calibri" w:eastAsia="Calibri" w:cs="Calibri"/>
          <w:b w:val="0"/>
          <w:bCs w:val="0"/>
          <w:i w:val="0"/>
          <w:iCs w:val="0"/>
          <w:caps w:val="0"/>
          <w:smallCaps w:val="0"/>
          <w:strike w:val="0"/>
          <w:dstrike w:val="0"/>
          <w:color w:val="000000" w:themeColor="text1" w:themeTint="FF" w:themeShade="FF"/>
          <w:sz w:val="24"/>
          <w:szCs w:val="24"/>
          <w:u w:val="none"/>
        </w:rPr>
        <w:t>Cubitt T., Lesic, R., Myers, G. &amp; Corry, R. (2017)</w:t>
      </w:r>
      <w:r w:rsidRPr="4A7755F1" w:rsidR="7CE0C7E5">
        <w:rPr>
          <w:rFonts w:ascii="Calibri" w:hAnsi="Calibri" w:eastAsia="Calibri" w:cs="Calibri"/>
          <w:b w:val="0"/>
          <w:bCs w:val="0"/>
          <w:i w:val="1"/>
          <w:iCs w:val="1"/>
          <w:caps w:val="0"/>
          <w:smallCaps w:val="0"/>
          <w:strike w:val="0"/>
          <w:dstrike w:val="0"/>
          <w:color w:val="000000" w:themeColor="text1" w:themeTint="FF" w:themeShade="FF"/>
          <w:sz w:val="24"/>
          <w:szCs w:val="24"/>
          <w:u w:val="none"/>
        </w:rPr>
        <w:t xml:space="preserve"> Body-worn video: A systematic review of</w:t>
      </w:r>
      <w:r w:rsidRPr="4A7755F1" w:rsidR="0744A719">
        <w:rPr>
          <w:rFonts w:ascii="Calibri" w:hAnsi="Calibri" w:eastAsia="Calibri" w:cs="Calibri"/>
          <w:b w:val="0"/>
          <w:bCs w:val="0"/>
          <w:i w:val="1"/>
          <w:iCs w:val="1"/>
          <w:caps w:val="0"/>
          <w:smallCaps w:val="0"/>
          <w:strike w:val="0"/>
          <w:dstrike w:val="0"/>
          <w:color w:val="000000" w:themeColor="text1" w:themeTint="FF" w:themeShade="FF"/>
          <w:sz w:val="24"/>
          <w:szCs w:val="24"/>
          <w:u w:val="none"/>
        </w:rPr>
        <w:t xml:space="preserve"> </w:t>
      </w:r>
      <w:r w:rsidRPr="4A7755F1" w:rsidR="1BBDFC1D">
        <w:rPr>
          <w:rFonts w:ascii="Calibri" w:hAnsi="Calibri" w:eastAsia="Calibri" w:cs="Calibri"/>
          <w:b w:val="0"/>
          <w:bCs w:val="0"/>
          <w:i w:val="1"/>
          <w:iCs w:val="1"/>
          <w:caps w:val="0"/>
          <w:smallCaps w:val="0"/>
          <w:strike w:val="0"/>
          <w:dstrike w:val="0"/>
          <w:color w:val="000000" w:themeColor="text1" w:themeTint="FF" w:themeShade="FF"/>
          <w:sz w:val="24"/>
          <w:szCs w:val="24"/>
          <w:u w:val="none"/>
        </w:rPr>
        <w:t>literature</w:t>
      </w:r>
      <w:r w:rsidRPr="4A7755F1" w:rsidR="0744A719">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Australian &amp; New Zealand Journal of Criminology, 50(3), </w:t>
      </w:r>
      <w:r w:rsidRPr="4A7755F1" w:rsidR="2D8107AA">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P. </w:t>
      </w:r>
      <w:r w:rsidRPr="4A7755F1" w:rsidR="0744A719">
        <w:rPr>
          <w:rFonts w:ascii="Calibri" w:hAnsi="Calibri" w:eastAsia="Calibri" w:cs="Calibri"/>
          <w:b w:val="0"/>
          <w:bCs w:val="0"/>
          <w:i w:val="0"/>
          <w:iCs w:val="0"/>
          <w:caps w:val="0"/>
          <w:smallCaps w:val="0"/>
          <w:strike w:val="0"/>
          <w:dstrike w:val="0"/>
          <w:color w:val="000000" w:themeColor="text1" w:themeTint="FF" w:themeShade="FF"/>
          <w:sz w:val="24"/>
          <w:szCs w:val="24"/>
          <w:u w:val="none"/>
        </w:rPr>
        <w:t>379-396.</w:t>
      </w:r>
    </w:p>
    <w:p w:rsidR="3893AB2E" w:rsidP="6BC20A90" w:rsidRDefault="3893AB2E" w14:paraId="65BF6679" w14:textId="4D2647C1">
      <w:pPr>
        <w:pStyle w:val="Normal"/>
        <w:spacing w:after="160" w:line="480" w:lineRule="auto"/>
        <w:rPr>
          <w:rFonts w:ascii="sans-serif" w:hAnsi="sans-serif" w:eastAsia="sans-serif" w:cs="sans-serif"/>
          <w:b w:val="0"/>
          <w:bCs w:val="0"/>
          <w:i w:val="0"/>
          <w:iCs w:val="0"/>
          <w:caps w:val="0"/>
          <w:smallCaps w:val="0"/>
          <w:color w:val="18191B"/>
          <w:sz w:val="22"/>
          <w:szCs w:val="22"/>
        </w:rPr>
      </w:pPr>
      <w:r w:rsidRPr="6BC20A90" w:rsidR="3893AB2E">
        <w:rPr>
          <w:rFonts w:ascii="sans-serif" w:hAnsi="sans-serif" w:eastAsia="sans-serif" w:cs="sans-serif"/>
          <w:b w:val="0"/>
          <w:bCs w:val="0"/>
          <w:i w:val="0"/>
          <w:iCs w:val="0"/>
          <w:caps w:val="0"/>
          <w:smallCaps w:val="0"/>
          <w:color w:val="18191B"/>
          <w:sz w:val="22"/>
          <w:szCs w:val="22"/>
        </w:rPr>
        <w:t>Felkenes</w:t>
      </w:r>
      <w:r w:rsidRPr="6BC20A90" w:rsidR="3893AB2E">
        <w:rPr>
          <w:rFonts w:ascii="sans-serif" w:hAnsi="sans-serif" w:eastAsia="sans-serif" w:cs="sans-serif"/>
          <w:b w:val="0"/>
          <w:bCs w:val="0"/>
          <w:i w:val="0"/>
          <w:iCs w:val="0"/>
          <w:caps w:val="0"/>
          <w:smallCaps w:val="0"/>
          <w:color w:val="18191B"/>
          <w:sz w:val="22"/>
          <w:szCs w:val="22"/>
        </w:rPr>
        <w:t xml:space="preserve">, G. (1987). </w:t>
      </w:r>
      <w:r w:rsidRPr="6BC20A90" w:rsidR="3893AB2E">
        <w:rPr>
          <w:rFonts w:ascii="sans-serif" w:hAnsi="sans-serif" w:eastAsia="sans-serif" w:cs="sans-serif"/>
          <w:b w:val="0"/>
          <w:bCs w:val="0"/>
          <w:i w:val="1"/>
          <w:iCs w:val="1"/>
          <w:caps w:val="0"/>
          <w:smallCaps w:val="0"/>
          <w:color w:val="18191B"/>
          <w:sz w:val="22"/>
          <w:szCs w:val="22"/>
        </w:rPr>
        <w:t>Ethics in Graduate Criminal Justice</w:t>
      </w:r>
      <w:r w:rsidRPr="6BC20A90" w:rsidR="0D0A0434">
        <w:rPr>
          <w:rFonts w:ascii="sans-serif" w:hAnsi="sans-serif" w:eastAsia="sans-serif" w:cs="sans-serif"/>
          <w:b w:val="0"/>
          <w:bCs w:val="0"/>
          <w:i w:val="1"/>
          <w:iCs w:val="1"/>
          <w:caps w:val="0"/>
          <w:smallCaps w:val="0"/>
          <w:color w:val="18191B"/>
          <w:sz w:val="22"/>
          <w:szCs w:val="22"/>
        </w:rPr>
        <w:t xml:space="preserve"> </w:t>
      </w:r>
      <w:r w:rsidRPr="6BC20A90" w:rsidR="3893AB2E">
        <w:rPr>
          <w:rFonts w:ascii="sans-serif" w:hAnsi="sans-serif" w:eastAsia="sans-serif" w:cs="sans-serif"/>
          <w:b w:val="0"/>
          <w:bCs w:val="0"/>
          <w:i w:val="0"/>
          <w:iCs w:val="0"/>
          <w:caps w:val="0"/>
          <w:smallCaps w:val="0"/>
          <w:color w:val="18191B"/>
          <w:sz w:val="22"/>
          <w:szCs w:val="22"/>
        </w:rPr>
        <w:t xml:space="preserve">Curriculum. </w:t>
      </w:r>
      <w:r w:rsidRPr="6BC20A90" w:rsidR="3893AB2E">
        <w:rPr>
          <w:rFonts w:ascii="sans-serif" w:hAnsi="sans-serif" w:eastAsia="sans-serif" w:cs="sans-serif"/>
          <w:b w:val="0"/>
          <w:bCs w:val="0"/>
          <w:i w:val="1"/>
          <w:iCs w:val="1"/>
          <w:caps w:val="0"/>
          <w:smallCaps w:val="0"/>
          <w:color w:val="18191B"/>
          <w:sz w:val="22"/>
          <w:szCs w:val="22"/>
        </w:rPr>
        <w:t>Teaching Philosophy, 10</w:t>
      </w:r>
      <w:r w:rsidRPr="6BC20A90" w:rsidR="3893AB2E">
        <w:rPr>
          <w:rFonts w:ascii="sans-serif" w:hAnsi="sans-serif" w:eastAsia="sans-serif" w:cs="sans-serif"/>
          <w:b w:val="0"/>
          <w:bCs w:val="0"/>
          <w:i w:val="0"/>
          <w:iCs w:val="0"/>
          <w:caps w:val="0"/>
          <w:smallCaps w:val="0"/>
          <w:color w:val="18191B"/>
          <w:sz w:val="22"/>
          <w:szCs w:val="22"/>
        </w:rPr>
        <w:t xml:space="preserve">(1), </w:t>
      </w:r>
      <w:r w:rsidRPr="6BC20A90" w:rsidR="0999163B">
        <w:rPr>
          <w:rFonts w:ascii="sans-serif" w:hAnsi="sans-serif" w:eastAsia="sans-serif" w:cs="sans-serif"/>
          <w:b w:val="0"/>
          <w:bCs w:val="0"/>
          <w:i w:val="0"/>
          <w:iCs w:val="0"/>
          <w:caps w:val="0"/>
          <w:smallCaps w:val="0"/>
          <w:color w:val="18191B"/>
          <w:sz w:val="22"/>
          <w:szCs w:val="22"/>
        </w:rPr>
        <w:t xml:space="preserve">P. </w:t>
      </w:r>
      <w:r w:rsidRPr="6BC20A90" w:rsidR="3893AB2E">
        <w:rPr>
          <w:rFonts w:ascii="sans-serif" w:hAnsi="sans-serif" w:eastAsia="sans-serif" w:cs="sans-serif"/>
          <w:b w:val="0"/>
          <w:bCs w:val="0"/>
          <w:i w:val="0"/>
          <w:iCs w:val="0"/>
          <w:caps w:val="0"/>
          <w:smallCaps w:val="0"/>
          <w:color w:val="18191B"/>
          <w:sz w:val="22"/>
          <w:szCs w:val="22"/>
        </w:rPr>
        <w:t>23-26.</w:t>
      </w:r>
    </w:p>
    <w:p w:rsidR="56DCEBBD" w:rsidP="6BC20A90" w:rsidRDefault="56DCEBBD" w14:paraId="603D485A" w14:textId="469FE2B3">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C20A90" w:rsidR="56DCEBBD">
        <w:rPr>
          <w:rFonts w:ascii="Calibri" w:hAnsi="Calibri" w:eastAsia="Calibri" w:cs="Calibri"/>
          <w:b w:val="0"/>
          <w:bCs w:val="0"/>
          <w:i w:val="0"/>
          <w:iCs w:val="0"/>
          <w:caps w:val="0"/>
          <w:smallCaps w:val="0"/>
          <w:color w:val="000000" w:themeColor="text1" w:themeTint="FF" w:themeShade="FF"/>
          <w:sz w:val="24"/>
          <w:szCs w:val="24"/>
        </w:rPr>
        <w:t xml:space="preserve">Lum, C., Koper, C., Wilson, D., Stoltz, M., Goodier, M., Eggins, E., Higginson, A. &amp; Mazerolle, L. (2020). </w:t>
      </w:r>
      <w:hyperlink r:id="Rb8a7b70159af4b9a">
        <w:r w:rsidRPr="6BC20A90" w:rsidR="56DCEBBD">
          <w:rPr>
            <w:rStyle w:val="Hyperlink"/>
            <w:rFonts w:ascii="Calibri" w:hAnsi="Calibri" w:eastAsia="Calibri" w:cs="Calibri"/>
            <w:b w:val="1"/>
            <w:bCs w:val="1"/>
            <w:i w:val="0"/>
            <w:iCs w:val="0"/>
            <w:caps w:val="0"/>
            <w:smallCaps w:val="0"/>
            <w:strike w:val="0"/>
            <w:dstrike w:val="0"/>
            <w:sz w:val="24"/>
            <w:szCs w:val="24"/>
          </w:rPr>
          <w:t xml:space="preserve">Body-worn cameras' effects on police officers and citizen </w:t>
        </w:r>
        <w:r w:rsidRPr="6BC20A90" w:rsidR="30AAB09D">
          <w:rPr>
            <w:rStyle w:val="Hyperlink"/>
            <w:rFonts w:ascii="Calibri" w:hAnsi="Calibri" w:eastAsia="Calibri" w:cs="Calibri"/>
            <w:b w:val="1"/>
            <w:bCs w:val="1"/>
            <w:i w:val="0"/>
            <w:iCs w:val="0"/>
            <w:caps w:val="0"/>
            <w:smallCaps w:val="0"/>
            <w:strike w:val="0"/>
            <w:dstrike w:val="0"/>
            <w:sz w:val="24"/>
            <w:szCs w:val="24"/>
          </w:rPr>
          <w:t>behaviour</w:t>
        </w:r>
        <w:r w:rsidRPr="6BC20A90" w:rsidR="56DCEBBD">
          <w:rPr>
            <w:rStyle w:val="Hyperlink"/>
            <w:rFonts w:ascii="Calibri" w:hAnsi="Calibri" w:eastAsia="Calibri" w:cs="Calibri"/>
            <w:b w:val="1"/>
            <w:bCs w:val="1"/>
            <w:i w:val="0"/>
            <w:iCs w:val="0"/>
            <w:caps w:val="0"/>
            <w:smallCaps w:val="0"/>
            <w:strike w:val="0"/>
            <w:dstrike w:val="0"/>
            <w:sz w:val="24"/>
            <w:szCs w:val="24"/>
          </w:rPr>
          <w:t>: A systematic review. Campbell Systematic Reviews 16</w:t>
        </w:r>
      </w:hyperlink>
    </w:p>
    <w:p w:rsidR="27B9FC0A" w:rsidP="4A7755F1" w:rsidRDefault="27B9FC0A" w14:paraId="57A0F918" w14:textId="2557B7B2">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A7755F1" w:rsidR="27B9FC0A">
        <w:rPr>
          <w:rFonts w:ascii="Calibri" w:hAnsi="Calibri" w:eastAsia="Calibri" w:cs="Calibri"/>
          <w:b w:val="0"/>
          <w:bCs w:val="0"/>
          <w:i w:val="0"/>
          <w:iCs w:val="0"/>
          <w:caps w:val="0"/>
          <w:smallCaps w:val="0"/>
          <w:color w:val="000000" w:themeColor="text1" w:themeTint="FF" w:themeShade="FF"/>
          <w:sz w:val="24"/>
          <w:szCs w:val="24"/>
        </w:rPr>
        <w:t xml:space="preserve">Newburn, T and Hayman, S. (2002) </w:t>
      </w:r>
      <w:r w:rsidRPr="4A7755F1" w:rsidR="27B9FC0A">
        <w:rPr>
          <w:rFonts w:ascii="Calibri" w:hAnsi="Calibri" w:eastAsia="Calibri" w:cs="Calibri"/>
          <w:b w:val="0"/>
          <w:bCs w:val="0"/>
          <w:i w:val="1"/>
          <w:iCs w:val="1"/>
          <w:caps w:val="0"/>
          <w:smallCaps w:val="0"/>
          <w:color w:val="000000" w:themeColor="text1" w:themeTint="FF" w:themeShade="FF"/>
          <w:sz w:val="24"/>
          <w:szCs w:val="24"/>
        </w:rPr>
        <w:t>Policing, Surveillance and Social Control</w:t>
      </w:r>
      <w:r w:rsidRPr="4A7755F1" w:rsidR="27B9FC0A">
        <w:rPr>
          <w:rFonts w:ascii="Calibri" w:hAnsi="Calibri" w:eastAsia="Calibri" w:cs="Calibri"/>
          <w:b w:val="0"/>
          <w:bCs w:val="0"/>
          <w:i w:val="0"/>
          <w:iCs w:val="0"/>
          <w:caps w:val="0"/>
          <w:smallCaps w:val="0"/>
          <w:color w:val="000000" w:themeColor="text1" w:themeTint="FF" w:themeShade="FF"/>
          <w:sz w:val="24"/>
          <w:szCs w:val="24"/>
        </w:rPr>
        <w:t xml:space="preserve">: CCTV and police </w:t>
      </w:r>
      <w:r w:rsidRPr="4A7755F1" w:rsidR="27B9FC0A">
        <w:rPr>
          <w:rFonts w:ascii="Calibri" w:hAnsi="Calibri" w:eastAsia="Calibri" w:cs="Calibri"/>
          <w:b w:val="0"/>
          <w:bCs w:val="0"/>
          <w:i w:val="0"/>
          <w:iCs w:val="0"/>
          <w:caps w:val="0"/>
          <w:smallCaps w:val="0"/>
          <w:color w:val="000000" w:themeColor="text1" w:themeTint="FF" w:themeShade="FF"/>
          <w:sz w:val="24"/>
          <w:szCs w:val="24"/>
        </w:rPr>
        <w:t>monitoring</w:t>
      </w:r>
      <w:r w:rsidRPr="4A7755F1" w:rsidR="27B9FC0A">
        <w:rPr>
          <w:rFonts w:ascii="Calibri" w:hAnsi="Calibri" w:eastAsia="Calibri" w:cs="Calibri"/>
          <w:b w:val="0"/>
          <w:bCs w:val="0"/>
          <w:i w:val="0"/>
          <w:iCs w:val="0"/>
          <w:caps w:val="0"/>
          <w:smallCaps w:val="0"/>
          <w:color w:val="000000" w:themeColor="text1" w:themeTint="FF" w:themeShade="FF"/>
          <w:sz w:val="24"/>
          <w:szCs w:val="24"/>
        </w:rPr>
        <w:t xml:space="preserve"> of suspects. Published in USA and Canada</w:t>
      </w:r>
    </w:p>
    <w:p w:rsidR="56DCEBBD" w:rsidP="6BC20A90" w:rsidRDefault="56DCEBBD" w14:paraId="04DD2A02" w14:textId="1AE4DEB1">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C20A90" w:rsidR="56DCEBBD">
        <w:rPr>
          <w:rFonts w:ascii="Calibri" w:hAnsi="Calibri" w:eastAsia="Calibri" w:cs="Calibri"/>
          <w:b w:val="0"/>
          <w:bCs w:val="0"/>
          <w:i w:val="0"/>
          <w:iCs w:val="0"/>
          <w:caps w:val="0"/>
          <w:smallCaps w:val="0"/>
          <w:color w:val="000000" w:themeColor="text1" w:themeTint="FF" w:themeShade="FF"/>
          <w:sz w:val="24"/>
          <w:szCs w:val="24"/>
        </w:rPr>
        <w:t>Welsh, Brandon C. and Farrington, David P. (2009) '</w:t>
      </w:r>
      <w:r w:rsidRPr="6BC20A90" w:rsidR="56DCEBBD">
        <w:rPr>
          <w:rFonts w:ascii="Calibri" w:hAnsi="Calibri" w:eastAsia="Calibri" w:cs="Calibri"/>
          <w:b w:val="1"/>
          <w:bCs w:val="1"/>
          <w:i w:val="0"/>
          <w:iCs w:val="0"/>
          <w:caps w:val="0"/>
          <w:smallCaps w:val="0"/>
          <w:strike w:val="0"/>
          <w:dstrike w:val="0"/>
          <w:color w:val="2E2C70"/>
          <w:sz w:val="24"/>
          <w:szCs w:val="24"/>
          <w:u w:val="single"/>
        </w:rPr>
        <w:t xml:space="preserve">Public Area CCTV and Crime Prevention: An Updated Systematic Review and Meta-Analysis </w:t>
      </w:r>
      <w:r w:rsidRPr="6BC20A90" w:rsidR="56DCEBBD">
        <w:rPr>
          <w:rFonts w:ascii="Calibri" w:hAnsi="Calibri" w:eastAsia="Calibri" w:cs="Calibri"/>
          <w:b w:val="0"/>
          <w:bCs w:val="0"/>
          <w:i w:val="0"/>
          <w:iCs w:val="0"/>
          <w:caps w:val="0"/>
          <w:smallCaps w:val="0"/>
          <w:color w:val="000000" w:themeColor="text1" w:themeTint="FF" w:themeShade="FF"/>
          <w:sz w:val="24"/>
          <w:szCs w:val="24"/>
        </w:rPr>
        <w:t xml:space="preserve">Justice Quarterly, 26: 4, </w:t>
      </w:r>
      <w:r w:rsidRPr="6BC20A90" w:rsidR="6AE786A2">
        <w:rPr>
          <w:rFonts w:ascii="Calibri" w:hAnsi="Calibri" w:eastAsia="Calibri" w:cs="Calibri"/>
          <w:b w:val="0"/>
          <w:bCs w:val="0"/>
          <w:i w:val="0"/>
          <w:iCs w:val="0"/>
          <w:caps w:val="0"/>
          <w:smallCaps w:val="0"/>
          <w:color w:val="000000" w:themeColor="text1" w:themeTint="FF" w:themeShade="FF"/>
          <w:sz w:val="24"/>
          <w:szCs w:val="24"/>
        </w:rPr>
        <w:t xml:space="preserve">P. </w:t>
      </w:r>
      <w:r w:rsidRPr="6BC20A90" w:rsidR="56DCEBBD">
        <w:rPr>
          <w:rFonts w:ascii="Calibri" w:hAnsi="Calibri" w:eastAsia="Calibri" w:cs="Calibri"/>
          <w:b w:val="0"/>
          <w:bCs w:val="0"/>
          <w:i w:val="0"/>
          <w:iCs w:val="0"/>
          <w:caps w:val="0"/>
          <w:smallCaps w:val="0"/>
          <w:color w:val="000000" w:themeColor="text1" w:themeTint="FF" w:themeShade="FF"/>
          <w:sz w:val="24"/>
          <w:szCs w:val="24"/>
        </w:rPr>
        <w:t>716 — 745.</w:t>
      </w:r>
    </w:p>
    <w:p w:rsidR="56DCEBBD" w:rsidP="6BC20A90" w:rsidRDefault="56DCEBBD" w14:paraId="60BC5650" w14:textId="4AC2F64D">
      <w:pPr>
        <w:spacing w:before="0" w:beforeAutospacing="off" w:after="0" w:afterAutospacing="off" w:line="48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BC20A90" w:rsidR="56DCEBBD">
        <w:rPr>
          <w:rFonts w:ascii="Calibri" w:hAnsi="Calibri" w:eastAsia="Calibri" w:cs="Calibri"/>
          <w:b w:val="0"/>
          <w:bCs w:val="0"/>
          <w:i w:val="0"/>
          <w:iCs w:val="0"/>
          <w:caps w:val="0"/>
          <w:smallCaps w:val="0"/>
          <w:color w:val="000000" w:themeColor="text1" w:themeTint="FF" w:themeShade="FF"/>
          <w:sz w:val="24"/>
          <w:szCs w:val="24"/>
        </w:rPr>
        <w:t xml:space="preserve">Warren, </w:t>
      </w:r>
      <w:r w:rsidRPr="6BC20A90" w:rsidR="7F54B0A9">
        <w:rPr>
          <w:rFonts w:ascii="Calibri" w:hAnsi="Calibri" w:eastAsia="Calibri" w:cs="Calibri"/>
          <w:b w:val="0"/>
          <w:bCs w:val="0"/>
          <w:i w:val="0"/>
          <w:iCs w:val="0"/>
          <w:caps w:val="0"/>
          <w:smallCaps w:val="0"/>
          <w:color w:val="000000" w:themeColor="text1" w:themeTint="FF" w:themeShade="FF"/>
          <w:sz w:val="24"/>
          <w:szCs w:val="24"/>
        </w:rPr>
        <w:t>S.D.,</w:t>
      </w:r>
      <w:r w:rsidRPr="6BC20A90" w:rsidR="56DCEBBD">
        <w:rPr>
          <w:rFonts w:ascii="Calibri" w:hAnsi="Calibri" w:eastAsia="Calibri" w:cs="Calibri"/>
          <w:b w:val="0"/>
          <w:bCs w:val="0"/>
          <w:i w:val="0"/>
          <w:iCs w:val="0"/>
          <w:caps w:val="0"/>
          <w:smallCaps w:val="0"/>
          <w:color w:val="000000" w:themeColor="text1" w:themeTint="FF" w:themeShade="FF"/>
          <w:sz w:val="24"/>
          <w:szCs w:val="24"/>
        </w:rPr>
        <w:t xml:space="preserve"> and Brandeis, L.D. (1890). “The Right to Privacy</w:t>
      </w:r>
      <w:r w:rsidRPr="6BC20A90" w:rsidR="0BF85C1C">
        <w:rPr>
          <w:rFonts w:ascii="Calibri" w:hAnsi="Calibri" w:eastAsia="Calibri" w:cs="Calibri"/>
          <w:b w:val="0"/>
          <w:bCs w:val="0"/>
          <w:i w:val="0"/>
          <w:iCs w:val="0"/>
          <w:caps w:val="0"/>
          <w:smallCaps w:val="0"/>
          <w:color w:val="000000" w:themeColor="text1" w:themeTint="FF" w:themeShade="FF"/>
          <w:sz w:val="24"/>
          <w:szCs w:val="24"/>
        </w:rPr>
        <w:t>.”</w:t>
      </w:r>
      <w:r w:rsidRPr="6BC20A90" w:rsidR="56DCEBBD">
        <w:rPr>
          <w:rFonts w:ascii="Calibri" w:hAnsi="Calibri" w:eastAsia="Calibri" w:cs="Calibri"/>
          <w:b w:val="0"/>
          <w:bCs w:val="0"/>
          <w:i w:val="0"/>
          <w:iCs w:val="0"/>
          <w:caps w:val="0"/>
          <w:smallCaps w:val="0"/>
          <w:color w:val="000000" w:themeColor="text1" w:themeTint="FF" w:themeShade="FF"/>
          <w:sz w:val="24"/>
          <w:szCs w:val="24"/>
        </w:rPr>
        <w:t xml:space="preserve"> </w:t>
      </w:r>
      <w:r w:rsidRPr="6BC20A90" w:rsidR="56DCEBBD">
        <w:rPr>
          <w:rFonts w:ascii="Calibri" w:hAnsi="Calibri" w:eastAsia="Calibri" w:cs="Calibri"/>
          <w:b w:val="0"/>
          <w:bCs w:val="0"/>
          <w:i w:val="1"/>
          <w:iCs w:val="1"/>
          <w:caps w:val="0"/>
          <w:smallCaps w:val="0"/>
          <w:color w:val="000000" w:themeColor="text1" w:themeTint="FF" w:themeShade="FF"/>
          <w:sz w:val="24"/>
          <w:szCs w:val="24"/>
        </w:rPr>
        <w:t>Harvard Law Review</w:t>
      </w:r>
      <w:r w:rsidRPr="6BC20A90" w:rsidR="56DCEBBD">
        <w:rPr>
          <w:rFonts w:ascii="Calibri" w:hAnsi="Calibri" w:eastAsia="Calibri" w:cs="Calibri"/>
          <w:b w:val="0"/>
          <w:bCs w:val="0"/>
          <w:i w:val="0"/>
          <w:iCs w:val="0"/>
          <w:caps w:val="0"/>
          <w:smallCaps w:val="0"/>
          <w:color w:val="000000" w:themeColor="text1" w:themeTint="FF" w:themeShade="FF"/>
          <w:sz w:val="24"/>
          <w:szCs w:val="24"/>
        </w:rPr>
        <w:t xml:space="preserve">: </w:t>
      </w:r>
      <w:r w:rsidRPr="6BC20A90" w:rsidR="6914771D">
        <w:rPr>
          <w:rFonts w:ascii="Calibri" w:hAnsi="Calibri" w:eastAsia="Calibri" w:cs="Calibri"/>
          <w:b w:val="0"/>
          <w:bCs w:val="0"/>
          <w:i w:val="0"/>
          <w:iCs w:val="0"/>
          <w:caps w:val="0"/>
          <w:smallCaps w:val="0"/>
          <w:color w:val="000000" w:themeColor="text1" w:themeTint="FF" w:themeShade="FF"/>
          <w:sz w:val="24"/>
          <w:szCs w:val="24"/>
        </w:rPr>
        <w:t>P</w:t>
      </w:r>
      <w:r w:rsidRPr="6BC20A90" w:rsidR="388495DA">
        <w:rPr>
          <w:rFonts w:ascii="Calibri" w:hAnsi="Calibri" w:eastAsia="Calibri" w:cs="Calibri"/>
          <w:b w:val="0"/>
          <w:bCs w:val="0"/>
          <w:i w:val="0"/>
          <w:iCs w:val="0"/>
          <w:caps w:val="0"/>
          <w:smallCaps w:val="0"/>
          <w:color w:val="000000" w:themeColor="text1" w:themeTint="FF" w:themeShade="FF"/>
          <w:sz w:val="24"/>
          <w:szCs w:val="24"/>
        </w:rPr>
        <w:t>.</w:t>
      </w:r>
      <w:r w:rsidRPr="6BC20A90" w:rsidR="6914771D">
        <w:rPr>
          <w:rFonts w:ascii="Calibri" w:hAnsi="Calibri" w:eastAsia="Calibri" w:cs="Calibri"/>
          <w:b w:val="0"/>
          <w:bCs w:val="0"/>
          <w:i w:val="0"/>
          <w:iCs w:val="0"/>
          <w:caps w:val="0"/>
          <w:smallCaps w:val="0"/>
          <w:color w:val="000000" w:themeColor="text1" w:themeTint="FF" w:themeShade="FF"/>
          <w:sz w:val="24"/>
          <w:szCs w:val="24"/>
        </w:rPr>
        <w:t xml:space="preserve"> </w:t>
      </w:r>
      <w:r w:rsidRPr="6BC20A90" w:rsidR="56DCEBBD">
        <w:rPr>
          <w:rFonts w:ascii="Calibri" w:hAnsi="Calibri" w:eastAsia="Calibri" w:cs="Calibri"/>
          <w:b w:val="0"/>
          <w:bCs w:val="0"/>
          <w:i w:val="0"/>
          <w:iCs w:val="0"/>
          <w:caps w:val="0"/>
          <w:smallCaps w:val="0"/>
          <w:color w:val="000000" w:themeColor="text1" w:themeTint="FF" w:themeShade="FF"/>
          <w:sz w:val="24"/>
          <w:szCs w:val="24"/>
        </w:rPr>
        <w:t>1-19.</w:t>
      </w:r>
    </w:p>
    <w:p w:rsidR="6C323656" w:rsidP="4A7755F1" w:rsidRDefault="6C323656" w14:paraId="650C1278" w14:textId="51375E42">
      <w:pPr>
        <w:pStyle w:val="Normal"/>
        <w:spacing w:before="0" w:beforeAutospacing="off" w:line="480" w:lineRule="auto"/>
      </w:pPr>
      <w:r w:rsidRPr="4A7755F1" w:rsidR="6C323656">
        <w:rPr>
          <w:rFonts w:ascii="Calibri" w:hAnsi="Calibri" w:eastAsia="Calibri" w:cs="Calibri"/>
          <w:sz w:val="24"/>
          <w:szCs w:val="24"/>
        </w:rPr>
        <w:t>World Health Organization, (2017</w:t>
      </w:r>
      <w:r w:rsidRPr="4A7755F1" w:rsidR="6C323656">
        <w:rPr>
          <w:rFonts w:ascii="Calibri" w:hAnsi="Calibri" w:eastAsia="Calibri" w:cs="Calibri"/>
          <w:sz w:val="24"/>
          <w:szCs w:val="24"/>
        </w:rPr>
        <w:t>),</w:t>
      </w:r>
      <w:r w:rsidRPr="4A7755F1" w:rsidR="6C323656">
        <w:rPr>
          <w:rFonts w:ascii="Calibri" w:hAnsi="Calibri" w:eastAsia="Calibri" w:cs="Calibri"/>
          <w:sz w:val="24"/>
          <w:szCs w:val="24"/>
        </w:rPr>
        <w:t xml:space="preserve"> </w:t>
      </w:r>
    </w:p>
    <w:p w:rsidR="6C323656" w:rsidP="4A7755F1" w:rsidRDefault="6C323656" w14:paraId="72D4DD8D" w14:textId="10129DA9">
      <w:pPr>
        <w:spacing w:line="480" w:lineRule="auto"/>
      </w:pPr>
      <w:r>
        <w:br w:type="page"/>
      </w:r>
    </w:p>
    <w:p w:rsidR="6C323656" w:rsidP="4A7755F1" w:rsidRDefault="6C323656" w14:paraId="7100334E" w14:textId="14E4787C">
      <w:pPr>
        <w:pStyle w:val="Normal"/>
        <w:spacing w:before="0" w:beforeAutospacing="off" w:line="480" w:lineRule="auto"/>
      </w:pPr>
      <w:r w:rsidRPr="4A7755F1" w:rsidR="6C323656">
        <w:rPr>
          <w:rFonts w:ascii="Calibri" w:hAnsi="Calibri" w:eastAsia="Calibri" w:cs="Calibri"/>
          <w:sz w:val="24"/>
          <w:szCs w:val="24"/>
        </w:rPr>
        <w:t>, https://www.</w:t>
      </w:r>
      <w:r w:rsidRPr="4A7755F1" w:rsidR="625E0496">
        <w:rPr>
          <w:rFonts w:ascii="sans-serif" w:hAnsi="sans-serif" w:eastAsia="sans-serif" w:cs="sans-serif"/>
          <w:b w:val="0"/>
          <w:bCs w:val="0"/>
          <w:i w:val="0"/>
          <w:iCs w:val="0"/>
          <w:caps w:val="0"/>
          <w:smallCaps w:val="0"/>
          <w:color w:val="18191B"/>
          <w:sz w:val="24"/>
          <w:szCs w:val="24"/>
        </w:rPr>
        <w:t xml:space="preserve"> Cook, J. (1999). </w:t>
      </w:r>
      <w:r w:rsidRPr="4A7755F1" w:rsidR="625E0496">
        <w:rPr>
          <w:rFonts w:ascii="sans-serif" w:hAnsi="sans-serif" w:eastAsia="sans-serif" w:cs="sans-serif"/>
          <w:b w:val="0"/>
          <w:bCs w:val="0"/>
          <w:i w:val="1"/>
          <w:iCs w:val="1"/>
          <w:caps w:val="0"/>
          <w:smallCaps w:val="0"/>
          <w:color w:val="18191B"/>
          <w:sz w:val="24"/>
          <w:szCs w:val="24"/>
        </w:rPr>
        <w:t>Morality and cultural differences.</w:t>
      </w:r>
      <w:r w:rsidRPr="4A7755F1" w:rsidR="625E0496">
        <w:rPr>
          <w:rFonts w:ascii="sans-serif" w:hAnsi="sans-serif" w:eastAsia="sans-serif" w:cs="sans-serif"/>
          <w:b w:val="0"/>
          <w:bCs w:val="0"/>
          <w:i w:val="0"/>
          <w:iCs w:val="0"/>
          <w:caps w:val="0"/>
          <w:smallCaps w:val="0"/>
          <w:color w:val="18191B"/>
          <w:sz w:val="24"/>
          <w:szCs w:val="24"/>
        </w:rPr>
        <w:t xml:space="preserve"> New York: Oxford University Press.</w:t>
      </w:r>
    </w:p>
    <w:p w:rsidR="6C323656" w:rsidP="4A7755F1" w:rsidRDefault="6C323656" w14:paraId="14C83344" w14:textId="3ED92559">
      <w:pPr>
        <w:pStyle w:val="Normal"/>
        <w:spacing w:line="480" w:lineRule="auto"/>
      </w:pPr>
      <w:r w:rsidRPr="4A7755F1" w:rsidR="2A85063E">
        <w:rPr>
          <w:rFonts w:ascii="sans-serif" w:hAnsi="sans-serif" w:eastAsia="sans-serif" w:cs="sans-serif"/>
          <w:sz w:val="25"/>
          <w:szCs w:val="25"/>
        </w:rPr>
        <w:t xml:space="preserve">Data Protection Act (2018) </w:t>
      </w:r>
      <w:r w:rsidRPr="4A7755F1" w:rsidR="4F0E4B26">
        <w:rPr>
          <w:rFonts w:ascii="sans-serif" w:hAnsi="sans-serif" w:eastAsia="sans-serif" w:cs="sans-serif"/>
          <w:i w:val="1"/>
          <w:iCs w:val="1"/>
          <w:sz w:val="25"/>
          <w:szCs w:val="25"/>
        </w:rPr>
        <w:t xml:space="preserve">Sharing personal data with law enforcement authorities, </w:t>
      </w:r>
      <w:r w:rsidRPr="4A7755F1" w:rsidR="4F0E4B26">
        <w:rPr>
          <w:rFonts w:ascii="sans-serif" w:hAnsi="sans-serif" w:eastAsia="sans-serif" w:cs="sans-serif"/>
          <w:i w:val="0"/>
          <w:iCs w:val="0"/>
          <w:sz w:val="25"/>
          <w:szCs w:val="25"/>
        </w:rPr>
        <w:t xml:space="preserve">Available at: </w:t>
      </w:r>
      <w:hyperlink w:anchor=":~:text=The%20UK%20GDPR%2C%20together%20with,investigation%20and%20detection%20of%20crime" r:id="R36c217dbc8df4358">
        <w:r w:rsidRPr="4A7755F1" w:rsidR="2A85063E">
          <w:rPr>
            <w:rStyle w:val="Hyperlink"/>
            <w:rFonts w:ascii="sans-serif" w:hAnsi="sans-serif" w:eastAsia="sans-serif" w:cs="sans-serif"/>
            <w:sz w:val="25"/>
            <w:szCs w:val="25"/>
          </w:rPr>
          <w:t>https://ico.org.uk/for-organisations/uk-gdpr-guidance-and-resources/data-sharing/sharing-personal-data-with-law-enforcement-authorities/#:~:text=The%20UK%20GDPR%2C%20together%20with,investigation%20and%20detection%20of%20crime</w:t>
        </w:r>
      </w:hyperlink>
      <w:r w:rsidRPr="4A7755F1" w:rsidR="2A85063E">
        <w:rPr>
          <w:rFonts w:ascii="sans-serif" w:hAnsi="sans-serif" w:eastAsia="sans-serif" w:cs="sans-serif"/>
          <w:sz w:val="25"/>
          <w:szCs w:val="25"/>
        </w:rPr>
        <w:t>.</w:t>
      </w:r>
      <w:r w:rsidRPr="4A7755F1" w:rsidR="6C8170CE">
        <w:rPr>
          <w:rFonts w:ascii="sans-serif" w:hAnsi="sans-serif" w:eastAsia="sans-serif" w:cs="sans-serif"/>
          <w:sz w:val="25"/>
          <w:szCs w:val="25"/>
        </w:rPr>
        <w:t xml:space="preserve"> (Assessed 5</w:t>
      </w:r>
      <w:r w:rsidRPr="4A7755F1" w:rsidR="6C8170CE">
        <w:rPr>
          <w:rFonts w:ascii="sans-serif" w:hAnsi="sans-serif" w:eastAsia="sans-serif" w:cs="sans-serif"/>
          <w:sz w:val="25"/>
          <w:szCs w:val="25"/>
          <w:vertAlign w:val="superscript"/>
        </w:rPr>
        <w:t>th</w:t>
      </w:r>
      <w:r w:rsidRPr="4A7755F1" w:rsidR="6C8170CE">
        <w:rPr>
          <w:rFonts w:ascii="sans-serif" w:hAnsi="sans-serif" w:eastAsia="sans-serif" w:cs="sans-serif"/>
          <w:sz w:val="25"/>
          <w:szCs w:val="25"/>
        </w:rPr>
        <w:t xml:space="preserve"> </w:t>
      </w:r>
      <w:r w:rsidRPr="4A7755F1" w:rsidR="6C8170CE">
        <w:rPr>
          <w:rFonts w:ascii="sans-serif" w:hAnsi="sans-serif" w:eastAsia="sans-serif" w:cs="sans-serif"/>
          <w:sz w:val="25"/>
          <w:szCs w:val="25"/>
        </w:rPr>
        <w:t>December</w:t>
      </w:r>
      <w:r w:rsidRPr="4A7755F1" w:rsidR="6C8170CE">
        <w:rPr>
          <w:rFonts w:ascii="sans-serif" w:hAnsi="sans-serif" w:eastAsia="sans-serif" w:cs="sans-serif"/>
          <w:sz w:val="25"/>
          <w:szCs w:val="25"/>
        </w:rPr>
        <w:t xml:space="preserve"> 2003)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a9gk//bKlLKsTC" int2:id="elG2Ev7q">
      <int2:state int2:type="AugLoop_Text_Critique" int2:value="Rejected"/>
    </int2:textHash>
    <int2:textHash int2:hashCode="oEsaJXjneySgKw" int2:id="C5PKg9I6">
      <int2:state int2:type="AugLoop_Text_Critique" int2:value="Rejected"/>
    </int2:textHash>
  </int2:observations>
  <int2:intelligenceSettings>
    <int2:extLst>
      <oel:ext uri="74B372B9-2EFF-4315-9A3F-32BA87CA82B1">
        <int2:goals int2:version="1" int2:formality="0"/>
      </oel:ext>
    </int2:extLst>
  </int2:intelligenceSettings>
  <int2:onDemandWorkflows>
    <int2:onDemandWorkflow int2:type="SimilarityCheck" int2:paragraphVersions="02AC2306-10DBF40D 23A1FC49-5F5ED717 599C529A-4FFA5AAB 4A6FF595-18658D87 0B335174-69483808 64D1B8F1-583C370E 7C12D088-7041A861 140014A9-5AEA9408 767E0524-1C85CE43 7866897A-0896FA08 267F194B-330F84AB 1BED81F2-6B81D295 607B31DE-1DF096A7 4E08C678-6BACE1E9 730CCCFE-59EA6B11 7847BB5D-1F152662 55E8E602-77460EB5 3744584C-7CBCA8A9 65DFFB86-20831E5E 7B8FB7A4-13ADB675 156332C3-42FE1073 3D0BFF49-36349848 70156D74-2FC1C830 510104E2-1EFDEF3F 69A44C60-21C09D56 244F1533-5AC468DB 6C5190DA-3B4908F1 21D4BF68-3145EF01 5CC4449C-5787C4A9 7E525369-11712A48 44DCBEFD-626AA84C 3B3083AD-1B64FB7A 5C060561-69CE8C4A 58EBB6E6-114AADAC 06252F7F-1213EC63 36FB970F-7A8D2F17 603D485A-6C4649F8 57A0F918-2557B7B2 10AA5A2F-58ABB3FA 04DD2A02-7962DC8B 60BC5650-65691335 14C83344-2881829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3C4CEF"/>
    <w:rsid w:val="011126B0"/>
    <w:rsid w:val="011D3E2E"/>
    <w:rsid w:val="01726546"/>
    <w:rsid w:val="01863A14"/>
    <w:rsid w:val="02205929"/>
    <w:rsid w:val="026E1A36"/>
    <w:rsid w:val="029B1540"/>
    <w:rsid w:val="030E35A7"/>
    <w:rsid w:val="03220A75"/>
    <w:rsid w:val="03DBFA20"/>
    <w:rsid w:val="03F0C1C7"/>
    <w:rsid w:val="04AA0608"/>
    <w:rsid w:val="04B37B12"/>
    <w:rsid w:val="0577CA81"/>
    <w:rsid w:val="05A6F275"/>
    <w:rsid w:val="05E62481"/>
    <w:rsid w:val="0744A719"/>
    <w:rsid w:val="0775A9A0"/>
    <w:rsid w:val="083CC10F"/>
    <w:rsid w:val="0844E6DD"/>
    <w:rsid w:val="08AF6B43"/>
    <w:rsid w:val="08D1BF63"/>
    <w:rsid w:val="0999163B"/>
    <w:rsid w:val="0B98B864"/>
    <w:rsid w:val="0BF85C1C"/>
    <w:rsid w:val="0C148EDD"/>
    <w:rsid w:val="0CC5E331"/>
    <w:rsid w:val="0D0A0434"/>
    <w:rsid w:val="0DB05F3E"/>
    <w:rsid w:val="0E7CA98E"/>
    <w:rsid w:val="0EB06062"/>
    <w:rsid w:val="0EC99D54"/>
    <w:rsid w:val="0ED1328B"/>
    <w:rsid w:val="0F6B51CE"/>
    <w:rsid w:val="0F8740CA"/>
    <w:rsid w:val="0FE069D8"/>
    <w:rsid w:val="104F679B"/>
    <w:rsid w:val="10627A62"/>
    <w:rsid w:val="10725F0B"/>
    <w:rsid w:val="10BAA85E"/>
    <w:rsid w:val="11DB2636"/>
    <w:rsid w:val="1238861F"/>
    <w:rsid w:val="12E7FF1C"/>
    <w:rsid w:val="1341E284"/>
    <w:rsid w:val="138C6EA6"/>
    <w:rsid w:val="13A9FFCD"/>
    <w:rsid w:val="13FE3C53"/>
    <w:rsid w:val="14DDB2E5"/>
    <w:rsid w:val="15BFFC9D"/>
    <w:rsid w:val="16CC96F4"/>
    <w:rsid w:val="17058F03"/>
    <w:rsid w:val="1731AC32"/>
    <w:rsid w:val="175BCCFE"/>
    <w:rsid w:val="175C9E59"/>
    <w:rsid w:val="17B8A2D9"/>
    <w:rsid w:val="18805EAD"/>
    <w:rsid w:val="18E37CC7"/>
    <w:rsid w:val="18F3F52F"/>
    <w:rsid w:val="194C55BD"/>
    <w:rsid w:val="19A84862"/>
    <w:rsid w:val="19C1229D"/>
    <w:rsid w:val="1A3FF6C2"/>
    <w:rsid w:val="1A632BDC"/>
    <w:rsid w:val="1BBDFC1D"/>
    <w:rsid w:val="1C051D55"/>
    <w:rsid w:val="1C56F765"/>
    <w:rsid w:val="1CB51139"/>
    <w:rsid w:val="1CC0F550"/>
    <w:rsid w:val="1CE52D62"/>
    <w:rsid w:val="1D99D511"/>
    <w:rsid w:val="1ECE8647"/>
    <w:rsid w:val="1EF2D8DD"/>
    <w:rsid w:val="1F053456"/>
    <w:rsid w:val="1F35A572"/>
    <w:rsid w:val="1F8FBC12"/>
    <w:rsid w:val="1FCD61F5"/>
    <w:rsid w:val="200D644D"/>
    <w:rsid w:val="21038C89"/>
    <w:rsid w:val="22062709"/>
    <w:rsid w:val="22E88DCC"/>
    <w:rsid w:val="22F944BD"/>
    <w:rsid w:val="230A22CE"/>
    <w:rsid w:val="231BA79D"/>
    <w:rsid w:val="24810132"/>
    <w:rsid w:val="249111BA"/>
    <w:rsid w:val="25281BF2"/>
    <w:rsid w:val="25918F1A"/>
    <w:rsid w:val="26FFB1DF"/>
    <w:rsid w:val="27B9FC0A"/>
    <w:rsid w:val="27C5CDD4"/>
    <w:rsid w:val="27E8B629"/>
    <w:rsid w:val="28AFBB6F"/>
    <w:rsid w:val="29549717"/>
    <w:rsid w:val="295B1BDE"/>
    <w:rsid w:val="297551F0"/>
    <w:rsid w:val="2A85063E"/>
    <w:rsid w:val="2AF06778"/>
    <w:rsid w:val="2B2DE7B5"/>
    <w:rsid w:val="2B4DBD18"/>
    <w:rsid w:val="2B8933E5"/>
    <w:rsid w:val="2BAD094F"/>
    <w:rsid w:val="2BB0295D"/>
    <w:rsid w:val="2D8107AA"/>
    <w:rsid w:val="2DD0A784"/>
    <w:rsid w:val="2DD7BC6B"/>
    <w:rsid w:val="2DEC8052"/>
    <w:rsid w:val="2E087564"/>
    <w:rsid w:val="2EDABF80"/>
    <w:rsid w:val="2EE61774"/>
    <w:rsid w:val="2FA445C5"/>
    <w:rsid w:val="2FACA977"/>
    <w:rsid w:val="2FE0B71A"/>
    <w:rsid w:val="30AAB09D"/>
    <w:rsid w:val="3117EC7A"/>
    <w:rsid w:val="31A97C42"/>
    <w:rsid w:val="31C32BC0"/>
    <w:rsid w:val="31CA36D5"/>
    <w:rsid w:val="32243859"/>
    <w:rsid w:val="32DBE687"/>
    <w:rsid w:val="33100DC6"/>
    <w:rsid w:val="335E0494"/>
    <w:rsid w:val="337B1D6D"/>
    <w:rsid w:val="34321536"/>
    <w:rsid w:val="344440BE"/>
    <w:rsid w:val="355BD91B"/>
    <w:rsid w:val="35E0111F"/>
    <w:rsid w:val="360DC953"/>
    <w:rsid w:val="36EFBBF6"/>
    <w:rsid w:val="37A999B4"/>
    <w:rsid w:val="38035C32"/>
    <w:rsid w:val="388495DA"/>
    <w:rsid w:val="389379DD"/>
    <w:rsid w:val="3893AB2E"/>
    <w:rsid w:val="39456A15"/>
    <w:rsid w:val="39577DD1"/>
    <w:rsid w:val="3A98203A"/>
    <w:rsid w:val="3AE13A76"/>
    <w:rsid w:val="3B691679"/>
    <w:rsid w:val="3E05CCA7"/>
    <w:rsid w:val="3E0EAB23"/>
    <w:rsid w:val="3E41899D"/>
    <w:rsid w:val="3F02BB61"/>
    <w:rsid w:val="3F09A8D3"/>
    <w:rsid w:val="3F48B60D"/>
    <w:rsid w:val="40249866"/>
    <w:rsid w:val="40D6D715"/>
    <w:rsid w:val="411E2C3B"/>
    <w:rsid w:val="41464BE5"/>
    <w:rsid w:val="417138D2"/>
    <w:rsid w:val="41EAC127"/>
    <w:rsid w:val="423A5C23"/>
    <w:rsid w:val="431B1ADD"/>
    <w:rsid w:val="432F08E4"/>
    <w:rsid w:val="439EA434"/>
    <w:rsid w:val="43D326B8"/>
    <w:rsid w:val="43D9F9C9"/>
    <w:rsid w:val="443C4CEF"/>
    <w:rsid w:val="44B67F60"/>
    <w:rsid w:val="452D10FB"/>
    <w:rsid w:val="4571FCE5"/>
    <w:rsid w:val="45AC0743"/>
    <w:rsid w:val="46319899"/>
    <w:rsid w:val="46B6204F"/>
    <w:rsid w:val="470DCD46"/>
    <w:rsid w:val="478D7C5B"/>
    <w:rsid w:val="47E867DC"/>
    <w:rsid w:val="47E99AD3"/>
    <w:rsid w:val="499B73FE"/>
    <w:rsid w:val="4A087041"/>
    <w:rsid w:val="4A0DF84C"/>
    <w:rsid w:val="4A426F27"/>
    <w:rsid w:val="4A7755F1"/>
    <w:rsid w:val="4C132652"/>
    <w:rsid w:val="4C8FA1A6"/>
    <w:rsid w:val="4CB3EB79"/>
    <w:rsid w:val="4D1CB6B3"/>
    <w:rsid w:val="4D9C31C0"/>
    <w:rsid w:val="4DAEF6B3"/>
    <w:rsid w:val="4E20FDFF"/>
    <w:rsid w:val="4E4FBBDA"/>
    <w:rsid w:val="4E5F9AED"/>
    <w:rsid w:val="4EBEC88B"/>
    <w:rsid w:val="4EFE92E3"/>
    <w:rsid w:val="4F0E4B26"/>
    <w:rsid w:val="5103EEE8"/>
    <w:rsid w:val="51C63C5E"/>
    <w:rsid w:val="51D44518"/>
    <w:rsid w:val="51F8201E"/>
    <w:rsid w:val="5260DC55"/>
    <w:rsid w:val="528267D6"/>
    <w:rsid w:val="52B7B471"/>
    <w:rsid w:val="52DFB23E"/>
    <w:rsid w:val="536983B7"/>
    <w:rsid w:val="538F4209"/>
    <w:rsid w:val="549BFDF7"/>
    <w:rsid w:val="55013DC6"/>
    <w:rsid w:val="5596FBA7"/>
    <w:rsid w:val="56A01F1D"/>
    <w:rsid w:val="56DCEBBD"/>
    <w:rsid w:val="578B4211"/>
    <w:rsid w:val="5796F3EF"/>
    <w:rsid w:val="579F3F6F"/>
    <w:rsid w:val="57A8A0A0"/>
    <w:rsid w:val="57E3A80D"/>
    <w:rsid w:val="59413895"/>
    <w:rsid w:val="5A800F58"/>
    <w:rsid w:val="5AD9B000"/>
    <w:rsid w:val="5C2FE4B2"/>
    <w:rsid w:val="5C8B6BC3"/>
    <w:rsid w:val="5DCDB149"/>
    <w:rsid w:val="5E725A61"/>
    <w:rsid w:val="5F3211C1"/>
    <w:rsid w:val="605D89C8"/>
    <w:rsid w:val="615EDCE6"/>
    <w:rsid w:val="61F07E32"/>
    <w:rsid w:val="6225F09C"/>
    <w:rsid w:val="6241BF51"/>
    <w:rsid w:val="625444F5"/>
    <w:rsid w:val="625E0496"/>
    <w:rsid w:val="625EA757"/>
    <w:rsid w:val="62E727AD"/>
    <w:rsid w:val="64298494"/>
    <w:rsid w:val="669F0C8C"/>
    <w:rsid w:val="6702D4BC"/>
    <w:rsid w:val="679D3EE3"/>
    <w:rsid w:val="67B1788D"/>
    <w:rsid w:val="6857756A"/>
    <w:rsid w:val="6909A8F1"/>
    <w:rsid w:val="6914771D"/>
    <w:rsid w:val="6A2701E3"/>
    <w:rsid w:val="6AE786A2"/>
    <w:rsid w:val="6AF93FFF"/>
    <w:rsid w:val="6B9E36DF"/>
    <w:rsid w:val="6BC20A90"/>
    <w:rsid w:val="6BC34EB1"/>
    <w:rsid w:val="6C19EC8D"/>
    <w:rsid w:val="6C323656"/>
    <w:rsid w:val="6C8170CE"/>
    <w:rsid w:val="6DC2BB29"/>
    <w:rsid w:val="6FF0268B"/>
    <w:rsid w:val="702E9C4D"/>
    <w:rsid w:val="70CF6EFE"/>
    <w:rsid w:val="713E61C0"/>
    <w:rsid w:val="71703F56"/>
    <w:rsid w:val="726B3F5F"/>
    <w:rsid w:val="734A4997"/>
    <w:rsid w:val="77178971"/>
    <w:rsid w:val="775DF45F"/>
    <w:rsid w:val="7772BDEC"/>
    <w:rsid w:val="78505E75"/>
    <w:rsid w:val="79B444D9"/>
    <w:rsid w:val="7B825CAA"/>
    <w:rsid w:val="7CE0C7E5"/>
    <w:rsid w:val="7D0294C7"/>
    <w:rsid w:val="7D3819CC"/>
    <w:rsid w:val="7D64F64B"/>
    <w:rsid w:val="7D74D75A"/>
    <w:rsid w:val="7E9DA5A6"/>
    <w:rsid w:val="7EB6743E"/>
    <w:rsid w:val="7EEB89F6"/>
    <w:rsid w:val="7F40F68D"/>
    <w:rsid w:val="7F54B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C4CEF"/>
  <w15:chartTrackingRefBased/>
  <w15:docId w15:val="{B50ABB6C-33F6-4564-A41B-D86F3BB790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BC20A9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6BC20A90"/>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BC20A90"/>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BC20A90"/>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BC20A90"/>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BC20A90"/>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BC20A90"/>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BC20A90"/>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BC20A90"/>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BC20A90"/>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BC20A90"/>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BC20A90"/>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BC20A9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BC20A9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BC20A90"/>
    <w:pPr>
      <w:spacing/>
      <w:ind w:left="720"/>
      <w:contextualSpacing/>
    </w:pPr>
  </w:style>
  <w:style w:type="character" w:styleId="Heading1Char" w:customStyle="true">
    <w:uiPriority w:val="9"/>
    <w:name w:val="Heading 1 Char"/>
    <w:basedOn w:val="DefaultParagraphFont"/>
    <w:link w:val="Heading1"/>
    <w:rsid w:val="6BC20A90"/>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BC20A90"/>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BC20A90"/>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BC20A90"/>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BC20A90"/>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BC20A90"/>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BC20A90"/>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BC20A90"/>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BC20A90"/>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BC20A90"/>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BC20A90"/>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BC20A90"/>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BC20A90"/>
    <w:rPr>
      <w:i w:val="1"/>
      <w:iCs w:val="1"/>
      <w:noProof w:val="0"/>
      <w:color w:val="4472C4" w:themeColor="accent1" w:themeTint="FF" w:themeShade="FF"/>
      <w:lang w:val="en-GB"/>
    </w:rPr>
  </w:style>
  <w:style w:type="paragraph" w:styleId="TOC1">
    <w:uiPriority w:val="39"/>
    <w:name w:val="toc 1"/>
    <w:basedOn w:val="Normal"/>
    <w:next w:val="Normal"/>
    <w:unhideWhenUsed/>
    <w:rsid w:val="6BC20A90"/>
    <w:pPr>
      <w:spacing w:after="100"/>
    </w:pPr>
  </w:style>
  <w:style w:type="paragraph" w:styleId="TOC2">
    <w:uiPriority w:val="39"/>
    <w:name w:val="toc 2"/>
    <w:basedOn w:val="Normal"/>
    <w:next w:val="Normal"/>
    <w:unhideWhenUsed/>
    <w:rsid w:val="6BC20A90"/>
    <w:pPr>
      <w:spacing w:after="100"/>
      <w:ind w:left="220"/>
    </w:pPr>
  </w:style>
  <w:style w:type="paragraph" w:styleId="TOC3">
    <w:uiPriority w:val="39"/>
    <w:name w:val="toc 3"/>
    <w:basedOn w:val="Normal"/>
    <w:next w:val="Normal"/>
    <w:unhideWhenUsed/>
    <w:rsid w:val="6BC20A90"/>
    <w:pPr>
      <w:spacing w:after="100"/>
      <w:ind w:left="440"/>
    </w:pPr>
  </w:style>
  <w:style w:type="paragraph" w:styleId="TOC4">
    <w:uiPriority w:val="39"/>
    <w:name w:val="toc 4"/>
    <w:basedOn w:val="Normal"/>
    <w:next w:val="Normal"/>
    <w:unhideWhenUsed/>
    <w:rsid w:val="6BC20A90"/>
    <w:pPr>
      <w:spacing w:after="100"/>
      <w:ind w:left="660"/>
    </w:pPr>
  </w:style>
  <w:style w:type="paragraph" w:styleId="TOC5">
    <w:uiPriority w:val="39"/>
    <w:name w:val="toc 5"/>
    <w:basedOn w:val="Normal"/>
    <w:next w:val="Normal"/>
    <w:unhideWhenUsed/>
    <w:rsid w:val="6BC20A90"/>
    <w:pPr>
      <w:spacing w:after="100"/>
      <w:ind w:left="880"/>
    </w:pPr>
  </w:style>
  <w:style w:type="paragraph" w:styleId="TOC6">
    <w:uiPriority w:val="39"/>
    <w:name w:val="toc 6"/>
    <w:basedOn w:val="Normal"/>
    <w:next w:val="Normal"/>
    <w:unhideWhenUsed/>
    <w:rsid w:val="6BC20A90"/>
    <w:pPr>
      <w:spacing w:after="100"/>
      <w:ind w:left="1100"/>
    </w:pPr>
  </w:style>
  <w:style w:type="paragraph" w:styleId="TOC7">
    <w:uiPriority w:val="39"/>
    <w:name w:val="toc 7"/>
    <w:basedOn w:val="Normal"/>
    <w:next w:val="Normal"/>
    <w:unhideWhenUsed/>
    <w:rsid w:val="6BC20A90"/>
    <w:pPr>
      <w:spacing w:after="100"/>
      <w:ind w:left="1320"/>
    </w:pPr>
  </w:style>
  <w:style w:type="paragraph" w:styleId="TOC8">
    <w:uiPriority w:val="39"/>
    <w:name w:val="toc 8"/>
    <w:basedOn w:val="Normal"/>
    <w:next w:val="Normal"/>
    <w:unhideWhenUsed/>
    <w:rsid w:val="6BC20A90"/>
    <w:pPr>
      <w:spacing w:after="100"/>
      <w:ind w:left="1540"/>
    </w:pPr>
  </w:style>
  <w:style w:type="paragraph" w:styleId="TOC9">
    <w:uiPriority w:val="39"/>
    <w:name w:val="toc 9"/>
    <w:basedOn w:val="Normal"/>
    <w:next w:val="Normal"/>
    <w:unhideWhenUsed/>
    <w:rsid w:val="6BC20A90"/>
    <w:pPr>
      <w:spacing w:after="100"/>
      <w:ind w:left="1760"/>
    </w:pPr>
  </w:style>
  <w:style w:type="paragraph" w:styleId="EndnoteText">
    <w:uiPriority w:val="99"/>
    <w:name w:val="endnote text"/>
    <w:basedOn w:val="Normal"/>
    <w:semiHidden/>
    <w:unhideWhenUsed/>
    <w:link w:val="EndnoteTextChar"/>
    <w:rsid w:val="6BC20A90"/>
    <w:rPr>
      <w:sz w:val="20"/>
      <w:szCs w:val="20"/>
    </w:rPr>
    <w:pPr>
      <w:spacing w:after="0"/>
    </w:pPr>
  </w:style>
  <w:style w:type="character" w:styleId="EndnoteTextChar" w:customStyle="true">
    <w:uiPriority w:val="99"/>
    <w:name w:val="Endnote Text Char"/>
    <w:basedOn w:val="DefaultParagraphFont"/>
    <w:semiHidden/>
    <w:link w:val="EndnoteText"/>
    <w:rsid w:val="6BC20A90"/>
    <w:rPr>
      <w:noProof w:val="0"/>
      <w:sz w:val="20"/>
      <w:szCs w:val="20"/>
      <w:lang w:val="en-GB"/>
    </w:rPr>
  </w:style>
  <w:style w:type="paragraph" w:styleId="Footer">
    <w:uiPriority w:val="99"/>
    <w:name w:val="footer"/>
    <w:basedOn w:val="Normal"/>
    <w:unhideWhenUsed/>
    <w:link w:val="FooterChar"/>
    <w:rsid w:val="6BC20A9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BC20A90"/>
    <w:rPr>
      <w:noProof w:val="0"/>
      <w:lang w:val="en-GB"/>
    </w:rPr>
  </w:style>
  <w:style w:type="paragraph" w:styleId="FootnoteText">
    <w:uiPriority w:val="99"/>
    <w:name w:val="footnote text"/>
    <w:basedOn w:val="Normal"/>
    <w:semiHidden/>
    <w:unhideWhenUsed/>
    <w:link w:val="FootnoteTextChar"/>
    <w:rsid w:val="6BC20A90"/>
    <w:rPr>
      <w:sz w:val="20"/>
      <w:szCs w:val="20"/>
    </w:rPr>
    <w:pPr>
      <w:spacing w:after="0"/>
    </w:pPr>
  </w:style>
  <w:style w:type="character" w:styleId="FootnoteTextChar" w:customStyle="true">
    <w:uiPriority w:val="99"/>
    <w:name w:val="Footnote Text Char"/>
    <w:basedOn w:val="DefaultParagraphFont"/>
    <w:semiHidden/>
    <w:link w:val="FootnoteText"/>
    <w:rsid w:val="6BC20A90"/>
    <w:rPr>
      <w:noProof w:val="0"/>
      <w:sz w:val="20"/>
      <w:szCs w:val="20"/>
      <w:lang w:val="en-GB"/>
    </w:rPr>
  </w:style>
  <w:style w:type="paragraph" w:styleId="Header">
    <w:uiPriority w:val="99"/>
    <w:name w:val="header"/>
    <w:basedOn w:val="Normal"/>
    <w:unhideWhenUsed/>
    <w:link w:val="HeaderChar"/>
    <w:rsid w:val="6BC20A9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BC20A90"/>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a4979f90e7f4048" /><Relationship Type="http://schemas.openxmlformats.org/officeDocument/2006/relationships/hyperlink" Target="https://www.campbellcollaboration.org/better-evidence/impacts-of-body-worn-cameras-in-policing.html" TargetMode="External" Id="Rb8a7b70159af4b9a" /><Relationship Type="http://schemas.openxmlformats.org/officeDocument/2006/relationships/hyperlink" Target="https://www.procon.org/headlines/police-body-cameras-top-3-pros-and-cons/" TargetMode="External" Id="R14c2e7596f4240c3" /><Relationship Type="http://schemas.openxmlformats.org/officeDocument/2006/relationships/hyperlink" Target="https://www.college.police.uk/app/stop-and-search/stop-and-search" TargetMode="External" Id="Ra51e1671d5264f7c" /><Relationship Type="http://schemas.openxmlformats.org/officeDocument/2006/relationships/hyperlink" Target="https://ico.org.uk/for-organisations/uk-gdpr-guidance-and-resources/data-sharing/sharing-personal-data-with-law-enforcement-authorities/" TargetMode="External" Id="R36c217dbc8df43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2023-12-02T19:08:23.1278666Z</dcterms:created>
  <dcterms:modified xsi:type="dcterms:W3CDTF">2024-01-12T11:41:26.1760012Z</dcterms:modified>
  <dc:creator>Leighann Eddison (2317252)</dc:creator>
  <lastModifiedBy>Leighann Eddison (2317252)</lastModifiedBy>
</coreProperties>
</file>