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80515" w14:textId="77777777" w:rsidR="002D7E2F" w:rsidRDefault="002D7E2F">
      <w:pPr>
        <w:widowControl w:val="0"/>
        <w:pBdr>
          <w:top w:val="nil"/>
          <w:left w:val="nil"/>
          <w:bottom w:val="nil"/>
          <w:right w:val="nil"/>
          <w:between w:val="nil"/>
        </w:pBdr>
        <w:spacing w:after="0" w:line="276" w:lineRule="auto"/>
        <w:jc w:val="both"/>
        <w:rPr>
          <w:rFonts w:ascii="Arial" w:eastAsia="Arial" w:hAnsi="Arial" w:cs="Arial"/>
        </w:rPr>
      </w:pPr>
    </w:p>
    <w:p w14:paraId="0C17B0ED" w14:textId="77777777" w:rsidR="002D7E2F" w:rsidRDefault="002D7E2F">
      <w:pPr>
        <w:widowControl w:val="0"/>
        <w:pBdr>
          <w:top w:val="nil"/>
          <w:left w:val="nil"/>
          <w:bottom w:val="nil"/>
          <w:right w:val="nil"/>
          <w:between w:val="nil"/>
        </w:pBdr>
        <w:spacing w:after="0" w:line="276" w:lineRule="auto"/>
        <w:jc w:val="both"/>
        <w:rPr>
          <w:rFonts w:ascii="Arial" w:eastAsia="Arial" w:hAnsi="Arial" w:cs="Arial"/>
        </w:rPr>
      </w:pPr>
    </w:p>
    <w:p w14:paraId="03EB33B7" w14:textId="77777777" w:rsidR="002D7E2F" w:rsidRDefault="004F31A1">
      <w:pPr>
        <w:jc w:val="center"/>
        <w:rPr>
          <w:rFonts w:ascii="Arial" w:eastAsia="Arial" w:hAnsi="Arial" w:cs="Arial"/>
        </w:rPr>
      </w:pPr>
      <w:r>
        <w:rPr>
          <w:rFonts w:ascii="Arial" w:eastAsia="Arial" w:hAnsi="Arial" w:cs="Arial"/>
          <w:noProof/>
        </w:rPr>
        <w:drawing>
          <wp:inline distT="114300" distB="114300" distL="114300" distR="114300" wp14:anchorId="281140EF" wp14:editId="38F4D6BC">
            <wp:extent cx="3918712" cy="18774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18712" cy="1877425"/>
                    </a:xfrm>
                    <a:prstGeom prst="rect">
                      <a:avLst/>
                    </a:prstGeom>
                    <a:ln/>
                  </pic:spPr>
                </pic:pic>
              </a:graphicData>
            </a:graphic>
          </wp:inline>
        </w:drawing>
      </w:r>
    </w:p>
    <w:p w14:paraId="712BAF1F" w14:textId="77777777" w:rsidR="002D7E2F" w:rsidRDefault="002D7E2F">
      <w:pPr>
        <w:widowControl w:val="0"/>
        <w:spacing w:after="0" w:line="360" w:lineRule="auto"/>
        <w:jc w:val="center"/>
        <w:rPr>
          <w:rFonts w:ascii="Arial" w:eastAsia="Arial" w:hAnsi="Arial" w:cs="Arial"/>
          <w:b/>
          <w:bCs/>
          <w:sz w:val="28"/>
          <w:szCs w:val="28"/>
        </w:rPr>
      </w:pPr>
    </w:p>
    <w:p w14:paraId="33EA2895" w14:textId="77777777" w:rsidR="002D7E2F" w:rsidRDefault="004F31A1">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 xml:space="preserve">Assessment Title: Assessment component - </w:t>
      </w:r>
    </w:p>
    <w:p w14:paraId="39239A65" w14:textId="77777777" w:rsidR="002D7E2F" w:rsidRDefault="004F31A1">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Individual report</w:t>
      </w:r>
    </w:p>
    <w:p w14:paraId="25E6EC5C" w14:textId="77777777" w:rsidR="002D7E2F" w:rsidRDefault="004F31A1">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Student Name: Kamal Hussain</w:t>
      </w:r>
    </w:p>
    <w:p w14:paraId="27064CD5" w14:textId="77777777" w:rsidR="002D7E2F" w:rsidRDefault="004F31A1">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Student ID: 2503973</w:t>
      </w:r>
    </w:p>
    <w:p w14:paraId="19C8C3B4" w14:textId="0C18C9DA" w:rsidR="002E60FA" w:rsidRDefault="004F31A1">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 xml:space="preserve">Module Name: Strategic Management </w:t>
      </w:r>
    </w:p>
    <w:p w14:paraId="37BE3ED4" w14:textId="2B6600C2" w:rsidR="002D7E2F" w:rsidRDefault="002E60FA">
      <w:pPr>
        <w:widowControl w:val="0"/>
        <w:spacing w:after="0" w:line="360" w:lineRule="auto"/>
        <w:jc w:val="center"/>
        <w:rPr>
          <w:rFonts w:ascii="Arial" w:eastAsia="Arial" w:hAnsi="Arial" w:cs="Arial"/>
          <w:b/>
          <w:bCs/>
          <w:sz w:val="28"/>
          <w:szCs w:val="28"/>
        </w:rPr>
      </w:pPr>
      <w:r w:rsidRPr="002E60FA">
        <w:rPr>
          <w:rFonts w:ascii="Arial" w:eastAsia="Arial" w:hAnsi="Arial" w:cs="Arial"/>
          <w:b/>
          <w:bCs/>
          <w:sz w:val="28"/>
          <w:szCs w:val="28"/>
        </w:rPr>
        <w:t>Module</w:t>
      </w:r>
      <w:r w:rsidRPr="002E60FA">
        <w:rPr>
          <w:rFonts w:ascii="Arial" w:eastAsia="Arial" w:hAnsi="Arial" w:cs="Arial"/>
          <w:b/>
          <w:bCs/>
          <w:sz w:val="28"/>
          <w:szCs w:val="28"/>
        </w:rPr>
        <w:t xml:space="preserve"> </w:t>
      </w:r>
      <w:r w:rsidRPr="002E60FA">
        <w:rPr>
          <w:rFonts w:ascii="Arial" w:eastAsia="Arial" w:hAnsi="Arial" w:cs="Arial"/>
          <w:b/>
          <w:bCs/>
          <w:sz w:val="28"/>
          <w:szCs w:val="28"/>
        </w:rPr>
        <w:t>Code:</w:t>
      </w:r>
      <w:r>
        <w:rPr>
          <w:rFonts w:ascii="Arial" w:eastAsia="Arial" w:hAnsi="Arial" w:cs="Arial"/>
          <w:b/>
          <w:bCs/>
          <w:sz w:val="28"/>
          <w:szCs w:val="28"/>
        </w:rPr>
        <w:t xml:space="preserve"> </w:t>
      </w:r>
      <w:r w:rsidR="004F31A1">
        <w:rPr>
          <w:rFonts w:ascii="Arial" w:eastAsia="Arial" w:hAnsi="Arial" w:cs="Arial"/>
          <w:b/>
          <w:bCs/>
          <w:sz w:val="28"/>
          <w:szCs w:val="28"/>
        </w:rPr>
        <w:t>LCMB7003</w:t>
      </w:r>
    </w:p>
    <w:p w14:paraId="187D0E61" w14:textId="77777777" w:rsidR="002D7E2F" w:rsidRDefault="004F31A1">
      <w:pPr>
        <w:widowControl w:val="0"/>
        <w:spacing w:after="0" w:line="360" w:lineRule="auto"/>
        <w:jc w:val="center"/>
        <w:rPr>
          <w:rFonts w:ascii="Arial" w:eastAsia="Arial" w:hAnsi="Arial" w:cs="Arial"/>
          <w:b/>
          <w:bCs/>
          <w:sz w:val="28"/>
          <w:szCs w:val="28"/>
        </w:rPr>
      </w:pPr>
      <w:r>
        <w:rPr>
          <w:rFonts w:ascii="Arial" w:eastAsia="Arial" w:hAnsi="Arial" w:cs="Arial"/>
          <w:b/>
          <w:bCs/>
          <w:sz w:val="28"/>
          <w:szCs w:val="28"/>
        </w:rPr>
        <w:t xml:space="preserve">Lecturer: </w:t>
      </w:r>
      <w:r w:rsidR="00872596" w:rsidRPr="00872596">
        <w:rPr>
          <w:rFonts w:ascii="Arial" w:eastAsia="Arial" w:hAnsi="Arial" w:cs="Arial"/>
          <w:b/>
          <w:bCs/>
          <w:sz w:val="28"/>
          <w:szCs w:val="28"/>
        </w:rPr>
        <w:t>Dr Zulfiqar Khan</w:t>
      </w:r>
    </w:p>
    <w:p w14:paraId="4654627E" w14:textId="77777777" w:rsidR="002E60FA" w:rsidRDefault="002E60FA">
      <w:pPr>
        <w:widowControl w:val="0"/>
        <w:spacing w:after="0" w:line="360" w:lineRule="auto"/>
        <w:jc w:val="center"/>
        <w:rPr>
          <w:rFonts w:ascii="Arial" w:eastAsia="Arial" w:hAnsi="Arial" w:cs="Arial"/>
          <w:b/>
          <w:bCs/>
          <w:sz w:val="28"/>
          <w:szCs w:val="28"/>
        </w:rPr>
      </w:pPr>
    </w:p>
    <w:p w14:paraId="109D5E08" w14:textId="1DEDA620" w:rsidR="002D7E2F" w:rsidRDefault="002E60FA">
      <w:pPr>
        <w:widowControl w:val="0"/>
        <w:spacing w:after="0" w:line="360" w:lineRule="auto"/>
        <w:jc w:val="center"/>
        <w:rPr>
          <w:rFonts w:ascii="Arial" w:eastAsia="Arial" w:hAnsi="Arial" w:cs="Arial"/>
          <w:b/>
          <w:bCs/>
          <w:sz w:val="28"/>
          <w:szCs w:val="28"/>
        </w:rPr>
      </w:pPr>
      <w:r w:rsidRPr="002E60FA">
        <w:rPr>
          <w:rFonts w:ascii="Arial" w:hAnsi="Arial" w:cs="Arial"/>
          <w:b/>
          <w:sz w:val="28"/>
          <w:szCs w:val="28"/>
          <w:lang w:val="en-GB"/>
        </w:rPr>
        <w:t xml:space="preserve">Submission Deadline: </w:t>
      </w:r>
      <w:r>
        <w:rPr>
          <w:rFonts w:ascii="Arial" w:eastAsia="Arial" w:hAnsi="Arial" w:cs="Arial"/>
          <w:b/>
          <w:bCs/>
          <w:sz w:val="28"/>
          <w:szCs w:val="28"/>
        </w:rPr>
        <w:t>01/04/2026</w:t>
      </w:r>
    </w:p>
    <w:p w14:paraId="002D14A1" w14:textId="77777777" w:rsidR="002D7E2F" w:rsidRDefault="002D7E2F">
      <w:pPr>
        <w:widowControl w:val="0"/>
        <w:spacing w:after="0" w:line="360" w:lineRule="auto"/>
        <w:jc w:val="center"/>
        <w:rPr>
          <w:rFonts w:ascii="Arial" w:eastAsia="Arial" w:hAnsi="Arial" w:cs="Arial"/>
          <w:b/>
          <w:bCs/>
          <w:sz w:val="28"/>
          <w:szCs w:val="28"/>
        </w:rPr>
      </w:pPr>
    </w:p>
    <w:p w14:paraId="5C7D0F0C" w14:textId="77777777" w:rsidR="002D7E2F" w:rsidRDefault="002D7E2F">
      <w:pPr>
        <w:widowControl w:val="0"/>
        <w:spacing w:after="0" w:line="360" w:lineRule="auto"/>
        <w:jc w:val="center"/>
        <w:rPr>
          <w:rFonts w:ascii="Arial" w:eastAsia="Arial" w:hAnsi="Arial" w:cs="Arial"/>
          <w:b/>
          <w:bCs/>
          <w:sz w:val="28"/>
          <w:szCs w:val="28"/>
        </w:rPr>
      </w:pPr>
    </w:p>
    <w:p w14:paraId="44B71FCB" w14:textId="77777777" w:rsidR="002D7E2F" w:rsidRDefault="002D7E2F">
      <w:pPr>
        <w:widowControl w:val="0"/>
        <w:spacing w:after="0" w:line="360" w:lineRule="auto"/>
        <w:rPr>
          <w:rFonts w:ascii="Arial" w:eastAsia="Arial" w:hAnsi="Arial" w:cs="Arial"/>
          <w:b/>
          <w:bCs/>
          <w:sz w:val="24"/>
          <w:szCs w:val="24"/>
        </w:rPr>
      </w:pPr>
    </w:p>
    <w:p w14:paraId="404B8E34" w14:textId="77777777" w:rsidR="002D7E2F" w:rsidRDefault="002D7E2F">
      <w:pPr>
        <w:widowControl w:val="0"/>
        <w:spacing w:after="0" w:line="360" w:lineRule="auto"/>
        <w:jc w:val="center"/>
        <w:rPr>
          <w:rFonts w:ascii="Arial" w:eastAsia="Arial" w:hAnsi="Arial" w:cs="Arial"/>
          <w:b/>
          <w:bCs/>
          <w:sz w:val="24"/>
          <w:szCs w:val="24"/>
        </w:rPr>
      </w:pPr>
    </w:p>
    <w:p w14:paraId="2D9B4A77" w14:textId="77777777" w:rsidR="002D7E2F" w:rsidRDefault="002D7E2F">
      <w:pPr>
        <w:widowControl w:val="0"/>
        <w:spacing w:after="0" w:line="360" w:lineRule="auto"/>
        <w:jc w:val="center"/>
        <w:rPr>
          <w:rFonts w:ascii="Arial" w:eastAsia="Arial" w:hAnsi="Arial" w:cs="Arial"/>
          <w:b/>
          <w:bCs/>
          <w:sz w:val="24"/>
          <w:szCs w:val="24"/>
        </w:rPr>
      </w:pPr>
    </w:p>
    <w:p w14:paraId="39848E73" w14:textId="77777777" w:rsidR="002D7E2F" w:rsidRDefault="002D7E2F">
      <w:pPr>
        <w:widowControl w:val="0"/>
        <w:spacing w:after="0" w:line="360" w:lineRule="auto"/>
        <w:jc w:val="center"/>
        <w:rPr>
          <w:rFonts w:ascii="Arial" w:eastAsia="Arial" w:hAnsi="Arial" w:cs="Arial"/>
          <w:b/>
          <w:bCs/>
          <w:sz w:val="28"/>
          <w:szCs w:val="28"/>
        </w:rPr>
      </w:pPr>
    </w:p>
    <w:p w14:paraId="2D5995BD" w14:textId="77777777" w:rsidR="002D7E2F" w:rsidRDefault="002D7E2F">
      <w:pPr>
        <w:widowControl w:val="0"/>
        <w:spacing w:after="0" w:line="360" w:lineRule="auto"/>
        <w:jc w:val="center"/>
        <w:rPr>
          <w:rFonts w:ascii="Arial" w:eastAsia="Arial" w:hAnsi="Arial" w:cs="Arial"/>
          <w:b/>
          <w:bCs/>
          <w:sz w:val="28"/>
          <w:szCs w:val="28"/>
        </w:rPr>
      </w:pPr>
    </w:p>
    <w:p w14:paraId="60D243D5" w14:textId="77777777" w:rsidR="002D7E2F" w:rsidRDefault="002D7E2F">
      <w:pPr>
        <w:widowControl w:val="0"/>
        <w:spacing w:after="0" w:line="360" w:lineRule="auto"/>
        <w:jc w:val="center"/>
        <w:rPr>
          <w:rFonts w:ascii="Arial" w:eastAsia="Arial" w:hAnsi="Arial" w:cs="Arial"/>
          <w:b/>
          <w:bCs/>
          <w:sz w:val="28"/>
          <w:szCs w:val="28"/>
        </w:rPr>
      </w:pPr>
    </w:p>
    <w:p w14:paraId="7D8129DA" w14:textId="77777777" w:rsidR="002D7E2F" w:rsidRDefault="002D7E2F">
      <w:pPr>
        <w:widowControl w:val="0"/>
        <w:spacing w:after="0" w:line="360" w:lineRule="auto"/>
        <w:jc w:val="center"/>
        <w:rPr>
          <w:rFonts w:ascii="Arial" w:eastAsia="Arial" w:hAnsi="Arial" w:cs="Arial"/>
          <w:b/>
          <w:bCs/>
          <w:sz w:val="28"/>
          <w:szCs w:val="28"/>
        </w:rPr>
      </w:pPr>
    </w:p>
    <w:p w14:paraId="5F2F8A7A" w14:textId="77777777" w:rsidR="002D7E2F" w:rsidRDefault="002D7E2F">
      <w:pPr>
        <w:spacing w:line="360" w:lineRule="auto"/>
        <w:jc w:val="both"/>
        <w:rPr>
          <w:rFonts w:ascii="Arial" w:eastAsia="Arial" w:hAnsi="Arial" w:cs="Arial"/>
          <w:sz w:val="24"/>
          <w:szCs w:val="24"/>
        </w:rPr>
      </w:pPr>
    </w:p>
    <w:p w14:paraId="3DE054F2" w14:textId="77777777" w:rsidR="002D7E2F" w:rsidRDefault="004F31A1">
      <w:pPr>
        <w:keepNext/>
        <w:keepLines/>
        <w:pBdr>
          <w:top w:val="nil"/>
          <w:left w:val="nil"/>
          <w:bottom w:val="nil"/>
          <w:right w:val="nil"/>
          <w:between w:val="nil"/>
        </w:pBdr>
        <w:spacing w:before="240" w:after="0"/>
        <w:jc w:val="center"/>
        <w:rPr>
          <w:rFonts w:ascii="Arial" w:eastAsia="Arial" w:hAnsi="Arial" w:cs="Arial"/>
          <w:color w:val="000000"/>
          <w:sz w:val="32"/>
          <w:szCs w:val="32"/>
        </w:rPr>
      </w:pPr>
      <w:r>
        <w:rPr>
          <w:rFonts w:ascii="Arial" w:eastAsia="Arial" w:hAnsi="Arial" w:cs="Arial"/>
          <w:b/>
          <w:bCs/>
          <w:color w:val="000000"/>
          <w:sz w:val="32"/>
          <w:szCs w:val="32"/>
        </w:rPr>
        <w:t>Contents</w:t>
      </w:r>
    </w:p>
    <w:bookmarkStart w:id="0" w:name="_co9w7dur818r" w:colFirst="0" w:colLast="0" w:displacedByCustomXml="next"/>
    <w:bookmarkEnd w:id="0" w:displacedByCustomXml="next"/>
    <w:sdt>
      <w:sdtPr>
        <w:id w:val="2052167089"/>
        <w:docPartObj>
          <w:docPartGallery w:val="Table of Contents"/>
          <w:docPartUnique/>
        </w:docPartObj>
      </w:sdtPr>
      <w:sdtContent>
        <w:p w14:paraId="79E2B000" w14:textId="398AE303" w:rsidR="00F97824" w:rsidRDefault="004F31A1">
          <w:pPr>
            <w:pStyle w:val="TOC1"/>
            <w:tabs>
              <w:tab w:val="right" w:leader="dot" w:pos="9350"/>
            </w:tabs>
            <w:rPr>
              <w:noProof/>
            </w:rPr>
          </w:pPr>
          <w:r>
            <w:fldChar w:fldCharType="begin"/>
          </w:r>
          <w:r>
            <w:instrText xml:space="preserve"> TOC \h \u \z \t "Heading 1,1,Heading 2,2,Heading 3,3,"</w:instrText>
          </w:r>
          <w:r>
            <w:fldChar w:fldCharType="separate"/>
          </w:r>
          <w:hyperlink w:anchor="_Toc225521810" w:history="1">
            <w:r w:rsidR="00F97824" w:rsidRPr="00D40DCD">
              <w:rPr>
                <w:rStyle w:val="Hyperlink"/>
                <w:noProof/>
              </w:rPr>
              <w:t>Section 1</w:t>
            </w:r>
            <w:r w:rsidR="00F97824">
              <w:rPr>
                <w:noProof/>
                <w:webHidden/>
              </w:rPr>
              <w:tab/>
            </w:r>
            <w:r w:rsidR="00F97824">
              <w:rPr>
                <w:noProof/>
                <w:webHidden/>
              </w:rPr>
              <w:fldChar w:fldCharType="begin"/>
            </w:r>
            <w:r w:rsidR="00F97824">
              <w:rPr>
                <w:noProof/>
                <w:webHidden/>
              </w:rPr>
              <w:instrText xml:space="preserve"> PAGEREF _Toc225521810 \h </w:instrText>
            </w:r>
            <w:r w:rsidR="00F97824">
              <w:rPr>
                <w:noProof/>
                <w:webHidden/>
              </w:rPr>
            </w:r>
            <w:r w:rsidR="00F97824">
              <w:rPr>
                <w:noProof/>
                <w:webHidden/>
              </w:rPr>
              <w:fldChar w:fldCharType="separate"/>
            </w:r>
            <w:r w:rsidR="00F97824">
              <w:rPr>
                <w:noProof/>
                <w:webHidden/>
              </w:rPr>
              <w:t>1</w:t>
            </w:r>
            <w:r w:rsidR="00F97824">
              <w:rPr>
                <w:noProof/>
                <w:webHidden/>
              </w:rPr>
              <w:fldChar w:fldCharType="end"/>
            </w:r>
          </w:hyperlink>
        </w:p>
        <w:p w14:paraId="0886FC6B" w14:textId="7C1B9CB3" w:rsidR="00F97824" w:rsidRDefault="00F97824">
          <w:pPr>
            <w:pStyle w:val="TOC1"/>
            <w:tabs>
              <w:tab w:val="right" w:leader="dot" w:pos="9350"/>
            </w:tabs>
            <w:rPr>
              <w:noProof/>
            </w:rPr>
          </w:pPr>
          <w:hyperlink w:anchor="_Toc225521811" w:history="1">
            <w:r w:rsidRPr="00D40DCD">
              <w:rPr>
                <w:rStyle w:val="Hyperlink"/>
                <w:noProof/>
              </w:rPr>
              <w:t>1. Organizational Context and Overview</w:t>
            </w:r>
            <w:r>
              <w:rPr>
                <w:noProof/>
                <w:webHidden/>
              </w:rPr>
              <w:tab/>
            </w:r>
            <w:r>
              <w:rPr>
                <w:noProof/>
                <w:webHidden/>
              </w:rPr>
              <w:fldChar w:fldCharType="begin"/>
            </w:r>
            <w:r>
              <w:rPr>
                <w:noProof/>
                <w:webHidden/>
              </w:rPr>
              <w:instrText xml:space="preserve"> PAGEREF _Toc225521811 \h </w:instrText>
            </w:r>
            <w:r>
              <w:rPr>
                <w:noProof/>
                <w:webHidden/>
              </w:rPr>
            </w:r>
            <w:r>
              <w:rPr>
                <w:noProof/>
                <w:webHidden/>
              </w:rPr>
              <w:fldChar w:fldCharType="separate"/>
            </w:r>
            <w:r>
              <w:rPr>
                <w:noProof/>
                <w:webHidden/>
              </w:rPr>
              <w:t>1</w:t>
            </w:r>
            <w:r>
              <w:rPr>
                <w:noProof/>
                <w:webHidden/>
              </w:rPr>
              <w:fldChar w:fldCharType="end"/>
            </w:r>
          </w:hyperlink>
        </w:p>
        <w:p w14:paraId="3D8E57A2" w14:textId="195CD052" w:rsidR="00F97824" w:rsidRDefault="00F97824">
          <w:pPr>
            <w:pStyle w:val="TOC1"/>
            <w:tabs>
              <w:tab w:val="right" w:leader="dot" w:pos="9350"/>
            </w:tabs>
            <w:rPr>
              <w:noProof/>
            </w:rPr>
          </w:pPr>
          <w:hyperlink w:anchor="_Toc225521812" w:history="1">
            <w:r w:rsidRPr="00D40DCD">
              <w:rPr>
                <w:rStyle w:val="Hyperlink"/>
                <w:noProof/>
              </w:rPr>
              <w:t>2. External and Internal Environment Analysis.</w:t>
            </w:r>
            <w:r>
              <w:rPr>
                <w:noProof/>
                <w:webHidden/>
              </w:rPr>
              <w:tab/>
            </w:r>
            <w:r>
              <w:rPr>
                <w:noProof/>
                <w:webHidden/>
              </w:rPr>
              <w:fldChar w:fldCharType="begin"/>
            </w:r>
            <w:r>
              <w:rPr>
                <w:noProof/>
                <w:webHidden/>
              </w:rPr>
              <w:instrText xml:space="preserve"> PAGEREF _Toc225521812 \h </w:instrText>
            </w:r>
            <w:r>
              <w:rPr>
                <w:noProof/>
                <w:webHidden/>
              </w:rPr>
            </w:r>
            <w:r>
              <w:rPr>
                <w:noProof/>
                <w:webHidden/>
              </w:rPr>
              <w:fldChar w:fldCharType="separate"/>
            </w:r>
            <w:r>
              <w:rPr>
                <w:noProof/>
                <w:webHidden/>
              </w:rPr>
              <w:t>3</w:t>
            </w:r>
            <w:r>
              <w:rPr>
                <w:noProof/>
                <w:webHidden/>
              </w:rPr>
              <w:fldChar w:fldCharType="end"/>
            </w:r>
          </w:hyperlink>
        </w:p>
        <w:p w14:paraId="18C4B5A0" w14:textId="4BA63327" w:rsidR="00F97824" w:rsidRDefault="00F97824">
          <w:pPr>
            <w:pStyle w:val="TOC2"/>
            <w:tabs>
              <w:tab w:val="right" w:leader="dot" w:pos="9350"/>
            </w:tabs>
            <w:rPr>
              <w:noProof/>
            </w:rPr>
          </w:pPr>
          <w:hyperlink w:anchor="_Toc225521813" w:history="1">
            <w:r w:rsidRPr="00D40DCD">
              <w:rPr>
                <w:rStyle w:val="Hyperlink"/>
                <w:noProof/>
              </w:rPr>
              <w:t>2.1 PESTEL Analysis of the External Environment.</w:t>
            </w:r>
            <w:r>
              <w:rPr>
                <w:noProof/>
                <w:webHidden/>
              </w:rPr>
              <w:tab/>
            </w:r>
            <w:r>
              <w:rPr>
                <w:noProof/>
                <w:webHidden/>
              </w:rPr>
              <w:fldChar w:fldCharType="begin"/>
            </w:r>
            <w:r>
              <w:rPr>
                <w:noProof/>
                <w:webHidden/>
              </w:rPr>
              <w:instrText xml:space="preserve"> PAGEREF _Toc225521813 \h </w:instrText>
            </w:r>
            <w:r>
              <w:rPr>
                <w:noProof/>
                <w:webHidden/>
              </w:rPr>
            </w:r>
            <w:r>
              <w:rPr>
                <w:noProof/>
                <w:webHidden/>
              </w:rPr>
              <w:fldChar w:fldCharType="separate"/>
            </w:r>
            <w:r>
              <w:rPr>
                <w:noProof/>
                <w:webHidden/>
              </w:rPr>
              <w:t>3</w:t>
            </w:r>
            <w:r>
              <w:rPr>
                <w:noProof/>
                <w:webHidden/>
              </w:rPr>
              <w:fldChar w:fldCharType="end"/>
            </w:r>
          </w:hyperlink>
        </w:p>
        <w:p w14:paraId="4D787173" w14:textId="60BE8CFD" w:rsidR="00F97824" w:rsidRDefault="00F97824">
          <w:pPr>
            <w:pStyle w:val="TOC2"/>
            <w:tabs>
              <w:tab w:val="right" w:leader="dot" w:pos="9350"/>
            </w:tabs>
            <w:rPr>
              <w:noProof/>
            </w:rPr>
          </w:pPr>
          <w:hyperlink w:anchor="_Toc225521814" w:history="1">
            <w:r w:rsidRPr="00D40DCD">
              <w:rPr>
                <w:rStyle w:val="Hyperlink"/>
                <w:noProof/>
              </w:rPr>
              <w:t>2.2 Industry Environment and Strategy Issues.</w:t>
            </w:r>
            <w:r>
              <w:rPr>
                <w:noProof/>
                <w:webHidden/>
              </w:rPr>
              <w:tab/>
            </w:r>
            <w:r>
              <w:rPr>
                <w:noProof/>
                <w:webHidden/>
              </w:rPr>
              <w:fldChar w:fldCharType="begin"/>
            </w:r>
            <w:r>
              <w:rPr>
                <w:noProof/>
                <w:webHidden/>
              </w:rPr>
              <w:instrText xml:space="preserve"> PAGEREF _Toc225521814 \h </w:instrText>
            </w:r>
            <w:r>
              <w:rPr>
                <w:noProof/>
                <w:webHidden/>
              </w:rPr>
            </w:r>
            <w:r>
              <w:rPr>
                <w:noProof/>
                <w:webHidden/>
              </w:rPr>
              <w:fldChar w:fldCharType="separate"/>
            </w:r>
            <w:r>
              <w:rPr>
                <w:noProof/>
                <w:webHidden/>
              </w:rPr>
              <w:t>5</w:t>
            </w:r>
            <w:r>
              <w:rPr>
                <w:noProof/>
                <w:webHidden/>
              </w:rPr>
              <w:fldChar w:fldCharType="end"/>
            </w:r>
          </w:hyperlink>
        </w:p>
        <w:p w14:paraId="20A516B4" w14:textId="1CFFF4DD" w:rsidR="00F97824" w:rsidRDefault="00F97824">
          <w:pPr>
            <w:pStyle w:val="TOC2"/>
            <w:tabs>
              <w:tab w:val="right" w:leader="dot" w:pos="9350"/>
            </w:tabs>
            <w:rPr>
              <w:noProof/>
            </w:rPr>
          </w:pPr>
          <w:hyperlink w:anchor="_Toc225521815" w:history="1">
            <w:r w:rsidRPr="00D40DCD">
              <w:rPr>
                <w:rStyle w:val="Hyperlink"/>
                <w:noProof/>
              </w:rPr>
              <w:t>2.3 Internal Environment: Resources and Capabilities.</w:t>
            </w:r>
            <w:r>
              <w:rPr>
                <w:noProof/>
                <w:webHidden/>
              </w:rPr>
              <w:tab/>
            </w:r>
            <w:r>
              <w:rPr>
                <w:noProof/>
                <w:webHidden/>
              </w:rPr>
              <w:fldChar w:fldCharType="begin"/>
            </w:r>
            <w:r>
              <w:rPr>
                <w:noProof/>
                <w:webHidden/>
              </w:rPr>
              <w:instrText xml:space="preserve"> PAGEREF _Toc225521815 \h </w:instrText>
            </w:r>
            <w:r>
              <w:rPr>
                <w:noProof/>
                <w:webHidden/>
              </w:rPr>
            </w:r>
            <w:r>
              <w:rPr>
                <w:noProof/>
                <w:webHidden/>
              </w:rPr>
              <w:fldChar w:fldCharType="separate"/>
            </w:r>
            <w:r>
              <w:rPr>
                <w:noProof/>
                <w:webHidden/>
              </w:rPr>
              <w:t>7</w:t>
            </w:r>
            <w:r>
              <w:rPr>
                <w:noProof/>
                <w:webHidden/>
              </w:rPr>
              <w:fldChar w:fldCharType="end"/>
            </w:r>
          </w:hyperlink>
        </w:p>
        <w:p w14:paraId="7864CDA1" w14:textId="120ED312" w:rsidR="00F97824" w:rsidRDefault="00F97824">
          <w:pPr>
            <w:pStyle w:val="TOC2"/>
            <w:tabs>
              <w:tab w:val="right" w:leader="dot" w:pos="9350"/>
            </w:tabs>
            <w:rPr>
              <w:noProof/>
            </w:rPr>
          </w:pPr>
          <w:hyperlink w:anchor="_Toc225521816" w:history="1">
            <w:r w:rsidRPr="00D40DCD">
              <w:rPr>
                <w:rStyle w:val="Hyperlink"/>
                <w:noProof/>
              </w:rPr>
              <w:t>2.4 VRIO Analysis and Competitive Advantage.</w:t>
            </w:r>
            <w:r>
              <w:rPr>
                <w:noProof/>
                <w:webHidden/>
              </w:rPr>
              <w:tab/>
            </w:r>
            <w:r>
              <w:rPr>
                <w:noProof/>
                <w:webHidden/>
              </w:rPr>
              <w:fldChar w:fldCharType="begin"/>
            </w:r>
            <w:r>
              <w:rPr>
                <w:noProof/>
                <w:webHidden/>
              </w:rPr>
              <w:instrText xml:space="preserve"> PAGEREF _Toc225521816 \h </w:instrText>
            </w:r>
            <w:r>
              <w:rPr>
                <w:noProof/>
                <w:webHidden/>
              </w:rPr>
            </w:r>
            <w:r>
              <w:rPr>
                <w:noProof/>
                <w:webHidden/>
              </w:rPr>
              <w:fldChar w:fldCharType="separate"/>
            </w:r>
            <w:r>
              <w:rPr>
                <w:noProof/>
                <w:webHidden/>
              </w:rPr>
              <w:t>8</w:t>
            </w:r>
            <w:r>
              <w:rPr>
                <w:noProof/>
                <w:webHidden/>
              </w:rPr>
              <w:fldChar w:fldCharType="end"/>
            </w:r>
          </w:hyperlink>
        </w:p>
        <w:p w14:paraId="4E319C50" w14:textId="492516BB" w:rsidR="00F97824" w:rsidRDefault="00F97824">
          <w:pPr>
            <w:pStyle w:val="TOC1"/>
            <w:tabs>
              <w:tab w:val="right" w:leader="dot" w:pos="9350"/>
            </w:tabs>
            <w:rPr>
              <w:noProof/>
            </w:rPr>
          </w:pPr>
          <w:hyperlink w:anchor="_Toc225521817" w:history="1">
            <w:r w:rsidRPr="00D40DCD">
              <w:rPr>
                <w:rStyle w:val="Hyperlink"/>
                <w:noProof/>
              </w:rPr>
              <w:t>3. CSR &amp; Sustainability Objectives</w:t>
            </w:r>
            <w:r>
              <w:rPr>
                <w:noProof/>
                <w:webHidden/>
              </w:rPr>
              <w:tab/>
            </w:r>
            <w:r>
              <w:rPr>
                <w:noProof/>
                <w:webHidden/>
              </w:rPr>
              <w:fldChar w:fldCharType="begin"/>
            </w:r>
            <w:r>
              <w:rPr>
                <w:noProof/>
                <w:webHidden/>
              </w:rPr>
              <w:instrText xml:space="preserve"> PAGEREF _Toc225521817 \h </w:instrText>
            </w:r>
            <w:r>
              <w:rPr>
                <w:noProof/>
                <w:webHidden/>
              </w:rPr>
            </w:r>
            <w:r>
              <w:rPr>
                <w:noProof/>
                <w:webHidden/>
              </w:rPr>
              <w:fldChar w:fldCharType="separate"/>
            </w:r>
            <w:r>
              <w:rPr>
                <w:noProof/>
                <w:webHidden/>
              </w:rPr>
              <w:t>9</w:t>
            </w:r>
            <w:r>
              <w:rPr>
                <w:noProof/>
                <w:webHidden/>
              </w:rPr>
              <w:fldChar w:fldCharType="end"/>
            </w:r>
          </w:hyperlink>
        </w:p>
        <w:p w14:paraId="60468898" w14:textId="451A93D9" w:rsidR="00F97824" w:rsidRDefault="00F97824">
          <w:pPr>
            <w:pStyle w:val="TOC1"/>
            <w:tabs>
              <w:tab w:val="right" w:leader="dot" w:pos="9350"/>
            </w:tabs>
            <w:rPr>
              <w:noProof/>
            </w:rPr>
          </w:pPr>
          <w:hyperlink w:anchor="_Toc225521818" w:history="1">
            <w:r w:rsidRPr="00D40DCD">
              <w:rPr>
                <w:rStyle w:val="Hyperlink"/>
                <w:noProof/>
              </w:rPr>
              <w:t>4. Balanced Scorecard: A Balanced Performance View.</w:t>
            </w:r>
            <w:r>
              <w:rPr>
                <w:noProof/>
                <w:webHidden/>
              </w:rPr>
              <w:tab/>
            </w:r>
            <w:r>
              <w:rPr>
                <w:noProof/>
                <w:webHidden/>
              </w:rPr>
              <w:fldChar w:fldCharType="begin"/>
            </w:r>
            <w:r>
              <w:rPr>
                <w:noProof/>
                <w:webHidden/>
              </w:rPr>
              <w:instrText xml:space="preserve"> PAGEREF _Toc225521818 \h </w:instrText>
            </w:r>
            <w:r>
              <w:rPr>
                <w:noProof/>
                <w:webHidden/>
              </w:rPr>
            </w:r>
            <w:r>
              <w:rPr>
                <w:noProof/>
                <w:webHidden/>
              </w:rPr>
              <w:fldChar w:fldCharType="separate"/>
            </w:r>
            <w:r>
              <w:rPr>
                <w:noProof/>
                <w:webHidden/>
              </w:rPr>
              <w:t>10</w:t>
            </w:r>
            <w:r>
              <w:rPr>
                <w:noProof/>
                <w:webHidden/>
              </w:rPr>
              <w:fldChar w:fldCharType="end"/>
            </w:r>
          </w:hyperlink>
        </w:p>
        <w:p w14:paraId="0CF31FC4" w14:textId="4658ADDE" w:rsidR="00F97824" w:rsidRDefault="00F97824">
          <w:pPr>
            <w:pStyle w:val="TOC2"/>
            <w:tabs>
              <w:tab w:val="right" w:leader="dot" w:pos="9350"/>
            </w:tabs>
            <w:rPr>
              <w:noProof/>
            </w:rPr>
          </w:pPr>
          <w:hyperlink w:anchor="_Toc225521819" w:history="1">
            <w:r w:rsidRPr="00D40DCD">
              <w:rPr>
                <w:rStyle w:val="Hyperlink"/>
                <w:noProof/>
              </w:rPr>
              <w:t>4.1 Financial Perspective</w:t>
            </w:r>
            <w:r>
              <w:rPr>
                <w:noProof/>
                <w:webHidden/>
              </w:rPr>
              <w:tab/>
            </w:r>
            <w:r>
              <w:rPr>
                <w:noProof/>
                <w:webHidden/>
              </w:rPr>
              <w:fldChar w:fldCharType="begin"/>
            </w:r>
            <w:r>
              <w:rPr>
                <w:noProof/>
                <w:webHidden/>
              </w:rPr>
              <w:instrText xml:space="preserve"> PAGEREF _Toc225521819 \h </w:instrText>
            </w:r>
            <w:r>
              <w:rPr>
                <w:noProof/>
                <w:webHidden/>
              </w:rPr>
            </w:r>
            <w:r>
              <w:rPr>
                <w:noProof/>
                <w:webHidden/>
              </w:rPr>
              <w:fldChar w:fldCharType="separate"/>
            </w:r>
            <w:r>
              <w:rPr>
                <w:noProof/>
                <w:webHidden/>
              </w:rPr>
              <w:t>11</w:t>
            </w:r>
            <w:r>
              <w:rPr>
                <w:noProof/>
                <w:webHidden/>
              </w:rPr>
              <w:fldChar w:fldCharType="end"/>
            </w:r>
          </w:hyperlink>
        </w:p>
        <w:p w14:paraId="66164EEF" w14:textId="1B8792BF" w:rsidR="00F97824" w:rsidRDefault="00F97824">
          <w:pPr>
            <w:pStyle w:val="TOC2"/>
            <w:tabs>
              <w:tab w:val="right" w:leader="dot" w:pos="9350"/>
            </w:tabs>
            <w:rPr>
              <w:noProof/>
            </w:rPr>
          </w:pPr>
          <w:hyperlink w:anchor="_Toc225521820" w:history="1">
            <w:r w:rsidRPr="00D40DCD">
              <w:rPr>
                <w:rStyle w:val="Hyperlink"/>
                <w:noProof/>
              </w:rPr>
              <w:t>4.2 Customer Perspective</w:t>
            </w:r>
            <w:r>
              <w:rPr>
                <w:noProof/>
                <w:webHidden/>
              </w:rPr>
              <w:tab/>
            </w:r>
            <w:r>
              <w:rPr>
                <w:noProof/>
                <w:webHidden/>
              </w:rPr>
              <w:fldChar w:fldCharType="begin"/>
            </w:r>
            <w:r>
              <w:rPr>
                <w:noProof/>
                <w:webHidden/>
              </w:rPr>
              <w:instrText xml:space="preserve"> PAGEREF _Toc225521820 \h </w:instrText>
            </w:r>
            <w:r>
              <w:rPr>
                <w:noProof/>
                <w:webHidden/>
              </w:rPr>
            </w:r>
            <w:r>
              <w:rPr>
                <w:noProof/>
                <w:webHidden/>
              </w:rPr>
              <w:fldChar w:fldCharType="separate"/>
            </w:r>
            <w:r>
              <w:rPr>
                <w:noProof/>
                <w:webHidden/>
              </w:rPr>
              <w:t>11</w:t>
            </w:r>
            <w:r>
              <w:rPr>
                <w:noProof/>
                <w:webHidden/>
              </w:rPr>
              <w:fldChar w:fldCharType="end"/>
            </w:r>
          </w:hyperlink>
        </w:p>
        <w:p w14:paraId="00DF1187" w14:textId="3F1C6A80" w:rsidR="00F97824" w:rsidRDefault="00F97824">
          <w:pPr>
            <w:pStyle w:val="TOC2"/>
            <w:tabs>
              <w:tab w:val="right" w:leader="dot" w:pos="9350"/>
            </w:tabs>
            <w:rPr>
              <w:noProof/>
            </w:rPr>
          </w:pPr>
          <w:hyperlink w:anchor="_Toc225521821" w:history="1">
            <w:r w:rsidRPr="00D40DCD">
              <w:rPr>
                <w:rStyle w:val="Hyperlink"/>
                <w:noProof/>
              </w:rPr>
              <w:t>4.3 Internal Business Process Perspective.</w:t>
            </w:r>
            <w:r>
              <w:rPr>
                <w:noProof/>
                <w:webHidden/>
              </w:rPr>
              <w:tab/>
            </w:r>
            <w:r>
              <w:rPr>
                <w:noProof/>
                <w:webHidden/>
              </w:rPr>
              <w:fldChar w:fldCharType="begin"/>
            </w:r>
            <w:r>
              <w:rPr>
                <w:noProof/>
                <w:webHidden/>
              </w:rPr>
              <w:instrText xml:space="preserve"> PAGEREF _Toc225521821 \h </w:instrText>
            </w:r>
            <w:r>
              <w:rPr>
                <w:noProof/>
                <w:webHidden/>
              </w:rPr>
            </w:r>
            <w:r>
              <w:rPr>
                <w:noProof/>
                <w:webHidden/>
              </w:rPr>
              <w:fldChar w:fldCharType="separate"/>
            </w:r>
            <w:r>
              <w:rPr>
                <w:noProof/>
                <w:webHidden/>
              </w:rPr>
              <w:t>12</w:t>
            </w:r>
            <w:r>
              <w:rPr>
                <w:noProof/>
                <w:webHidden/>
              </w:rPr>
              <w:fldChar w:fldCharType="end"/>
            </w:r>
          </w:hyperlink>
        </w:p>
        <w:p w14:paraId="08B00E56" w14:textId="5189FF4A" w:rsidR="00F97824" w:rsidRDefault="00F97824">
          <w:pPr>
            <w:pStyle w:val="TOC2"/>
            <w:tabs>
              <w:tab w:val="right" w:leader="dot" w:pos="9350"/>
            </w:tabs>
            <w:rPr>
              <w:noProof/>
            </w:rPr>
          </w:pPr>
          <w:hyperlink w:anchor="_Toc225521822" w:history="1">
            <w:r w:rsidRPr="00D40DCD">
              <w:rPr>
                <w:rStyle w:val="Hyperlink"/>
                <w:noProof/>
              </w:rPr>
              <w:t>4.4 Learning and Growth Perspective</w:t>
            </w:r>
            <w:r>
              <w:rPr>
                <w:noProof/>
                <w:webHidden/>
              </w:rPr>
              <w:tab/>
            </w:r>
            <w:r>
              <w:rPr>
                <w:noProof/>
                <w:webHidden/>
              </w:rPr>
              <w:fldChar w:fldCharType="begin"/>
            </w:r>
            <w:r>
              <w:rPr>
                <w:noProof/>
                <w:webHidden/>
              </w:rPr>
              <w:instrText xml:space="preserve"> PAGEREF _Toc225521822 \h </w:instrText>
            </w:r>
            <w:r>
              <w:rPr>
                <w:noProof/>
                <w:webHidden/>
              </w:rPr>
            </w:r>
            <w:r>
              <w:rPr>
                <w:noProof/>
                <w:webHidden/>
              </w:rPr>
              <w:fldChar w:fldCharType="separate"/>
            </w:r>
            <w:r>
              <w:rPr>
                <w:noProof/>
                <w:webHidden/>
              </w:rPr>
              <w:t>12</w:t>
            </w:r>
            <w:r>
              <w:rPr>
                <w:noProof/>
                <w:webHidden/>
              </w:rPr>
              <w:fldChar w:fldCharType="end"/>
            </w:r>
          </w:hyperlink>
        </w:p>
        <w:p w14:paraId="6522A5C0" w14:textId="297881F9" w:rsidR="00F97824" w:rsidRDefault="00F97824">
          <w:pPr>
            <w:pStyle w:val="TOC1"/>
            <w:tabs>
              <w:tab w:val="right" w:leader="dot" w:pos="9350"/>
            </w:tabs>
            <w:rPr>
              <w:noProof/>
            </w:rPr>
          </w:pPr>
          <w:hyperlink w:anchor="_Toc225521823" w:history="1">
            <w:r w:rsidRPr="00D40DCD">
              <w:rPr>
                <w:rStyle w:val="Hyperlink"/>
                <w:noProof/>
              </w:rPr>
              <w:t>5. Strategic Choices &amp; Implementation</w:t>
            </w:r>
            <w:r>
              <w:rPr>
                <w:noProof/>
                <w:webHidden/>
              </w:rPr>
              <w:tab/>
            </w:r>
            <w:r>
              <w:rPr>
                <w:noProof/>
                <w:webHidden/>
              </w:rPr>
              <w:fldChar w:fldCharType="begin"/>
            </w:r>
            <w:r>
              <w:rPr>
                <w:noProof/>
                <w:webHidden/>
              </w:rPr>
              <w:instrText xml:space="preserve"> PAGEREF _Toc225521823 \h </w:instrText>
            </w:r>
            <w:r>
              <w:rPr>
                <w:noProof/>
                <w:webHidden/>
              </w:rPr>
            </w:r>
            <w:r>
              <w:rPr>
                <w:noProof/>
                <w:webHidden/>
              </w:rPr>
              <w:fldChar w:fldCharType="separate"/>
            </w:r>
            <w:r>
              <w:rPr>
                <w:noProof/>
                <w:webHidden/>
              </w:rPr>
              <w:t>13</w:t>
            </w:r>
            <w:r>
              <w:rPr>
                <w:noProof/>
                <w:webHidden/>
              </w:rPr>
              <w:fldChar w:fldCharType="end"/>
            </w:r>
          </w:hyperlink>
        </w:p>
        <w:p w14:paraId="7D3D980A" w14:textId="331D2F28" w:rsidR="00F97824" w:rsidRDefault="00F97824">
          <w:pPr>
            <w:pStyle w:val="TOC2"/>
            <w:tabs>
              <w:tab w:val="right" w:leader="dot" w:pos="9350"/>
            </w:tabs>
            <w:rPr>
              <w:noProof/>
            </w:rPr>
          </w:pPr>
          <w:hyperlink w:anchor="_Toc225521824" w:history="1">
            <w:r w:rsidRPr="00D40DCD">
              <w:rPr>
                <w:rStyle w:val="Hyperlink"/>
                <w:noProof/>
              </w:rPr>
              <w:t>5.1 Business-Level Strategy</w:t>
            </w:r>
            <w:r>
              <w:rPr>
                <w:noProof/>
                <w:webHidden/>
              </w:rPr>
              <w:tab/>
            </w:r>
            <w:r>
              <w:rPr>
                <w:noProof/>
                <w:webHidden/>
              </w:rPr>
              <w:fldChar w:fldCharType="begin"/>
            </w:r>
            <w:r>
              <w:rPr>
                <w:noProof/>
                <w:webHidden/>
              </w:rPr>
              <w:instrText xml:space="preserve"> PAGEREF _Toc225521824 \h </w:instrText>
            </w:r>
            <w:r>
              <w:rPr>
                <w:noProof/>
                <w:webHidden/>
              </w:rPr>
            </w:r>
            <w:r>
              <w:rPr>
                <w:noProof/>
                <w:webHidden/>
              </w:rPr>
              <w:fldChar w:fldCharType="separate"/>
            </w:r>
            <w:r>
              <w:rPr>
                <w:noProof/>
                <w:webHidden/>
              </w:rPr>
              <w:t>13</w:t>
            </w:r>
            <w:r>
              <w:rPr>
                <w:noProof/>
                <w:webHidden/>
              </w:rPr>
              <w:fldChar w:fldCharType="end"/>
            </w:r>
          </w:hyperlink>
        </w:p>
        <w:p w14:paraId="3EFEC5B2" w14:textId="77D7B8C3" w:rsidR="00F97824" w:rsidRDefault="00F97824">
          <w:pPr>
            <w:pStyle w:val="TOC2"/>
            <w:tabs>
              <w:tab w:val="right" w:leader="dot" w:pos="9350"/>
            </w:tabs>
            <w:rPr>
              <w:noProof/>
            </w:rPr>
          </w:pPr>
          <w:hyperlink w:anchor="_Toc225521825" w:history="1">
            <w:r w:rsidRPr="00D40DCD">
              <w:rPr>
                <w:rStyle w:val="Hyperlink"/>
                <w:noProof/>
              </w:rPr>
              <w:t>5.2 Corporate-Level Strategy</w:t>
            </w:r>
            <w:r>
              <w:rPr>
                <w:noProof/>
                <w:webHidden/>
              </w:rPr>
              <w:tab/>
            </w:r>
            <w:r>
              <w:rPr>
                <w:noProof/>
                <w:webHidden/>
              </w:rPr>
              <w:fldChar w:fldCharType="begin"/>
            </w:r>
            <w:r>
              <w:rPr>
                <w:noProof/>
                <w:webHidden/>
              </w:rPr>
              <w:instrText xml:space="preserve"> PAGEREF _Toc225521825 \h </w:instrText>
            </w:r>
            <w:r>
              <w:rPr>
                <w:noProof/>
                <w:webHidden/>
              </w:rPr>
            </w:r>
            <w:r>
              <w:rPr>
                <w:noProof/>
                <w:webHidden/>
              </w:rPr>
              <w:fldChar w:fldCharType="separate"/>
            </w:r>
            <w:r>
              <w:rPr>
                <w:noProof/>
                <w:webHidden/>
              </w:rPr>
              <w:t>14</w:t>
            </w:r>
            <w:r>
              <w:rPr>
                <w:noProof/>
                <w:webHidden/>
              </w:rPr>
              <w:fldChar w:fldCharType="end"/>
            </w:r>
          </w:hyperlink>
        </w:p>
        <w:p w14:paraId="4EF3267D" w14:textId="622983A9" w:rsidR="00F97824" w:rsidRDefault="00F97824">
          <w:pPr>
            <w:pStyle w:val="TOC2"/>
            <w:tabs>
              <w:tab w:val="right" w:leader="dot" w:pos="9350"/>
            </w:tabs>
            <w:rPr>
              <w:noProof/>
            </w:rPr>
          </w:pPr>
          <w:hyperlink w:anchor="_Toc225521826" w:history="1">
            <w:r w:rsidRPr="00D40DCD">
              <w:rPr>
                <w:rStyle w:val="Hyperlink"/>
                <w:noProof/>
              </w:rPr>
              <w:t>5.3 Evaluation of Factors of Implementation.</w:t>
            </w:r>
            <w:r>
              <w:rPr>
                <w:noProof/>
                <w:webHidden/>
              </w:rPr>
              <w:tab/>
            </w:r>
            <w:r>
              <w:rPr>
                <w:noProof/>
                <w:webHidden/>
              </w:rPr>
              <w:fldChar w:fldCharType="begin"/>
            </w:r>
            <w:r>
              <w:rPr>
                <w:noProof/>
                <w:webHidden/>
              </w:rPr>
              <w:instrText xml:space="preserve"> PAGEREF _Toc225521826 \h </w:instrText>
            </w:r>
            <w:r>
              <w:rPr>
                <w:noProof/>
                <w:webHidden/>
              </w:rPr>
            </w:r>
            <w:r>
              <w:rPr>
                <w:noProof/>
                <w:webHidden/>
              </w:rPr>
              <w:fldChar w:fldCharType="separate"/>
            </w:r>
            <w:r>
              <w:rPr>
                <w:noProof/>
                <w:webHidden/>
              </w:rPr>
              <w:t>14</w:t>
            </w:r>
            <w:r>
              <w:rPr>
                <w:noProof/>
                <w:webHidden/>
              </w:rPr>
              <w:fldChar w:fldCharType="end"/>
            </w:r>
          </w:hyperlink>
        </w:p>
        <w:p w14:paraId="611867AB" w14:textId="1B0D3FA6" w:rsidR="00F97824" w:rsidRDefault="00F97824">
          <w:pPr>
            <w:pStyle w:val="TOC1"/>
            <w:tabs>
              <w:tab w:val="right" w:leader="dot" w:pos="9350"/>
            </w:tabs>
            <w:rPr>
              <w:noProof/>
            </w:rPr>
          </w:pPr>
          <w:hyperlink w:anchor="_Toc225521827" w:history="1">
            <w:r w:rsidRPr="00D40DCD">
              <w:rPr>
                <w:rStyle w:val="Hyperlink"/>
                <w:noProof/>
              </w:rPr>
              <w:t>6. Strategic Reviewing and Advice.</w:t>
            </w:r>
            <w:r>
              <w:rPr>
                <w:noProof/>
                <w:webHidden/>
              </w:rPr>
              <w:tab/>
            </w:r>
            <w:r>
              <w:rPr>
                <w:noProof/>
                <w:webHidden/>
              </w:rPr>
              <w:fldChar w:fldCharType="begin"/>
            </w:r>
            <w:r>
              <w:rPr>
                <w:noProof/>
                <w:webHidden/>
              </w:rPr>
              <w:instrText xml:space="preserve"> PAGEREF _Toc225521827 \h </w:instrText>
            </w:r>
            <w:r>
              <w:rPr>
                <w:noProof/>
                <w:webHidden/>
              </w:rPr>
            </w:r>
            <w:r>
              <w:rPr>
                <w:noProof/>
                <w:webHidden/>
              </w:rPr>
              <w:fldChar w:fldCharType="separate"/>
            </w:r>
            <w:r>
              <w:rPr>
                <w:noProof/>
                <w:webHidden/>
              </w:rPr>
              <w:t>15</w:t>
            </w:r>
            <w:r>
              <w:rPr>
                <w:noProof/>
                <w:webHidden/>
              </w:rPr>
              <w:fldChar w:fldCharType="end"/>
            </w:r>
          </w:hyperlink>
        </w:p>
        <w:p w14:paraId="004DF84C" w14:textId="12E598D0" w:rsidR="00F97824" w:rsidRDefault="00F97824">
          <w:pPr>
            <w:pStyle w:val="TOC2"/>
            <w:tabs>
              <w:tab w:val="right" w:leader="dot" w:pos="9350"/>
            </w:tabs>
            <w:rPr>
              <w:noProof/>
            </w:rPr>
          </w:pPr>
          <w:hyperlink w:anchor="_Toc225521828" w:history="1">
            <w:r w:rsidRPr="00D40DCD">
              <w:rPr>
                <w:rStyle w:val="Hyperlink"/>
                <w:noProof/>
              </w:rPr>
              <w:t>6.1 Strategic Analysis: SWOT Analysis.</w:t>
            </w:r>
            <w:r>
              <w:rPr>
                <w:noProof/>
                <w:webHidden/>
              </w:rPr>
              <w:tab/>
            </w:r>
            <w:r>
              <w:rPr>
                <w:noProof/>
                <w:webHidden/>
              </w:rPr>
              <w:fldChar w:fldCharType="begin"/>
            </w:r>
            <w:r>
              <w:rPr>
                <w:noProof/>
                <w:webHidden/>
              </w:rPr>
              <w:instrText xml:space="preserve"> PAGEREF _Toc225521828 \h </w:instrText>
            </w:r>
            <w:r>
              <w:rPr>
                <w:noProof/>
                <w:webHidden/>
              </w:rPr>
            </w:r>
            <w:r>
              <w:rPr>
                <w:noProof/>
                <w:webHidden/>
              </w:rPr>
              <w:fldChar w:fldCharType="separate"/>
            </w:r>
            <w:r>
              <w:rPr>
                <w:noProof/>
                <w:webHidden/>
              </w:rPr>
              <w:t>15</w:t>
            </w:r>
            <w:r>
              <w:rPr>
                <w:noProof/>
                <w:webHidden/>
              </w:rPr>
              <w:fldChar w:fldCharType="end"/>
            </w:r>
          </w:hyperlink>
        </w:p>
        <w:p w14:paraId="4A3B21AC" w14:textId="3D2465D7" w:rsidR="00F97824" w:rsidRDefault="00F97824">
          <w:pPr>
            <w:pStyle w:val="TOC2"/>
            <w:tabs>
              <w:tab w:val="right" w:leader="dot" w:pos="9350"/>
            </w:tabs>
            <w:rPr>
              <w:noProof/>
            </w:rPr>
          </w:pPr>
          <w:hyperlink w:anchor="_Toc225521829" w:history="1">
            <w:r w:rsidRPr="00D40DCD">
              <w:rPr>
                <w:rStyle w:val="Hyperlink"/>
                <w:noProof/>
              </w:rPr>
              <w:t>6.2 Ansoff Matrix Reflections.</w:t>
            </w:r>
            <w:r>
              <w:rPr>
                <w:noProof/>
                <w:webHidden/>
              </w:rPr>
              <w:tab/>
            </w:r>
            <w:r>
              <w:rPr>
                <w:noProof/>
                <w:webHidden/>
              </w:rPr>
              <w:fldChar w:fldCharType="begin"/>
            </w:r>
            <w:r>
              <w:rPr>
                <w:noProof/>
                <w:webHidden/>
              </w:rPr>
              <w:instrText xml:space="preserve"> PAGEREF _Toc225521829 \h </w:instrText>
            </w:r>
            <w:r>
              <w:rPr>
                <w:noProof/>
                <w:webHidden/>
              </w:rPr>
            </w:r>
            <w:r>
              <w:rPr>
                <w:noProof/>
                <w:webHidden/>
              </w:rPr>
              <w:fldChar w:fldCharType="separate"/>
            </w:r>
            <w:r>
              <w:rPr>
                <w:noProof/>
                <w:webHidden/>
              </w:rPr>
              <w:t>16</w:t>
            </w:r>
            <w:r>
              <w:rPr>
                <w:noProof/>
                <w:webHidden/>
              </w:rPr>
              <w:fldChar w:fldCharType="end"/>
            </w:r>
          </w:hyperlink>
        </w:p>
        <w:p w14:paraId="5987A7D0" w14:textId="640728EF" w:rsidR="00F97824" w:rsidRDefault="00F97824">
          <w:pPr>
            <w:pStyle w:val="TOC2"/>
            <w:tabs>
              <w:tab w:val="right" w:leader="dot" w:pos="9350"/>
            </w:tabs>
            <w:rPr>
              <w:noProof/>
            </w:rPr>
          </w:pPr>
          <w:hyperlink w:anchor="_Toc225521830" w:history="1">
            <w:r w:rsidRPr="00D40DCD">
              <w:rPr>
                <w:rStyle w:val="Hyperlink"/>
                <w:noProof/>
              </w:rPr>
              <w:t>6.3 Strategic Recommendations (SMART)</w:t>
            </w:r>
            <w:r>
              <w:rPr>
                <w:noProof/>
                <w:webHidden/>
              </w:rPr>
              <w:tab/>
            </w:r>
            <w:r>
              <w:rPr>
                <w:noProof/>
                <w:webHidden/>
              </w:rPr>
              <w:fldChar w:fldCharType="begin"/>
            </w:r>
            <w:r>
              <w:rPr>
                <w:noProof/>
                <w:webHidden/>
              </w:rPr>
              <w:instrText xml:space="preserve"> PAGEREF _Toc225521830 \h </w:instrText>
            </w:r>
            <w:r>
              <w:rPr>
                <w:noProof/>
                <w:webHidden/>
              </w:rPr>
            </w:r>
            <w:r>
              <w:rPr>
                <w:noProof/>
                <w:webHidden/>
              </w:rPr>
              <w:fldChar w:fldCharType="separate"/>
            </w:r>
            <w:r>
              <w:rPr>
                <w:noProof/>
                <w:webHidden/>
              </w:rPr>
              <w:t>17</w:t>
            </w:r>
            <w:r>
              <w:rPr>
                <w:noProof/>
                <w:webHidden/>
              </w:rPr>
              <w:fldChar w:fldCharType="end"/>
            </w:r>
          </w:hyperlink>
        </w:p>
        <w:p w14:paraId="443DC71B" w14:textId="5F75B295" w:rsidR="00F97824" w:rsidRDefault="00F97824">
          <w:pPr>
            <w:pStyle w:val="TOC2"/>
            <w:tabs>
              <w:tab w:val="right" w:leader="dot" w:pos="9350"/>
            </w:tabs>
            <w:rPr>
              <w:noProof/>
            </w:rPr>
          </w:pPr>
          <w:hyperlink w:anchor="_Toc225521831" w:history="1">
            <w:r w:rsidRPr="00D40DCD">
              <w:rPr>
                <w:rStyle w:val="Hyperlink"/>
                <w:noProof/>
              </w:rPr>
              <w:t>6.4 Low-Carbon Private Labels</w:t>
            </w:r>
            <w:r>
              <w:rPr>
                <w:noProof/>
                <w:webHidden/>
              </w:rPr>
              <w:tab/>
            </w:r>
            <w:r>
              <w:rPr>
                <w:noProof/>
                <w:webHidden/>
              </w:rPr>
              <w:fldChar w:fldCharType="begin"/>
            </w:r>
            <w:r>
              <w:rPr>
                <w:noProof/>
                <w:webHidden/>
              </w:rPr>
              <w:instrText xml:space="preserve"> PAGEREF _Toc225521831 \h </w:instrText>
            </w:r>
            <w:r>
              <w:rPr>
                <w:noProof/>
                <w:webHidden/>
              </w:rPr>
            </w:r>
            <w:r>
              <w:rPr>
                <w:noProof/>
                <w:webHidden/>
              </w:rPr>
              <w:fldChar w:fldCharType="separate"/>
            </w:r>
            <w:r>
              <w:rPr>
                <w:noProof/>
                <w:webHidden/>
              </w:rPr>
              <w:t>17</w:t>
            </w:r>
            <w:r>
              <w:rPr>
                <w:noProof/>
                <w:webHidden/>
              </w:rPr>
              <w:fldChar w:fldCharType="end"/>
            </w:r>
          </w:hyperlink>
        </w:p>
        <w:p w14:paraId="110C29E8" w14:textId="59120462" w:rsidR="00F97824" w:rsidRDefault="00F97824">
          <w:pPr>
            <w:pStyle w:val="TOC2"/>
            <w:tabs>
              <w:tab w:val="right" w:leader="dot" w:pos="9350"/>
            </w:tabs>
            <w:rPr>
              <w:noProof/>
            </w:rPr>
          </w:pPr>
          <w:hyperlink w:anchor="_Toc225521832" w:history="1">
            <w:r w:rsidRPr="00D40DCD">
              <w:rPr>
                <w:rStyle w:val="Hyperlink"/>
                <w:noProof/>
              </w:rPr>
              <w:t>6.5 Supply-Chain Automation</w:t>
            </w:r>
            <w:r>
              <w:rPr>
                <w:noProof/>
                <w:webHidden/>
              </w:rPr>
              <w:tab/>
            </w:r>
            <w:r>
              <w:rPr>
                <w:noProof/>
                <w:webHidden/>
              </w:rPr>
              <w:fldChar w:fldCharType="begin"/>
            </w:r>
            <w:r>
              <w:rPr>
                <w:noProof/>
                <w:webHidden/>
              </w:rPr>
              <w:instrText xml:space="preserve"> PAGEREF _Toc225521832 \h </w:instrText>
            </w:r>
            <w:r>
              <w:rPr>
                <w:noProof/>
                <w:webHidden/>
              </w:rPr>
            </w:r>
            <w:r>
              <w:rPr>
                <w:noProof/>
                <w:webHidden/>
              </w:rPr>
              <w:fldChar w:fldCharType="separate"/>
            </w:r>
            <w:r>
              <w:rPr>
                <w:noProof/>
                <w:webHidden/>
              </w:rPr>
              <w:t>17</w:t>
            </w:r>
            <w:r>
              <w:rPr>
                <w:noProof/>
                <w:webHidden/>
              </w:rPr>
              <w:fldChar w:fldCharType="end"/>
            </w:r>
          </w:hyperlink>
        </w:p>
        <w:p w14:paraId="1AB06D9E" w14:textId="44B870C3" w:rsidR="00F97824" w:rsidRDefault="00F97824">
          <w:pPr>
            <w:pStyle w:val="TOC2"/>
            <w:tabs>
              <w:tab w:val="right" w:leader="dot" w:pos="9350"/>
            </w:tabs>
            <w:rPr>
              <w:noProof/>
            </w:rPr>
          </w:pPr>
          <w:hyperlink w:anchor="_Toc225521833" w:history="1">
            <w:r w:rsidRPr="00D40DCD">
              <w:rPr>
                <w:rStyle w:val="Hyperlink"/>
                <w:noProof/>
              </w:rPr>
              <w:t>7. Conclusion</w:t>
            </w:r>
            <w:r>
              <w:rPr>
                <w:noProof/>
                <w:webHidden/>
              </w:rPr>
              <w:tab/>
            </w:r>
            <w:r>
              <w:rPr>
                <w:noProof/>
                <w:webHidden/>
              </w:rPr>
              <w:fldChar w:fldCharType="begin"/>
            </w:r>
            <w:r>
              <w:rPr>
                <w:noProof/>
                <w:webHidden/>
              </w:rPr>
              <w:instrText xml:space="preserve"> PAGEREF _Toc225521833 \h </w:instrText>
            </w:r>
            <w:r>
              <w:rPr>
                <w:noProof/>
                <w:webHidden/>
              </w:rPr>
            </w:r>
            <w:r>
              <w:rPr>
                <w:noProof/>
                <w:webHidden/>
              </w:rPr>
              <w:fldChar w:fldCharType="separate"/>
            </w:r>
            <w:r>
              <w:rPr>
                <w:noProof/>
                <w:webHidden/>
              </w:rPr>
              <w:t>18</w:t>
            </w:r>
            <w:r>
              <w:rPr>
                <w:noProof/>
                <w:webHidden/>
              </w:rPr>
              <w:fldChar w:fldCharType="end"/>
            </w:r>
          </w:hyperlink>
        </w:p>
        <w:p w14:paraId="7D6A130C" w14:textId="6913EDF0" w:rsidR="00F97824" w:rsidRDefault="00F97824">
          <w:pPr>
            <w:pStyle w:val="TOC1"/>
            <w:tabs>
              <w:tab w:val="right" w:leader="dot" w:pos="9350"/>
            </w:tabs>
            <w:rPr>
              <w:noProof/>
            </w:rPr>
          </w:pPr>
          <w:hyperlink w:anchor="_Toc225521834" w:history="1">
            <w:r w:rsidRPr="00D40DCD">
              <w:rPr>
                <w:rStyle w:val="Hyperlink"/>
                <w:noProof/>
              </w:rPr>
              <w:t>Section 2: Reflective Account</w:t>
            </w:r>
            <w:r>
              <w:rPr>
                <w:noProof/>
                <w:webHidden/>
              </w:rPr>
              <w:tab/>
            </w:r>
            <w:r>
              <w:rPr>
                <w:noProof/>
                <w:webHidden/>
              </w:rPr>
              <w:fldChar w:fldCharType="begin"/>
            </w:r>
            <w:r>
              <w:rPr>
                <w:noProof/>
                <w:webHidden/>
              </w:rPr>
              <w:instrText xml:space="preserve"> PAGEREF _Toc225521834 \h </w:instrText>
            </w:r>
            <w:r>
              <w:rPr>
                <w:noProof/>
                <w:webHidden/>
              </w:rPr>
            </w:r>
            <w:r>
              <w:rPr>
                <w:noProof/>
                <w:webHidden/>
              </w:rPr>
              <w:fldChar w:fldCharType="separate"/>
            </w:r>
            <w:r>
              <w:rPr>
                <w:noProof/>
                <w:webHidden/>
              </w:rPr>
              <w:t>19</w:t>
            </w:r>
            <w:r>
              <w:rPr>
                <w:noProof/>
                <w:webHidden/>
              </w:rPr>
              <w:fldChar w:fldCharType="end"/>
            </w:r>
          </w:hyperlink>
        </w:p>
        <w:p w14:paraId="6969AC97" w14:textId="49B4E36E" w:rsidR="00F97824" w:rsidRDefault="00F97824">
          <w:pPr>
            <w:pStyle w:val="TOC2"/>
            <w:tabs>
              <w:tab w:val="right" w:leader="dot" w:pos="9350"/>
            </w:tabs>
            <w:rPr>
              <w:noProof/>
            </w:rPr>
          </w:pPr>
          <w:hyperlink w:anchor="_Toc225521835" w:history="1">
            <w:r w:rsidRPr="00D40DCD">
              <w:rPr>
                <w:rStyle w:val="Hyperlink"/>
                <w:noProof/>
              </w:rPr>
              <w:t>1. Description</w:t>
            </w:r>
            <w:r>
              <w:rPr>
                <w:noProof/>
                <w:webHidden/>
              </w:rPr>
              <w:tab/>
            </w:r>
            <w:r>
              <w:rPr>
                <w:noProof/>
                <w:webHidden/>
              </w:rPr>
              <w:fldChar w:fldCharType="begin"/>
            </w:r>
            <w:r>
              <w:rPr>
                <w:noProof/>
                <w:webHidden/>
              </w:rPr>
              <w:instrText xml:space="preserve"> PAGEREF _Toc225521835 \h </w:instrText>
            </w:r>
            <w:r>
              <w:rPr>
                <w:noProof/>
                <w:webHidden/>
              </w:rPr>
            </w:r>
            <w:r>
              <w:rPr>
                <w:noProof/>
                <w:webHidden/>
              </w:rPr>
              <w:fldChar w:fldCharType="separate"/>
            </w:r>
            <w:r>
              <w:rPr>
                <w:noProof/>
                <w:webHidden/>
              </w:rPr>
              <w:t>19</w:t>
            </w:r>
            <w:r>
              <w:rPr>
                <w:noProof/>
                <w:webHidden/>
              </w:rPr>
              <w:fldChar w:fldCharType="end"/>
            </w:r>
          </w:hyperlink>
        </w:p>
        <w:p w14:paraId="160F192A" w14:textId="19EE850A" w:rsidR="00F97824" w:rsidRDefault="00F97824">
          <w:pPr>
            <w:pStyle w:val="TOC2"/>
            <w:tabs>
              <w:tab w:val="right" w:leader="dot" w:pos="9350"/>
            </w:tabs>
            <w:rPr>
              <w:noProof/>
            </w:rPr>
          </w:pPr>
          <w:hyperlink w:anchor="_Toc225521836" w:history="1">
            <w:r w:rsidRPr="00D40DCD">
              <w:rPr>
                <w:rStyle w:val="Hyperlink"/>
                <w:noProof/>
              </w:rPr>
              <w:t>2. Feelings</w:t>
            </w:r>
            <w:r>
              <w:rPr>
                <w:noProof/>
                <w:webHidden/>
              </w:rPr>
              <w:tab/>
            </w:r>
            <w:r>
              <w:rPr>
                <w:noProof/>
                <w:webHidden/>
              </w:rPr>
              <w:fldChar w:fldCharType="begin"/>
            </w:r>
            <w:r>
              <w:rPr>
                <w:noProof/>
                <w:webHidden/>
              </w:rPr>
              <w:instrText xml:space="preserve"> PAGEREF _Toc225521836 \h </w:instrText>
            </w:r>
            <w:r>
              <w:rPr>
                <w:noProof/>
                <w:webHidden/>
              </w:rPr>
            </w:r>
            <w:r>
              <w:rPr>
                <w:noProof/>
                <w:webHidden/>
              </w:rPr>
              <w:fldChar w:fldCharType="separate"/>
            </w:r>
            <w:r>
              <w:rPr>
                <w:noProof/>
                <w:webHidden/>
              </w:rPr>
              <w:t>20</w:t>
            </w:r>
            <w:r>
              <w:rPr>
                <w:noProof/>
                <w:webHidden/>
              </w:rPr>
              <w:fldChar w:fldCharType="end"/>
            </w:r>
          </w:hyperlink>
        </w:p>
        <w:p w14:paraId="5C4520D8" w14:textId="3D119783" w:rsidR="00F97824" w:rsidRDefault="00F97824">
          <w:pPr>
            <w:pStyle w:val="TOC2"/>
            <w:tabs>
              <w:tab w:val="right" w:leader="dot" w:pos="9350"/>
            </w:tabs>
            <w:rPr>
              <w:noProof/>
            </w:rPr>
          </w:pPr>
          <w:hyperlink w:anchor="_Toc225521837" w:history="1">
            <w:r w:rsidRPr="00D40DCD">
              <w:rPr>
                <w:rStyle w:val="Hyperlink"/>
                <w:noProof/>
              </w:rPr>
              <w:t>3. Evaluation</w:t>
            </w:r>
            <w:r>
              <w:rPr>
                <w:noProof/>
                <w:webHidden/>
              </w:rPr>
              <w:tab/>
            </w:r>
            <w:r>
              <w:rPr>
                <w:noProof/>
                <w:webHidden/>
              </w:rPr>
              <w:fldChar w:fldCharType="begin"/>
            </w:r>
            <w:r>
              <w:rPr>
                <w:noProof/>
                <w:webHidden/>
              </w:rPr>
              <w:instrText xml:space="preserve"> PAGEREF _Toc225521837 \h </w:instrText>
            </w:r>
            <w:r>
              <w:rPr>
                <w:noProof/>
                <w:webHidden/>
              </w:rPr>
            </w:r>
            <w:r>
              <w:rPr>
                <w:noProof/>
                <w:webHidden/>
              </w:rPr>
              <w:fldChar w:fldCharType="separate"/>
            </w:r>
            <w:r>
              <w:rPr>
                <w:noProof/>
                <w:webHidden/>
              </w:rPr>
              <w:t>20</w:t>
            </w:r>
            <w:r>
              <w:rPr>
                <w:noProof/>
                <w:webHidden/>
              </w:rPr>
              <w:fldChar w:fldCharType="end"/>
            </w:r>
          </w:hyperlink>
        </w:p>
        <w:p w14:paraId="6309EE56" w14:textId="613A02D6" w:rsidR="00F97824" w:rsidRDefault="00F97824">
          <w:pPr>
            <w:pStyle w:val="TOC2"/>
            <w:tabs>
              <w:tab w:val="right" w:leader="dot" w:pos="9350"/>
            </w:tabs>
            <w:rPr>
              <w:noProof/>
            </w:rPr>
          </w:pPr>
          <w:hyperlink w:anchor="_Toc225521838" w:history="1">
            <w:r w:rsidRPr="00D40DCD">
              <w:rPr>
                <w:rStyle w:val="Hyperlink"/>
                <w:noProof/>
              </w:rPr>
              <w:t>4. Analysis</w:t>
            </w:r>
            <w:r>
              <w:rPr>
                <w:noProof/>
                <w:webHidden/>
              </w:rPr>
              <w:tab/>
            </w:r>
            <w:r>
              <w:rPr>
                <w:noProof/>
                <w:webHidden/>
              </w:rPr>
              <w:fldChar w:fldCharType="begin"/>
            </w:r>
            <w:r>
              <w:rPr>
                <w:noProof/>
                <w:webHidden/>
              </w:rPr>
              <w:instrText xml:space="preserve"> PAGEREF _Toc225521838 \h </w:instrText>
            </w:r>
            <w:r>
              <w:rPr>
                <w:noProof/>
                <w:webHidden/>
              </w:rPr>
            </w:r>
            <w:r>
              <w:rPr>
                <w:noProof/>
                <w:webHidden/>
              </w:rPr>
              <w:fldChar w:fldCharType="separate"/>
            </w:r>
            <w:r>
              <w:rPr>
                <w:noProof/>
                <w:webHidden/>
              </w:rPr>
              <w:t>21</w:t>
            </w:r>
            <w:r>
              <w:rPr>
                <w:noProof/>
                <w:webHidden/>
              </w:rPr>
              <w:fldChar w:fldCharType="end"/>
            </w:r>
          </w:hyperlink>
        </w:p>
        <w:p w14:paraId="0F093A5A" w14:textId="514A2989" w:rsidR="00F97824" w:rsidRDefault="00F97824">
          <w:pPr>
            <w:pStyle w:val="TOC2"/>
            <w:tabs>
              <w:tab w:val="right" w:leader="dot" w:pos="9350"/>
            </w:tabs>
            <w:rPr>
              <w:noProof/>
            </w:rPr>
          </w:pPr>
          <w:hyperlink w:anchor="_Toc225521839" w:history="1">
            <w:r w:rsidRPr="00D40DCD">
              <w:rPr>
                <w:rStyle w:val="Hyperlink"/>
                <w:noProof/>
              </w:rPr>
              <w:t>5. Conclusion</w:t>
            </w:r>
            <w:r>
              <w:rPr>
                <w:noProof/>
                <w:webHidden/>
              </w:rPr>
              <w:tab/>
            </w:r>
            <w:r>
              <w:rPr>
                <w:noProof/>
                <w:webHidden/>
              </w:rPr>
              <w:fldChar w:fldCharType="begin"/>
            </w:r>
            <w:r>
              <w:rPr>
                <w:noProof/>
                <w:webHidden/>
              </w:rPr>
              <w:instrText xml:space="preserve"> PAGEREF _Toc225521839 \h </w:instrText>
            </w:r>
            <w:r>
              <w:rPr>
                <w:noProof/>
                <w:webHidden/>
              </w:rPr>
            </w:r>
            <w:r>
              <w:rPr>
                <w:noProof/>
                <w:webHidden/>
              </w:rPr>
              <w:fldChar w:fldCharType="separate"/>
            </w:r>
            <w:r>
              <w:rPr>
                <w:noProof/>
                <w:webHidden/>
              </w:rPr>
              <w:t>22</w:t>
            </w:r>
            <w:r>
              <w:rPr>
                <w:noProof/>
                <w:webHidden/>
              </w:rPr>
              <w:fldChar w:fldCharType="end"/>
            </w:r>
          </w:hyperlink>
        </w:p>
        <w:p w14:paraId="701051C1" w14:textId="1768867B" w:rsidR="00F97824" w:rsidRDefault="00F97824">
          <w:pPr>
            <w:pStyle w:val="TOC2"/>
            <w:tabs>
              <w:tab w:val="right" w:leader="dot" w:pos="9350"/>
            </w:tabs>
            <w:rPr>
              <w:noProof/>
            </w:rPr>
          </w:pPr>
          <w:hyperlink w:anchor="_Toc225521840" w:history="1">
            <w:r w:rsidRPr="00D40DCD">
              <w:rPr>
                <w:rStyle w:val="Hyperlink"/>
                <w:noProof/>
              </w:rPr>
              <w:t>6. Action Plan</w:t>
            </w:r>
            <w:r>
              <w:rPr>
                <w:noProof/>
                <w:webHidden/>
              </w:rPr>
              <w:tab/>
            </w:r>
            <w:r>
              <w:rPr>
                <w:noProof/>
                <w:webHidden/>
              </w:rPr>
              <w:fldChar w:fldCharType="begin"/>
            </w:r>
            <w:r>
              <w:rPr>
                <w:noProof/>
                <w:webHidden/>
              </w:rPr>
              <w:instrText xml:space="preserve"> PAGEREF _Toc225521840 \h </w:instrText>
            </w:r>
            <w:r>
              <w:rPr>
                <w:noProof/>
                <w:webHidden/>
              </w:rPr>
            </w:r>
            <w:r>
              <w:rPr>
                <w:noProof/>
                <w:webHidden/>
              </w:rPr>
              <w:fldChar w:fldCharType="separate"/>
            </w:r>
            <w:r>
              <w:rPr>
                <w:noProof/>
                <w:webHidden/>
              </w:rPr>
              <w:t>22</w:t>
            </w:r>
            <w:r>
              <w:rPr>
                <w:noProof/>
                <w:webHidden/>
              </w:rPr>
              <w:fldChar w:fldCharType="end"/>
            </w:r>
          </w:hyperlink>
        </w:p>
        <w:p w14:paraId="3D1D48C2" w14:textId="1D532534" w:rsidR="00F97824" w:rsidRDefault="00F97824">
          <w:pPr>
            <w:pStyle w:val="TOC1"/>
            <w:tabs>
              <w:tab w:val="right" w:leader="dot" w:pos="9350"/>
            </w:tabs>
            <w:rPr>
              <w:noProof/>
            </w:rPr>
          </w:pPr>
          <w:hyperlink w:anchor="_Toc225521841" w:history="1">
            <w:r w:rsidRPr="00D40DCD">
              <w:rPr>
                <w:rStyle w:val="Hyperlink"/>
                <w:noProof/>
              </w:rPr>
              <w:t>References</w:t>
            </w:r>
            <w:r>
              <w:rPr>
                <w:noProof/>
                <w:webHidden/>
              </w:rPr>
              <w:tab/>
            </w:r>
            <w:r>
              <w:rPr>
                <w:noProof/>
                <w:webHidden/>
              </w:rPr>
              <w:fldChar w:fldCharType="begin"/>
            </w:r>
            <w:r>
              <w:rPr>
                <w:noProof/>
                <w:webHidden/>
              </w:rPr>
              <w:instrText xml:space="preserve"> PAGEREF _Toc225521841 \h </w:instrText>
            </w:r>
            <w:r>
              <w:rPr>
                <w:noProof/>
                <w:webHidden/>
              </w:rPr>
            </w:r>
            <w:r>
              <w:rPr>
                <w:noProof/>
                <w:webHidden/>
              </w:rPr>
              <w:fldChar w:fldCharType="separate"/>
            </w:r>
            <w:r>
              <w:rPr>
                <w:noProof/>
                <w:webHidden/>
              </w:rPr>
              <w:t>24</w:t>
            </w:r>
            <w:r>
              <w:rPr>
                <w:noProof/>
                <w:webHidden/>
              </w:rPr>
              <w:fldChar w:fldCharType="end"/>
            </w:r>
          </w:hyperlink>
        </w:p>
        <w:p w14:paraId="4D44A15C" w14:textId="277D06D5" w:rsidR="002D7E2F" w:rsidRDefault="004F31A1">
          <w:pPr>
            <w:jc w:val="both"/>
            <w:rPr>
              <w:rFonts w:ascii="Arial" w:eastAsia="Arial" w:hAnsi="Arial" w:cs="Arial"/>
              <w:b/>
              <w:bCs/>
              <w:sz w:val="24"/>
              <w:szCs w:val="24"/>
            </w:rPr>
          </w:pPr>
          <w:r>
            <w:fldChar w:fldCharType="end"/>
          </w:r>
        </w:p>
      </w:sdtContent>
    </w:sdt>
    <w:p w14:paraId="5CEF23DB" w14:textId="77777777" w:rsidR="002D7E2F" w:rsidRDefault="004F31A1">
      <w:pPr>
        <w:jc w:val="center"/>
        <w:rPr>
          <w:rFonts w:ascii="Arial" w:eastAsia="Arial" w:hAnsi="Arial" w:cs="Arial"/>
          <w:b/>
          <w:bCs/>
          <w:sz w:val="28"/>
          <w:szCs w:val="28"/>
        </w:rPr>
      </w:pPr>
      <w:r>
        <w:rPr>
          <w:rFonts w:ascii="Arial" w:eastAsia="Arial" w:hAnsi="Arial" w:cs="Arial"/>
          <w:b/>
          <w:bCs/>
          <w:sz w:val="28"/>
          <w:szCs w:val="28"/>
        </w:rPr>
        <w:t>List of Table</w:t>
      </w:r>
    </w:p>
    <w:sdt>
      <w:sdtPr>
        <w:id w:val="1689338773"/>
        <w:docPartObj>
          <w:docPartGallery w:val="Table of Contents"/>
          <w:docPartUnique/>
        </w:docPartObj>
      </w:sdtPr>
      <w:sdtContent>
        <w:p w14:paraId="5D3F75CD" w14:textId="77777777" w:rsidR="002D7E2F" w:rsidRDefault="004F31A1">
          <w:pPr>
            <w:pBdr>
              <w:top w:val="nil"/>
              <w:left w:val="nil"/>
              <w:bottom w:val="nil"/>
              <w:right w:val="nil"/>
              <w:between w:val="nil"/>
            </w:pBdr>
            <w:tabs>
              <w:tab w:val="right" w:pos="9350"/>
            </w:tabs>
            <w:spacing w:after="0" w:line="360" w:lineRule="auto"/>
            <w:rPr>
              <w:color w:val="000000"/>
            </w:rPr>
          </w:pPr>
          <w:r>
            <w:fldChar w:fldCharType="begin"/>
          </w:r>
          <w:r>
            <w:instrText xml:space="preserve"> TOC \h \u \z \t "Heading 1,1,Heading 2,2,Heading 3,3,Heading 4,4,Heading 5,5,Heading 6,6,"</w:instrText>
          </w:r>
          <w:r>
            <w:fldChar w:fldCharType="separate"/>
          </w:r>
          <w:hyperlink w:anchor="_52y71vgq89me">
            <w:r>
              <w:rPr>
                <w:rFonts w:ascii="Arial" w:eastAsia="Arial" w:hAnsi="Arial" w:cs="Arial"/>
                <w:color w:val="000000"/>
              </w:rPr>
              <w:t>Table 1: VRIO Analysis of Tesco’s Resources and Capabilities</w:t>
            </w:r>
          </w:hyperlink>
          <w:hyperlink w:anchor="_52y71vgq89me">
            <w:r>
              <w:rPr>
                <w:color w:val="000000"/>
              </w:rPr>
              <w:tab/>
              <w:t>9</w:t>
            </w:r>
          </w:hyperlink>
        </w:p>
        <w:p w14:paraId="6697333B" w14:textId="77777777" w:rsidR="002D7E2F" w:rsidRDefault="004F31A1">
          <w:pPr>
            <w:pBdr>
              <w:top w:val="nil"/>
              <w:left w:val="nil"/>
              <w:bottom w:val="nil"/>
              <w:right w:val="nil"/>
              <w:between w:val="nil"/>
            </w:pBdr>
            <w:tabs>
              <w:tab w:val="right" w:pos="9350"/>
            </w:tabs>
            <w:spacing w:after="0" w:line="360" w:lineRule="auto"/>
            <w:rPr>
              <w:color w:val="000000"/>
            </w:rPr>
          </w:pPr>
          <w:hyperlink w:anchor="_qgh55fxu306r">
            <w:r>
              <w:rPr>
                <w:rFonts w:ascii="Arial" w:eastAsia="Arial" w:hAnsi="Arial" w:cs="Arial"/>
                <w:color w:val="000000"/>
              </w:rPr>
              <w:t>Table 2: Tesco Balanced Scorecard Overview</w:t>
            </w:r>
          </w:hyperlink>
          <w:hyperlink w:anchor="_qgh55fxu306r">
            <w:r>
              <w:rPr>
                <w:color w:val="000000"/>
              </w:rPr>
              <w:tab/>
              <w:t>10</w:t>
            </w:r>
          </w:hyperlink>
        </w:p>
        <w:p w14:paraId="51953EA4" w14:textId="77777777" w:rsidR="002D7E2F" w:rsidRDefault="004F31A1">
          <w:pPr>
            <w:jc w:val="both"/>
            <w:rPr>
              <w:rFonts w:ascii="Arial" w:eastAsia="Arial" w:hAnsi="Arial" w:cs="Arial"/>
              <w:sz w:val="24"/>
              <w:szCs w:val="24"/>
            </w:rPr>
          </w:pPr>
          <w:r>
            <w:fldChar w:fldCharType="end"/>
          </w:r>
        </w:p>
      </w:sdtContent>
    </w:sdt>
    <w:p w14:paraId="6590FC1B" w14:textId="77777777" w:rsidR="002D7E2F" w:rsidRDefault="004F31A1">
      <w:pPr>
        <w:jc w:val="center"/>
        <w:rPr>
          <w:rFonts w:ascii="Arial" w:eastAsia="Arial" w:hAnsi="Arial" w:cs="Arial"/>
          <w:b/>
          <w:bCs/>
          <w:sz w:val="28"/>
          <w:szCs w:val="28"/>
        </w:rPr>
      </w:pPr>
      <w:r>
        <w:rPr>
          <w:rFonts w:ascii="Arial" w:eastAsia="Arial" w:hAnsi="Arial" w:cs="Arial"/>
          <w:b/>
          <w:bCs/>
          <w:sz w:val="28"/>
          <w:szCs w:val="28"/>
        </w:rPr>
        <w:t>List of Figure</w:t>
      </w:r>
    </w:p>
    <w:p w14:paraId="0624928C" w14:textId="77777777" w:rsidR="002D7E2F" w:rsidRDefault="002D7E2F">
      <w:pPr>
        <w:jc w:val="center"/>
        <w:rPr>
          <w:rFonts w:ascii="Arial" w:eastAsia="Arial" w:hAnsi="Arial" w:cs="Arial"/>
          <w:sz w:val="24"/>
          <w:szCs w:val="24"/>
        </w:rPr>
      </w:pPr>
    </w:p>
    <w:sdt>
      <w:sdtPr>
        <w:id w:val="626122237"/>
        <w:docPartObj>
          <w:docPartGallery w:val="Table of Contents"/>
          <w:docPartUnique/>
        </w:docPartObj>
      </w:sdtPr>
      <w:sdtContent>
        <w:p w14:paraId="4416A634" w14:textId="77777777" w:rsidR="002D7E2F" w:rsidRDefault="004F31A1">
          <w:pPr>
            <w:pBdr>
              <w:top w:val="nil"/>
              <w:left w:val="nil"/>
              <w:bottom w:val="nil"/>
              <w:right w:val="nil"/>
              <w:between w:val="nil"/>
            </w:pBdr>
            <w:tabs>
              <w:tab w:val="right" w:pos="9350"/>
            </w:tabs>
            <w:spacing w:after="0" w:line="360" w:lineRule="auto"/>
            <w:rPr>
              <w:color w:val="000000"/>
            </w:rPr>
          </w:pPr>
          <w:r>
            <w:fldChar w:fldCharType="begin"/>
          </w:r>
          <w:r>
            <w:instrText xml:space="preserve"> TOC \h \u \z \t "Heading 1,1,Heading 2,2,Heading 3,3,Heading 4,4,Heading 5,5,Heading 6,6,"</w:instrText>
          </w:r>
          <w:r>
            <w:fldChar w:fldCharType="separate"/>
          </w:r>
          <w:hyperlink w:anchor="_l08i5jeuz9zs">
            <w:r>
              <w:rPr>
                <w:rFonts w:ascii="Arial" w:eastAsia="Arial" w:hAnsi="Arial" w:cs="Arial"/>
                <w:color w:val="000000"/>
              </w:rPr>
              <w:t>Figure 1: Key Milestones in Tesco’s History (1919–2025)</w:t>
            </w:r>
          </w:hyperlink>
          <w:hyperlink w:anchor="_l08i5jeuz9zs">
            <w:r>
              <w:rPr>
                <w:color w:val="000000"/>
              </w:rPr>
              <w:tab/>
              <w:t>1</w:t>
            </w:r>
          </w:hyperlink>
        </w:p>
        <w:p w14:paraId="33F2EC36" w14:textId="77777777" w:rsidR="002D7E2F" w:rsidRDefault="004F31A1">
          <w:pPr>
            <w:pBdr>
              <w:top w:val="nil"/>
              <w:left w:val="nil"/>
              <w:bottom w:val="nil"/>
              <w:right w:val="nil"/>
              <w:between w:val="nil"/>
            </w:pBdr>
            <w:tabs>
              <w:tab w:val="right" w:pos="9350"/>
            </w:tabs>
            <w:spacing w:after="0" w:line="360" w:lineRule="auto"/>
            <w:rPr>
              <w:color w:val="000000"/>
            </w:rPr>
          </w:pPr>
          <w:hyperlink w:anchor="_u0o189u3tmn1">
            <w:r>
              <w:rPr>
                <w:rFonts w:ascii="Arial" w:eastAsia="Arial" w:hAnsi="Arial" w:cs="Arial"/>
                <w:color w:val="000000"/>
              </w:rPr>
              <w:t>Figure 2: Tesco Store Formats and Service Channels in the UK</w:t>
            </w:r>
          </w:hyperlink>
          <w:hyperlink w:anchor="_u0o189u3tmn1">
            <w:r>
              <w:rPr>
                <w:color w:val="000000"/>
              </w:rPr>
              <w:tab/>
              <w:t>2</w:t>
            </w:r>
          </w:hyperlink>
        </w:p>
        <w:p w14:paraId="095CACDC" w14:textId="77777777" w:rsidR="002D7E2F" w:rsidRDefault="004F31A1">
          <w:pPr>
            <w:pBdr>
              <w:top w:val="nil"/>
              <w:left w:val="nil"/>
              <w:bottom w:val="nil"/>
              <w:right w:val="nil"/>
              <w:between w:val="nil"/>
            </w:pBdr>
            <w:tabs>
              <w:tab w:val="right" w:pos="9350"/>
            </w:tabs>
            <w:spacing w:after="0" w:line="360" w:lineRule="auto"/>
            <w:rPr>
              <w:color w:val="000000"/>
            </w:rPr>
          </w:pPr>
          <w:hyperlink w:anchor="_ueva1lhgi32h">
            <w:r>
              <w:rPr>
                <w:rFonts w:ascii="Arial" w:eastAsia="Arial" w:hAnsi="Arial" w:cs="Arial"/>
                <w:color w:val="000000"/>
              </w:rPr>
              <w:t>Figure 3: Market Share of Major UK Grocery Retailers (2025)</w:t>
            </w:r>
          </w:hyperlink>
          <w:hyperlink w:anchor="_ueva1lhgi32h">
            <w:r>
              <w:rPr>
                <w:color w:val="000000"/>
              </w:rPr>
              <w:tab/>
              <w:t>3</w:t>
            </w:r>
          </w:hyperlink>
        </w:p>
        <w:p w14:paraId="43603436" w14:textId="77777777" w:rsidR="002D7E2F" w:rsidRDefault="004F31A1">
          <w:pPr>
            <w:pBdr>
              <w:top w:val="nil"/>
              <w:left w:val="nil"/>
              <w:bottom w:val="nil"/>
              <w:right w:val="nil"/>
              <w:between w:val="nil"/>
            </w:pBdr>
            <w:tabs>
              <w:tab w:val="right" w:pos="9350"/>
            </w:tabs>
            <w:spacing w:after="0" w:line="360" w:lineRule="auto"/>
            <w:rPr>
              <w:color w:val="000000"/>
            </w:rPr>
          </w:pPr>
          <w:hyperlink w:anchor="_ug5o7gb8a9xg">
            <w:r>
              <w:rPr>
                <w:rFonts w:ascii="Arial" w:eastAsia="Arial" w:hAnsi="Arial" w:cs="Arial"/>
                <w:color w:val="000000"/>
              </w:rPr>
              <w:t>Figure 4: PESTEL Analysis of Tesco’s External Environment</w:t>
            </w:r>
          </w:hyperlink>
          <w:hyperlink w:anchor="_ug5o7gb8a9xg">
            <w:r>
              <w:rPr>
                <w:color w:val="000000"/>
              </w:rPr>
              <w:tab/>
              <w:t>5</w:t>
            </w:r>
          </w:hyperlink>
        </w:p>
        <w:p w14:paraId="5CBFCF9C" w14:textId="77777777" w:rsidR="002D7E2F" w:rsidRDefault="004F31A1">
          <w:pPr>
            <w:pBdr>
              <w:top w:val="nil"/>
              <w:left w:val="nil"/>
              <w:bottom w:val="nil"/>
              <w:right w:val="nil"/>
              <w:between w:val="nil"/>
            </w:pBdr>
            <w:tabs>
              <w:tab w:val="right" w:pos="9350"/>
            </w:tabs>
            <w:spacing w:after="0" w:line="360" w:lineRule="auto"/>
            <w:rPr>
              <w:color w:val="000000"/>
            </w:rPr>
          </w:pPr>
          <w:hyperlink w:anchor="_whk4dpaa7x0y">
            <w:r>
              <w:rPr>
                <w:rFonts w:ascii="Arial" w:eastAsia="Arial" w:hAnsi="Arial" w:cs="Arial"/>
                <w:color w:val="000000"/>
              </w:rPr>
              <w:t>Figure 5: Porter’s Five Forces Applied to UK Grocery Industry</w:t>
            </w:r>
          </w:hyperlink>
          <w:hyperlink w:anchor="_whk4dpaa7x0y">
            <w:r>
              <w:rPr>
                <w:color w:val="000000"/>
              </w:rPr>
              <w:tab/>
              <w:t>6</w:t>
            </w:r>
          </w:hyperlink>
        </w:p>
        <w:p w14:paraId="458C8543" w14:textId="77777777" w:rsidR="002D7E2F" w:rsidRDefault="004F31A1">
          <w:pPr>
            <w:pBdr>
              <w:top w:val="nil"/>
              <w:left w:val="nil"/>
              <w:bottom w:val="nil"/>
              <w:right w:val="nil"/>
              <w:between w:val="nil"/>
            </w:pBdr>
            <w:tabs>
              <w:tab w:val="right" w:pos="9350"/>
            </w:tabs>
            <w:spacing w:after="0" w:line="360" w:lineRule="auto"/>
            <w:rPr>
              <w:color w:val="000000"/>
            </w:rPr>
          </w:pPr>
          <w:hyperlink w:anchor="_wxjfan2c95zq">
            <w:r>
              <w:rPr>
                <w:rFonts w:ascii="Arial" w:eastAsia="Arial" w:hAnsi="Arial" w:cs="Arial"/>
                <w:color w:val="000000"/>
              </w:rPr>
              <w:t>Figure 6: Strategic Options Using Ansoff Matrix</w:t>
            </w:r>
          </w:hyperlink>
          <w:hyperlink w:anchor="_wxjfan2c95zq">
            <w:r>
              <w:rPr>
                <w:color w:val="000000"/>
              </w:rPr>
              <w:tab/>
              <w:t>16</w:t>
            </w:r>
          </w:hyperlink>
        </w:p>
        <w:p w14:paraId="3AE14344" w14:textId="77777777" w:rsidR="002D7E2F" w:rsidRDefault="004F31A1">
          <w:pPr>
            <w:pBdr>
              <w:top w:val="nil"/>
              <w:left w:val="nil"/>
              <w:bottom w:val="nil"/>
              <w:right w:val="nil"/>
              <w:between w:val="nil"/>
            </w:pBdr>
            <w:tabs>
              <w:tab w:val="right" w:pos="9350"/>
            </w:tabs>
            <w:spacing w:after="0" w:line="360" w:lineRule="auto"/>
            <w:rPr>
              <w:color w:val="000000"/>
            </w:rPr>
          </w:pPr>
          <w:hyperlink w:anchor="_urjbegjzweqm">
            <w:r>
              <w:rPr>
                <w:rFonts w:ascii="Arial" w:eastAsia="Arial" w:hAnsi="Arial" w:cs="Arial"/>
                <w:color w:val="000000"/>
              </w:rPr>
              <w:t>Figure 7: Application of Gibbs Reflective Cycle in Tesco Strategic Analysis</w:t>
            </w:r>
          </w:hyperlink>
          <w:hyperlink w:anchor="_urjbegjzweqm">
            <w:r>
              <w:rPr>
                <w:color w:val="000000"/>
              </w:rPr>
              <w:tab/>
              <w:t>18</w:t>
            </w:r>
          </w:hyperlink>
        </w:p>
        <w:p w14:paraId="6EDE5F11" w14:textId="77777777" w:rsidR="002D7E2F" w:rsidRDefault="004F31A1">
          <w:pPr>
            <w:rPr>
              <w:rFonts w:ascii="Arial" w:eastAsia="Arial" w:hAnsi="Arial" w:cs="Arial"/>
              <w:sz w:val="24"/>
              <w:szCs w:val="24"/>
            </w:rPr>
          </w:pPr>
          <w:r>
            <w:fldChar w:fldCharType="end"/>
          </w:r>
        </w:p>
      </w:sdtContent>
    </w:sdt>
    <w:p w14:paraId="63F2076F" w14:textId="77777777" w:rsidR="002D7E2F" w:rsidRDefault="002D7E2F">
      <w:pPr>
        <w:rPr>
          <w:rFonts w:ascii="Arial" w:eastAsia="Arial" w:hAnsi="Arial" w:cs="Arial"/>
          <w:sz w:val="24"/>
          <w:szCs w:val="24"/>
        </w:rPr>
      </w:pPr>
    </w:p>
    <w:p w14:paraId="57141BB1" w14:textId="77777777" w:rsidR="002D7E2F" w:rsidRDefault="002D7E2F">
      <w:pPr>
        <w:rPr>
          <w:rFonts w:ascii="Arial" w:eastAsia="Arial" w:hAnsi="Arial" w:cs="Arial"/>
          <w:sz w:val="24"/>
          <w:szCs w:val="24"/>
        </w:rPr>
        <w:sectPr w:rsidR="002D7E2F">
          <w:footerReference w:type="default" r:id="rId8"/>
          <w:pgSz w:w="12240" w:h="15840"/>
          <w:pgMar w:top="1440" w:right="1440" w:bottom="1440" w:left="1440" w:header="720" w:footer="720" w:gutter="0"/>
          <w:pgNumType w:start="1"/>
          <w:cols w:space="720"/>
        </w:sectPr>
      </w:pPr>
    </w:p>
    <w:p w14:paraId="3977447F" w14:textId="5B53579A" w:rsidR="002D7E2F" w:rsidRPr="002E60FA" w:rsidRDefault="004F31A1">
      <w:pPr>
        <w:pStyle w:val="Heading1"/>
        <w:jc w:val="center"/>
        <w:rPr>
          <w:sz w:val="36"/>
          <w:szCs w:val="36"/>
          <w:u w:val="single"/>
        </w:rPr>
      </w:pPr>
      <w:bookmarkStart w:id="1" w:name="_Toc225521810"/>
      <w:r w:rsidRPr="002E60FA">
        <w:rPr>
          <w:sz w:val="36"/>
          <w:szCs w:val="36"/>
          <w:u w:val="single"/>
        </w:rPr>
        <w:lastRenderedPageBreak/>
        <w:t>Section 1</w:t>
      </w:r>
      <w:bookmarkEnd w:id="1"/>
    </w:p>
    <w:p w14:paraId="2F8B84E5" w14:textId="31F0FF6F" w:rsidR="002D7E2F" w:rsidRDefault="004F31A1" w:rsidP="00B65DB3">
      <w:pPr>
        <w:pStyle w:val="Heading1"/>
        <w:spacing w:after="240"/>
      </w:pPr>
      <w:bookmarkStart w:id="2" w:name="_Toc225521811"/>
      <w:r>
        <w:t xml:space="preserve">1. </w:t>
      </w:r>
      <w:r w:rsidR="00F97824">
        <w:t>Organizational</w:t>
      </w:r>
      <w:r>
        <w:t xml:space="preserve"> Context and Overview</w:t>
      </w:r>
      <w:bookmarkEnd w:id="2"/>
    </w:p>
    <w:p w14:paraId="167606FB" w14:textId="3D60AEF2" w:rsidR="002D7E2F" w:rsidRDefault="004F31A1" w:rsidP="00B65DB3">
      <w:pPr>
        <w:spacing w:after="240" w:line="360" w:lineRule="auto"/>
        <w:jc w:val="both"/>
        <w:rPr>
          <w:rFonts w:ascii="Arial" w:eastAsia="Arial" w:hAnsi="Arial" w:cs="Arial"/>
          <w:sz w:val="24"/>
          <w:szCs w:val="24"/>
        </w:rPr>
      </w:pPr>
      <w:r>
        <w:rPr>
          <w:rFonts w:ascii="Arial" w:eastAsia="Arial" w:hAnsi="Arial" w:cs="Arial"/>
          <w:sz w:val="24"/>
          <w:szCs w:val="24"/>
        </w:rPr>
        <w:t xml:space="preserve">Established in 1919 by Jack Cohen, Tesco plc started as a small market stall in </w:t>
      </w:r>
      <w:r w:rsidR="00F97824">
        <w:rPr>
          <w:rFonts w:ascii="Arial" w:eastAsia="Arial" w:hAnsi="Arial" w:cs="Arial"/>
          <w:sz w:val="24"/>
          <w:szCs w:val="24"/>
        </w:rPr>
        <w:t>London,</w:t>
      </w:r>
      <w:r>
        <w:rPr>
          <w:rFonts w:ascii="Arial" w:eastAsia="Arial" w:hAnsi="Arial" w:cs="Arial"/>
          <w:sz w:val="24"/>
          <w:szCs w:val="24"/>
        </w:rPr>
        <w:t xml:space="preserve"> but it has developed </w:t>
      </w:r>
      <w:r w:rsidR="002E60FA">
        <w:rPr>
          <w:rFonts w:ascii="Arial" w:eastAsia="Arial" w:hAnsi="Arial" w:cs="Arial"/>
          <w:sz w:val="24"/>
          <w:szCs w:val="24"/>
        </w:rPr>
        <w:t>in</w:t>
      </w:r>
      <w:r>
        <w:rPr>
          <w:rFonts w:ascii="Arial" w:eastAsia="Arial" w:hAnsi="Arial" w:cs="Arial"/>
          <w:sz w:val="24"/>
          <w:szCs w:val="24"/>
        </w:rPr>
        <w:t>to</w:t>
      </w:r>
      <w:r w:rsidR="002E60FA">
        <w:rPr>
          <w:rFonts w:ascii="Arial" w:eastAsia="Arial" w:hAnsi="Arial" w:cs="Arial"/>
          <w:sz w:val="24"/>
          <w:szCs w:val="24"/>
        </w:rPr>
        <w:t xml:space="preserve"> </w:t>
      </w:r>
      <w:r>
        <w:rPr>
          <w:rFonts w:ascii="Arial" w:eastAsia="Arial" w:hAnsi="Arial" w:cs="Arial"/>
          <w:sz w:val="24"/>
          <w:szCs w:val="24"/>
        </w:rPr>
        <w:t xml:space="preserve">the largest grocery retailer and one of the best retail </w:t>
      </w:r>
      <w:r w:rsidR="00F97824">
        <w:rPr>
          <w:rFonts w:ascii="Arial" w:eastAsia="Arial" w:hAnsi="Arial" w:cs="Arial"/>
          <w:sz w:val="24"/>
          <w:szCs w:val="24"/>
        </w:rPr>
        <w:t>organizations</w:t>
      </w:r>
      <w:r>
        <w:rPr>
          <w:rFonts w:ascii="Arial" w:eastAsia="Arial" w:hAnsi="Arial" w:cs="Arial"/>
          <w:sz w:val="24"/>
          <w:szCs w:val="24"/>
        </w:rPr>
        <w:t xml:space="preserve"> in the world. Its mission focuses on being of service to its customers in terms of value, quality and convenience and the philosophy of Every Little Helps, which </w:t>
      </w:r>
      <w:r w:rsidR="002E60FA">
        <w:rPr>
          <w:rFonts w:ascii="Arial" w:eastAsia="Arial" w:hAnsi="Arial" w:cs="Arial"/>
          <w:sz w:val="24"/>
          <w:szCs w:val="24"/>
        </w:rPr>
        <w:t>serves as</w:t>
      </w:r>
      <w:r>
        <w:rPr>
          <w:rFonts w:ascii="Arial" w:eastAsia="Arial" w:hAnsi="Arial" w:cs="Arial"/>
          <w:sz w:val="24"/>
          <w:szCs w:val="24"/>
        </w:rPr>
        <w:t xml:space="preserve"> the</w:t>
      </w:r>
      <w:r w:rsidR="002E60FA">
        <w:rPr>
          <w:rFonts w:ascii="Arial" w:eastAsia="Arial" w:hAnsi="Arial" w:cs="Arial"/>
          <w:sz w:val="24"/>
          <w:szCs w:val="24"/>
        </w:rPr>
        <w:t xml:space="preserve"> company’s</w:t>
      </w:r>
      <w:r>
        <w:rPr>
          <w:rFonts w:ascii="Arial" w:eastAsia="Arial" w:hAnsi="Arial" w:cs="Arial"/>
          <w:sz w:val="24"/>
          <w:szCs w:val="24"/>
        </w:rPr>
        <w:t xml:space="preserve"> strategic tagline</w:t>
      </w:r>
      <w:r w:rsidR="002E60FA">
        <w:rPr>
          <w:rFonts w:ascii="Arial" w:eastAsia="Arial" w:hAnsi="Arial" w:cs="Arial"/>
          <w:sz w:val="24"/>
          <w:szCs w:val="24"/>
        </w:rPr>
        <w:t xml:space="preserve"> </w:t>
      </w:r>
      <w:r>
        <w:rPr>
          <w:rFonts w:ascii="Arial" w:eastAsia="Arial" w:hAnsi="Arial" w:cs="Arial"/>
          <w:sz w:val="24"/>
          <w:szCs w:val="24"/>
        </w:rPr>
        <w:t>and</w:t>
      </w:r>
      <w:r w:rsidR="002E60FA">
        <w:rPr>
          <w:rFonts w:ascii="Arial" w:eastAsia="Arial" w:hAnsi="Arial" w:cs="Arial"/>
          <w:sz w:val="24"/>
          <w:szCs w:val="24"/>
        </w:rPr>
        <w:t xml:space="preserve"> reflects</w:t>
      </w:r>
      <w:r>
        <w:rPr>
          <w:rFonts w:ascii="Arial" w:eastAsia="Arial" w:hAnsi="Arial" w:cs="Arial"/>
          <w:sz w:val="24"/>
          <w:szCs w:val="24"/>
        </w:rPr>
        <w:t xml:space="preserve"> its customer-focused culture and philosophy of constant improvement (</w:t>
      </w:r>
      <w:proofErr w:type="spellStart"/>
      <w:r>
        <w:rPr>
          <w:rFonts w:ascii="Arial" w:eastAsia="Arial" w:hAnsi="Arial" w:cs="Arial"/>
          <w:sz w:val="24"/>
          <w:szCs w:val="24"/>
        </w:rPr>
        <w:t>MatrixBCG</w:t>
      </w:r>
      <w:proofErr w:type="spellEnd"/>
      <w:r>
        <w:rPr>
          <w:rFonts w:ascii="Arial" w:eastAsia="Arial" w:hAnsi="Arial" w:cs="Arial"/>
          <w:sz w:val="24"/>
          <w:szCs w:val="24"/>
        </w:rPr>
        <w:t xml:space="preserve">, 2025). The vision of the company is to make the life of customers easier by focusing on convenience, affordable prices, digital development, and sustainability, and trying to preserve and extend the leading role among competitors in the UK grocery market (Pestel-analysis, 2025) </w:t>
      </w:r>
      <w:r>
        <w:rPr>
          <w:rFonts w:ascii="Tahoma" w:eastAsia="Tahoma" w:hAnsi="Tahoma" w:cs="Tahoma"/>
          <w:sz w:val="24"/>
          <w:szCs w:val="24"/>
        </w:rPr>
        <w:t>⁠</w:t>
      </w:r>
      <w:r>
        <w:rPr>
          <w:rFonts w:ascii="Arial" w:eastAsia="Arial" w:hAnsi="Arial" w:cs="Arial"/>
          <w:sz w:val="24"/>
          <w:szCs w:val="24"/>
        </w:rPr>
        <w:t xml:space="preserve">. The Tesco business model is built around a large physical store presence with the growing digital and online shopping experience alongside the significantly popular Clubcard loyalty </w:t>
      </w:r>
      <w:r w:rsidR="00F97824">
        <w:rPr>
          <w:rFonts w:ascii="Arial" w:eastAsia="Arial" w:hAnsi="Arial" w:cs="Arial"/>
          <w:sz w:val="24"/>
          <w:szCs w:val="24"/>
        </w:rPr>
        <w:t>program</w:t>
      </w:r>
      <w:r>
        <w:rPr>
          <w:rFonts w:ascii="Arial" w:eastAsia="Arial" w:hAnsi="Arial" w:cs="Arial"/>
          <w:sz w:val="24"/>
          <w:szCs w:val="24"/>
        </w:rPr>
        <w:t>, which produces customer intelligence information and customized marketing opportunities (Reveal Intelligence, 2025).</w:t>
      </w:r>
    </w:p>
    <w:p w14:paraId="48F69117" w14:textId="77777777" w:rsidR="002D7E2F" w:rsidRDefault="004F31A1">
      <w:pPr>
        <w:keepNext/>
        <w:spacing w:line="360" w:lineRule="auto"/>
        <w:jc w:val="center"/>
      </w:pPr>
      <w:r>
        <w:rPr>
          <w:rFonts w:ascii="Arial" w:eastAsia="Arial" w:hAnsi="Arial" w:cs="Arial"/>
          <w:noProof/>
          <w:sz w:val="24"/>
          <w:szCs w:val="24"/>
        </w:rPr>
        <w:drawing>
          <wp:inline distT="0" distB="0" distL="0" distR="0" wp14:anchorId="23DEAFD5" wp14:editId="310C476F">
            <wp:extent cx="2971800" cy="19812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2971800" cy="1981200"/>
                    </a:xfrm>
                    <a:prstGeom prst="rect">
                      <a:avLst/>
                    </a:prstGeom>
                    <a:ln/>
                  </pic:spPr>
                </pic:pic>
              </a:graphicData>
            </a:graphic>
          </wp:inline>
        </w:drawing>
      </w:r>
    </w:p>
    <w:p w14:paraId="36290B41" w14:textId="77777777" w:rsidR="002D7E2F" w:rsidRDefault="004F31A1">
      <w:pPr>
        <w:pBdr>
          <w:top w:val="nil"/>
          <w:left w:val="nil"/>
          <w:bottom w:val="nil"/>
          <w:right w:val="nil"/>
          <w:between w:val="nil"/>
        </w:pBdr>
        <w:spacing w:after="200" w:line="240" w:lineRule="auto"/>
        <w:jc w:val="center"/>
        <w:rPr>
          <w:rFonts w:ascii="Arial" w:eastAsia="Arial" w:hAnsi="Arial" w:cs="Arial"/>
          <w:i/>
          <w:iCs/>
          <w:color w:val="44546A"/>
          <w:sz w:val="28"/>
          <w:szCs w:val="28"/>
        </w:rPr>
      </w:pPr>
      <w:bookmarkStart w:id="3" w:name="_l08i5jeuz9zs" w:colFirst="0" w:colLast="0"/>
      <w:bookmarkEnd w:id="3"/>
      <w:r>
        <w:rPr>
          <w:rFonts w:ascii="Arial" w:eastAsia="Arial" w:hAnsi="Arial" w:cs="Arial"/>
          <w:i/>
          <w:iCs/>
          <w:color w:val="44546A"/>
          <w:sz w:val="20"/>
          <w:szCs w:val="20"/>
        </w:rPr>
        <w:t>Figure 1: Key Milestones in Tesco’s History (1919–2025)</w:t>
      </w:r>
    </w:p>
    <w:p w14:paraId="5FA185AB" w14:textId="5B3B1007"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store formats that Tesco has are varied, such as big Tesco Extra hypermarkets and Tesco Express convenience stores, which </w:t>
      </w:r>
      <w:r w:rsidR="002E60FA">
        <w:rPr>
          <w:rFonts w:ascii="Arial" w:eastAsia="Arial" w:hAnsi="Arial" w:cs="Arial"/>
          <w:sz w:val="24"/>
          <w:szCs w:val="24"/>
        </w:rPr>
        <w:t>enable</w:t>
      </w:r>
      <w:r>
        <w:rPr>
          <w:rFonts w:ascii="Arial" w:eastAsia="Arial" w:hAnsi="Arial" w:cs="Arial"/>
          <w:sz w:val="24"/>
          <w:szCs w:val="24"/>
        </w:rPr>
        <w:t xml:space="preserve"> it to meet the needs of various customers in both urban and rural locations (</w:t>
      </w:r>
      <w:proofErr w:type="spellStart"/>
      <w:r>
        <w:rPr>
          <w:rFonts w:ascii="Arial" w:eastAsia="Arial" w:hAnsi="Arial" w:cs="Arial"/>
          <w:sz w:val="24"/>
          <w:szCs w:val="24"/>
        </w:rPr>
        <w:t>MatrixBCG</w:t>
      </w:r>
      <w:proofErr w:type="spellEnd"/>
      <w:r>
        <w:rPr>
          <w:rFonts w:ascii="Arial" w:eastAsia="Arial" w:hAnsi="Arial" w:cs="Arial"/>
          <w:sz w:val="24"/>
          <w:szCs w:val="24"/>
        </w:rPr>
        <w:t>, 2025)</w:t>
      </w:r>
      <w:r>
        <w:rPr>
          <w:rFonts w:ascii="Tahoma" w:eastAsia="Tahoma" w:hAnsi="Tahoma" w:cs="Tahoma"/>
          <w:sz w:val="24"/>
          <w:szCs w:val="24"/>
        </w:rPr>
        <w:t>⁠</w:t>
      </w:r>
      <w:r>
        <w:rPr>
          <w:rFonts w:ascii="Arial" w:eastAsia="Arial" w:hAnsi="Arial" w:cs="Arial"/>
          <w:sz w:val="24"/>
          <w:szCs w:val="24"/>
        </w:rPr>
        <w:t>. Its online shopping and fast delivery service, including “Whoosh”, and investments in technology in terms of automation and AI further diversify its revenue streams and operational efficiency (Pestle-</w:t>
      </w:r>
      <w:r>
        <w:rPr>
          <w:rFonts w:ascii="Arial" w:eastAsia="Arial" w:hAnsi="Arial" w:cs="Arial"/>
          <w:sz w:val="24"/>
          <w:szCs w:val="24"/>
        </w:rPr>
        <w:lastRenderedPageBreak/>
        <w:t xml:space="preserve">analysis, 2025; </w:t>
      </w:r>
      <w:proofErr w:type="spellStart"/>
      <w:r>
        <w:rPr>
          <w:rFonts w:ascii="Arial" w:eastAsia="Arial" w:hAnsi="Arial" w:cs="Arial"/>
          <w:sz w:val="24"/>
          <w:szCs w:val="24"/>
        </w:rPr>
        <w:t>MatrixBCG</w:t>
      </w:r>
      <w:proofErr w:type="spellEnd"/>
      <w:r>
        <w:rPr>
          <w:rFonts w:ascii="Arial" w:eastAsia="Arial" w:hAnsi="Arial" w:cs="Arial"/>
          <w:sz w:val="24"/>
          <w:szCs w:val="24"/>
        </w:rPr>
        <w:t>, 2025)</w:t>
      </w:r>
      <w:r w:rsidR="006F5DAB">
        <w:rPr>
          <w:rFonts w:ascii="Arial" w:eastAsia="Arial" w:hAnsi="Arial" w:cs="Arial"/>
          <w:sz w:val="24"/>
          <w:szCs w:val="24"/>
        </w:rPr>
        <w:t>.</w:t>
      </w:r>
      <w:r>
        <w:rPr>
          <w:rFonts w:ascii="Arial" w:eastAsia="Arial" w:hAnsi="Arial" w:cs="Arial"/>
          <w:sz w:val="24"/>
          <w:szCs w:val="24"/>
        </w:rPr>
        <w:t xml:space="preserve"> </w:t>
      </w:r>
      <w:r w:rsidR="006F5DAB">
        <w:rPr>
          <w:rFonts w:ascii="Arial" w:eastAsia="Arial" w:hAnsi="Arial" w:cs="Arial"/>
          <w:sz w:val="24"/>
          <w:szCs w:val="24"/>
        </w:rPr>
        <w:t xml:space="preserve"> As a result,</w:t>
      </w:r>
      <w:r>
        <w:rPr>
          <w:rFonts w:ascii="Arial" w:eastAsia="Arial" w:hAnsi="Arial" w:cs="Arial"/>
          <w:sz w:val="24"/>
          <w:szCs w:val="24"/>
        </w:rPr>
        <w:t xml:space="preserve"> Tesco enjoy</w:t>
      </w:r>
      <w:r w:rsidR="006F5DAB">
        <w:rPr>
          <w:rFonts w:ascii="Arial" w:eastAsia="Arial" w:hAnsi="Arial" w:cs="Arial"/>
          <w:sz w:val="24"/>
          <w:szCs w:val="24"/>
        </w:rPr>
        <w:t>s</w:t>
      </w:r>
      <w:r>
        <w:rPr>
          <w:rFonts w:ascii="Arial" w:eastAsia="Arial" w:hAnsi="Arial" w:cs="Arial"/>
          <w:sz w:val="24"/>
          <w:szCs w:val="24"/>
        </w:rPr>
        <w:t xml:space="preserve"> scale benefits </w:t>
      </w:r>
      <w:r w:rsidR="006F5DAB">
        <w:rPr>
          <w:rFonts w:ascii="Arial" w:eastAsia="Arial" w:hAnsi="Arial" w:cs="Arial"/>
          <w:sz w:val="24"/>
          <w:szCs w:val="24"/>
        </w:rPr>
        <w:t>such as</w:t>
      </w:r>
      <w:r>
        <w:rPr>
          <w:rFonts w:ascii="Arial" w:eastAsia="Arial" w:hAnsi="Arial" w:cs="Arial"/>
          <w:sz w:val="24"/>
          <w:szCs w:val="24"/>
        </w:rPr>
        <w:t xml:space="preserve"> high customer retention rates due to loyalty incentives, better supply-chain logistics, and buyer power with suppliers (Reveal Intelligence, 2025).</w:t>
      </w:r>
    </w:p>
    <w:p w14:paraId="5291CEC8" w14:textId="77777777" w:rsidR="002D7E2F" w:rsidRDefault="004F31A1">
      <w:pPr>
        <w:keepNext/>
        <w:spacing w:line="360" w:lineRule="auto"/>
        <w:jc w:val="center"/>
      </w:pPr>
      <w:r>
        <w:rPr>
          <w:rFonts w:ascii="Arial" w:eastAsia="Arial" w:hAnsi="Arial" w:cs="Arial"/>
          <w:noProof/>
          <w:sz w:val="24"/>
          <w:szCs w:val="24"/>
        </w:rPr>
        <w:drawing>
          <wp:inline distT="0" distB="0" distL="0" distR="0" wp14:anchorId="3F1D4AFC" wp14:editId="61D28155">
            <wp:extent cx="2886075" cy="192405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2886075" cy="1924050"/>
                    </a:xfrm>
                    <a:prstGeom prst="rect">
                      <a:avLst/>
                    </a:prstGeom>
                    <a:ln/>
                  </pic:spPr>
                </pic:pic>
              </a:graphicData>
            </a:graphic>
          </wp:inline>
        </w:drawing>
      </w:r>
    </w:p>
    <w:p w14:paraId="3EB6AA72" w14:textId="77777777" w:rsidR="002D7E2F" w:rsidRDefault="004F31A1">
      <w:pPr>
        <w:pBdr>
          <w:top w:val="nil"/>
          <w:left w:val="nil"/>
          <w:bottom w:val="nil"/>
          <w:right w:val="nil"/>
          <w:between w:val="nil"/>
        </w:pBdr>
        <w:spacing w:after="200" w:line="240" w:lineRule="auto"/>
        <w:jc w:val="center"/>
        <w:rPr>
          <w:rFonts w:ascii="Arial" w:eastAsia="Arial" w:hAnsi="Arial" w:cs="Arial"/>
          <w:i/>
          <w:iCs/>
          <w:color w:val="44546A"/>
          <w:sz w:val="28"/>
          <w:szCs w:val="28"/>
        </w:rPr>
      </w:pPr>
      <w:bookmarkStart w:id="4" w:name="_u0o189u3tmn1" w:colFirst="0" w:colLast="0"/>
      <w:bookmarkEnd w:id="4"/>
      <w:r>
        <w:rPr>
          <w:rFonts w:ascii="Arial" w:eastAsia="Arial" w:hAnsi="Arial" w:cs="Arial"/>
          <w:i/>
          <w:iCs/>
          <w:color w:val="44546A"/>
          <w:sz w:val="20"/>
          <w:szCs w:val="20"/>
        </w:rPr>
        <w:t>Figure 2: Tesco Store Formats and Service Channels in the UK</w:t>
      </w:r>
    </w:p>
    <w:p w14:paraId="00B59E73" w14:textId="21AB8EDC"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supermarket is in the UK grocery retail environment which is a highly competitive industry with low margins and rising </w:t>
      </w:r>
      <w:r w:rsidR="006F5DAB">
        <w:rPr>
          <w:rFonts w:ascii="Arial" w:eastAsia="Arial" w:hAnsi="Arial" w:cs="Arial"/>
          <w:sz w:val="24"/>
          <w:szCs w:val="24"/>
        </w:rPr>
        <w:t>digitalization</w:t>
      </w:r>
      <w:r>
        <w:rPr>
          <w:rFonts w:ascii="Arial" w:eastAsia="Arial" w:hAnsi="Arial" w:cs="Arial"/>
          <w:sz w:val="24"/>
          <w:szCs w:val="24"/>
        </w:rPr>
        <w:t xml:space="preserve">. The position of </w:t>
      </w:r>
      <w:r w:rsidR="00C056FD">
        <w:rPr>
          <w:rFonts w:ascii="Arial" w:eastAsia="Arial" w:hAnsi="Arial" w:cs="Arial"/>
          <w:sz w:val="24"/>
          <w:szCs w:val="24"/>
        </w:rPr>
        <w:t>Tesco</w:t>
      </w:r>
      <w:r>
        <w:rPr>
          <w:rFonts w:ascii="Arial" w:eastAsia="Arial" w:hAnsi="Arial" w:cs="Arial"/>
          <w:sz w:val="24"/>
          <w:szCs w:val="24"/>
        </w:rPr>
        <w:t xml:space="preserve"> is the most robust compared to other companies; by the beginning of 2025, Tesco controlled about 28.5 percent of the UK grocery market, the </w:t>
      </w:r>
      <w:r w:rsidR="006F5DAB">
        <w:rPr>
          <w:rFonts w:ascii="Arial" w:eastAsia="Arial" w:hAnsi="Arial" w:cs="Arial"/>
          <w:sz w:val="24"/>
          <w:szCs w:val="24"/>
        </w:rPr>
        <w:t>company’s highest market</w:t>
      </w:r>
      <w:r>
        <w:rPr>
          <w:rFonts w:ascii="Arial" w:eastAsia="Arial" w:hAnsi="Arial" w:cs="Arial"/>
          <w:sz w:val="24"/>
          <w:szCs w:val="24"/>
        </w:rPr>
        <w:t xml:space="preserve"> share in almost ten years, which indicates </w:t>
      </w:r>
      <w:r w:rsidR="00C102B9">
        <w:rPr>
          <w:rFonts w:ascii="Arial" w:eastAsia="Arial" w:hAnsi="Arial" w:cs="Arial"/>
          <w:sz w:val="24"/>
          <w:szCs w:val="24"/>
        </w:rPr>
        <w:t>customer</w:t>
      </w:r>
      <w:r>
        <w:rPr>
          <w:rFonts w:ascii="Arial" w:eastAsia="Arial" w:hAnsi="Arial" w:cs="Arial"/>
          <w:sz w:val="24"/>
          <w:szCs w:val="24"/>
        </w:rPr>
        <w:t xml:space="preserve"> loyalty and the successful implementation of the strategies </w:t>
      </w:r>
      <w:r>
        <w:rPr>
          <w:rFonts w:ascii="Tahoma" w:eastAsia="Tahoma" w:hAnsi="Tahoma" w:cs="Tahoma"/>
          <w:sz w:val="24"/>
          <w:szCs w:val="24"/>
        </w:rPr>
        <w:t>⁠</w:t>
      </w:r>
      <w:r>
        <w:rPr>
          <w:rFonts w:ascii="Arial" w:eastAsia="Arial" w:hAnsi="Arial" w:cs="Arial"/>
          <w:sz w:val="24"/>
          <w:szCs w:val="24"/>
        </w:rPr>
        <w:t xml:space="preserve">. Value pricing, specific efficiency savings, and product innovation that creates both volume growth and premium category growth have supported this leadership (Reuters, 2025) </w:t>
      </w:r>
    </w:p>
    <w:p w14:paraId="528C5CBF" w14:textId="77777777" w:rsidR="002D7E2F" w:rsidRDefault="004F31A1">
      <w:pPr>
        <w:keepNext/>
        <w:spacing w:line="360" w:lineRule="auto"/>
        <w:jc w:val="center"/>
      </w:pPr>
      <w:r>
        <w:rPr>
          <w:rFonts w:ascii="Arial" w:eastAsia="Arial" w:hAnsi="Arial" w:cs="Arial"/>
          <w:noProof/>
          <w:sz w:val="24"/>
          <w:szCs w:val="24"/>
        </w:rPr>
        <w:lastRenderedPageBreak/>
        <w:drawing>
          <wp:inline distT="0" distB="0" distL="0" distR="0" wp14:anchorId="63B88746" wp14:editId="392A69C3">
            <wp:extent cx="5486400" cy="3200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486400" cy="3200400"/>
                    </a:xfrm>
                    <a:prstGeom prst="rect">
                      <a:avLst/>
                    </a:prstGeom>
                    <a:ln/>
                  </pic:spPr>
                </pic:pic>
              </a:graphicData>
            </a:graphic>
          </wp:inline>
        </w:drawing>
      </w:r>
    </w:p>
    <w:p w14:paraId="6DCEE35A" w14:textId="77777777" w:rsidR="002D7E2F" w:rsidRDefault="004F31A1">
      <w:pPr>
        <w:pBdr>
          <w:top w:val="nil"/>
          <w:left w:val="nil"/>
          <w:bottom w:val="nil"/>
          <w:right w:val="nil"/>
          <w:between w:val="nil"/>
        </w:pBdr>
        <w:spacing w:after="200" w:line="240" w:lineRule="auto"/>
        <w:jc w:val="center"/>
        <w:rPr>
          <w:rFonts w:ascii="Arial" w:eastAsia="Arial" w:hAnsi="Arial" w:cs="Arial"/>
          <w:i/>
          <w:iCs/>
          <w:color w:val="44546A"/>
          <w:sz w:val="28"/>
          <w:szCs w:val="28"/>
        </w:rPr>
      </w:pPr>
      <w:bookmarkStart w:id="5" w:name="_ueva1lhgi32h" w:colFirst="0" w:colLast="0"/>
      <w:bookmarkEnd w:id="5"/>
      <w:r>
        <w:rPr>
          <w:rFonts w:ascii="Arial" w:eastAsia="Arial" w:hAnsi="Arial" w:cs="Arial"/>
          <w:i/>
          <w:iCs/>
          <w:color w:val="44546A"/>
          <w:sz w:val="20"/>
          <w:szCs w:val="20"/>
        </w:rPr>
        <w:t>Figure 3: Market Share of Major UK Grocery Retailers (2025)</w:t>
      </w:r>
    </w:p>
    <w:p w14:paraId="34F4E271" w14:textId="6B2AAED9" w:rsidR="002D7E2F" w:rsidRDefault="004F31A1">
      <w:pPr>
        <w:spacing w:line="360" w:lineRule="auto"/>
        <w:jc w:val="both"/>
        <w:rPr>
          <w:rFonts w:ascii="Arial" w:eastAsia="Arial" w:hAnsi="Arial" w:cs="Arial"/>
          <w:sz w:val="24"/>
          <w:szCs w:val="24"/>
        </w:rPr>
      </w:pPr>
      <w:r>
        <w:rPr>
          <w:rFonts w:ascii="Arial" w:eastAsia="Arial" w:hAnsi="Arial" w:cs="Arial"/>
          <w:sz w:val="24"/>
          <w:szCs w:val="24"/>
        </w:rPr>
        <w:t>The main competitors that Tesco may face are Sainsbury</w:t>
      </w:r>
      <w:r w:rsidR="00C056FD">
        <w:rPr>
          <w:rFonts w:ascii="Arial" w:eastAsia="Arial" w:hAnsi="Arial" w:cs="Arial"/>
          <w:sz w:val="24"/>
          <w:szCs w:val="24"/>
        </w:rPr>
        <w:t>’s</w:t>
      </w:r>
      <w:r>
        <w:rPr>
          <w:rFonts w:ascii="Arial" w:eastAsia="Arial" w:hAnsi="Arial" w:cs="Arial"/>
          <w:sz w:val="24"/>
          <w:szCs w:val="24"/>
        </w:rPr>
        <w:t>, Asda, Morrisons, Aldi and Lidl with their own strategy. Competition at Sainsbury</w:t>
      </w:r>
      <w:r w:rsidR="00C056FD">
        <w:rPr>
          <w:rFonts w:ascii="Arial" w:eastAsia="Arial" w:hAnsi="Arial" w:cs="Arial"/>
          <w:sz w:val="24"/>
          <w:szCs w:val="24"/>
        </w:rPr>
        <w:t>’s</w:t>
      </w:r>
      <w:r>
        <w:rPr>
          <w:rFonts w:ascii="Arial" w:eastAsia="Arial" w:hAnsi="Arial" w:cs="Arial"/>
          <w:sz w:val="24"/>
          <w:szCs w:val="24"/>
        </w:rPr>
        <w:t xml:space="preserve"> is based on the quality and brand differentiation, Asda on price competitiveness, and German low-cost discounters Aldi and Lidl on low-cost private-label and low-cost operations (Reveal Intelligence, 2025) </w:t>
      </w:r>
      <w:r>
        <w:rPr>
          <w:rFonts w:ascii="Tahoma" w:eastAsia="Tahoma" w:hAnsi="Tahoma" w:cs="Tahoma"/>
          <w:sz w:val="24"/>
          <w:szCs w:val="24"/>
        </w:rPr>
        <w:t>⁠</w:t>
      </w:r>
      <w:r>
        <w:rPr>
          <w:rFonts w:ascii="Arial" w:eastAsia="Arial" w:hAnsi="Arial" w:cs="Arial"/>
          <w:sz w:val="24"/>
          <w:szCs w:val="24"/>
        </w:rPr>
        <w:t xml:space="preserve">. </w:t>
      </w:r>
    </w:p>
    <w:p w14:paraId="319FCE83" w14:textId="03701F4E" w:rsidR="002D7E2F" w:rsidRDefault="004F31A1">
      <w:pPr>
        <w:pStyle w:val="Heading1"/>
      </w:pPr>
      <w:bookmarkStart w:id="6" w:name="_Toc225521812"/>
      <w:r>
        <w:t>2. External and Internal Environment Analysis</w:t>
      </w:r>
      <w:bookmarkEnd w:id="6"/>
    </w:p>
    <w:p w14:paraId="5AC239AD" w14:textId="1EB775D5"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This </w:t>
      </w:r>
      <w:r w:rsidR="006F5DAB">
        <w:rPr>
          <w:rFonts w:ascii="Arial" w:eastAsia="Arial" w:hAnsi="Arial" w:cs="Arial"/>
          <w:sz w:val="24"/>
          <w:szCs w:val="24"/>
        </w:rPr>
        <w:t>section provides</w:t>
      </w:r>
      <w:r>
        <w:rPr>
          <w:rFonts w:ascii="Arial" w:eastAsia="Arial" w:hAnsi="Arial" w:cs="Arial"/>
          <w:sz w:val="24"/>
          <w:szCs w:val="24"/>
        </w:rPr>
        <w:t xml:space="preserve"> a critical analysis of the strategic environment of Tesco by </w:t>
      </w:r>
      <w:r w:rsidR="006F5DAB">
        <w:rPr>
          <w:rFonts w:ascii="Arial" w:eastAsia="Arial" w:hAnsi="Arial" w:cs="Arial"/>
          <w:sz w:val="24"/>
          <w:szCs w:val="24"/>
        </w:rPr>
        <w:t>analyzing</w:t>
      </w:r>
      <w:r>
        <w:rPr>
          <w:rFonts w:ascii="Arial" w:eastAsia="Arial" w:hAnsi="Arial" w:cs="Arial"/>
          <w:sz w:val="24"/>
          <w:szCs w:val="24"/>
        </w:rPr>
        <w:t xml:space="preserve"> the external macro-environment, industry forces, and </w:t>
      </w:r>
      <w:r w:rsidR="006F5DAB">
        <w:rPr>
          <w:rFonts w:ascii="Arial" w:eastAsia="Arial" w:hAnsi="Arial" w:cs="Arial"/>
          <w:sz w:val="24"/>
          <w:szCs w:val="24"/>
        </w:rPr>
        <w:t>organizational</w:t>
      </w:r>
      <w:r>
        <w:rPr>
          <w:rFonts w:ascii="Arial" w:eastAsia="Arial" w:hAnsi="Arial" w:cs="Arial"/>
          <w:sz w:val="24"/>
          <w:szCs w:val="24"/>
        </w:rPr>
        <w:t xml:space="preserve"> resources and capabilities. The discussion shows how the external forces influence strategic decision making and internal capabilities help in creating sustainable competitive advantage.</w:t>
      </w:r>
    </w:p>
    <w:p w14:paraId="682B83A0" w14:textId="049DCC26" w:rsidR="002D7E2F" w:rsidRDefault="004F31A1">
      <w:pPr>
        <w:pStyle w:val="Heading2"/>
      </w:pPr>
      <w:bookmarkStart w:id="7" w:name="_Toc225521813"/>
      <w:r>
        <w:t>2.1 PESTEL Analysis of the External Environment</w:t>
      </w:r>
      <w:bookmarkEnd w:id="7"/>
    </w:p>
    <w:p w14:paraId="686592E6" w14:textId="48D9F7B3" w:rsidR="002D7E2F" w:rsidRDefault="004F31A1">
      <w:pPr>
        <w:numPr>
          <w:ilvl w:val="0"/>
          <w:numId w:val="13"/>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Political Factors</w:t>
      </w:r>
      <w:r>
        <w:rPr>
          <w:color w:val="000000"/>
        </w:rPr>
        <w:t>:</w:t>
      </w:r>
      <w:r>
        <w:rPr>
          <w:rFonts w:ascii="Arial" w:eastAsia="Arial" w:hAnsi="Arial" w:cs="Arial"/>
          <w:b/>
          <w:bCs/>
          <w:color w:val="000000"/>
          <w:sz w:val="24"/>
          <w:szCs w:val="24"/>
        </w:rPr>
        <w:t xml:space="preserve"> </w:t>
      </w:r>
      <w:r>
        <w:rPr>
          <w:rFonts w:ascii="Arial" w:eastAsia="Arial" w:hAnsi="Arial" w:cs="Arial"/>
          <w:color w:val="000000"/>
          <w:sz w:val="24"/>
          <w:szCs w:val="24"/>
        </w:rPr>
        <w:t xml:space="preserve">The political factors play an important role in the strategic decisions of </w:t>
      </w:r>
      <w:r w:rsidR="00C102B9">
        <w:rPr>
          <w:rFonts w:ascii="Arial" w:eastAsia="Arial" w:hAnsi="Arial" w:cs="Arial"/>
          <w:color w:val="000000"/>
          <w:sz w:val="24"/>
          <w:szCs w:val="24"/>
        </w:rPr>
        <w:t>Tesco,</w:t>
      </w:r>
      <w:r>
        <w:rPr>
          <w:rFonts w:ascii="Arial" w:eastAsia="Arial" w:hAnsi="Arial" w:cs="Arial"/>
          <w:color w:val="000000"/>
          <w:sz w:val="24"/>
          <w:szCs w:val="24"/>
        </w:rPr>
        <w:t xml:space="preserve"> especially regulation</w:t>
      </w:r>
      <w:r w:rsidR="008E1CB3">
        <w:rPr>
          <w:rFonts w:ascii="Arial" w:eastAsia="Arial" w:hAnsi="Arial" w:cs="Arial"/>
          <w:color w:val="000000"/>
          <w:sz w:val="24"/>
          <w:szCs w:val="24"/>
        </w:rPr>
        <w:t>s related</w:t>
      </w:r>
      <w:r>
        <w:rPr>
          <w:rFonts w:ascii="Arial" w:eastAsia="Arial" w:hAnsi="Arial" w:cs="Arial"/>
          <w:color w:val="000000"/>
          <w:sz w:val="24"/>
          <w:szCs w:val="24"/>
        </w:rPr>
        <w:t xml:space="preserve"> </w:t>
      </w:r>
      <w:r w:rsidR="008E1CB3">
        <w:rPr>
          <w:rFonts w:ascii="Arial" w:eastAsia="Arial" w:hAnsi="Arial" w:cs="Arial"/>
          <w:color w:val="000000"/>
          <w:sz w:val="24"/>
          <w:szCs w:val="24"/>
        </w:rPr>
        <w:t>to</w:t>
      </w:r>
      <w:r>
        <w:rPr>
          <w:rFonts w:ascii="Arial" w:eastAsia="Arial" w:hAnsi="Arial" w:cs="Arial"/>
          <w:color w:val="000000"/>
          <w:sz w:val="24"/>
          <w:szCs w:val="24"/>
        </w:rPr>
        <w:t xml:space="preserve"> food and trade policy in the UK and the complexity of supply chain management in post-Brexit. After Brexit, the imposition of customs, regulatory differences, and </w:t>
      </w:r>
      <w:r w:rsidR="00C102B9">
        <w:rPr>
          <w:rFonts w:ascii="Arial" w:eastAsia="Arial" w:hAnsi="Arial" w:cs="Arial"/>
          <w:color w:val="000000"/>
          <w:sz w:val="24"/>
          <w:szCs w:val="24"/>
        </w:rPr>
        <w:t>labor</w:t>
      </w:r>
      <w:r>
        <w:rPr>
          <w:rFonts w:ascii="Arial" w:eastAsia="Arial" w:hAnsi="Arial" w:cs="Arial"/>
          <w:color w:val="000000"/>
          <w:sz w:val="24"/>
          <w:szCs w:val="24"/>
        </w:rPr>
        <w:t xml:space="preserve"> issues in logistics made operations more expensive, and interrupted the reliability of suppliers (UK Parliament, 2021). To counter that, Tesco has diversified its supplier range, </w:t>
      </w:r>
      <w:r>
        <w:rPr>
          <w:rFonts w:ascii="Arial" w:eastAsia="Arial" w:hAnsi="Arial" w:cs="Arial"/>
          <w:color w:val="000000"/>
          <w:sz w:val="24"/>
          <w:szCs w:val="24"/>
        </w:rPr>
        <w:lastRenderedPageBreak/>
        <w:t xml:space="preserve">sourced more in the UK, and invested in supply-chain resiliency to minimize friction across borders (Tesco plc, 2023). </w:t>
      </w:r>
    </w:p>
    <w:p w14:paraId="1BC17279" w14:textId="5EACF401" w:rsidR="002D7E2F" w:rsidRDefault="004F31A1">
      <w:pPr>
        <w:numPr>
          <w:ilvl w:val="0"/>
          <w:numId w:val="13"/>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Economic Factors: </w:t>
      </w:r>
      <w:r>
        <w:rPr>
          <w:rFonts w:ascii="Arial" w:eastAsia="Arial" w:hAnsi="Arial" w:cs="Arial"/>
          <w:color w:val="000000"/>
          <w:sz w:val="24"/>
          <w:szCs w:val="24"/>
        </w:rPr>
        <w:t xml:space="preserve">One of the most prevailing external pressures on Tesco since 2020 is economic instability. The increasing energy prices, high inflation, and falling real household income have altered the conditions of consumer </w:t>
      </w:r>
      <w:r w:rsidR="008E1CB3">
        <w:rPr>
          <w:rFonts w:ascii="Arial" w:eastAsia="Arial" w:hAnsi="Arial" w:cs="Arial"/>
          <w:color w:val="000000"/>
          <w:sz w:val="24"/>
          <w:szCs w:val="24"/>
        </w:rPr>
        <w:t>behavior</w:t>
      </w:r>
      <w:r>
        <w:rPr>
          <w:rFonts w:ascii="Arial" w:eastAsia="Arial" w:hAnsi="Arial" w:cs="Arial"/>
          <w:color w:val="000000"/>
          <w:sz w:val="24"/>
          <w:szCs w:val="24"/>
        </w:rPr>
        <w:t xml:space="preserve"> with price sensitivity and value-based purchasing (ONS, 2023). To respond strategically, Tesco has intensified its cost-leadership aspects, widened price matching programs, and focused on in-house branded products, to </w:t>
      </w:r>
      <w:r w:rsidR="008E1CB3">
        <w:rPr>
          <w:rFonts w:ascii="Arial" w:eastAsia="Arial" w:hAnsi="Arial" w:cs="Arial"/>
          <w:color w:val="000000"/>
          <w:sz w:val="24"/>
          <w:szCs w:val="24"/>
        </w:rPr>
        <w:t>maintain sales volume</w:t>
      </w:r>
      <w:r>
        <w:rPr>
          <w:rFonts w:ascii="Arial" w:eastAsia="Arial" w:hAnsi="Arial" w:cs="Arial"/>
          <w:color w:val="000000"/>
          <w:sz w:val="24"/>
          <w:szCs w:val="24"/>
        </w:rPr>
        <w:t xml:space="preserve"> and safeguard margins (Mintel, 2024). </w:t>
      </w:r>
    </w:p>
    <w:p w14:paraId="67515B87" w14:textId="5F0E3CDC" w:rsidR="002D7E2F" w:rsidRDefault="004F31A1">
      <w:pPr>
        <w:numPr>
          <w:ilvl w:val="0"/>
          <w:numId w:val="13"/>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Social Factors: </w:t>
      </w:r>
      <w:r>
        <w:rPr>
          <w:rFonts w:ascii="Arial" w:eastAsia="Arial" w:hAnsi="Arial" w:cs="Arial"/>
          <w:color w:val="000000"/>
          <w:sz w:val="24"/>
          <w:szCs w:val="24"/>
        </w:rPr>
        <w:t xml:space="preserve">Social trends have </w:t>
      </w:r>
      <w:r w:rsidR="008E1CB3">
        <w:rPr>
          <w:rFonts w:ascii="Arial" w:eastAsia="Arial" w:hAnsi="Arial" w:cs="Arial"/>
          <w:color w:val="000000"/>
          <w:sz w:val="24"/>
          <w:szCs w:val="24"/>
        </w:rPr>
        <w:t>significantly influenced</w:t>
      </w:r>
      <w:r>
        <w:rPr>
          <w:rFonts w:ascii="Arial" w:eastAsia="Arial" w:hAnsi="Arial" w:cs="Arial"/>
          <w:color w:val="000000"/>
          <w:sz w:val="24"/>
          <w:szCs w:val="24"/>
        </w:rPr>
        <w:t xml:space="preserve"> Tesco strategic orientation in that the consumer expectations have shifted towards ethical sourcing, health and convenience. The consumer awareness on nutrition, sustainability, and corporate ethics in the UK has been on the increase, putting retailers under pressure to provide healthier products and clear supply chains (Euromonitor, 2024). In response, Tesco has revised own-labeled items in an attempt to cut down on sugar and salt, increased vegetarian items, and integrated moral sourcing principles into its purchasing approach (Tesco plc, 2024). </w:t>
      </w:r>
    </w:p>
    <w:p w14:paraId="37314680" w14:textId="43FF7CA5" w:rsidR="002D7E2F" w:rsidRDefault="004F31A1">
      <w:pPr>
        <w:numPr>
          <w:ilvl w:val="0"/>
          <w:numId w:val="13"/>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Technological Factors: </w:t>
      </w:r>
      <w:r>
        <w:rPr>
          <w:rFonts w:ascii="Arial" w:eastAsia="Arial" w:hAnsi="Arial" w:cs="Arial"/>
          <w:color w:val="000000"/>
          <w:sz w:val="24"/>
          <w:szCs w:val="24"/>
        </w:rPr>
        <w:t xml:space="preserve">The competitive strategy of Tesco is dominated by technological progress. The intensive investment in data analytics, online platforms, and technologies that the firm has made shows how strategic technology is in improving efficiency and customer interactions (McKinsey, 2022). The Tesco Clubcard loyalty </w:t>
      </w:r>
      <w:r w:rsidR="008E1CB3">
        <w:rPr>
          <w:rFonts w:ascii="Arial" w:eastAsia="Arial" w:hAnsi="Arial" w:cs="Arial"/>
          <w:color w:val="000000"/>
          <w:sz w:val="24"/>
          <w:szCs w:val="24"/>
        </w:rPr>
        <w:t>program</w:t>
      </w:r>
      <w:r>
        <w:rPr>
          <w:rFonts w:ascii="Arial" w:eastAsia="Arial" w:hAnsi="Arial" w:cs="Arial"/>
          <w:color w:val="000000"/>
          <w:sz w:val="24"/>
          <w:szCs w:val="24"/>
        </w:rPr>
        <w:t xml:space="preserve"> allows high-order </w:t>
      </w:r>
      <w:r w:rsidR="008E1CB3">
        <w:rPr>
          <w:rFonts w:ascii="Arial" w:eastAsia="Arial" w:hAnsi="Arial" w:cs="Arial"/>
          <w:color w:val="000000"/>
          <w:sz w:val="24"/>
          <w:szCs w:val="24"/>
        </w:rPr>
        <w:t>personalization</w:t>
      </w:r>
      <w:r>
        <w:rPr>
          <w:rFonts w:ascii="Arial" w:eastAsia="Arial" w:hAnsi="Arial" w:cs="Arial"/>
          <w:color w:val="000000"/>
          <w:sz w:val="24"/>
          <w:szCs w:val="24"/>
        </w:rPr>
        <w:t xml:space="preserve">, advanced promotions, and </w:t>
      </w:r>
      <w:r w:rsidR="008E1CB3">
        <w:rPr>
          <w:rFonts w:ascii="Arial" w:eastAsia="Arial" w:hAnsi="Arial" w:cs="Arial"/>
          <w:color w:val="000000"/>
          <w:sz w:val="24"/>
          <w:szCs w:val="24"/>
        </w:rPr>
        <w:t>forecast</w:t>
      </w:r>
      <w:r>
        <w:rPr>
          <w:rFonts w:ascii="Arial" w:eastAsia="Arial" w:hAnsi="Arial" w:cs="Arial"/>
          <w:color w:val="000000"/>
          <w:sz w:val="24"/>
          <w:szCs w:val="24"/>
        </w:rPr>
        <w:t xml:space="preserve"> demand, which assists in making data-based decisions in the areas of pricing, inventory, and marketing (Deloitte, 2023).</w:t>
      </w:r>
    </w:p>
    <w:p w14:paraId="786A6B06" w14:textId="6767945E" w:rsidR="002D7E2F" w:rsidRDefault="004F31A1">
      <w:pPr>
        <w:numPr>
          <w:ilvl w:val="0"/>
          <w:numId w:val="13"/>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Environmental Factors: </w:t>
      </w:r>
      <w:r>
        <w:rPr>
          <w:rFonts w:ascii="Arial" w:eastAsia="Arial" w:hAnsi="Arial" w:cs="Arial"/>
          <w:color w:val="000000"/>
          <w:sz w:val="24"/>
          <w:szCs w:val="24"/>
        </w:rPr>
        <w:t xml:space="preserve">Green is now both a strategic opportunity and a constraint to Tesco. Compliance with regulations and the demands of stakeholders have increased the obligations to reduce carbon emission levels, </w:t>
      </w:r>
      <w:r w:rsidR="008E1CB3">
        <w:rPr>
          <w:rFonts w:ascii="Arial" w:eastAsia="Arial" w:hAnsi="Arial" w:cs="Arial"/>
          <w:color w:val="000000"/>
          <w:sz w:val="24"/>
          <w:szCs w:val="24"/>
        </w:rPr>
        <w:t>minimize</w:t>
      </w:r>
      <w:r>
        <w:rPr>
          <w:rFonts w:ascii="Arial" w:eastAsia="Arial" w:hAnsi="Arial" w:cs="Arial"/>
          <w:color w:val="000000"/>
          <w:sz w:val="24"/>
          <w:szCs w:val="24"/>
        </w:rPr>
        <w:t xml:space="preserve"> waste levels, and engage in sustainable sourcing (DEFRA, 2023). The aspirations of Tesco to </w:t>
      </w:r>
      <w:r w:rsidR="008E1CB3">
        <w:rPr>
          <w:rFonts w:ascii="Arial" w:eastAsia="Arial" w:hAnsi="Arial" w:cs="Arial"/>
          <w:color w:val="000000"/>
          <w:sz w:val="24"/>
          <w:szCs w:val="24"/>
        </w:rPr>
        <w:t>realize</w:t>
      </w:r>
      <w:r>
        <w:rPr>
          <w:rFonts w:ascii="Arial" w:eastAsia="Arial" w:hAnsi="Arial" w:cs="Arial"/>
          <w:color w:val="000000"/>
          <w:sz w:val="24"/>
          <w:szCs w:val="24"/>
        </w:rPr>
        <w:t xml:space="preserve"> net-zero emissions in its UK business by 2035 </w:t>
      </w:r>
      <w:r w:rsidR="00C102B9">
        <w:rPr>
          <w:rFonts w:ascii="Arial" w:eastAsia="Arial" w:hAnsi="Arial" w:cs="Arial"/>
          <w:color w:val="000000"/>
          <w:sz w:val="24"/>
          <w:szCs w:val="24"/>
        </w:rPr>
        <w:t>have</w:t>
      </w:r>
      <w:r>
        <w:rPr>
          <w:rFonts w:ascii="Arial" w:eastAsia="Arial" w:hAnsi="Arial" w:cs="Arial"/>
          <w:color w:val="000000"/>
          <w:sz w:val="24"/>
          <w:szCs w:val="24"/>
        </w:rPr>
        <w:t xml:space="preserve"> affected the investment in renewable energy, </w:t>
      </w:r>
      <w:r w:rsidR="008E1CB3">
        <w:rPr>
          <w:rFonts w:ascii="Arial" w:eastAsia="Arial" w:hAnsi="Arial" w:cs="Arial"/>
          <w:color w:val="000000"/>
          <w:sz w:val="24"/>
          <w:szCs w:val="24"/>
        </w:rPr>
        <w:t>optimization</w:t>
      </w:r>
      <w:r>
        <w:rPr>
          <w:rFonts w:ascii="Arial" w:eastAsia="Arial" w:hAnsi="Arial" w:cs="Arial"/>
          <w:color w:val="000000"/>
          <w:sz w:val="24"/>
          <w:szCs w:val="24"/>
        </w:rPr>
        <w:t xml:space="preserve"> of its logistics, and the innovation of packaging (Tesco plc, 2024). </w:t>
      </w:r>
    </w:p>
    <w:p w14:paraId="2598ACCF" w14:textId="254B96F3" w:rsidR="002D7E2F" w:rsidRDefault="004F31A1">
      <w:pPr>
        <w:numPr>
          <w:ilvl w:val="0"/>
          <w:numId w:val="13"/>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lastRenderedPageBreak/>
        <w:t xml:space="preserve">Legal Factors: </w:t>
      </w:r>
      <w:r>
        <w:rPr>
          <w:rFonts w:ascii="Arial" w:eastAsia="Arial" w:hAnsi="Arial" w:cs="Arial"/>
          <w:color w:val="000000"/>
          <w:sz w:val="24"/>
          <w:szCs w:val="24"/>
        </w:rPr>
        <w:t xml:space="preserve">The operational and strategic environment of Tesco is largely influenced by legal forces. The competition legislation in the UK proscribes anti-competitive pricing practices, which asserts that Tesco cannot develop aggressive price wars without any regulatory oversight (CMA, 2023). Moreover, the changing </w:t>
      </w:r>
      <w:r w:rsidR="00C102B9">
        <w:rPr>
          <w:rFonts w:ascii="Arial" w:eastAsia="Arial" w:hAnsi="Arial" w:cs="Arial"/>
          <w:color w:val="000000"/>
          <w:sz w:val="24"/>
          <w:szCs w:val="24"/>
        </w:rPr>
        <w:t>labor</w:t>
      </w:r>
      <w:r>
        <w:rPr>
          <w:rFonts w:ascii="Arial" w:eastAsia="Arial" w:hAnsi="Arial" w:cs="Arial"/>
          <w:color w:val="000000"/>
          <w:sz w:val="24"/>
          <w:szCs w:val="24"/>
        </w:rPr>
        <w:t xml:space="preserve"> policies connected to the minimum wages, welfare of workers, and employment rights have added operational expenses to the retail industry (CIPD, 2024). </w:t>
      </w:r>
    </w:p>
    <w:p w14:paraId="6D2A3CC4" w14:textId="77777777" w:rsidR="002D7E2F" w:rsidRDefault="004F31A1">
      <w:pPr>
        <w:keepNext/>
        <w:pBdr>
          <w:top w:val="nil"/>
          <w:left w:val="nil"/>
          <w:bottom w:val="nil"/>
          <w:right w:val="nil"/>
          <w:between w:val="nil"/>
        </w:pBdr>
        <w:spacing w:line="360" w:lineRule="auto"/>
        <w:ind w:left="720"/>
        <w:jc w:val="center"/>
        <w:rPr>
          <w:color w:val="000000"/>
        </w:rPr>
      </w:pPr>
      <w:r>
        <w:rPr>
          <w:rFonts w:ascii="Arial" w:eastAsia="Arial" w:hAnsi="Arial" w:cs="Arial"/>
          <w:b/>
          <w:bCs/>
          <w:noProof/>
          <w:color w:val="000000"/>
          <w:sz w:val="24"/>
          <w:szCs w:val="24"/>
        </w:rPr>
        <w:drawing>
          <wp:inline distT="0" distB="0" distL="0" distR="0" wp14:anchorId="2B2835CF" wp14:editId="40A5031E">
            <wp:extent cx="3203760" cy="318093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203760" cy="3180930"/>
                    </a:xfrm>
                    <a:prstGeom prst="rect">
                      <a:avLst/>
                    </a:prstGeom>
                    <a:ln/>
                  </pic:spPr>
                </pic:pic>
              </a:graphicData>
            </a:graphic>
          </wp:inline>
        </w:drawing>
      </w:r>
    </w:p>
    <w:p w14:paraId="086A148E" w14:textId="77777777" w:rsidR="002D7E2F" w:rsidRDefault="004F31A1">
      <w:pPr>
        <w:pBdr>
          <w:top w:val="nil"/>
          <w:left w:val="nil"/>
          <w:bottom w:val="nil"/>
          <w:right w:val="nil"/>
          <w:between w:val="nil"/>
        </w:pBdr>
        <w:spacing w:after="200" w:line="240" w:lineRule="auto"/>
        <w:jc w:val="center"/>
        <w:rPr>
          <w:rFonts w:ascii="Arial" w:eastAsia="Arial" w:hAnsi="Arial" w:cs="Arial"/>
          <w:b/>
          <w:bCs/>
          <w:i/>
          <w:iCs/>
          <w:color w:val="44546A"/>
          <w:sz w:val="28"/>
          <w:szCs w:val="28"/>
        </w:rPr>
      </w:pPr>
      <w:bookmarkStart w:id="8" w:name="_ug5o7gb8a9xg" w:colFirst="0" w:colLast="0"/>
      <w:bookmarkEnd w:id="8"/>
      <w:r>
        <w:rPr>
          <w:rFonts w:ascii="Arial" w:eastAsia="Arial" w:hAnsi="Arial" w:cs="Arial"/>
          <w:i/>
          <w:iCs/>
          <w:color w:val="44546A"/>
          <w:sz w:val="20"/>
          <w:szCs w:val="20"/>
        </w:rPr>
        <w:t>Figure 4: PESTEL Analysis of Tesco’s External Environment</w:t>
      </w:r>
    </w:p>
    <w:p w14:paraId="68A34E0C" w14:textId="107F7450" w:rsidR="002D7E2F" w:rsidRDefault="004F31A1">
      <w:pPr>
        <w:pStyle w:val="Heading2"/>
      </w:pPr>
      <w:bookmarkStart w:id="9" w:name="_Toc225521814"/>
      <w:r>
        <w:t>2.2 Industry Environment and Strategy Issues</w:t>
      </w:r>
      <w:bookmarkEnd w:id="9"/>
    </w:p>
    <w:p w14:paraId="5BF6009E" w14:textId="4CD12E4D"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grocery retail sector in the UK is typified by stiff competition, low margins, and low differentiation. Tesco is constantly competing on a price basis, especially with discounters Aldi and Lidl, whose </w:t>
      </w:r>
      <w:r w:rsidR="00C102B9">
        <w:rPr>
          <w:rFonts w:ascii="Arial" w:eastAsia="Arial" w:hAnsi="Arial" w:cs="Arial"/>
          <w:sz w:val="24"/>
          <w:szCs w:val="24"/>
        </w:rPr>
        <w:t>low-cost</w:t>
      </w:r>
      <w:r>
        <w:rPr>
          <w:rFonts w:ascii="Arial" w:eastAsia="Arial" w:hAnsi="Arial" w:cs="Arial"/>
          <w:sz w:val="24"/>
          <w:szCs w:val="24"/>
        </w:rPr>
        <w:t xml:space="preserve"> bases allow them to continue undermining their traditional supermarkets (Euromonitor, 2024). This has been one of the competitive pressures that have compelled Tesco to fight back market share by matching prices and operational efficiency, which has compounded the compression of the margin.</w:t>
      </w:r>
    </w:p>
    <w:p w14:paraId="07829A93" w14:textId="46080801" w:rsidR="002D7E2F" w:rsidRDefault="004F31A1">
      <w:pPr>
        <w:spacing w:line="360" w:lineRule="auto"/>
        <w:jc w:val="both"/>
        <w:rPr>
          <w:rFonts w:ascii="Arial" w:eastAsia="Arial" w:hAnsi="Arial" w:cs="Arial"/>
          <w:sz w:val="24"/>
          <w:szCs w:val="24"/>
        </w:rPr>
      </w:pPr>
      <w:r>
        <w:rPr>
          <w:rFonts w:ascii="Arial" w:eastAsia="Arial" w:hAnsi="Arial" w:cs="Arial"/>
          <w:sz w:val="24"/>
          <w:szCs w:val="24"/>
        </w:rPr>
        <w:t>Moreover, the online grocery business and speedy delivery services have reinvented the industry structure, where platforms</w:t>
      </w:r>
      <w:r w:rsidR="008E1CB3">
        <w:rPr>
          <w:rFonts w:ascii="Arial" w:eastAsia="Arial" w:hAnsi="Arial" w:cs="Arial"/>
          <w:sz w:val="24"/>
          <w:szCs w:val="24"/>
        </w:rPr>
        <w:t xml:space="preserve"> are</w:t>
      </w:r>
      <w:r>
        <w:rPr>
          <w:rFonts w:ascii="Arial" w:eastAsia="Arial" w:hAnsi="Arial" w:cs="Arial"/>
          <w:sz w:val="24"/>
          <w:szCs w:val="24"/>
        </w:rPr>
        <w:t xml:space="preserve"> becom</w:t>
      </w:r>
      <w:r w:rsidR="008E1CB3">
        <w:rPr>
          <w:rFonts w:ascii="Arial" w:eastAsia="Arial" w:hAnsi="Arial" w:cs="Arial"/>
          <w:sz w:val="24"/>
          <w:szCs w:val="24"/>
        </w:rPr>
        <w:t>ing</w:t>
      </w:r>
      <w:r>
        <w:rPr>
          <w:rFonts w:ascii="Arial" w:eastAsia="Arial" w:hAnsi="Arial" w:cs="Arial"/>
          <w:sz w:val="24"/>
          <w:szCs w:val="24"/>
        </w:rPr>
        <w:t xml:space="preserve"> </w:t>
      </w:r>
      <w:r w:rsidR="008E1CB3">
        <w:rPr>
          <w:rFonts w:ascii="Arial" w:eastAsia="Arial" w:hAnsi="Arial" w:cs="Arial"/>
          <w:sz w:val="24"/>
          <w:szCs w:val="24"/>
        </w:rPr>
        <w:t>increasingly</w:t>
      </w:r>
      <w:r>
        <w:rPr>
          <w:rFonts w:ascii="Arial" w:eastAsia="Arial" w:hAnsi="Arial" w:cs="Arial"/>
          <w:sz w:val="24"/>
          <w:szCs w:val="24"/>
        </w:rPr>
        <w:t xml:space="preserve"> relevant in competition (Mintel, 2024). The size and Omnichannel nature of Tesco is a benefit, whereas capital </w:t>
      </w:r>
      <w:r>
        <w:rPr>
          <w:rFonts w:ascii="Arial" w:eastAsia="Arial" w:hAnsi="Arial" w:cs="Arial"/>
          <w:sz w:val="24"/>
          <w:szCs w:val="24"/>
        </w:rPr>
        <w:lastRenderedPageBreak/>
        <w:t>intensity of digital infrastructure causes strategic risk. All of these issues point to a necessity of Tesco to adopt a hybrid approach that will combine cost leadership with selective differentiation.</w:t>
      </w:r>
    </w:p>
    <w:p w14:paraId="38709F77" w14:textId="33560E18"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Five Forces Analysis of Porter-UK Grocery Retail Industry</w:t>
      </w:r>
    </w:p>
    <w:p w14:paraId="53A27C8F" w14:textId="638AAF11"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Tesco is facing important strategic challenges </w:t>
      </w:r>
      <w:r w:rsidR="001C3B82">
        <w:rPr>
          <w:rFonts w:ascii="Arial" w:eastAsia="Arial" w:hAnsi="Arial" w:cs="Arial"/>
          <w:sz w:val="24"/>
          <w:szCs w:val="24"/>
        </w:rPr>
        <w:t>through</w:t>
      </w:r>
      <w:r>
        <w:rPr>
          <w:rFonts w:ascii="Arial" w:eastAsia="Arial" w:hAnsi="Arial" w:cs="Arial"/>
          <w:sz w:val="24"/>
          <w:szCs w:val="24"/>
        </w:rPr>
        <w:t xml:space="preserve"> the competitive structure of the UK grocery retail industry, which can be demonstrated </w:t>
      </w:r>
      <w:r w:rsidR="001C3B82">
        <w:rPr>
          <w:rFonts w:ascii="Arial" w:eastAsia="Arial" w:hAnsi="Arial" w:cs="Arial"/>
          <w:sz w:val="24"/>
          <w:szCs w:val="24"/>
        </w:rPr>
        <w:t>using</w:t>
      </w:r>
      <w:r>
        <w:rPr>
          <w:rFonts w:ascii="Arial" w:eastAsia="Arial" w:hAnsi="Arial" w:cs="Arial"/>
          <w:sz w:val="24"/>
          <w:szCs w:val="24"/>
        </w:rPr>
        <w:t xml:space="preserve"> Porter</w:t>
      </w:r>
      <w:r w:rsidR="008E1CB3">
        <w:rPr>
          <w:rFonts w:ascii="Arial" w:eastAsia="Arial" w:hAnsi="Arial" w:cs="Arial"/>
          <w:sz w:val="24"/>
          <w:szCs w:val="24"/>
        </w:rPr>
        <w:t>’</w:t>
      </w:r>
      <w:r>
        <w:rPr>
          <w:rFonts w:ascii="Arial" w:eastAsia="Arial" w:hAnsi="Arial" w:cs="Arial"/>
          <w:sz w:val="24"/>
          <w:szCs w:val="24"/>
        </w:rPr>
        <w:t>s Five Forces.</w:t>
      </w:r>
    </w:p>
    <w:p w14:paraId="1B915C1C" w14:textId="77777777" w:rsidR="002D7E2F" w:rsidRDefault="004F31A1">
      <w:pPr>
        <w:keepNext/>
        <w:spacing w:line="360" w:lineRule="auto"/>
        <w:jc w:val="center"/>
      </w:pPr>
      <w:r>
        <w:rPr>
          <w:rFonts w:ascii="Arial" w:eastAsia="Arial" w:hAnsi="Arial" w:cs="Arial"/>
          <w:noProof/>
          <w:sz w:val="24"/>
          <w:szCs w:val="24"/>
        </w:rPr>
        <w:drawing>
          <wp:inline distT="0" distB="0" distL="0" distR="0" wp14:anchorId="1575633A" wp14:editId="536C6CEE">
            <wp:extent cx="2878880" cy="2873796"/>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2878880" cy="2873796"/>
                    </a:xfrm>
                    <a:prstGeom prst="rect">
                      <a:avLst/>
                    </a:prstGeom>
                    <a:ln/>
                  </pic:spPr>
                </pic:pic>
              </a:graphicData>
            </a:graphic>
          </wp:inline>
        </w:drawing>
      </w:r>
    </w:p>
    <w:p w14:paraId="32874FB3" w14:textId="77777777" w:rsidR="002D7E2F" w:rsidRDefault="004F31A1">
      <w:pPr>
        <w:pBdr>
          <w:top w:val="nil"/>
          <w:left w:val="nil"/>
          <w:bottom w:val="nil"/>
          <w:right w:val="nil"/>
          <w:between w:val="nil"/>
        </w:pBdr>
        <w:spacing w:after="200" w:line="240" w:lineRule="auto"/>
        <w:jc w:val="center"/>
        <w:rPr>
          <w:rFonts w:ascii="Arial" w:eastAsia="Arial" w:hAnsi="Arial" w:cs="Arial"/>
          <w:i/>
          <w:iCs/>
          <w:color w:val="44546A"/>
          <w:sz w:val="28"/>
          <w:szCs w:val="28"/>
        </w:rPr>
      </w:pPr>
      <w:bookmarkStart w:id="10" w:name="_whk4dpaa7x0y" w:colFirst="0" w:colLast="0"/>
      <w:bookmarkEnd w:id="10"/>
      <w:r>
        <w:rPr>
          <w:rFonts w:ascii="Arial" w:eastAsia="Arial" w:hAnsi="Arial" w:cs="Arial"/>
          <w:i/>
          <w:iCs/>
          <w:color w:val="44546A"/>
          <w:sz w:val="20"/>
          <w:szCs w:val="20"/>
        </w:rPr>
        <w:t>Figure 5: Porter’s Five Forces Applied to UK Grocery Industry</w:t>
      </w:r>
    </w:p>
    <w:p w14:paraId="0C096258" w14:textId="7C4A32F9" w:rsidR="002D7E2F" w:rsidRDefault="004F31A1">
      <w:pPr>
        <w:numPr>
          <w:ilvl w:val="0"/>
          <w:numId w:val="1"/>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Competitive Rivalry – High: </w:t>
      </w:r>
      <w:r>
        <w:rPr>
          <w:rFonts w:ascii="Arial" w:eastAsia="Arial" w:hAnsi="Arial" w:cs="Arial"/>
          <w:color w:val="000000"/>
          <w:sz w:val="24"/>
          <w:szCs w:val="24"/>
        </w:rPr>
        <w:t xml:space="preserve">The level of competitive rivalry in the UK grocery industry is extremely high because of the saturation of the market, the low product differentiation, and the price competition. Tesco is under constant pressure </w:t>
      </w:r>
      <w:r w:rsidR="001C3B82">
        <w:rPr>
          <w:rFonts w:ascii="Arial" w:eastAsia="Arial" w:hAnsi="Arial" w:cs="Arial"/>
          <w:color w:val="000000"/>
          <w:sz w:val="24"/>
          <w:szCs w:val="24"/>
        </w:rPr>
        <w:t>from</w:t>
      </w:r>
      <w:r>
        <w:rPr>
          <w:rFonts w:ascii="Arial" w:eastAsia="Arial" w:hAnsi="Arial" w:cs="Arial"/>
          <w:color w:val="000000"/>
          <w:sz w:val="24"/>
          <w:szCs w:val="24"/>
        </w:rPr>
        <w:t xml:space="preserve"> traditional competitors like Sainsbury</w:t>
      </w:r>
      <w:r w:rsidR="008E1CB3">
        <w:rPr>
          <w:rFonts w:ascii="Arial" w:eastAsia="Arial" w:hAnsi="Arial" w:cs="Arial"/>
          <w:color w:val="000000"/>
          <w:sz w:val="24"/>
          <w:szCs w:val="24"/>
        </w:rPr>
        <w:t>’s</w:t>
      </w:r>
      <w:r>
        <w:rPr>
          <w:rFonts w:ascii="Arial" w:eastAsia="Arial" w:hAnsi="Arial" w:cs="Arial"/>
          <w:color w:val="000000"/>
          <w:sz w:val="24"/>
          <w:szCs w:val="24"/>
        </w:rPr>
        <w:t xml:space="preserve">, Asda, and Morrisons, as well as the rapid growth of low-cost operating models of discount retailers Aldi and Lidl, which increases price competition and reduces profit margins (Euromonitor, 2024). </w:t>
      </w:r>
    </w:p>
    <w:p w14:paraId="5F0E750D" w14:textId="30B76972" w:rsidR="002D7E2F" w:rsidRDefault="004F31A1">
      <w:pPr>
        <w:numPr>
          <w:ilvl w:val="0"/>
          <w:numId w:val="1"/>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Buyer Power – High: </w:t>
      </w:r>
      <w:r>
        <w:rPr>
          <w:rFonts w:ascii="Arial" w:eastAsia="Arial" w:hAnsi="Arial" w:cs="Arial"/>
          <w:color w:val="000000"/>
          <w:sz w:val="24"/>
          <w:szCs w:val="24"/>
        </w:rPr>
        <w:t xml:space="preserve">The buyer power is high because consumers have low switching costs and are more sensitive to prices, especially in the cost of living crisis (Mintel, 2024). Presence of price comparison program and multi-retail options allows a consumer to </w:t>
      </w:r>
      <w:r w:rsidR="00924E0C">
        <w:rPr>
          <w:rFonts w:ascii="Arial" w:eastAsia="Arial" w:hAnsi="Arial" w:cs="Arial"/>
          <w:color w:val="000000"/>
          <w:sz w:val="24"/>
          <w:szCs w:val="24"/>
        </w:rPr>
        <w:t>put pressure on</w:t>
      </w:r>
      <w:r>
        <w:rPr>
          <w:rFonts w:ascii="Arial" w:eastAsia="Arial" w:hAnsi="Arial" w:cs="Arial"/>
          <w:color w:val="000000"/>
          <w:sz w:val="24"/>
          <w:szCs w:val="24"/>
        </w:rPr>
        <w:t xml:space="preserve"> prices and promotional policies. The strategic response of Tesco has been to use its ecosystem of the Clubcard to make </w:t>
      </w:r>
      <w:r>
        <w:rPr>
          <w:rFonts w:ascii="Arial" w:eastAsia="Arial" w:hAnsi="Arial" w:cs="Arial"/>
          <w:color w:val="000000"/>
          <w:sz w:val="24"/>
          <w:szCs w:val="24"/>
        </w:rPr>
        <w:lastRenderedPageBreak/>
        <w:t>offers more personal and to build loyalty so that it controls its customer churn and in part controls buyer power.</w:t>
      </w:r>
    </w:p>
    <w:p w14:paraId="48AD5E92" w14:textId="5493D74F" w:rsidR="002D7E2F" w:rsidRDefault="004F31A1">
      <w:pPr>
        <w:numPr>
          <w:ilvl w:val="0"/>
          <w:numId w:val="1"/>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Supplier Power – Moderate: </w:t>
      </w:r>
      <w:r>
        <w:rPr>
          <w:rFonts w:ascii="Arial" w:eastAsia="Arial" w:hAnsi="Arial" w:cs="Arial"/>
          <w:color w:val="000000"/>
          <w:sz w:val="24"/>
          <w:szCs w:val="24"/>
        </w:rPr>
        <w:t>In the UK grocery market, the extent of supplier power is moderated by Tesco</w:t>
      </w:r>
      <w:r w:rsidR="00924E0C">
        <w:rPr>
          <w:rFonts w:ascii="Arial" w:eastAsia="Arial" w:hAnsi="Arial" w:cs="Arial"/>
          <w:color w:val="000000"/>
          <w:sz w:val="24"/>
          <w:szCs w:val="24"/>
        </w:rPr>
        <w:t>’s size</w:t>
      </w:r>
      <w:r>
        <w:rPr>
          <w:rFonts w:ascii="Arial" w:eastAsia="Arial" w:hAnsi="Arial" w:cs="Arial"/>
          <w:color w:val="000000"/>
          <w:sz w:val="24"/>
          <w:szCs w:val="24"/>
        </w:rPr>
        <w:t xml:space="preserve"> and the volume of its purchases that allow this company to secure </w:t>
      </w:r>
      <w:r w:rsidR="00924E0C">
        <w:rPr>
          <w:rFonts w:ascii="Arial" w:eastAsia="Arial" w:hAnsi="Arial" w:cs="Arial"/>
          <w:color w:val="000000"/>
          <w:sz w:val="24"/>
          <w:szCs w:val="24"/>
        </w:rPr>
        <w:t>favorable</w:t>
      </w:r>
      <w:r>
        <w:rPr>
          <w:rFonts w:ascii="Arial" w:eastAsia="Arial" w:hAnsi="Arial" w:cs="Arial"/>
          <w:color w:val="000000"/>
          <w:sz w:val="24"/>
          <w:szCs w:val="24"/>
        </w:rPr>
        <w:t xml:space="preserve"> conditions of the contract (Tesco plc, 2023). Nevertheless, Tesco has been limited in its capacity to exercise this power by regulatory needs to monitor its supplier treatment and rise in the cost of inputs, especially in agriculture and energy (CMA, 2023). As a result, Tesco will need to ensure a successful way of balancing cost management and ethical sourcing and long term supplier relationships.</w:t>
      </w:r>
    </w:p>
    <w:p w14:paraId="3E11E1A1" w14:textId="77777777" w:rsidR="002D7E2F" w:rsidRDefault="004F31A1">
      <w:pPr>
        <w:numPr>
          <w:ilvl w:val="0"/>
          <w:numId w:val="1"/>
        </w:numPr>
        <w:pBdr>
          <w:top w:val="nil"/>
          <w:left w:val="nil"/>
          <w:bottom w:val="nil"/>
          <w:right w:val="nil"/>
          <w:between w:val="nil"/>
        </w:pBdr>
        <w:spacing w:after="0" w:line="360" w:lineRule="auto"/>
        <w:jc w:val="both"/>
        <w:rPr>
          <w:b/>
          <w:bCs/>
          <w:color w:val="000000"/>
          <w:sz w:val="24"/>
          <w:szCs w:val="24"/>
        </w:rPr>
      </w:pPr>
      <w:r>
        <w:rPr>
          <w:rFonts w:ascii="Arial" w:eastAsia="Arial" w:hAnsi="Arial" w:cs="Arial"/>
          <w:b/>
          <w:bCs/>
          <w:color w:val="000000"/>
          <w:sz w:val="24"/>
          <w:szCs w:val="24"/>
        </w:rPr>
        <w:t xml:space="preserve">Threat of New Entrants – Low: </w:t>
      </w:r>
      <w:r>
        <w:rPr>
          <w:rFonts w:ascii="Arial" w:eastAsia="Arial" w:hAnsi="Arial" w:cs="Arial"/>
          <w:color w:val="000000"/>
          <w:sz w:val="24"/>
          <w:szCs w:val="24"/>
        </w:rPr>
        <w:t>This is also because the threat of new entrants is low as they need large amounts of capital, economies of scale, complex supply chains, and brand loyalty maintained by the existing players (Euromonitor, 2024). Such structural obstacles safeguard the market position of Tesco, although the barriers to entry are slightly low in niche markets due to digital platforms.</w:t>
      </w:r>
    </w:p>
    <w:p w14:paraId="4F09A81E" w14:textId="77777777" w:rsidR="002D7E2F" w:rsidRDefault="004F31A1">
      <w:pPr>
        <w:numPr>
          <w:ilvl w:val="0"/>
          <w:numId w:val="1"/>
        </w:numPr>
        <w:pBdr>
          <w:top w:val="nil"/>
          <w:left w:val="nil"/>
          <w:bottom w:val="nil"/>
          <w:right w:val="nil"/>
          <w:between w:val="nil"/>
        </w:pBdr>
        <w:spacing w:line="360" w:lineRule="auto"/>
        <w:jc w:val="both"/>
        <w:rPr>
          <w:b/>
          <w:bCs/>
          <w:color w:val="000000"/>
          <w:sz w:val="24"/>
          <w:szCs w:val="24"/>
        </w:rPr>
      </w:pPr>
      <w:r>
        <w:rPr>
          <w:rFonts w:ascii="Arial" w:eastAsia="Arial" w:hAnsi="Arial" w:cs="Arial"/>
          <w:b/>
          <w:bCs/>
          <w:color w:val="000000"/>
          <w:sz w:val="24"/>
          <w:szCs w:val="24"/>
        </w:rPr>
        <w:t xml:space="preserve">Threat of Substitutes- Moderate: </w:t>
      </w:r>
      <w:r>
        <w:rPr>
          <w:rFonts w:ascii="Arial" w:eastAsia="Arial" w:hAnsi="Arial" w:cs="Arial"/>
          <w:color w:val="000000"/>
          <w:sz w:val="24"/>
          <w:szCs w:val="24"/>
        </w:rPr>
        <w:t>The threat of substitution is caused by other food consumption outlets, including convenience stores, online-only retailers, meal-kit systems, and food delivery systems (Mintel, 2024). Although these substitutes do not directly imitate full-service grocery retailing, they put the pressure on Tesco to improve ease, speed, and online services.</w:t>
      </w:r>
    </w:p>
    <w:p w14:paraId="40835D71"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Strategic Implication</w:t>
      </w:r>
    </w:p>
    <w:p w14:paraId="0AA48A07" w14:textId="209F0790"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All the Five Forces analysis points to an industry that is structurally not appealing with margin perennial pressure. The capability of Tesco to maintain competitive advantage lies in its capacity to </w:t>
      </w:r>
      <w:r w:rsidR="00C102B9">
        <w:rPr>
          <w:rFonts w:ascii="Arial" w:eastAsia="Arial" w:hAnsi="Arial" w:cs="Arial"/>
          <w:sz w:val="24"/>
          <w:szCs w:val="24"/>
        </w:rPr>
        <w:t>capitalize</w:t>
      </w:r>
      <w:r>
        <w:rPr>
          <w:rFonts w:ascii="Arial" w:eastAsia="Arial" w:hAnsi="Arial" w:cs="Arial"/>
          <w:sz w:val="24"/>
          <w:szCs w:val="24"/>
        </w:rPr>
        <w:t xml:space="preserve"> on scale efficiencies, customer engagement based on data and selective differentiation to counter the high rivalry and buyer power.</w:t>
      </w:r>
    </w:p>
    <w:p w14:paraId="654FD714" w14:textId="1ADDB3A2" w:rsidR="002D7E2F" w:rsidRDefault="004F31A1">
      <w:pPr>
        <w:pStyle w:val="Heading2"/>
      </w:pPr>
      <w:bookmarkStart w:id="11" w:name="_Toc225521815"/>
      <w:r>
        <w:t>2.3 Internal Environment: Resources and Capabilities</w:t>
      </w:r>
      <w:bookmarkEnd w:id="11"/>
    </w:p>
    <w:p w14:paraId="42FAFE5F" w14:textId="6977D923"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internal environment of Tesco indicates that the company has a solid resource base that supports </w:t>
      </w:r>
      <w:r w:rsidR="00756355">
        <w:rPr>
          <w:rFonts w:ascii="Arial" w:eastAsia="Arial" w:hAnsi="Arial" w:cs="Arial"/>
          <w:sz w:val="24"/>
          <w:szCs w:val="24"/>
        </w:rPr>
        <w:t>its</w:t>
      </w:r>
      <w:r>
        <w:rPr>
          <w:rFonts w:ascii="Arial" w:eastAsia="Arial" w:hAnsi="Arial" w:cs="Arial"/>
          <w:sz w:val="24"/>
          <w:szCs w:val="24"/>
        </w:rPr>
        <w:t xml:space="preserve"> competitive position. Brand equity is one of the most significant intangible items, and Tesco is known throughout the UK market as one that is value, reliable, and </w:t>
      </w:r>
      <w:r>
        <w:rPr>
          <w:rFonts w:ascii="Arial" w:eastAsia="Arial" w:hAnsi="Arial" w:cs="Arial"/>
          <w:sz w:val="24"/>
          <w:szCs w:val="24"/>
        </w:rPr>
        <w:lastRenderedPageBreak/>
        <w:t xml:space="preserve">accessible (Brand Finance, 2024). This is a brand strength that boosts customer loyalty and </w:t>
      </w:r>
      <w:r w:rsidR="00924E0C">
        <w:rPr>
          <w:rFonts w:ascii="Arial" w:eastAsia="Arial" w:hAnsi="Arial" w:cs="Arial"/>
          <w:sz w:val="24"/>
          <w:szCs w:val="24"/>
        </w:rPr>
        <w:t>minimizes</w:t>
      </w:r>
      <w:r>
        <w:rPr>
          <w:rFonts w:ascii="Arial" w:eastAsia="Arial" w:hAnsi="Arial" w:cs="Arial"/>
          <w:sz w:val="24"/>
          <w:szCs w:val="24"/>
        </w:rPr>
        <w:t xml:space="preserve"> switching </w:t>
      </w:r>
      <w:r w:rsidR="00924E0C">
        <w:rPr>
          <w:rFonts w:ascii="Arial" w:eastAsia="Arial" w:hAnsi="Arial" w:cs="Arial"/>
          <w:sz w:val="24"/>
          <w:szCs w:val="24"/>
        </w:rPr>
        <w:t>behavior</w:t>
      </w:r>
      <w:r>
        <w:rPr>
          <w:rFonts w:ascii="Arial" w:eastAsia="Arial" w:hAnsi="Arial" w:cs="Arial"/>
          <w:sz w:val="24"/>
          <w:szCs w:val="24"/>
        </w:rPr>
        <w:t>.</w:t>
      </w:r>
    </w:p>
    <w:p w14:paraId="31FD4FC4" w14:textId="73132656"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A significant strength of operations is scale and logistics. Tesco has </w:t>
      </w:r>
      <w:r w:rsidR="00C102B9">
        <w:rPr>
          <w:rFonts w:ascii="Arial" w:eastAsia="Arial" w:hAnsi="Arial" w:cs="Arial"/>
          <w:sz w:val="24"/>
          <w:szCs w:val="24"/>
        </w:rPr>
        <w:t>many</w:t>
      </w:r>
      <w:r>
        <w:rPr>
          <w:rFonts w:ascii="Arial" w:eastAsia="Arial" w:hAnsi="Arial" w:cs="Arial"/>
          <w:sz w:val="24"/>
          <w:szCs w:val="24"/>
        </w:rPr>
        <w:t xml:space="preserve"> stores, highly developed distribution facilities, and a built-in supply chain that facilitates the efficiency of costs and the speed of product delivery, which helps it in the physical and online store format (Tesco plc, 2023).</w:t>
      </w:r>
    </w:p>
    <w:p w14:paraId="5DE9D018"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The bargaining power of Tesco is also enhanced by the relationship with suppliers, which gives it an opportunity to bargain, and secure continuity of supplies. Nonetheless, power imbalances are reputational risks that need to be governed by suppliers.</w:t>
      </w:r>
    </w:p>
    <w:p w14:paraId="6DE103E7" w14:textId="6B3D82A4"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Clubcard ecosystem has led to data analytics capability, which enables Tesco to use customer data to develop strategic insights to improve price accuracy, demand forecasting, and </w:t>
      </w:r>
      <w:r w:rsidR="00924E0C">
        <w:rPr>
          <w:rFonts w:ascii="Arial" w:eastAsia="Arial" w:hAnsi="Arial" w:cs="Arial"/>
          <w:sz w:val="24"/>
          <w:szCs w:val="24"/>
        </w:rPr>
        <w:t>personalization</w:t>
      </w:r>
      <w:r>
        <w:rPr>
          <w:rFonts w:ascii="Arial" w:eastAsia="Arial" w:hAnsi="Arial" w:cs="Arial"/>
          <w:sz w:val="24"/>
          <w:szCs w:val="24"/>
        </w:rPr>
        <w:t xml:space="preserve"> (Deloitte, 2023).</w:t>
      </w:r>
    </w:p>
    <w:p w14:paraId="6C5FB74A" w14:textId="77777777" w:rsidR="002D7E2F" w:rsidRDefault="002D7E2F">
      <w:pPr>
        <w:spacing w:line="360" w:lineRule="auto"/>
        <w:jc w:val="both"/>
        <w:rPr>
          <w:rFonts w:ascii="Arial" w:eastAsia="Arial" w:hAnsi="Arial" w:cs="Arial"/>
          <w:sz w:val="24"/>
          <w:szCs w:val="24"/>
        </w:rPr>
      </w:pPr>
    </w:p>
    <w:p w14:paraId="2F07942F" w14:textId="46411808" w:rsidR="002D7E2F" w:rsidRDefault="004F31A1">
      <w:pPr>
        <w:pStyle w:val="Heading2"/>
      </w:pPr>
      <w:bookmarkStart w:id="12" w:name="_Toc225521816"/>
      <w:r>
        <w:t>2.4 VRIO Analysis and Competitive Advantage</w:t>
      </w:r>
      <w:bookmarkEnd w:id="12"/>
    </w:p>
    <w:p w14:paraId="50CCA41E"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The resources that Tesco possesses may be considered in accordance with the VRIO model to determine the sustainability of advantage.</w:t>
      </w:r>
    </w:p>
    <w:p w14:paraId="55C0F2F5" w14:textId="1918008F" w:rsidR="002D7E2F" w:rsidRDefault="004F31A1">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Valuable:</w:t>
      </w:r>
      <w:r>
        <w:rPr>
          <w:rFonts w:ascii="Arial" w:eastAsia="Arial" w:hAnsi="Arial" w:cs="Arial"/>
          <w:color w:val="000000"/>
          <w:sz w:val="24"/>
          <w:szCs w:val="24"/>
        </w:rPr>
        <w:t xml:space="preserve"> Tesco Clubcard data ecosystem has been able to create a lot of strategic value </w:t>
      </w:r>
      <w:r w:rsidR="00C102B9">
        <w:rPr>
          <w:rFonts w:ascii="Arial" w:eastAsia="Arial" w:hAnsi="Arial" w:cs="Arial"/>
          <w:color w:val="000000"/>
          <w:sz w:val="24"/>
          <w:szCs w:val="24"/>
        </w:rPr>
        <w:t>for</w:t>
      </w:r>
      <w:r>
        <w:rPr>
          <w:rFonts w:ascii="Arial" w:eastAsia="Arial" w:hAnsi="Arial" w:cs="Arial"/>
          <w:color w:val="000000"/>
          <w:sz w:val="24"/>
          <w:szCs w:val="24"/>
        </w:rPr>
        <w:t xml:space="preserve"> the company in terms of customer understanding, pricing, and marketing effectiveness.</w:t>
      </w:r>
    </w:p>
    <w:p w14:paraId="66357599" w14:textId="22BC9F81" w:rsidR="002D7E2F" w:rsidRDefault="004F31A1">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Rare:</w:t>
      </w:r>
      <w:r>
        <w:rPr>
          <w:rFonts w:ascii="Arial" w:eastAsia="Arial" w:hAnsi="Arial" w:cs="Arial"/>
          <w:color w:val="000000"/>
          <w:sz w:val="24"/>
          <w:szCs w:val="24"/>
        </w:rPr>
        <w:t xml:space="preserve"> Loyalty </w:t>
      </w:r>
      <w:r w:rsidR="00924E0C">
        <w:rPr>
          <w:rFonts w:ascii="Arial" w:eastAsia="Arial" w:hAnsi="Arial" w:cs="Arial"/>
          <w:color w:val="000000"/>
          <w:sz w:val="24"/>
          <w:szCs w:val="24"/>
        </w:rPr>
        <w:t>programs</w:t>
      </w:r>
      <w:r>
        <w:rPr>
          <w:rFonts w:ascii="Arial" w:eastAsia="Arial" w:hAnsi="Arial" w:cs="Arial"/>
          <w:color w:val="000000"/>
          <w:sz w:val="24"/>
          <w:szCs w:val="24"/>
        </w:rPr>
        <w:t xml:space="preserve"> are common in the industry, however, Tesco has significantly more longitudinal customer data and analytics capacity than </w:t>
      </w:r>
      <w:r w:rsidR="00C102B9">
        <w:rPr>
          <w:rFonts w:ascii="Arial" w:eastAsia="Arial" w:hAnsi="Arial" w:cs="Arial"/>
          <w:color w:val="000000"/>
          <w:sz w:val="24"/>
          <w:szCs w:val="24"/>
        </w:rPr>
        <w:t>most</w:t>
      </w:r>
      <w:r>
        <w:rPr>
          <w:rFonts w:ascii="Arial" w:eastAsia="Arial" w:hAnsi="Arial" w:cs="Arial"/>
          <w:color w:val="000000"/>
          <w:sz w:val="24"/>
          <w:szCs w:val="24"/>
        </w:rPr>
        <w:t xml:space="preserve"> UK market rivals.</w:t>
      </w:r>
    </w:p>
    <w:p w14:paraId="2BED4B32" w14:textId="587FB11B" w:rsidR="002D7E2F" w:rsidRDefault="004F31A1">
      <w:pPr>
        <w:numPr>
          <w:ilvl w:val="0"/>
          <w:numId w:val="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Difficult to copy:</w:t>
      </w:r>
      <w:r>
        <w:rPr>
          <w:rFonts w:ascii="Arial" w:eastAsia="Arial" w:hAnsi="Arial" w:cs="Arial"/>
          <w:color w:val="000000"/>
          <w:sz w:val="24"/>
          <w:szCs w:val="24"/>
        </w:rPr>
        <w:t xml:space="preserve"> It would take a long time, a lot of money, and learning by the </w:t>
      </w:r>
      <w:r w:rsidR="00924E0C">
        <w:rPr>
          <w:rFonts w:ascii="Arial" w:eastAsia="Arial" w:hAnsi="Arial" w:cs="Arial"/>
          <w:color w:val="000000"/>
          <w:sz w:val="24"/>
          <w:szCs w:val="24"/>
        </w:rPr>
        <w:t>organization</w:t>
      </w:r>
      <w:r>
        <w:rPr>
          <w:rFonts w:ascii="Arial" w:eastAsia="Arial" w:hAnsi="Arial" w:cs="Arial"/>
          <w:color w:val="000000"/>
          <w:sz w:val="24"/>
          <w:szCs w:val="24"/>
        </w:rPr>
        <w:t xml:space="preserve"> to </w:t>
      </w:r>
      <w:r w:rsidR="00924E0C">
        <w:rPr>
          <w:rFonts w:ascii="Arial" w:eastAsia="Arial" w:hAnsi="Arial" w:cs="Arial"/>
          <w:color w:val="000000"/>
          <w:sz w:val="24"/>
          <w:szCs w:val="24"/>
        </w:rPr>
        <w:t>replicate</w:t>
      </w:r>
      <w:r>
        <w:rPr>
          <w:rFonts w:ascii="Arial" w:eastAsia="Arial" w:hAnsi="Arial" w:cs="Arial"/>
          <w:color w:val="000000"/>
          <w:sz w:val="24"/>
          <w:szCs w:val="24"/>
        </w:rPr>
        <w:t xml:space="preserve"> Tesco</w:t>
      </w:r>
      <w:r w:rsidR="00924E0C">
        <w:rPr>
          <w:rFonts w:ascii="Arial" w:eastAsia="Arial" w:hAnsi="Arial" w:cs="Arial"/>
          <w:color w:val="000000"/>
          <w:sz w:val="24"/>
          <w:szCs w:val="24"/>
        </w:rPr>
        <w:t>’s</w:t>
      </w:r>
      <w:r>
        <w:rPr>
          <w:rFonts w:ascii="Arial" w:eastAsia="Arial" w:hAnsi="Arial" w:cs="Arial"/>
          <w:color w:val="000000"/>
          <w:sz w:val="24"/>
          <w:szCs w:val="24"/>
        </w:rPr>
        <w:t xml:space="preserve"> data infrastructure, scale, and customer trust and experience.</w:t>
      </w:r>
    </w:p>
    <w:p w14:paraId="496A841F" w14:textId="3DA911F0" w:rsidR="002D7E2F" w:rsidRDefault="00C102B9">
      <w:pPr>
        <w:numPr>
          <w:ilvl w:val="0"/>
          <w:numId w:val="2"/>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Organized</w:t>
      </w:r>
      <w:r w:rsidR="004F31A1">
        <w:rPr>
          <w:rFonts w:ascii="Arial" w:eastAsia="Arial" w:hAnsi="Arial" w:cs="Arial"/>
          <w:b/>
          <w:bCs/>
          <w:color w:val="000000"/>
          <w:sz w:val="24"/>
          <w:szCs w:val="24"/>
        </w:rPr>
        <w:t>:</w:t>
      </w:r>
      <w:r w:rsidR="004F31A1">
        <w:rPr>
          <w:rFonts w:ascii="Arial" w:eastAsia="Arial" w:hAnsi="Arial" w:cs="Arial"/>
          <w:color w:val="000000"/>
          <w:sz w:val="24"/>
          <w:szCs w:val="24"/>
        </w:rPr>
        <w:t xml:space="preserve"> Tesco is </w:t>
      </w:r>
      <w:r>
        <w:rPr>
          <w:rFonts w:ascii="Arial" w:eastAsia="Arial" w:hAnsi="Arial" w:cs="Arial"/>
          <w:color w:val="000000"/>
          <w:sz w:val="24"/>
          <w:szCs w:val="24"/>
        </w:rPr>
        <w:t>organized</w:t>
      </w:r>
      <w:r w:rsidR="004F31A1">
        <w:rPr>
          <w:rFonts w:ascii="Arial" w:eastAsia="Arial" w:hAnsi="Arial" w:cs="Arial"/>
          <w:color w:val="000000"/>
          <w:sz w:val="24"/>
          <w:szCs w:val="24"/>
        </w:rPr>
        <w:t xml:space="preserve"> and culturally adjusted to tap this resource using combined IT systems and analytics teams.</w:t>
      </w:r>
    </w:p>
    <w:p w14:paraId="165B73A1" w14:textId="77777777" w:rsidR="002D7E2F" w:rsidRDefault="004F31A1">
      <w:pPr>
        <w:keepNext/>
        <w:pBdr>
          <w:top w:val="nil"/>
          <w:left w:val="nil"/>
          <w:bottom w:val="nil"/>
          <w:right w:val="nil"/>
          <w:between w:val="nil"/>
        </w:pBdr>
        <w:spacing w:after="200" w:line="240" w:lineRule="auto"/>
        <w:rPr>
          <w:rFonts w:ascii="Arial" w:eastAsia="Arial" w:hAnsi="Arial" w:cs="Arial"/>
          <w:i/>
          <w:iCs/>
          <w:color w:val="44546A"/>
          <w:sz w:val="20"/>
          <w:szCs w:val="20"/>
        </w:rPr>
      </w:pPr>
      <w:bookmarkStart w:id="13" w:name="_52y71vgq89me" w:colFirst="0" w:colLast="0"/>
      <w:bookmarkEnd w:id="13"/>
      <w:r>
        <w:rPr>
          <w:rFonts w:ascii="Arial" w:eastAsia="Arial" w:hAnsi="Arial" w:cs="Arial"/>
          <w:i/>
          <w:iCs/>
          <w:color w:val="44546A"/>
          <w:sz w:val="20"/>
          <w:szCs w:val="20"/>
        </w:rPr>
        <w:lastRenderedPageBreak/>
        <w:t>Table 1: VRIO Analysis of Tesco’s Resources and Capabilities</w:t>
      </w:r>
    </w:p>
    <w:tbl>
      <w:tblPr>
        <w:tblStyle w:val="a"/>
        <w:tblW w:w="935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4"/>
        <w:gridCol w:w="1552"/>
        <w:gridCol w:w="1544"/>
        <w:gridCol w:w="1554"/>
        <w:gridCol w:w="1556"/>
        <w:gridCol w:w="1590"/>
      </w:tblGrid>
      <w:tr w:rsidR="002D7E2F" w14:paraId="2C635F00" w14:textId="77777777">
        <w:tc>
          <w:tcPr>
            <w:tcW w:w="1554" w:type="dxa"/>
          </w:tcPr>
          <w:p w14:paraId="4D6F9D36"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Resource</w:t>
            </w:r>
          </w:p>
        </w:tc>
        <w:tc>
          <w:tcPr>
            <w:tcW w:w="1552" w:type="dxa"/>
          </w:tcPr>
          <w:p w14:paraId="4DEF0386"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Valuable</w:t>
            </w:r>
          </w:p>
        </w:tc>
        <w:tc>
          <w:tcPr>
            <w:tcW w:w="1544" w:type="dxa"/>
          </w:tcPr>
          <w:p w14:paraId="6566FC86"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Rare</w:t>
            </w:r>
          </w:p>
        </w:tc>
        <w:tc>
          <w:tcPr>
            <w:tcW w:w="1554" w:type="dxa"/>
          </w:tcPr>
          <w:p w14:paraId="3AF2A082"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Inimitable</w:t>
            </w:r>
          </w:p>
        </w:tc>
        <w:tc>
          <w:tcPr>
            <w:tcW w:w="1556" w:type="dxa"/>
          </w:tcPr>
          <w:p w14:paraId="0904706C" w14:textId="68698179" w:rsidR="002D7E2F" w:rsidRDefault="00142D17">
            <w:pPr>
              <w:spacing w:line="360" w:lineRule="auto"/>
              <w:jc w:val="both"/>
              <w:rPr>
                <w:rFonts w:ascii="Arial" w:eastAsia="Arial" w:hAnsi="Arial" w:cs="Arial"/>
                <w:b/>
                <w:bCs/>
                <w:sz w:val="24"/>
                <w:szCs w:val="24"/>
              </w:rPr>
            </w:pPr>
            <w:r>
              <w:rPr>
                <w:rFonts w:ascii="Arial" w:eastAsia="Arial" w:hAnsi="Arial" w:cs="Arial"/>
                <w:b/>
                <w:bCs/>
                <w:sz w:val="24"/>
                <w:szCs w:val="24"/>
              </w:rPr>
              <w:t>Organized</w:t>
            </w:r>
          </w:p>
        </w:tc>
        <w:tc>
          <w:tcPr>
            <w:tcW w:w="1590" w:type="dxa"/>
          </w:tcPr>
          <w:p w14:paraId="0A59A6DF"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Competitive Advantage</w:t>
            </w:r>
          </w:p>
        </w:tc>
      </w:tr>
      <w:tr w:rsidR="002D7E2F" w14:paraId="32FA3826" w14:textId="77777777">
        <w:tc>
          <w:tcPr>
            <w:tcW w:w="1554" w:type="dxa"/>
          </w:tcPr>
          <w:p w14:paraId="7B40605B"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Clubcard Data</w:t>
            </w:r>
          </w:p>
        </w:tc>
        <w:tc>
          <w:tcPr>
            <w:tcW w:w="1552" w:type="dxa"/>
          </w:tcPr>
          <w:p w14:paraId="6FBD8FB2"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44" w:type="dxa"/>
          </w:tcPr>
          <w:p w14:paraId="563E9D9E"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54" w:type="dxa"/>
          </w:tcPr>
          <w:p w14:paraId="3B319D47"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56" w:type="dxa"/>
          </w:tcPr>
          <w:p w14:paraId="796B6F53"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90" w:type="dxa"/>
          </w:tcPr>
          <w:p w14:paraId="299ACEBF"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Sustained</w:t>
            </w:r>
          </w:p>
        </w:tc>
      </w:tr>
      <w:tr w:rsidR="002D7E2F" w14:paraId="4D58D09C" w14:textId="77777777">
        <w:tc>
          <w:tcPr>
            <w:tcW w:w="1554" w:type="dxa"/>
          </w:tcPr>
          <w:p w14:paraId="4448DD93"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Supply-chain Scale</w:t>
            </w:r>
          </w:p>
        </w:tc>
        <w:tc>
          <w:tcPr>
            <w:tcW w:w="1552" w:type="dxa"/>
          </w:tcPr>
          <w:p w14:paraId="3A692D17"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44" w:type="dxa"/>
          </w:tcPr>
          <w:p w14:paraId="6FF39947"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No</w:t>
            </w:r>
          </w:p>
        </w:tc>
        <w:tc>
          <w:tcPr>
            <w:tcW w:w="1554" w:type="dxa"/>
          </w:tcPr>
          <w:p w14:paraId="6F4C3565"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56" w:type="dxa"/>
          </w:tcPr>
          <w:p w14:paraId="59A96697"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90" w:type="dxa"/>
          </w:tcPr>
          <w:p w14:paraId="52D19548"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Temporary</w:t>
            </w:r>
          </w:p>
        </w:tc>
      </w:tr>
      <w:tr w:rsidR="002D7E2F" w14:paraId="6000BA67" w14:textId="77777777">
        <w:tc>
          <w:tcPr>
            <w:tcW w:w="1554" w:type="dxa"/>
          </w:tcPr>
          <w:p w14:paraId="6347C843"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Brand Equity</w:t>
            </w:r>
          </w:p>
        </w:tc>
        <w:tc>
          <w:tcPr>
            <w:tcW w:w="1552" w:type="dxa"/>
          </w:tcPr>
          <w:p w14:paraId="53DA9924"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44" w:type="dxa"/>
          </w:tcPr>
          <w:p w14:paraId="0431DC03"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54" w:type="dxa"/>
          </w:tcPr>
          <w:p w14:paraId="07D22214"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No</w:t>
            </w:r>
          </w:p>
        </w:tc>
        <w:tc>
          <w:tcPr>
            <w:tcW w:w="1556" w:type="dxa"/>
          </w:tcPr>
          <w:p w14:paraId="23721B94"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Yes</w:t>
            </w:r>
          </w:p>
        </w:tc>
        <w:tc>
          <w:tcPr>
            <w:tcW w:w="1590" w:type="dxa"/>
          </w:tcPr>
          <w:p w14:paraId="6B98CD16"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Temporary</w:t>
            </w:r>
          </w:p>
        </w:tc>
      </w:tr>
    </w:tbl>
    <w:p w14:paraId="16FBF389" w14:textId="3298EE74"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Consequently, the Clubcard data ecosystem </w:t>
      </w:r>
      <w:proofErr w:type="gramStart"/>
      <w:r>
        <w:rPr>
          <w:rFonts w:ascii="Arial" w:eastAsia="Arial" w:hAnsi="Arial" w:cs="Arial"/>
          <w:sz w:val="24"/>
          <w:szCs w:val="24"/>
        </w:rPr>
        <w:t>becomes</w:t>
      </w:r>
      <w:proofErr w:type="gramEnd"/>
      <w:r>
        <w:rPr>
          <w:rFonts w:ascii="Arial" w:eastAsia="Arial" w:hAnsi="Arial" w:cs="Arial"/>
          <w:sz w:val="24"/>
          <w:szCs w:val="24"/>
        </w:rPr>
        <w:t xml:space="preserve"> a long-lasting competitive edge, which helps Tesco be competitive in terms of retaining its customers and responding to competitive developments. Nevertheless, this benefit depends on the ongoing investment, ethical data management, and adherence to the changing data-protection laws.</w:t>
      </w:r>
    </w:p>
    <w:p w14:paraId="5ABA9ABF" w14:textId="77777777" w:rsidR="002D7E2F" w:rsidRDefault="004F31A1">
      <w:pPr>
        <w:pStyle w:val="Heading1"/>
      </w:pPr>
      <w:bookmarkStart w:id="14" w:name="_Toc225521817"/>
      <w:r>
        <w:t>3. CSR &amp; Sustainability Objectives</w:t>
      </w:r>
      <w:bookmarkEnd w:id="14"/>
    </w:p>
    <w:p w14:paraId="43CF7245" w14:textId="04B0C876"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One of the core parts of the strategic plan of Tesco is corporate social responsibility (CSR) and sustainability due to the regulatory pressure, expectations of stakeholders, and long-term commercial considerations. The fact that Tesco plans to become net-zero in its UK operations by 2035 is a huge strategic goal that affects the investment choices in renewable energy, </w:t>
      </w:r>
      <w:r w:rsidR="00250998">
        <w:rPr>
          <w:rFonts w:ascii="Arial" w:eastAsia="Arial" w:hAnsi="Arial" w:cs="Arial"/>
          <w:sz w:val="24"/>
          <w:szCs w:val="24"/>
        </w:rPr>
        <w:t>optimization</w:t>
      </w:r>
      <w:r>
        <w:rPr>
          <w:rFonts w:ascii="Arial" w:eastAsia="Arial" w:hAnsi="Arial" w:cs="Arial"/>
          <w:sz w:val="24"/>
          <w:szCs w:val="24"/>
        </w:rPr>
        <w:t xml:space="preserve"> of transport and low-carbon store format (Tesco plc, 2024). </w:t>
      </w:r>
    </w:p>
    <w:p w14:paraId="085F9597" w14:textId="00B1B0A4"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next outstanding sustainability goal is food waste reduction, and Tesco uses inventory management based on data, giving away surplus food, and partnering with suppliers to reduce waste in its value chain (WRAP, 2023). These measures are strategic in terms of cost effectiveness and image value but have </w:t>
      </w:r>
      <w:r w:rsidR="00250998">
        <w:rPr>
          <w:rFonts w:ascii="Arial" w:eastAsia="Arial" w:hAnsi="Arial" w:cs="Arial"/>
          <w:sz w:val="24"/>
          <w:szCs w:val="24"/>
        </w:rPr>
        <w:t>limited</w:t>
      </w:r>
      <w:r>
        <w:rPr>
          <w:rFonts w:ascii="Arial" w:eastAsia="Arial" w:hAnsi="Arial" w:cs="Arial"/>
          <w:sz w:val="24"/>
          <w:szCs w:val="24"/>
        </w:rPr>
        <w:t xml:space="preserve"> </w:t>
      </w:r>
      <w:r w:rsidR="00250998">
        <w:rPr>
          <w:rFonts w:ascii="Arial" w:eastAsia="Arial" w:hAnsi="Arial" w:cs="Arial"/>
          <w:sz w:val="24"/>
          <w:szCs w:val="24"/>
        </w:rPr>
        <w:t>impa</w:t>
      </w:r>
      <w:r>
        <w:rPr>
          <w:rFonts w:ascii="Arial" w:eastAsia="Arial" w:hAnsi="Arial" w:cs="Arial"/>
          <w:sz w:val="24"/>
          <w:szCs w:val="24"/>
        </w:rPr>
        <w:t>ct due to structural inefficiencies in agricultural supply chains which Tesco has little control over. This is a restriction on how the minimization of waste can be converted to a long-term competitive advantage.</w:t>
      </w:r>
    </w:p>
    <w:p w14:paraId="55FA7122" w14:textId="63FEEE4D"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Ethical sourcing is another part of the Tesco CSR strategy, especially concerning </w:t>
      </w:r>
      <w:r w:rsidR="00250998">
        <w:rPr>
          <w:rFonts w:ascii="Arial" w:eastAsia="Arial" w:hAnsi="Arial" w:cs="Arial"/>
          <w:sz w:val="24"/>
          <w:szCs w:val="24"/>
        </w:rPr>
        <w:t>labor</w:t>
      </w:r>
      <w:r>
        <w:rPr>
          <w:rFonts w:ascii="Arial" w:eastAsia="Arial" w:hAnsi="Arial" w:cs="Arial"/>
          <w:sz w:val="24"/>
          <w:szCs w:val="24"/>
        </w:rPr>
        <w:t xml:space="preserve"> practices, welfare of suppliers, and responsible sourcing. Though Tesco has enhanced </w:t>
      </w:r>
      <w:r>
        <w:rPr>
          <w:rFonts w:ascii="Arial" w:eastAsia="Arial" w:hAnsi="Arial" w:cs="Arial"/>
          <w:sz w:val="24"/>
          <w:szCs w:val="24"/>
        </w:rPr>
        <w:lastRenderedPageBreak/>
        <w:t>governance control and transparency in its supply chain, critics assert that the asymmetric power between large retailers and suppliers poses a threat of eroding ethical undertakings in the times of cost inflation (CMA, 2023). This conflict illustrates the problem of the need to balance ethical sourcing and intense price competition.</w:t>
      </w:r>
    </w:p>
    <w:p w14:paraId="03D316CC"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Such community support programs as food donation and local employment programs have a positive influence on Tesco social impact and brand trust (Tesco plc, 2023). Nevertheless, the magnitude of these programs makes one question the cost/credibility complex, specifically in a situation where the CSR initiatives can actually be viewed as reputational buffering as opposed to structure altering. </w:t>
      </w:r>
    </w:p>
    <w:p w14:paraId="541E43BC" w14:textId="30009668" w:rsidR="002D7E2F" w:rsidRDefault="004F31A1" w:rsidP="00872596">
      <w:pPr>
        <w:pStyle w:val="Heading1"/>
        <w:spacing w:after="240"/>
      </w:pPr>
      <w:bookmarkStart w:id="15" w:name="_Toc225521818"/>
      <w:r>
        <w:t>4. Balanced Scorecard: A Balanced Performance View</w:t>
      </w:r>
      <w:bookmarkEnd w:id="15"/>
    </w:p>
    <w:p w14:paraId="281962E8" w14:textId="096A82E3"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The Balanced Scorecard (BSC) offers an extensive platform </w:t>
      </w:r>
      <w:r w:rsidR="00142D17">
        <w:rPr>
          <w:rFonts w:ascii="Arial" w:eastAsia="Arial" w:hAnsi="Arial" w:cs="Arial"/>
          <w:sz w:val="24"/>
          <w:szCs w:val="24"/>
        </w:rPr>
        <w:t>for</w:t>
      </w:r>
      <w:r>
        <w:rPr>
          <w:rFonts w:ascii="Arial" w:eastAsia="Arial" w:hAnsi="Arial" w:cs="Arial"/>
          <w:sz w:val="24"/>
          <w:szCs w:val="24"/>
        </w:rPr>
        <w:t xml:space="preserve"> assessing the strategic performance of Tesco through the incorporation of both financial and non-financial indicators. With the structural pressures of the UK grocery industry, </w:t>
      </w:r>
      <w:r w:rsidR="00250998">
        <w:rPr>
          <w:rFonts w:ascii="Arial" w:eastAsia="Arial" w:hAnsi="Arial" w:cs="Arial"/>
          <w:sz w:val="24"/>
          <w:szCs w:val="24"/>
        </w:rPr>
        <w:t>namely</w:t>
      </w:r>
      <w:r>
        <w:rPr>
          <w:rFonts w:ascii="Arial" w:eastAsia="Arial" w:hAnsi="Arial" w:cs="Arial"/>
          <w:sz w:val="24"/>
          <w:szCs w:val="24"/>
        </w:rPr>
        <w:t xml:space="preserve"> low margins, competition, and cost increase, a BSC allows Tesco to balance operational performance to long-term strategic goals instead of only targeting short-term financial performance (Kaplan and Norton, 1992; Deloitte, 2023).</w:t>
      </w:r>
    </w:p>
    <w:p w14:paraId="70F42F6D" w14:textId="77777777" w:rsidR="002D7E2F" w:rsidRDefault="004F31A1">
      <w:pPr>
        <w:keepNext/>
        <w:pBdr>
          <w:top w:val="nil"/>
          <w:left w:val="nil"/>
          <w:bottom w:val="nil"/>
          <w:right w:val="nil"/>
          <w:between w:val="nil"/>
        </w:pBdr>
        <w:spacing w:after="200" w:line="240" w:lineRule="auto"/>
        <w:rPr>
          <w:rFonts w:ascii="Arial" w:eastAsia="Arial" w:hAnsi="Arial" w:cs="Arial"/>
          <w:i/>
          <w:iCs/>
          <w:color w:val="44546A"/>
          <w:sz w:val="20"/>
          <w:szCs w:val="20"/>
        </w:rPr>
      </w:pPr>
      <w:bookmarkStart w:id="16" w:name="_qgh55fxu306r" w:colFirst="0" w:colLast="0"/>
      <w:bookmarkEnd w:id="16"/>
      <w:r>
        <w:rPr>
          <w:rFonts w:ascii="Arial" w:eastAsia="Arial" w:hAnsi="Arial" w:cs="Arial"/>
          <w:i/>
          <w:iCs/>
          <w:color w:val="44546A"/>
          <w:sz w:val="20"/>
          <w:szCs w:val="20"/>
        </w:rPr>
        <w:t>Table 2: Tesco Balanced Scorecard Overview</w:t>
      </w:r>
    </w:p>
    <w:tbl>
      <w:tblPr>
        <w:tblStyle w:val="a0"/>
        <w:tblW w:w="935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2337"/>
        <w:gridCol w:w="2338"/>
        <w:gridCol w:w="2338"/>
      </w:tblGrid>
      <w:tr w:rsidR="002D7E2F" w14:paraId="04FEFCF7" w14:textId="77777777">
        <w:tc>
          <w:tcPr>
            <w:tcW w:w="2337" w:type="dxa"/>
          </w:tcPr>
          <w:p w14:paraId="62CC5DEF"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Perspective</w:t>
            </w:r>
          </w:p>
        </w:tc>
        <w:tc>
          <w:tcPr>
            <w:tcW w:w="2337" w:type="dxa"/>
          </w:tcPr>
          <w:p w14:paraId="553C850C"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Goals</w:t>
            </w:r>
          </w:p>
        </w:tc>
        <w:tc>
          <w:tcPr>
            <w:tcW w:w="2338" w:type="dxa"/>
          </w:tcPr>
          <w:p w14:paraId="0DC8F46E"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KPIs</w:t>
            </w:r>
          </w:p>
        </w:tc>
        <w:tc>
          <w:tcPr>
            <w:tcW w:w="2338" w:type="dxa"/>
          </w:tcPr>
          <w:p w14:paraId="7155D5FB"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Initiatives</w:t>
            </w:r>
          </w:p>
        </w:tc>
      </w:tr>
      <w:tr w:rsidR="002D7E2F" w14:paraId="6AF1336F" w14:textId="77777777">
        <w:tc>
          <w:tcPr>
            <w:tcW w:w="2337" w:type="dxa"/>
          </w:tcPr>
          <w:p w14:paraId="453B5018"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Financial</w:t>
            </w:r>
          </w:p>
        </w:tc>
        <w:tc>
          <w:tcPr>
            <w:tcW w:w="2337" w:type="dxa"/>
          </w:tcPr>
          <w:p w14:paraId="0F7C83AF"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Cost-effectiveness, margin recovery</w:t>
            </w:r>
          </w:p>
        </w:tc>
        <w:tc>
          <w:tcPr>
            <w:tcW w:w="2338" w:type="dxa"/>
          </w:tcPr>
          <w:p w14:paraId="36D497AF"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ROCE, Cost-to-sales ratio</w:t>
            </w:r>
          </w:p>
        </w:tc>
        <w:tc>
          <w:tcPr>
            <w:tcW w:w="2338" w:type="dxa"/>
          </w:tcPr>
          <w:p w14:paraId="14CBD684"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Supply-chain optimization, brand growth</w:t>
            </w:r>
          </w:p>
        </w:tc>
      </w:tr>
      <w:tr w:rsidR="002D7E2F" w14:paraId="62485F78" w14:textId="77777777">
        <w:tc>
          <w:tcPr>
            <w:tcW w:w="2337" w:type="dxa"/>
          </w:tcPr>
          <w:p w14:paraId="424F0CFB"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Customer</w:t>
            </w:r>
          </w:p>
        </w:tc>
        <w:tc>
          <w:tcPr>
            <w:tcW w:w="2337" w:type="dxa"/>
          </w:tcPr>
          <w:p w14:paraId="6DB1C323"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Loyalty, value perception</w:t>
            </w:r>
          </w:p>
        </w:tc>
        <w:tc>
          <w:tcPr>
            <w:tcW w:w="2338" w:type="dxa"/>
          </w:tcPr>
          <w:p w14:paraId="5797FA44"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Clubcard retention, NPS</w:t>
            </w:r>
          </w:p>
        </w:tc>
        <w:tc>
          <w:tcPr>
            <w:tcW w:w="2338" w:type="dxa"/>
          </w:tcPr>
          <w:p w14:paraId="7C68F9E9" w14:textId="70A9808D" w:rsidR="002D7E2F" w:rsidRDefault="00C102B9">
            <w:pPr>
              <w:spacing w:line="360" w:lineRule="auto"/>
              <w:jc w:val="both"/>
              <w:rPr>
                <w:rFonts w:ascii="Arial" w:eastAsia="Arial" w:hAnsi="Arial" w:cs="Arial"/>
                <w:sz w:val="24"/>
                <w:szCs w:val="24"/>
              </w:rPr>
            </w:pPr>
            <w:r>
              <w:rPr>
                <w:rFonts w:ascii="Arial" w:eastAsia="Arial" w:hAnsi="Arial" w:cs="Arial"/>
                <w:sz w:val="24"/>
                <w:szCs w:val="24"/>
              </w:rPr>
              <w:t>Personalized</w:t>
            </w:r>
            <w:r w:rsidR="004F31A1">
              <w:rPr>
                <w:rFonts w:ascii="Arial" w:eastAsia="Arial" w:hAnsi="Arial" w:cs="Arial"/>
                <w:sz w:val="24"/>
                <w:szCs w:val="24"/>
              </w:rPr>
              <w:t xml:space="preserve"> promotions</w:t>
            </w:r>
          </w:p>
        </w:tc>
      </w:tr>
      <w:tr w:rsidR="002D7E2F" w14:paraId="62806D1A" w14:textId="77777777">
        <w:tc>
          <w:tcPr>
            <w:tcW w:w="2337" w:type="dxa"/>
          </w:tcPr>
          <w:p w14:paraId="0D837A4E"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Internal Process</w:t>
            </w:r>
          </w:p>
        </w:tc>
        <w:tc>
          <w:tcPr>
            <w:tcW w:w="2337" w:type="dxa"/>
          </w:tcPr>
          <w:p w14:paraId="07F7B18B"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Supply-chain efficiency</w:t>
            </w:r>
          </w:p>
        </w:tc>
        <w:tc>
          <w:tcPr>
            <w:tcW w:w="2338" w:type="dxa"/>
          </w:tcPr>
          <w:p w14:paraId="4462E59B"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Inventory turnover, cost/unit</w:t>
            </w:r>
          </w:p>
        </w:tc>
        <w:tc>
          <w:tcPr>
            <w:tcW w:w="2338" w:type="dxa"/>
          </w:tcPr>
          <w:p w14:paraId="210F496C"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Automation, forecasting, supplier collaboration</w:t>
            </w:r>
          </w:p>
        </w:tc>
      </w:tr>
      <w:tr w:rsidR="002D7E2F" w14:paraId="5925BB85" w14:textId="77777777">
        <w:tc>
          <w:tcPr>
            <w:tcW w:w="2337" w:type="dxa"/>
          </w:tcPr>
          <w:p w14:paraId="73E6797A"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Learning &amp; Growth</w:t>
            </w:r>
          </w:p>
        </w:tc>
        <w:tc>
          <w:tcPr>
            <w:tcW w:w="2337" w:type="dxa"/>
          </w:tcPr>
          <w:p w14:paraId="6BCF20E6"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Digital adoption, training</w:t>
            </w:r>
          </w:p>
        </w:tc>
        <w:tc>
          <w:tcPr>
            <w:tcW w:w="2338" w:type="dxa"/>
          </w:tcPr>
          <w:p w14:paraId="042E00D5"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Engagement score, training spend</w:t>
            </w:r>
          </w:p>
        </w:tc>
        <w:tc>
          <w:tcPr>
            <w:tcW w:w="2338" w:type="dxa"/>
          </w:tcPr>
          <w:p w14:paraId="73E2A6CB"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Digital skill development, </w:t>
            </w:r>
            <w:r>
              <w:rPr>
                <w:rFonts w:ascii="Arial" w:eastAsia="Arial" w:hAnsi="Arial" w:cs="Arial"/>
                <w:sz w:val="24"/>
                <w:szCs w:val="24"/>
              </w:rPr>
              <w:lastRenderedPageBreak/>
              <w:t>leadership programs</w:t>
            </w:r>
          </w:p>
        </w:tc>
      </w:tr>
    </w:tbl>
    <w:p w14:paraId="1797CE3C" w14:textId="77777777" w:rsidR="002D7E2F" w:rsidRDefault="004F31A1">
      <w:pPr>
        <w:pStyle w:val="Heading2"/>
      </w:pPr>
      <w:bookmarkStart w:id="17" w:name="_Toc225521819"/>
      <w:r>
        <w:lastRenderedPageBreak/>
        <w:t>4.1 Financial Perspective</w:t>
      </w:r>
      <w:bookmarkEnd w:id="17"/>
    </w:p>
    <w:p w14:paraId="35CFA35F" w14:textId="77777777" w:rsidR="002D7E2F" w:rsidRDefault="004F31A1">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Goal:</w:t>
      </w:r>
      <w:r>
        <w:rPr>
          <w:rFonts w:ascii="Arial" w:eastAsia="Arial" w:hAnsi="Arial" w:cs="Arial"/>
          <w:color w:val="000000"/>
          <w:sz w:val="24"/>
          <w:szCs w:val="24"/>
        </w:rPr>
        <w:t xml:space="preserve"> Enhance the cost-effectiveness, recover and safeguard the operating margin.</w:t>
      </w:r>
    </w:p>
    <w:p w14:paraId="79BB499A" w14:textId="77777777" w:rsidR="002D7E2F" w:rsidRDefault="004F31A1">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KPIs:</w:t>
      </w:r>
      <w:r>
        <w:rPr>
          <w:rFonts w:ascii="Arial" w:eastAsia="Arial" w:hAnsi="Arial" w:cs="Arial"/>
          <w:color w:val="000000"/>
          <w:sz w:val="24"/>
          <w:szCs w:val="24"/>
        </w:rPr>
        <w:t xml:space="preserve"> Cost-to-sales ratio, operating margin, and return on capital employed (ROCE).</w:t>
      </w:r>
    </w:p>
    <w:p w14:paraId="21038DD6" w14:textId="24856B5D" w:rsidR="002D7E2F" w:rsidRDefault="004F31A1">
      <w:pPr>
        <w:numPr>
          <w:ilvl w:val="0"/>
          <w:numId w:val="3"/>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Goals:</w:t>
      </w:r>
      <w:r>
        <w:rPr>
          <w:rFonts w:ascii="Arial" w:eastAsia="Arial" w:hAnsi="Arial" w:cs="Arial"/>
          <w:color w:val="000000"/>
          <w:sz w:val="24"/>
          <w:szCs w:val="24"/>
        </w:rPr>
        <w:t xml:space="preserve"> </w:t>
      </w:r>
      <w:r w:rsidR="00250998">
        <w:rPr>
          <w:rFonts w:ascii="Arial" w:eastAsia="Arial" w:hAnsi="Arial" w:cs="Arial"/>
          <w:color w:val="000000"/>
          <w:sz w:val="24"/>
          <w:szCs w:val="24"/>
        </w:rPr>
        <w:t>Achieve gradual</w:t>
      </w:r>
      <w:r>
        <w:rPr>
          <w:rFonts w:ascii="Arial" w:eastAsia="Arial" w:hAnsi="Arial" w:cs="Arial"/>
          <w:color w:val="000000"/>
          <w:sz w:val="24"/>
          <w:szCs w:val="24"/>
        </w:rPr>
        <w:t xml:space="preserve"> marginal recovery in the face of inflation pressure; long term reduction of cost based on efficiency </w:t>
      </w:r>
      <w:r w:rsidR="00250998">
        <w:rPr>
          <w:rFonts w:ascii="Arial" w:eastAsia="Arial" w:hAnsi="Arial" w:cs="Arial"/>
          <w:color w:val="000000"/>
          <w:sz w:val="24"/>
          <w:szCs w:val="24"/>
        </w:rPr>
        <w:t>programs</w:t>
      </w:r>
      <w:r>
        <w:rPr>
          <w:rFonts w:ascii="Arial" w:eastAsia="Arial" w:hAnsi="Arial" w:cs="Arial"/>
          <w:color w:val="000000"/>
          <w:sz w:val="24"/>
          <w:szCs w:val="24"/>
        </w:rPr>
        <w:t>.</w:t>
      </w:r>
    </w:p>
    <w:p w14:paraId="20650C02" w14:textId="6E05E459" w:rsidR="002D7E2F" w:rsidRDefault="004F31A1">
      <w:pPr>
        <w:numPr>
          <w:ilvl w:val="0"/>
          <w:numId w:val="3"/>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Strategic Initiatives:</w:t>
      </w:r>
      <w:r>
        <w:rPr>
          <w:rFonts w:ascii="Arial" w:eastAsia="Arial" w:hAnsi="Arial" w:cs="Arial"/>
          <w:color w:val="000000"/>
          <w:sz w:val="24"/>
          <w:szCs w:val="24"/>
        </w:rPr>
        <w:t xml:space="preserve"> Tesco has focused on </w:t>
      </w:r>
      <w:r w:rsidR="00250998">
        <w:rPr>
          <w:rFonts w:ascii="Arial" w:eastAsia="Arial" w:hAnsi="Arial" w:cs="Arial"/>
          <w:color w:val="000000"/>
          <w:sz w:val="24"/>
          <w:szCs w:val="24"/>
        </w:rPr>
        <w:t>optimization</w:t>
      </w:r>
      <w:r>
        <w:rPr>
          <w:rFonts w:ascii="Arial" w:eastAsia="Arial" w:hAnsi="Arial" w:cs="Arial"/>
          <w:color w:val="000000"/>
          <w:sz w:val="24"/>
          <w:szCs w:val="24"/>
        </w:rPr>
        <w:t xml:space="preserve"> of supply-chain, growth of its own brand and stringent capital allocation to offset the compression of margins due to price competition and inflation of input costs (Tesco plc, 2023).</w:t>
      </w:r>
    </w:p>
    <w:p w14:paraId="5F8A6438" w14:textId="77777777" w:rsidR="002D7E2F" w:rsidRDefault="004F31A1">
      <w:pPr>
        <w:spacing w:line="360" w:lineRule="auto"/>
        <w:jc w:val="both"/>
        <w:rPr>
          <w:rFonts w:ascii="Arial" w:eastAsia="Arial" w:hAnsi="Arial" w:cs="Arial"/>
          <w:sz w:val="24"/>
          <w:szCs w:val="24"/>
        </w:rPr>
      </w:pPr>
      <w:r>
        <w:rPr>
          <w:rFonts w:ascii="Arial" w:eastAsia="Arial" w:hAnsi="Arial" w:cs="Arial"/>
          <w:b/>
          <w:bCs/>
          <w:sz w:val="24"/>
          <w:szCs w:val="24"/>
        </w:rPr>
        <w:t>Critical Analysis:</w:t>
      </w:r>
      <w:r>
        <w:rPr>
          <w:rFonts w:ascii="Arial" w:eastAsia="Arial" w:hAnsi="Arial" w:cs="Arial"/>
          <w:sz w:val="24"/>
          <w:szCs w:val="24"/>
        </w:rPr>
        <w:t xml:space="preserve"> These initiatives are price matching, though it is a strategy that restricts the potential to expand margin. The financial performance is thus very sensitive on how Tesco can convert the operational efficiencies to the sustainable profitability without compromising the brand value (Mintel, 2024).</w:t>
      </w:r>
    </w:p>
    <w:p w14:paraId="5B339AB9" w14:textId="77777777" w:rsidR="002D7E2F" w:rsidRDefault="004F31A1">
      <w:pPr>
        <w:pStyle w:val="Heading2"/>
      </w:pPr>
      <w:bookmarkStart w:id="18" w:name="_Toc225521820"/>
      <w:r>
        <w:t>4.2 Customer Perspective</w:t>
      </w:r>
      <w:bookmarkEnd w:id="18"/>
    </w:p>
    <w:p w14:paraId="65C39800" w14:textId="77777777" w:rsidR="002D7E2F" w:rsidRDefault="004F31A1">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Goal</w:t>
      </w:r>
      <w:r>
        <w:rPr>
          <w:rFonts w:ascii="Arial" w:eastAsia="Arial" w:hAnsi="Arial" w:cs="Arial"/>
          <w:color w:val="000000"/>
          <w:sz w:val="24"/>
          <w:szCs w:val="24"/>
        </w:rPr>
        <w:t>: Enhance customer loyalty and strengthening of value perception.</w:t>
      </w:r>
    </w:p>
    <w:p w14:paraId="1BAB2E50" w14:textId="77777777" w:rsidR="002D7E2F" w:rsidRDefault="004F31A1">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KPIs:</w:t>
      </w:r>
      <w:r>
        <w:rPr>
          <w:rFonts w:ascii="Arial" w:eastAsia="Arial" w:hAnsi="Arial" w:cs="Arial"/>
          <w:color w:val="000000"/>
          <w:sz w:val="24"/>
          <w:szCs w:val="24"/>
        </w:rPr>
        <w:t xml:space="preserve"> Retention rate of participants in the club card, net promoter score (NPS).</w:t>
      </w:r>
    </w:p>
    <w:p w14:paraId="111C85A3" w14:textId="77777777" w:rsidR="002D7E2F" w:rsidRDefault="004F31A1">
      <w:pPr>
        <w:numPr>
          <w:ilvl w:val="0"/>
          <w:numId w:val="4"/>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Goals:</w:t>
      </w:r>
      <w:r>
        <w:rPr>
          <w:rFonts w:ascii="Arial" w:eastAsia="Arial" w:hAnsi="Arial" w:cs="Arial"/>
          <w:color w:val="000000"/>
          <w:sz w:val="24"/>
          <w:szCs w:val="24"/>
        </w:rPr>
        <w:t xml:space="preserve"> To have more customer loyalty and frequency of visits.</w:t>
      </w:r>
    </w:p>
    <w:p w14:paraId="0E3F7823" w14:textId="74D7A91B" w:rsidR="002D7E2F" w:rsidRDefault="004F31A1">
      <w:pPr>
        <w:numPr>
          <w:ilvl w:val="0"/>
          <w:numId w:val="4"/>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Strategic Ideas:</w:t>
      </w:r>
      <w:r>
        <w:rPr>
          <w:rFonts w:ascii="Arial" w:eastAsia="Arial" w:hAnsi="Arial" w:cs="Arial"/>
          <w:color w:val="000000"/>
          <w:sz w:val="24"/>
          <w:szCs w:val="24"/>
        </w:rPr>
        <w:t xml:space="preserve"> Tesco uses its Clubcard ecosystem to provide </w:t>
      </w:r>
      <w:r w:rsidR="00C102B9">
        <w:rPr>
          <w:rFonts w:ascii="Arial" w:eastAsia="Arial" w:hAnsi="Arial" w:cs="Arial"/>
          <w:color w:val="000000"/>
          <w:sz w:val="24"/>
          <w:szCs w:val="24"/>
        </w:rPr>
        <w:t>personalized</w:t>
      </w:r>
      <w:r>
        <w:rPr>
          <w:rFonts w:ascii="Arial" w:eastAsia="Arial" w:hAnsi="Arial" w:cs="Arial"/>
          <w:color w:val="000000"/>
          <w:sz w:val="24"/>
          <w:szCs w:val="24"/>
        </w:rPr>
        <w:t xml:space="preserve"> promotions, targeted prices, and improved customer </w:t>
      </w:r>
      <w:r w:rsidR="002D539E">
        <w:rPr>
          <w:rFonts w:ascii="Arial" w:eastAsia="Arial" w:hAnsi="Arial" w:cs="Arial"/>
          <w:color w:val="000000"/>
          <w:sz w:val="24"/>
          <w:szCs w:val="24"/>
        </w:rPr>
        <w:t>experience</w:t>
      </w:r>
      <w:r>
        <w:rPr>
          <w:rFonts w:ascii="Arial" w:eastAsia="Arial" w:hAnsi="Arial" w:cs="Arial"/>
          <w:color w:val="000000"/>
          <w:sz w:val="24"/>
          <w:szCs w:val="24"/>
        </w:rPr>
        <w:t xml:space="preserve"> in the physical and digital channels (Deloitte, 2023).</w:t>
      </w:r>
    </w:p>
    <w:p w14:paraId="33F099DA" w14:textId="77777777" w:rsidR="002D7E2F" w:rsidRDefault="004F31A1">
      <w:pPr>
        <w:spacing w:line="360" w:lineRule="auto"/>
        <w:jc w:val="both"/>
        <w:rPr>
          <w:rFonts w:ascii="Arial" w:eastAsia="Arial" w:hAnsi="Arial" w:cs="Arial"/>
          <w:sz w:val="24"/>
          <w:szCs w:val="24"/>
        </w:rPr>
      </w:pPr>
      <w:r>
        <w:rPr>
          <w:rFonts w:ascii="Arial" w:eastAsia="Arial" w:hAnsi="Arial" w:cs="Arial"/>
          <w:b/>
          <w:bCs/>
          <w:sz w:val="24"/>
          <w:szCs w:val="24"/>
        </w:rPr>
        <w:t>Critical Evaluation:</w:t>
      </w:r>
      <w:r>
        <w:rPr>
          <w:rFonts w:ascii="Arial" w:eastAsia="Arial" w:hAnsi="Arial" w:cs="Arial"/>
          <w:sz w:val="24"/>
          <w:szCs w:val="24"/>
        </w:rPr>
        <w:t xml:space="preserve"> This is an evidence-based strategy that lowers buyer turnover and helps to counter high buyer power in the industry. But too much dependence on promotional incentives will also lead to customer training on the expectation of discounts, which could negatively affect the pricing power and the profitability in the long term (Euro monitor, 2024).</w:t>
      </w:r>
    </w:p>
    <w:p w14:paraId="304B1072" w14:textId="4AE2A85E" w:rsidR="002D7E2F" w:rsidRDefault="004F31A1">
      <w:pPr>
        <w:pStyle w:val="Heading2"/>
      </w:pPr>
      <w:bookmarkStart w:id="19" w:name="_Toc225521821"/>
      <w:r>
        <w:lastRenderedPageBreak/>
        <w:t>4.3 Internal Business Process Perspective</w:t>
      </w:r>
      <w:bookmarkEnd w:id="19"/>
    </w:p>
    <w:p w14:paraId="4AC2AD7F" w14:textId="77777777" w:rsidR="002D7E2F" w:rsidRDefault="004F31A1">
      <w:pPr>
        <w:numPr>
          <w:ilvl w:val="0"/>
          <w:numId w:val="5"/>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Purpose:</w:t>
      </w:r>
      <w:r>
        <w:rPr>
          <w:rFonts w:ascii="Arial" w:eastAsia="Arial" w:hAnsi="Arial" w:cs="Arial"/>
          <w:color w:val="000000"/>
          <w:sz w:val="24"/>
          <w:szCs w:val="24"/>
        </w:rPr>
        <w:t xml:space="preserve"> Improve supply-chain effectiveness, performance, and stability.</w:t>
      </w:r>
    </w:p>
    <w:p w14:paraId="2986B0F0" w14:textId="77777777" w:rsidR="002D7E2F" w:rsidRDefault="004F31A1">
      <w:pPr>
        <w:numPr>
          <w:ilvl w:val="0"/>
          <w:numId w:val="5"/>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KPIs</w:t>
      </w:r>
      <w:r>
        <w:rPr>
          <w:rFonts w:ascii="Arial" w:eastAsia="Arial" w:hAnsi="Arial" w:cs="Arial"/>
          <w:color w:val="000000"/>
          <w:sz w:val="24"/>
          <w:szCs w:val="24"/>
        </w:rPr>
        <w:t>: On-shelf availability, inventory turnover, cost per unit of supply-chain.</w:t>
      </w:r>
    </w:p>
    <w:p w14:paraId="2F3EABD3" w14:textId="77777777" w:rsidR="002D7E2F" w:rsidRDefault="004F31A1">
      <w:pPr>
        <w:numPr>
          <w:ilvl w:val="0"/>
          <w:numId w:val="5"/>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Goals:</w:t>
      </w:r>
      <w:r>
        <w:rPr>
          <w:rFonts w:ascii="Arial" w:eastAsia="Arial" w:hAnsi="Arial" w:cs="Arial"/>
          <w:color w:val="000000"/>
          <w:sz w:val="24"/>
          <w:szCs w:val="24"/>
        </w:rPr>
        <w:t xml:space="preserve"> Decreased inventories, enhanced accuracy of forecast, reduction of logistics expenses.</w:t>
      </w:r>
    </w:p>
    <w:p w14:paraId="12527FD1" w14:textId="151F947A" w:rsidR="002D7E2F" w:rsidRDefault="004F31A1">
      <w:pPr>
        <w:numPr>
          <w:ilvl w:val="0"/>
          <w:numId w:val="5"/>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Strategic Initiatives:</w:t>
      </w:r>
      <w:r>
        <w:rPr>
          <w:rFonts w:ascii="Arial" w:eastAsia="Arial" w:hAnsi="Arial" w:cs="Arial"/>
          <w:color w:val="000000"/>
          <w:sz w:val="24"/>
          <w:szCs w:val="24"/>
        </w:rPr>
        <w:t xml:space="preserve"> Tesco has made investment in automation, enhanced forecasting analytics and increased collaboration with suppliers to enhance operational responsiveness, especially after the disruption by Br</w:t>
      </w:r>
      <w:r w:rsidR="00250998">
        <w:rPr>
          <w:rFonts w:ascii="Arial" w:eastAsia="Arial" w:hAnsi="Arial" w:cs="Arial"/>
          <w:color w:val="000000"/>
          <w:sz w:val="24"/>
          <w:szCs w:val="24"/>
        </w:rPr>
        <w:t>exi</w:t>
      </w:r>
      <w:r>
        <w:rPr>
          <w:rFonts w:ascii="Arial" w:eastAsia="Arial" w:hAnsi="Arial" w:cs="Arial"/>
          <w:color w:val="000000"/>
          <w:sz w:val="24"/>
          <w:szCs w:val="24"/>
        </w:rPr>
        <w:t>t (Tesco plc, 2024).</w:t>
      </w:r>
    </w:p>
    <w:p w14:paraId="01FE3751" w14:textId="085F9472" w:rsidR="002D7E2F" w:rsidRDefault="004F31A1">
      <w:pPr>
        <w:spacing w:line="360" w:lineRule="auto"/>
        <w:jc w:val="both"/>
        <w:rPr>
          <w:rFonts w:ascii="Arial" w:eastAsia="Arial" w:hAnsi="Arial" w:cs="Arial"/>
          <w:sz w:val="24"/>
          <w:szCs w:val="24"/>
        </w:rPr>
      </w:pPr>
      <w:r>
        <w:rPr>
          <w:rFonts w:ascii="Arial" w:eastAsia="Arial" w:hAnsi="Arial" w:cs="Arial"/>
          <w:b/>
          <w:bCs/>
          <w:sz w:val="24"/>
          <w:szCs w:val="24"/>
        </w:rPr>
        <w:t>Critical Analysis:</w:t>
      </w:r>
      <w:r>
        <w:rPr>
          <w:rFonts w:ascii="Arial" w:eastAsia="Arial" w:hAnsi="Arial" w:cs="Arial"/>
          <w:sz w:val="24"/>
          <w:szCs w:val="24"/>
        </w:rPr>
        <w:t xml:space="preserve"> These measures advocate the cost leadership and reliability of the services, which strengthen the competitive stance of Tesco. However, external shocks like </w:t>
      </w:r>
      <w:r w:rsidR="00C102B9">
        <w:rPr>
          <w:rFonts w:ascii="Arial" w:eastAsia="Arial" w:hAnsi="Arial" w:cs="Arial"/>
          <w:sz w:val="24"/>
          <w:szCs w:val="24"/>
        </w:rPr>
        <w:t>labor</w:t>
      </w:r>
      <w:r>
        <w:rPr>
          <w:rFonts w:ascii="Arial" w:eastAsia="Arial" w:hAnsi="Arial" w:cs="Arial"/>
          <w:sz w:val="24"/>
          <w:szCs w:val="24"/>
        </w:rPr>
        <w:t xml:space="preserve"> shortages and regulatory changes constrain the gains achieved in supply-chain efficiency to some extent, making it impossible to have complete managerial control (ONS, 2023).</w:t>
      </w:r>
    </w:p>
    <w:p w14:paraId="109CCF5B" w14:textId="77777777" w:rsidR="002D7E2F" w:rsidRDefault="004F31A1">
      <w:pPr>
        <w:pStyle w:val="Heading2"/>
      </w:pPr>
      <w:bookmarkStart w:id="20" w:name="_Toc225521822"/>
      <w:r>
        <w:t>4.4 Learning and Growth Perspective</w:t>
      </w:r>
      <w:bookmarkEnd w:id="20"/>
      <w:r>
        <w:t xml:space="preserve"> </w:t>
      </w:r>
    </w:p>
    <w:p w14:paraId="6ACBA0FD" w14:textId="02078D10" w:rsidR="002D7E2F" w:rsidRDefault="004F31A1">
      <w:pPr>
        <w:numPr>
          <w:ilvl w:val="0"/>
          <w:numId w:val="6"/>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Aim:</w:t>
      </w:r>
      <w:r>
        <w:rPr>
          <w:rFonts w:ascii="Arial" w:eastAsia="Arial" w:hAnsi="Arial" w:cs="Arial"/>
          <w:color w:val="000000"/>
          <w:sz w:val="24"/>
          <w:szCs w:val="24"/>
        </w:rPr>
        <w:t xml:space="preserve"> Become digital, train employees and adopt an adaptable </w:t>
      </w:r>
      <w:r w:rsidR="00C102B9">
        <w:rPr>
          <w:rFonts w:ascii="Arial" w:eastAsia="Arial" w:hAnsi="Arial" w:cs="Arial"/>
          <w:color w:val="000000"/>
          <w:sz w:val="24"/>
          <w:szCs w:val="24"/>
        </w:rPr>
        <w:t>organizational</w:t>
      </w:r>
      <w:r>
        <w:rPr>
          <w:rFonts w:ascii="Arial" w:eastAsia="Arial" w:hAnsi="Arial" w:cs="Arial"/>
          <w:color w:val="000000"/>
          <w:sz w:val="24"/>
          <w:szCs w:val="24"/>
        </w:rPr>
        <w:t xml:space="preserve"> culture.</w:t>
      </w:r>
    </w:p>
    <w:p w14:paraId="20EBECF8" w14:textId="77777777" w:rsidR="002D7E2F" w:rsidRDefault="004F31A1">
      <w:pPr>
        <w:numPr>
          <w:ilvl w:val="0"/>
          <w:numId w:val="6"/>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KPIs:</w:t>
      </w:r>
      <w:r>
        <w:rPr>
          <w:rFonts w:ascii="Arial" w:eastAsia="Arial" w:hAnsi="Arial" w:cs="Arial"/>
          <w:color w:val="000000"/>
          <w:sz w:val="24"/>
          <w:szCs w:val="24"/>
        </w:rPr>
        <w:t xml:space="preserve"> Score on employee engagement, adoption of digital capabilities, investment of training per employee.</w:t>
      </w:r>
    </w:p>
    <w:p w14:paraId="15EE9EAB" w14:textId="77777777" w:rsidR="002D7E2F" w:rsidRDefault="004F31A1">
      <w:pPr>
        <w:numPr>
          <w:ilvl w:val="0"/>
          <w:numId w:val="6"/>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Goals:</w:t>
      </w:r>
      <w:r>
        <w:rPr>
          <w:rFonts w:ascii="Arial" w:eastAsia="Arial" w:hAnsi="Arial" w:cs="Arial"/>
          <w:color w:val="000000"/>
          <w:sz w:val="24"/>
          <w:szCs w:val="24"/>
        </w:rPr>
        <w:t xml:space="preserve"> Increased operations productivity and greater digital literacy of workforce.</w:t>
      </w:r>
    </w:p>
    <w:p w14:paraId="7E49BEEA" w14:textId="77777777" w:rsidR="002D7E2F" w:rsidRDefault="004F31A1">
      <w:pPr>
        <w:numPr>
          <w:ilvl w:val="0"/>
          <w:numId w:val="6"/>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Strategic Initiatives:</w:t>
      </w:r>
      <w:r>
        <w:rPr>
          <w:rFonts w:ascii="Arial" w:eastAsia="Arial" w:hAnsi="Arial" w:cs="Arial"/>
          <w:color w:val="000000"/>
          <w:sz w:val="24"/>
          <w:szCs w:val="24"/>
        </w:rPr>
        <w:t xml:space="preserve"> Tesco has augmented investment in digital abilities training, leadership, and technology-powered working approaches that will facilitate data-driven decision-making and innovation (CIPD, 2024).</w:t>
      </w:r>
    </w:p>
    <w:p w14:paraId="6E2E0B12" w14:textId="447049CC" w:rsidR="002D7E2F" w:rsidRDefault="004F31A1">
      <w:pPr>
        <w:spacing w:line="360" w:lineRule="auto"/>
        <w:jc w:val="both"/>
        <w:rPr>
          <w:rFonts w:ascii="Arial" w:eastAsia="Arial" w:hAnsi="Arial" w:cs="Arial"/>
          <w:sz w:val="24"/>
          <w:szCs w:val="24"/>
        </w:rPr>
      </w:pPr>
      <w:r>
        <w:rPr>
          <w:rFonts w:ascii="Arial" w:eastAsia="Arial" w:hAnsi="Arial" w:cs="Arial"/>
          <w:b/>
          <w:bCs/>
          <w:sz w:val="24"/>
          <w:szCs w:val="24"/>
        </w:rPr>
        <w:t>Critical Evaluation:</w:t>
      </w:r>
      <w:r>
        <w:rPr>
          <w:rFonts w:ascii="Arial" w:eastAsia="Arial" w:hAnsi="Arial" w:cs="Arial"/>
          <w:sz w:val="24"/>
          <w:szCs w:val="24"/>
        </w:rPr>
        <w:t xml:space="preserve"> This view lays the basis of all other aspects of the Balanced Scorecard since the key to continuous competitive advantage lies in human capital and </w:t>
      </w:r>
      <w:r w:rsidR="00C102B9">
        <w:rPr>
          <w:rFonts w:ascii="Arial" w:eastAsia="Arial" w:hAnsi="Arial" w:cs="Arial"/>
          <w:sz w:val="24"/>
          <w:szCs w:val="24"/>
        </w:rPr>
        <w:t>organizational</w:t>
      </w:r>
      <w:r>
        <w:rPr>
          <w:rFonts w:ascii="Arial" w:eastAsia="Arial" w:hAnsi="Arial" w:cs="Arial"/>
          <w:sz w:val="24"/>
          <w:szCs w:val="24"/>
        </w:rPr>
        <w:t xml:space="preserve"> learning. The effect of learning investments can however be watered down by increasing </w:t>
      </w:r>
      <w:r w:rsidR="00C102B9">
        <w:rPr>
          <w:rFonts w:ascii="Arial" w:eastAsia="Arial" w:hAnsi="Arial" w:cs="Arial"/>
          <w:sz w:val="24"/>
          <w:szCs w:val="24"/>
        </w:rPr>
        <w:t>labor</w:t>
      </w:r>
      <w:r>
        <w:rPr>
          <w:rFonts w:ascii="Arial" w:eastAsia="Arial" w:hAnsi="Arial" w:cs="Arial"/>
          <w:sz w:val="24"/>
          <w:szCs w:val="24"/>
        </w:rPr>
        <w:t xml:space="preserve"> costs and retention problems unless accompanied by efficient workforce engagement methods.</w:t>
      </w:r>
    </w:p>
    <w:p w14:paraId="776B9950" w14:textId="77777777"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Overall Assessment</w:t>
      </w:r>
    </w:p>
    <w:p w14:paraId="75E581ED" w14:textId="4E183F99" w:rsidR="002D7E2F" w:rsidRDefault="004F31A1">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Tesco Balanced Scorecard, on the whole, shows a good strategic alignment of the firm in financial discipline, customer focus, operational efficiency, and long term capability development. The framework </w:t>
      </w:r>
      <w:r w:rsidR="00C102B9">
        <w:rPr>
          <w:rFonts w:ascii="Arial" w:eastAsia="Arial" w:hAnsi="Arial" w:cs="Arial"/>
          <w:sz w:val="24"/>
          <w:szCs w:val="24"/>
        </w:rPr>
        <w:t>emphasizes</w:t>
      </w:r>
      <w:r>
        <w:rPr>
          <w:rFonts w:ascii="Arial" w:eastAsia="Arial" w:hAnsi="Arial" w:cs="Arial"/>
          <w:sz w:val="24"/>
          <w:szCs w:val="24"/>
        </w:rPr>
        <w:t xml:space="preserve"> that the success of Tesco depends on achieving the balance between the short-term pressure of costs and long-term investment in the people, data, and processes. The Balanced Scorecard when well incorporated contributes to the strategic coherence and helps Tesco to stay competitive in a structurally difficult industry.</w:t>
      </w:r>
    </w:p>
    <w:p w14:paraId="00B668A6" w14:textId="77777777" w:rsidR="002D7E2F" w:rsidRDefault="004F31A1" w:rsidP="00872596">
      <w:pPr>
        <w:pStyle w:val="Heading1"/>
        <w:spacing w:after="240"/>
      </w:pPr>
      <w:bookmarkStart w:id="21" w:name="_Toc225521823"/>
      <w:r>
        <w:t>5. Strategic Choices &amp; Implementation</w:t>
      </w:r>
      <w:bookmarkEnd w:id="21"/>
    </w:p>
    <w:p w14:paraId="70D94C0B" w14:textId="77777777"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The strategic decisions of Tesco can be regarded as a hybrid business and corporate strategy, which aims at maintaining the competitive edge in the UK grocery retail market and also copes with the risks of structural pressures, digital upheaval, and socio-economic uncertainty.</w:t>
      </w:r>
    </w:p>
    <w:p w14:paraId="5B47347D" w14:textId="77777777" w:rsidR="002D7E2F" w:rsidRDefault="004F31A1" w:rsidP="00872596">
      <w:pPr>
        <w:pStyle w:val="Heading2"/>
        <w:spacing w:after="240"/>
      </w:pPr>
      <w:bookmarkStart w:id="22" w:name="_Toc225521824"/>
      <w:r>
        <w:t>5.1 Business-Level Strategy</w:t>
      </w:r>
      <w:bookmarkEnd w:id="22"/>
    </w:p>
    <w:p w14:paraId="55B57367" w14:textId="38FF7A46"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At the business level, Tesco is engaged in a combination of cost leadership and differentiation. Cost leadership is also largely </w:t>
      </w:r>
      <w:r w:rsidR="00250998">
        <w:rPr>
          <w:rFonts w:ascii="Arial" w:eastAsia="Arial" w:hAnsi="Arial" w:cs="Arial"/>
          <w:sz w:val="24"/>
          <w:szCs w:val="24"/>
        </w:rPr>
        <w:t>realized</w:t>
      </w:r>
      <w:r>
        <w:rPr>
          <w:rFonts w:ascii="Arial" w:eastAsia="Arial" w:hAnsi="Arial" w:cs="Arial"/>
          <w:sz w:val="24"/>
          <w:szCs w:val="24"/>
        </w:rPr>
        <w:t xml:space="preserve"> by matching price with competitors, operational effectiveness and supply-chain </w:t>
      </w:r>
      <w:r w:rsidR="00250998">
        <w:rPr>
          <w:rFonts w:ascii="Arial" w:eastAsia="Arial" w:hAnsi="Arial" w:cs="Arial"/>
          <w:sz w:val="24"/>
          <w:szCs w:val="24"/>
        </w:rPr>
        <w:t>optimization</w:t>
      </w:r>
      <w:r>
        <w:rPr>
          <w:rFonts w:ascii="Arial" w:eastAsia="Arial" w:hAnsi="Arial" w:cs="Arial"/>
          <w:sz w:val="24"/>
          <w:szCs w:val="24"/>
        </w:rPr>
        <w:t>, which allows Tesco to stay competitive in the pricing environment with the discount competitors like Aldi and Lidl whose operations are highly efficient and consequently offer a high level of pricing pressure (Euromonitor, 2024). This strategy can be backed by the growth of the brand and the economics of scale, and Tesco can provide products that would be based on values, without further depleting margins (Mintel, 2024).</w:t>
      </w:r>
    </w:p>
    <w:p w14:paraId="2D192803" w14:textId="25E0BFA9"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At the same time, Tesco has been able to differentiate by quality products and service excellence and its diversified range of products. Premium and health-conscious ranges development and investments in </w:t>
      </w:r>
      <w:r w:rsidR="00C102B9">
        <w:rPr>
          <w:rFonts w:ascii="Arial" w:eastAsia="Arial" w:hAnsi="Arial" w:cs="Arial"/>
          <w:sz w:val="24"/>
          <w:szCs w:val="24"/>
        </w:rPr>
        <w:t>technology</w:t>
      </w:r>
      <w:r>
        <w:rPr>
          <w:rFonts w:ascii="Arial" w:eastAsia="Arial" w:hAnsi="Arial" w:cs="Arial"/>
          <w:sz w:val="24"/>
          <w:szCs w:val="24"/>
        </w:rPr>
        <w:t xml:space="preserve">-based services like </w:t>
      </w:r>
      <w:r w:rsidR="00250998">
        <w:rPr>
          <w:rFonts w:ascii="Arial" w:eastAsia="Arial" w:hAnsi="Arial" w:cs="Arial"/>
          <w:sz w:val="24"/>
          <w:szCs w:val="24"/>
        </w:rPr>
        <w:t>personalized</w:t>
      </w:r>
      <w:r>
        <w:rPr>
          <w:rFonts w:ascii="Arial" w:eastAsia="Arial" w:hAnsi="Arial" w:cs="Arial"/>
          <w:sz w:val="24"/>
          <w:szCs w:val="24"/>
        </w:rPr>
        <w:t xml:space="preserve"> Clubcard offers allow Tesco to appeal to multiple customer groups and increase brand loyalty (Deloitte, 2023). This two-prong approach reduces the threats of severe price-driven competition and utilizes the data analytics strengths of the firm and brand equity as the sources of sustainable advantage (Tesco plc, 2023).</w:t>
      </w:r>
    </w:p>
    <w:p w14:paraId="3920BCA7" w14:textId="77777777" w:rsidR="002D7E2F" w:rsidRDefault="004F31A1">
      <w:pPr>
        <w:pStyle w:val="Heading2"/>
      </w:pPr>
      <w:bookmarkStart w:id="23" w:name="_Toc225521825"/>
      <w:r>
        <w:lastRenderedPageBreak/>
        <w:t>5.2 Corporate-Level Strategy</w:t>
      </w:r>
      <w:bookmarkEnd w:id="23"/>
    </w:p>
    <w:p w14:paraId="37F22A09" w14:textId="522205D7"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On the corporate level, Tesco has a </w:t>
      </w:r>
      <w:r w:rsidR="00732F0A">
        <w:rPr>
          <w:rFonts w:ascii="Arial" w:eastAsia="Arial" w:hAnsi="Arial" w:cs="Arial"/>
          <w:sz w:val="24"/>
          <w:szCs w:val="24"/>
        </w:rPr>
        <w:t>UK-based</w:t>
      </w:r>
      <w:r>
        <w:rPr>
          <w:rFonts w:ascii="Arial" w:eastAsia="Arial" w:hAnsi="Arial" w:cs="Arial"/>
          <w:sz w:val="24"/>
          <w:szCs w:val="24"/>
        </w:rPr>
        <w:t xml:space="preserve"> market </w:t>
      </w:r>
      <w:r w:rsidR="00732F0A">
        <w:rPr>
          <w:rFonts w:ascii="Arial" w:eastAsia="Arial" w:hAnsi="Arial" w:cs="Arial"/>
          <w:sz w:val="24"/>
          <w:szCs w:val="24"/>
        </w:rPr>
        <w:t>strategy and</w:t>
      </w:r>
      <w:r>
        <w:rPr>
          <w:rFonts w:ascii="Arial" w:eastAsia="Arial" w:hAnsi="Arial" w:cs="Arial"/>
          <w:sz w:val="24"/>
          <w:szCs w:val="24"/>
        </w:rPr>
        <w:t xml:space="preserve"> has </w:t>
      </w:r>
      <w:r w:rsidR="00250998">
        <w:rPr>
          <w:rFonts w:ascii="Arial" w:eastAsia="Arial" w:hAnsi="Arial" w:cs="Arial"/>
          <w:sz w:val="24"/>
          <w:szCs w:val="24"/>
        </w:rPr>
        <w:t>realized</w:t>
      </w:r>
      <w:r>
        <w:rPr>
          <w:rFonts w:ascii="Arial" w:eastAsia="Arial" w:hAnsi="Arial" w:cs="Arial"/>
          <w:sz w:val="24"/>
          <w:szCs w:val="24"/>
        </w:rPr>
        <w:t xml:space="preserve"> the maturity and scale of the domestic grocery market as its core competitive arena. This concentration helps enterprises to control operations, brand equity, and regulatory standards and invest in digital activities tailored to increase performance and customer experience (Pestel-analysis, 2025).</w:t>
      </w:r>
    </w:p>
    <w:p w14:paraId="60436D2A" w14:textId="3CD5AFEE"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Tesco has a perfect international exposure control as one of their strategies in the international market to minimize the risks through select markets like Ireland and Eastern Europe, which will overextend the company, but will be able to capture incremental growth opportunities. Digital investment that includes online platforms, automated warehouses, and predictive analytics also ensures the corporate strategy. These programs support business-level differentiation and business-level cost leadership efforts through enhancing customer interaction, minimizing wastefulness, and </w:t>
      </w:r>
      <w:r w:rsidR="00C102B9">
        <w:rPr>
          <w:rFonts w:ascii="Arial" w:eastAsia="Arial" w:hAnsi="Arial" w:cs="Arial"/>
          <w:sz w:val="24"/>
          <w:szCs w:val="24"/>
        </w:rPr>
        <w:t>optimizing</w:t>
      </w:r>
      <w:r>
        <w:rPr>
          <w:rFonts w:ascii="Arial" w:eastAsia="Arial" w:hAnsi="Arial" w:cs="Arial"/>
          <w:sz w:val="24"/>
          <w:szCs w:val="24"/>
        </w:rPr>
        <w:t xml:space="preserve"> inventory control (McKinsey, 2022).</w:t>
      </w:r>
    </w:p>
    <w:p w14:paraId="15BFD28E" w14:textId="7E46E869" w:rsidR="002D7E2F" w:rsidRDefault="004F31A1" w:rsidP="00872596">
      <w:pPr>
        <w:pStyle w:val="Heading2"/>
        <w:spacing w:after="240"/>
      </w:pPr>
      <w:bookmarkStart w:id="24" w:name="_Toc225521826"/>
      <w:r>
        <w:t>5.3 Evaluation of Factors of Implementation</w:t>
      </w:r>
      <w:bookmarkEnd w:id="24"/>
    </w:p>
    <w:p w14:paraId="7AFD5372" w14:textId="6CCB1832"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Implementation of these strategies requires a sound change management. </w:t>
      </w:r>
      <w:r w:rsidR="00C102B9">
        <w:rPr>
          <w:rFonts w:ascii="Arial" w:eastAsia="Arial" w:hAnsi="Arial" w:cs="Arial"/>
          <w:sz w:val="24"/>
          <w:szCs w:val="24"/>
        </w:rPr>
        <w:t>Digitization</w:t>
      </w:r>
      <w:r>
        <w:rPr>
          <w:rFonts w:ascii="Arial" w:eastAsia="Arial" w:hAnsi="Arial" w:cs="Arial"/>
          <w:sz w:val="24"/>
          <w:szCs w:val="24"/>
        </w:rPr>
        <w:t xml:space="preserve"> and integration of the Omnichannel transformation of Tesco needs cultural changes, training sessions, and involvement of staff to get them to resist the changes and entrench the new ones (CIPD, 2024). History shows that poor change management may negate the performance of operations and lower the level of employee buy-in especially with over 300,000 employees in the UK.</w:t>
      </w:r>
    </w:p>
    <w:p w14:paraId="63772FA7"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This is essential because the hybrid approach of Tesco is based on the balance between the cost discipline and innovation and customer-focused service. Having consistency between the leadership directives, store-level practices and digital team’s increases cohesion, aids strategic consistency and helps to reduce the risk of fragmented execution (Kaplan and Norton, 1992).</w:t>
      </w:r>
    </w:p>
    <w:p w14:paraId="6E6C0197"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execution risks are that margin will be killed by competition, supply chains will be volatile and caused by geopolitical or regulatory developments, and cost will be the financial aspect of maintaining the investments in technology. Additionally, there are </w:t>
      </w:r>
      <w:r>
        <w:rPr>
          <w:rFonts w:ascii="Arial" w:eastAsia="Arial" w:hAnsi="Arial" w:cs="Arial"/>
          <w:sz w:val="24"/>
          <w:szCs w:val="24"/>
        </w:rPr>
        <w:lastRenderedPageBreak/>
        <w:t>privacy and ethical threats associated with strategic over-dependence of data-driven differentiation and strong governance systems are required (Tesco plc, 2024).</w:t>
      </w:r>
    </w:p>
    <w:p w14:paraId="4085FB96"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All in all, the strategic decisions at Tesco show a complex combination of business- and corporation-level factors, a balance between cost-effectiveness and differentiation, consolidation of the domestic market with a controlled amount of internationalization, and the technological and cultural and operational fit. </w:t>
      </w:r>
    </w:p>
    <w:p w14:paraId="6F117B89" w14:textId="4F7180B9" w:rsidR="002D7E2F" w:rsidRDefault="004F31A1" w:rsidP="00872596">
      <w:pPr>
        <w:pStyle w:val="Heading1"/>
        <w:spacing w:after="240"/>
      </w:pPr>
      <w:bookmarkStart w:id="25" w:name="_Toc225521827"/>
      <w:r>
        <w:t>6. Strategic Reviewing and Advice</w:t>
      </w:r>
      <w:bookmarkEnd w:id="25"/>
    </w:p>
    <w:p w14:paraId="0CBD3301" w14:textId="506409D4" w:rsidR="002D7E2F" w:rsidRDefault="004F31A1" w:rsidP="00872596">
      <w:pPr>
        <w:pStyle w:val="Heading2"/>
        <w:spacing w:after="240"/>
      </w:pPr>
      <w:bookmarkStart w:id="26" w:name="_Toc225521828"/>
      <w:r>
        <w:t>6.1 Strategic Analysis: SWOT Analysis</w:t>
      </w:r>
      <w:bookmarkEnd w:id="26"/>
    </w:p>
    <w:p w14:paraId="515A6722" w14:textId="77777777"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A SWOT analysis is critical and shows the present strategic position of Tesco and gives actionable recommendations.</w:t>
      </w:r>
    </w:p>
    <w:p w14:paraId="14335EEB" w14:textId="42C056D7" w:rsidR="002D7E2F" w:rsidRDefault="004F31A1">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Strengths:</w:t>
      </w:r>
      <w:r>
        <w:rPr>
          <w:rFonts w:ascii="Arial" w:eastAsia="Arial" w:hAnsi="Arial" w:cs="Arial"/>
          <w:color w:val="000000"/>
          <w:sz w:val="24"/>
          <w:szCs w:val="24"/>
        </w:rPr>
        <w:t xml:space="preserve"> Tesco has a high-level brand equity and market dominance in the UK, with 28.5</w:t>
      </w:r>
      <w:r w:rsidR="00732F0A">
        <w:rPr>
          <w:rFonts w:ascii="Arial" w:eastAsia="Arial" w:hAnsi="Arial" w:cs="Arial"/>
          <w:color w:val="000000"/>
          <w:sz w:val="24"/>
          <w:szCs w:val="24"/>
        </w:rPr>
        <w:t xml:space="preserve"> percent</w:t>
      </w:r>
      <w:r>
        <w:rPr>
          <w:rFonts w:ascii="Arial" w:eastAsia="Arial" w:hAnsi="Arial" w:cs="Arial"/>
          <w:color w:val="000000"/>
          <w:sz w:val="24"/>
          <w:szCs w:val="24"/>
        </w:rPr>
        <w:t xml:space="preserve"> market share as of 2025, high customer loyalty by the Clubcard </w:t>
      </w:r>
      <w:r w:rsidR="00C102B9">
        <w:rPr>
          <w:rFonts w:ascii="Arial" w:eastAsia="Arial" w:hAnsi="Arial" w:cs="Arial"/>
          <w:color w:val="000000"/>
          <w:sz w:val="24"/>
          <w:szCs w:val="24"/>
        </w:rPr>
        <w:t>program</w:t>
      </w:r>
      <w:r>
        <w:rPr>
          <w:rFonts w:ascii="Arial" w:eastAsia="Arial" w:hAnsi="Arial" w:cs="Arial"/>
          <w:color w:val="000000"/>
          <w:sz w:val="24"/>
          <w:szCs w:val="24"/>
        </w:rPr>
        <w:t xml:space="preserve">, and highly effective supply-chain and logistics (Brand Finance, 2024; Tesco plc, 2023). Its hybrid cost leadership and differentiation strategy enables it to compete with the discount retailers and maintain its premium segments at the same time. </w:t>
      </w:r>
    </w:p>
    <w:p w14:paraId="11CD0F80" w14:textId="0F3C4C53" w:rsidR="002D7E2F" w:rsidRDefault="004F31A1">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Weaknesses:</w:t>
      </w:r>
      <w:r>
        <w:rPr>
          <w:rFonts w:ascii="Arial" w:eastAsia="Arial" w:hAnsi="Arial" w:cs="Arial"/>
          <w:color w:val="000000"/>
          <w:sz w:val="24"/>
          <w:szCs w:val="24"/>
        </w:rPr>
        <w:t xml:space="preserve"> Tesco has been experiencing compression in margins as Aldi and Lidl pressurize it with their low prices despite being a bigger company. </w:t>
      </w:r>
      <w:r w:rsidR="00443788">
        <w:rPr>
          <w:rFonts w:ascii="Arial" w:eastAsia="Arial" w:hAnsi="Arial" w:cs="Arial"/>
          <w:color w:val="000000"/>
          <w:sz w:val="24"/>
          <w:szCs w:val="24"/>
        </w:rPr>
        <w:t>Excessive</w:t>
      </w:r>
      <w:r>
        <w:rPr>
          <w:rFonts w:ascii="Arial" w:eastAsia="Arial" w:hAnsi="Arial" w:cs="Arial"/>
          <w:color w:val="000000"/>
          <w:sz w:val="24"/>
          <w:szCs w:val="24"/>
        </w:rPr>
        <w:t xml:space="preserve"> dependence on the promotion strategies can decrease the long-term pricing power, whereas the complicated supply chains are susceptible to the </w:t>
      </w:r>
      <w:r w:rsidR="00C102B9">
        <w:rPr>
          <w:rFonts w:ascii="Arial" w:eastAsia="Arial" w:hAnsi="Arial" w:cs="Arial"/>
          <w:color w:val="000000"/>
          <w:sz w:val="24"/>
          <w:szCs w:val="24"/>
        </w:rPr>
        <w:t>labor</w:t>
      </w:r>
      <w:r>
        <w:rPr>
          <w:rFonts w:ascii="Arial" w:eastAsia="Arial" w:hAnsi="Arial" w:cs="Arial"/>
          <w:color w:val="000000"/>
          <w:sz w:val="24"/>
          <w:szCs w:val="24"/>
        </w:rPr>
        <w:t xml:space="preserve"> </w:t>
      </w:r>
      <w:r w:rsidR="00C102B9">
        <w:rPr>
          <w:rFonts w:ascii="Arial" w:eastAsia="Arial" w:hAnsi="Arial" w:cs="Arial"/>
          <w:color w:val="000000"/>
          <w:sz w:val="24"/>
          <w:szCs w:val="24"/>
        </w:rPr>
        <w:t>shortages</w:t>
      </w:r>
      <w:r>
        <w:rPr>
          <w:rFonts w:ascii="Arial" w:eastAsia="Arial" w:hAnsi="Arial" w:cs="Arial"/>
          <w:color w:val="000000"/>
          <w:sz w:val="24"/>
          <w:szCs w:val="24"/>
        </w:rPr>
        <w:t xml:space="preserve"> and post-Brexit disruption (ONS, 2023). Moreover, the CSR activities undertaken by Tesco are ambitious, but, at the same time, risks of greenwashing and unequal implementation exist, which may affect the trust towards the stakeholders (Tesco plc, 2024).</w:t>
      </w:r>
    </w:p>
    <w:p w14:paraId="02D868D6" w14:textId="2263491A" w:rsidR="002D7E2F" w:rsidRDefault="004F31A1">
      <w:pPr>
        <w:numPr>
          <w:ilvl w:val="0"/>
          <w:numId w:val="7"/>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Opportunities:</w:t>
      </w:r>
      <w:r>
        <w:rPr>
          <w:rFonts w:ascii="Arial" w:eastAsia="Arial" w:hAnsi="Arial" w:cs="Arial"/>
          <w:color w:val="000000"/>
          <w:sz w:val="24"/>
          <w:szCs w:val="24"/>
        </w:rPr>
        <w:t xml:space="preserve"> Increasing demand of healthier, sustainable and plant-based products correlates with the ethical sourcing and sustainability goals of Tesco. Further potential opportunities to expand loyalty and basket size are in expansion of digital or </w:t>
      </w:r>
      <w:r w:rsidR="00C102B9">
        <w:rPr>
          <w:rFonts w:ascii="Arial" w:eastAsia="Arial" w:hAnsi="Arial" w:cs="Arial"/>
          <w:color w:val="000000"/>
          <w:sz w:val="24"/>
          <w:szCs w:val="24"/>
        </w:rPr>
        <w:t>personalized</w:t>
      </w:r>
      <w:r>
        <w:rPr>
          <w:rFonts w:ascii="Arial" w:eastAsia="Arial" w:hAnsi="Arial" w:cs="Arial"/>
          <w:color w:val="000000"/>
          <w:sz w:val="24"/>
          <w:szCs w:val="24"/>
        </w:rPr>
        <w:t xml:space="preserve"> marketing of Clubcard through Clubcard analytics </w:t>
      </w:r>
      <w:r>
        <w:rPr>
          <w:rFonts w:ascii="Arial" w:eastAsia="Arial" w:hAnsi="Arial" w:cs="Arial"/>
          <w:color w:val="000000"/>
          <w:sz w:val="24"/>
          <w:szCs w:val="24"/>
        </w:rPr>
        <w:lastRenderedPageBreak/>
        <w:t>powered by AI. Narrow international growth and supply chain and operations automation also offer opportunities of operational scalability and margin development (McKinsey, 2022).</w:t>
      </w:r>
    </w:p>
    <w:p w14:paraId="433A8A39" w14:textId="2DEAF284" w:rsidR="002D7E2F" w:rsidRDefault="004F31A1">
      <w:pPr>
        <w:numPr>
          <w:ilvl w:val="0"/>
          <w:numId w:val="7"/>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Threats:</w:t>
      </w:r>
      <w:r>
        <w:rPr>
          <w:rFonts w:ascii="Arial" w:eastAsia="Arial" w:hAnsi="Arial" w:cs="Arial"/>
          <w:color w:val="000000"/>
          <w:sz w:val="24"/>
          <w:szCs w:val="24"/>
        </w:rPr>
        <w:t xml:space="preserve"> The pricing and differentiation strategy of Tesco has been challenged by intensive competition rivalry especially with the entry of discounters and online groceries only. Buyers are more sensitive to economic strains, such as inflation and crises in the cost of living, and the regulatory landscape in the environmental and </w:t>
      </w:r>
      <w:r w:rsidR="00443788">
        <w:rPr>
          <w:rFonts w:ascii="Arial" w:eastAsia="Arial" w:hAnsi="Arial" w:cs="Arial"/>
          <w:color w:val="000000"/>
          <w:sz w:val="24"/>
          <w:szCs w:val="24"/>
        </w:rPr>
        <w:t>labor</w:t>
      </w:r>
      <w:r>
        <w:rPr>
          <w:rFonts w:ascii="Arial" w:eastAsia="Arial" w:hAnsi="Arial" w:cs="Arial"/>
          <w:color w:val="000000"/>
          <w:sz w:val="24"/>
          <w:szCs w:val="24"/>
        </w:rPr>
        <w:t xml:space="preserve"> legislation is becoming more demanding (CMA, 2023).</w:t>
      </w:r>
    </w:p>
    <w:p w14:paraId="37D57431" w14:textId="29667923" w:rsidR="002D7E2F" w:rsidRDefault="004F31A1">
      <w:pPr>
        <w:pStyle w:val="Heading2"/>
      </w:pPr>
      <w:bookmarkStart w:id="27" w:name="_Toc225521829"/>
      <w:r>
        <w:t>6.2 Ansoff Matrix Reflections</w:t>
      </w:r>
      <w:bookmarkEnd w:id="27"/>
    </w:p>
    <w:p w14:paraId="12D75139" w14:textId="77777777" w:rsidR="002D7E2F" w:rsidRDefault="004F31A1">
      <w:pPr>
        <w:keepNext/>
        <w:jc w:val="center"/>
      </w:pPr>
      <w:r>
        <w:rPr>
          <w:noProof/>
        </w:rPr>
        <w:drawing>
          <wp:inline distT="0" distB="0" distL="0" distR="0" wp14:anchorId="019BBD88" wp14:editId="4EC2C06E">
            <wp:extent cx="2985083" cy="2302869"/>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2985083" cy="2302869"/>
                    </a:xfrm>
                    <a:prstGeom prst="rect">
                      <a:avLst/>
                    </a:prstGeom>
                    <a:ln/>
                  </pic:spPr>
                </pic:pic>
              </a:graphicData>
            </a:graphic>
          </wp:inline>
        </w:drawing>
      </w:r>
    </w:p>
    <w:p w14:paraId="6953ADE1" w14:textId="77777777" w:rsidR="002D7E2F" w:rsidRDefault="004F31A1">
      <w:pPr>
        <w:pBdr>
          <w:top w:val="nil"/>
          <w:left w:val="nil"/>
          <w:bottom w:val="nil"/>
          <w:right w:val="nil"/>
          <w:between w:val="nil"/>
        </w:pBdr>
        <w:spacing w:after="200" w:line="240" w:lineRule="auto"/>
        <w:jc w:val="center"/>
        <w:rPr>
          <w:rFonts w:ascii="Arial" w:eastAsia="Arial" w:hAnsi="Arial" w:cs="Arial"/>
          <w:i/>
          <w:iCs/>
          <w:color w:val="44546A"/>
          <w:sz w:val="20"/>
          <w:szCs w:val="20"/>
        </w:rPr>
      </w:pPr>
      <w:bookmarkStart w:id="28" w:name="_wxjfan2c95zq" w:colFirst="0" w:colLast="0"/>
      <w:bookmarkEnd w:id="28"/>
      <w:r>
        <w:rPr>
          <w:rFonts w:ascii="Arial" w:eastAsia="Arial" w:hAnsi="Arial" w:cs="Arial"/>
          <w:i/>
          <w:iCs/>
          <w:color w:val="44546A"/>
          <w:sz w:val="20"/>
          <w:szCs w:val="20"/>
        </w:rPr>
        <w:t>Figure 6: Strategic Options Using Ansoff Matrix</w:t>
      </w:r>
    </w:p>
    <w:p w14:paraId="4A427717" w14:textId="7A4948D7" w:rsidR="002D7E2F" w:rsidRDefault="004F31A1">
      <w:pPr>
        <w:numPr>
          <w:ilvl w:val="0"/>
          <w:numId w:val="8"/>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Market Penetration:</w:t>
      </w:r>
      <w:r>
        <w:rPr>
          <w:rFonts w:ascii="Arial" w:eastAsia="Arial" w:hAnsi="Arial" w:cs="Arial"/>
          <w:color w:val="000000"/>
          <w:sz w:val="24"/>
          <w:szCs w:val="24"/>
        </w:rPr>
        <w:t xml:space="preserve"> Build on UK market share by developing loyalty </w:t>
      </w:r>
      <w:r w:rsidR="00C102B9">
        <w:rPr>
          <w:rFonts w:ascii="Arial" w:eastAsia="Arial" w:hAnsi="Arial" w:cs="Arial"/>
          <w:color w:val="000000"/>
          <w:sz w:val="24"/>
          <w:szCs w:val="24"/>
        </w:rPr>
        <w:t>programs</w:t>
      </w:r>
      <w:r>
        <w:rPr>
          <w:rFonts w:ascii="Arial" w:eastAsia="Arial" w:hAnsi="Arial" w:cs="Arial"/>
          <w:color w:val="000000"/>
          <w:sz w:val="24"/>
          <w:szCs w:val="24"/>
        </w:rPr>
        <w:t xml:space="preserve">, </w:t>
      </w:r>
      <w:r w:rsidR="00C102B9">
        <w:rPr>
          <w:rFonts w:ascii="Arial" w:eastAsia="Arial" w:hAnsi="Arial" w:cs="Arial"/>
          <w:color w:val="000000"/>
          <w:sz w:val="24"/>
          <w:szCs w:val="24"/>
        </w:rPr>
        <w:t>intensive</w:t>
      </w:r>
      <w:r>
        <w:rPr>
          <w:rFonts w:ascii="Arial" w:eastAsia="Arial" w:hAnsi="Arial" w:cs="Arial"/>
          <w:color w:val="000000"/>
          <w:sz w:val="24"/>
          <w:szCs w:val="24"/>
        </w:rPr>
        <w:t xml:space="preserve"> promotions, and store line breaks.</w:t>
      </w:r>
    </w:p>
    <w:p w14:paraId="72DF8BD6" w14:textId="77777777" w:rsidR="002D7E2F" w:rsidRDefault="004F31A1">
      <w:pPr>
        <w:numPr>
          <w:ilvl w:val="0"/>
          <w:numId w:val="8"/>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Product Development:</w:t>
      </w:r>
      <w:r>
        <w:rPr>
          <w:rFonts w:ascii="Arial" w:eastAsia="Arial" w:hAnsi="Arial" w:cs="Arial"/>
          <w:color w:val="000000"/>
          <w:sz w:val="24"/>
          <w:szCs w:val="24"/>
        </w:rPr>
        <w:t xml:space="preserve"> Implement sustainable and plant-based as well as low-carbon own-label products, according to the goals of CSR.</w:t>
      </w:r>
    </w:p>
    <w:p w14:paraId="050492D2" w14:textId="77777777" w:rsidR="002D7E2F" w:rsidRDefault="004F31A1">
      <w:pPr>
        <w:numPr>
          <w:ilvl w:val="0"/>
          <w:numId w:val="8"/>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Market Development:</w:t>
      </w:r>
      <w:r>
        <w:rPr>
          <w:rFonts w:ascii="Arial" w:eastAsia="Arial" w:hAnsi="Arial" w:cs="Arial"/>
          <w:color w:val="000000"/>
          <w:sz w:val="24"/>
          <w:szCs w:val="24"/>
        </w:rPr>
        <w:t xml:space="preserve"> Selective and limited international markets: Selective and controlled entry into international markets to minimize risk and maximize on operational expertise.</w:t>
      </w:r>
    </w:p>
    <w:p w14:paraId="1B81425B" w14:textId="77777777" w:rsidR="002D7E2F" w:rsidRDefault="004F31A1">
      <w:pPr>
        <w:numPr>
          <w:ilvl w:val="0"/>
          <w:numId w:val="8"/>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Diversification:</w:t>
      </w:r>
      <w:r>
        <w:rPr>
          <w:rFonts w:ascii="Arial" w:eastAsia="Arial" w:hAnsi="Arial" w:cs="Arial"/>
          <w:color w:val="000000"/>
          <w:sz w:val="24"/>
          <w:szCs w:val="24"/>
        </w:rPr>
        <w:t xml:space="preserve"> Not a lot of diversification into technology-enabled services, including AI-based delivery or subscription services, to supplement core grocery operations.</w:t>
      </w:r>
    </w:p>
    <w:p w14:paraId="48DB5C26" w14:textId="77777777" w:rsidR="002D7E2F" w:rsidRDefault="004F31A1" w:rsidP="00872596">
      <w:pPr>
        <w:pStyle w:val="Heading2"/>
        <w:spacing w:after="240"/>
      </w:pPr>
      <w:bookmarkStart w:id="29" w:name="_Toc225521830"/>
      <w:r>
        <w:lastRenderedPageBreak/>
        <w:t>6.3 Strategic Recommendations (SMART)</w:t>
      </w:r>
      <w:bookmarkEnd w:id="29"/>
    </w:p>
    <w:p w14:paraId="226AF566" w14:textId="27E26622"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Professional AI </w:t>
      </w:r>
      <w:r w:rsidR="00C102B9">
        <w:rPr>
          <w:rFonts w:ascii="Arial" w:eastAsia="Arial" w:hAnsi="Arial" w:cs="Arial"/>
          <w:sz w:val="24"/>
          <w:szCs w:val="24"/>
        </w:rPr>
        <w:t>Personalization</w:t>
      </w:r>
      <w:r>
        <w:rPr>
          <w:rFonts w:ascii="Arial" w:eastAsia="Arial" w:hAnsi="Arial" w:cs="Arial"/>
          <w:sz w:val="24"/>
          <w:szCs w:val="24"/>
        </w:rPr>
        <w:t>.</w:t>
      </w:r>
    </w:p>
    <w:p w14:paraId="7C550A7D" w14:textId="5B41FC9E" w:rsidR="002D7E2F" w:rsidRDefault="004F31A1">
      <w:pPr>
        <w:numPr>
          <w:ilvl w:val="0"/>
          <w:numId w:val="9"/>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Specific:</w:t>
      </w:r>
      <w:r>
        <w:rPr>
          <w:rFonts w:ascii="Arial" w:eastAsia="Arial" w:hAnsi="Arial" w:cs="Arial"/>
          <w:color w:val="000000"/>
          <w:sz w:val="24"/>
          <w:szCs w:val="24"/>
        </w:rPr>
        <w:t xml:space="preserve"> Extend AI-based Clubcard analytics to offer hyper-</w:t>
      </w:r>
      <w:r w:rsidR="00C102B9">
        <w:rPr>
          <w:rFonts w:ascii="Arial" w:eastAsia="Arial" w:hAnsi="Arial" w:cs="Arial"/>
          <w:color w:val="000000"/>
          <w:sz w:val="24"/>
          <w:szCs w:val="24"/>
        </w:rPr>
        <w:t>personalized</w:t>
      </w:r>
      <w:r>
        <w:rPr>
          <w:rFonts w:ascii="Arial" w:eastAsia="Arial" w:hAnsi="Arial" w:cs="Arial"/>
          <w:color w:val="000000"/>
          <w:sz w:val="24"/>
          <w:szCs w:val="24"/>
        </w:rPr>
        <w:t xml:space="preserve"> offers.</w:t>
      </w:r>
    </w:p>
    <w:p w14:paraId="658065B4" w14:textId="77777777" w:rsidR="002D7E2F" w:rsidRDefault="004F31A1">
      <w:pPr>
        <w:numPr>
          <w:ilvl w:val="0"/>
          <w:numId w:val="9"/>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Measurable:</w:t>
      </w:r>
      <w:r>
        <w:rPr>
          <w:rFonts w:ascii="Arial" w:eastAsia="Arial" w:hAnsi="Arial" w:cs="Arial"/>
          <w:color w:val="000000"/>
          <w:sz w:val="24"/>
          <w:szCs w:val="24"/>
        </w:rPr>
        <w:t xml:space="preserve"> Raise the loyalty engagement by 10 percent in 12 months.</w:t>
      </w:r>
    </w:p>
    <w:p w14:paraId="09CA93D2" w14:textId="77777777" w:rsidR="002D7E2F" w:rsidRDefault="004F31A1">
      <w:pPr>
        <w:numPr>
          <w:ilvl w:val="0"/>
          <w:numId w:val="9"/>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Achievable:</w:t>
      </w:r>
      <w:r>
        <w:rPr>
          <w:rFonts w:ascii="Arial" w:eastAsia="Arial" w:hAnsi="Arial" w:cs="Arial"/>
          <w:color w:val="000000"/>
          <w:sz w:val="24"/>
          <w:szCs w:val="24"/>
        </w:rPr>
        <w:t xml:space="preserve"> Takes advantage of available data infrastructure and analytics departments.</w:t>
      </w:r>
    </w:p>
    <w:p w14:paraId="3B958235" w14:textId="77777777" w:rsidR="002D7E2F" w:rsidRDefault="004F31A1">
      <w:pPr>
        <w:numPr>
          <w:ilvl w:val="0"/>
          <w:numId w:val="9"/>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Relevant:</w:t>
      </w:r>
      <w:r>
        <w:rPr>
          <w:rFonts w:ascii="Arial" w:eastAsia="Arial" w:hAnsi="Arial" w:cs="Arial"/>
          <w:color w:val="000000"/>
          <w:sz w:val="24"/>
          <w:szCs w:val="24"/>
        </w:rPr>
        <w:t xml:space="preserve"> Reduces the high buyer power and increases differentiation (Deloitte, 2023).</w:t>
      </w:r>
    </w:p>
    <w:p w14:paraId="71B0F774" w14:textId="77777777" w:rsidR="002D7E2F" w:rsidRDefault="004F31A1">
      <w:pPr>
        <w:numPr>
          <w:ilvl w:val="0"/>
          <w:numId w:val="9"/>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Time-bound:</w:t>
      </w:r>
      <w:r>
        <w:rPr>
          <w:rFonts w:ascii="Arial" w:eastAsia="Arial" w:hAnsi="Arial" w:cs="Arial"/>
          <w:color w:val="000000"/>
          <w:sz w:val="24"/>
          <w:szCs w:val="24"/>
        </w:rPr>
        <w:t xml:space="preserve"> Next financial year implementation.</w:t>
      </w:r>
    </w:p>
    <w:p w14:paraId="2D1212EE" w14:textId="77777777" w:rsidR="002D7E2F" w:rsidRDefault="004F31A1">
      <w:pPr>
        <w:pStyle w:val="Heading2"/>
      </w:pPr>
      <w:bookmarkStart w:id="30" w:name="_Toc225521831"/>
      <w:r>
        <w:t>6.4 Low-Carbon Private Labels</w:t>
      </w:r>
      <w:bookmarkEnd w:id="30"/>
    </w:p>
    <w:p w14:paraId="296CFC9E" w14:textId="77777777" w:rsidR="002D7E2F" w:rsidRDefault="004F31A1">
      <w:pPr>
        <w:numPr>
          <w:ilvl w:val="0"/>
          <w:numId w:val="10"/>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Specific:</w:t>
      </w:r>
      <w:r>
        <w:rPr>
          <w:rFonts w:ascii="Arial" w:eastAsia="Arial" w:hAnsi="Arial" w:cs="Arial"/>
          <w:color w:val="000000"/>
          <w:sz w:val="24"/>
          <w:szCs w:val="24"/>
        </w:rPr>
        <w:t xml:space="preserve"> Establish a portfolio of own-label goods that are proven to have low-carbon footprint.</w:t>
      </w:r>
    </w:p>
    <w:p w14:paraId="5524102A" w14:textId="77777777" w:rsidR="002D7E2F" w:rsidRDefault="004F31A1">
      <w:pPr>
        <w:numPr>
          <w:ilvl w:val="0"/>
          <w:numId w:val="10"/>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Measurable</w:t>
      </w:r>
      <w:r>
        <w:rPr>
          <w:rFonts w:ascii="Arial" w:eastAsia="Arial" w:hAnsi="Arial" w:cs="Arial"/>
          <w:color w:val="000000"/>
          <w:sz w:val="24"/>
          <w:szCs w:val="24"/>
        </w:rPr>
        <w:t>: Within 24 months, increase sustainable lines to 15% of total revenue in the form of private-labelled products.</w:t>
      </w:r>
    </w:p>
    <w:p w14:paraId="638D0222" w14:textId="77777777" w:rsidR="002D7E2F" w:rsidRDefault="004F31A1">
      <w:pPr>
        <w:numPr>
          <w:ilvl w:val="0"/>
          <w:numId w:val="10"/>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Feasible:</w:t>
      </w:r>
      <w:r>
        <w:rPr>
          <w:rFonts w:ascii="Arial" w:eastAsia="Arial" w:hAnsi="Arial" w:cs="Arial"/>
          <w:color w:val="000000"/>
          <w:sz w:val="24"/>
          <w:szCs w:val="24"/>
        </w:rPr>
        <w:t xml:space="preserve"> Consists with current CSR policy and partnership with suppliers.</w:t>
      </w:r>
    </w:p>
    <w:p w14:paraId="3397BB41" w14:textId="77777777" w:rsidR="002D7E2F" w:rsidRDefault="004F31A1">
      <w:pPr>
        <w:numPr>
          <w:ilvl w:val="0"/>
          <w:numId w:val="10"/>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Relevant:</w:t>
      </w:r>
      <w:r>
        <w:rPr>
          <w:rFonts w:ascii="Arial" w:eastAsia="Arial" w:hAnsi="Arial" w:cs="Arial"/>
          <w:color w:val="000000"/>
          <w:sz w:val="24"/>
          <w:szCs w:val="24"/>
        </w:rPr>
        <w:t xml:space="preserve"> Strengthens brand image, deals with environmental regulatory pressure (Tesco plc, 2024).</w:t>
      </w:r>
    </w:p>
    <w:p w14:paraId="5EF76B7A" w14:textId="77777777" w:rsidR="002D7E2F" w:rsidRDefault="004F31A1">
      <w:pPr>
        <w:numPr>
          <w:ilvl w:val="0"/>
          <w:numId w:val="10"/>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Time-bound:</w:t>
      </w:r>
      <w:r>
        <w:rPr>
          <w:rFonts w:ascii="Arial" w:eastAsia="Arial" w:hAnsi="Arial" w:cs="Arial"/>
          <w:color w:val="000000"/>
          <w:sz w:val="24"/>
          <w:szCs w:val="24"/>
        </w:rPr>
        <w:t xml:space="preserve"> Two-year gradual implementation in stores in UK.</w:t>
      </w:r>
    </w:p>
    <w:p w14:paraId="54E3105E" w14:textId="77777777" w:rsidR="002D7E2F" w:rsidRDefault="004F31A1">
      <w:pPr>
        <w:pStyle w:val="Heading2"/>
      </w:pPr>
      <w:bookmarkStart w:id="31" w:name="_Toc225521832"/>
      <w:r>
        <w:t>6.5 Supply-Chain Automation</w:t>
      </w:r>
      <w:bookmarkEnd w:id="31"/>
    </w:p>
    <w:p w14:paraId="25F7D951" w14:textId="034B6E0B" w:rsidR="002D7E2F" w:rsidRDefault="004F31A1">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Specific:</w:t>
      </w:r>
      <w:r>
        <w:rPr>
          <w:rFonts w:ascii="Arial" w:eastAsia="Arial" w:hAnsi="Arial" w:cs="Arial"/>
          <w:color w:val="000000"/>
          <w:sz w:val="24"/>
          <w:szCs w:val="24"/>
        </w:rPr>
        <w:t xml:space="preserve"> RPA and AI-driven forecasting in all distribution </w:t>
      </w:r>
      <w:r w:rsidR="00C102B9">
        <w:rPr>
          <w:rFonts w:ascii="Arial" w:eastAsia="Arial" w:hAnsi="Arial" w:cs="Arial"/>
          <w:color w:val="000000"/>
          <w:sz w:val="24"/>
          <w:szCs w:val="24"/>
        </w:rPr>
        <w:t>centers</w:t>
      </w:r>
      <w:r>
        <w:rPr>
          <w:rFonts w:ascii="Arial" w:eastAsia="Arial" w:hAnsi="Arial" w:cs="Arial"/>
          <w:color w:val="000000"/>
          <w:sz w:val="24"/>
          <w:szCs w:val="24"/>
        </w:rPr>
        <w:t>.</w:t>
      </w:r>
    </w:p>
    <w:p w14:paraId="3058B2DF" w14:textId="075C3EE1" w:rsidR="002D7E2F" w:rsidRDefault="00C102B9">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Measurable:</w:t>
      </w:r>
      <w:r w:rsidR="004F31A1">
        <w:rPr>
          <w:rFonts w:ascii="Arial" w:eastAsia="Arial" w:hAnsi="Arial" w:cs="Arial"/>
          <w:color w:val="000000"/>
          <w:sz w:val="24"/>
          <w:szCs w:val="24"/>
        </w:rPr>
        <w:t xml:space="preserve"> Within 18 months, decrease logistics cost per unit by 5 percent, and inventory turnover by 10 percent.</w:t>
      </w:r>
    </w:p>
    <w:p w14:paraId="55D2E290" w14:textId="77777777" w:rsidR="002D7E2F" w:rsidRDefault="004F31A1">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Achievable:</w:t>
      </w:r>
      <w:r>
        <w:rPr>
          <w:rFonts w:ascii="Arial" w:eastAsia="Arial" w:hAnsi="Arial" w:cs="Arial"/>
          <w:color w:val="000000"/>
          <w:sz w:val="24"/>
          <w:szCs w:val="24"/>
        </w:rPr>
        <w:t xml:space="preserve"> Resumes previous digital investment and operational size.</w:t>
      </w:r>
    </w:p>
    <w:p w14:paraId="164A8814" w14:textId="77777777" w:rsidR="002D7E2F" w:rsidRDefault="004F31A1">
      <w:pPr>
        <w:numPr>
          <w:ilvl w:val="0"/>
          <w:numId w:val="11"/>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Relevant:</w:t>
      </w:r>
      <w:r>
        <w:rPr>
          <w:rFonts w:ascii="Arial" w:eastAsia="Arial" w:hAnsi="Arial" w:cs="Arial"/>
          <w:color w:val="000000"/>
          <w:sz w:val="24"/>
          <w:szCs w:val="24"/>
        </w:rPr>
        <w:t xml:space="preserve"> Enhances cost leadership, reduces Brexit-related disruption, and makes it more resilient (McKinsey, 2022).</w:t>
      </w:r>
    </w:p>
    <w:p w14:paraId="445331F8" w14:textId="77777777" w:rsidR="002D7E2F" w:rsidRDefault="004F31A1">
      <w:pPr>
        <w:numPr>
          <w:ilvl w:val="0"/>
          <w:numId w:val="11"/>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Time-bound:</w:t>
      </w:r>
      <w:r>
        <w:rPr>
          <w:rFonts w:ascii="Arial" w:eastAsia="Arial" w:hAnsi="Arial" w:cs="Arial"/>
          <w:color w:val="000000"/>
          <w:sz w:val="24"/>
          <w:szCs w:val="24"/>
        </w:rPr>
        <w:t xml:space="preserve"> Within 18 months.</w:t>
      </w:r>
    </w:p>
    <w:p w14:paraId="46B0D49B" w14:textId="68203075"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By integrating AI </w:t>
      </w:r>
      <w:r w:rsidR="00C102B9">
        <w:rPr>
          <w:rFonts w:ascii="Arial" w:eastAsia="Arial" w:hAnsi="Arial" w:cs="Arial"/>
          <w:sz w:val="24"/>
          <w:szCs w:val="24"/>
        </w:rPr>
        <w:t>personalization</w:t>
      </w:r>
      <w:r>
        <w:rPr>
          <w:rFonts w:ascii="Arial" w:eastAsia="Arial" w:hAnsi="Arial" w:cs="Arial"/>
          <w:sz w:val="24"/>
          <w:szCs w:val="24"/>
        </w:rPr>
        <w:t xml:space="preserve">, sustainable private labels, and supply-chain automation, Tesco can sustain competitive advantage, respond to competitive threats, </w:t>
      </w:r>
      <w:r>
        <w:rPr>
          <w:rFonts w:ascii="Arial" w:eastAsia="Arial" w:hAnsi="Arial" w:cs="Arial"/>
          <w:sz w:val="24"/>
          <w:szCs w:val="24"/>
        </w:rPr>
        <w:lastRenderedPageBreak/>
        <w:t>and reinforce long-term profitability while aligning with CSR and digital transformation objectives.</w:t>
      </w:r>
    </w:p>
    <w:p w14:paraId="08D90C2A" w14:textId="77777777" w:rsidR="002D7E2F" w:rsidRDefault="004F31A1" w:rsidP="00872596">
      <w:pPr>
        <w:pStyle w:val="Heading2"/>
        <w:spacing w:after="240"/>
      </w:pPr>
      <w:bookmarkStart w:id="32" w:name="_Toc225521833"/>
      <w:r>
        <w:t>7. Conclusion</w:t>
      </w:r>
      <w:bookmarkEnd w:id="32"/>
    </w:p>
    <w:p w14:paraId="09B4502C" w14:textId="6F731723"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Conclusively, this report has critically </w:t>
      </w:r>
      <w:r w:rsidR="00C102B9">
        <w:rPr>
          <w:rFonts w:ascii="Arial" w:eastAsia="Arial" w:hAnsi="Arial" w:cs="Arial"/>
          <w:sz w:val="24"/>
          <w:szCs w:val="24"/>
        </w:rPr>
        <w:t>analyzed</w:t>
      </w:r>
      <w:r>
        <w:rPr>
          <w:rFonts w:ascii="Arial" w:eastAsia="Arial" w:hAnsi="Arial" w:cs="Arial"/>
          <w:sz w:val="24"/>
          <w:szCs w:val="24"/>
        </w:rPr>
        <w:t xml:space="preserve"> the strategic position of Tesco PLC taking into consideration its internal capability and the external environment in which it operates. Based on the strategic management models like the PESTLE, VRIO, SWOT, Balanced Scorecard, and the Ansoff Matrix, the analysis reveals that Tesco has been able to sustain the competitive position in the UK retail industry due to its expansive network of stores, good brand name, well-built supply chain and a growing emphasis on digital retailing. The company however, has a number of strategic challenges such as high competition initiated by the retail stores such as Aldi and Lidl among others, the increase in operation cost and the changing consumer expectations. All these pressures dictate that Tesco always needs to innovate, improve operation effectiveness and the customer value proposition. The competitive edge of Tesco can be maintained by the strategic suggestions in this report, such as investing in digital transformation, sustainability efforts, and innovation that is more customer-focused.</w:t>
      </w:r>
    </w:p>
    <w:p w14:paraId="65746234" w14:textId="77777777" w:rsidR="00872596" w:rsidRDefault="00872596">
      <w:pPr>
        <w:rPr>
          <w:rFonts w:ascii="Arial" w:eastAsia="Arial" w:hAnsi="Arial" w:cs="Arial"/>
          <w:b/>
          <w:bCs/>
          <w:color w:val="000000"/>
          <w:sz w:val="32"/>
          <w:szCs w:val="32"/>
        </w:rPr>
      </w:pPr>
      <w:r>
        <w:br w:type="page"/>
      </w:r>
    </w:p>
    <w:p w14:paraId="3CE843E6" w14:textId="77777777" w:rsidR="002D7E2F" w:rsidRPr="00C102B9" w:rsidRDefault="004F31A1">
      <w:pPr>
        <w:pStyle w:val="Heading1"/>
        <w:jc w:val="center"/>
        <w:rPr>
          <w:u w:val="single"/>
        </w:rPr>
      </w:pPr>
      <w:bookmarkStart w:id="33" w:name="_Toc225521834"/>
      <w:r w:rsidRPr="00C102B9">
        <w:rPr>
          <w:u w:val="single"/>
        </w:rPr>
        <w:lastRenderedPageBreak/>
        <w:t>Section 2: Reflective Account</w:t>
      </w:r>
      <w:bookmarkEnd w:id="33"/>
    </w:p>
    <w:p w14:paraId="3581B4AF" w14:textId="77777777" w:rsidR="002D7E2F" w:rsidRDefault="002D7E2F">
      <w:pPr>
        <w:spacing w:line="360" w:lineRule="auto"/>
        <w:jc w:val="both"/>
        <w:rPr>
          <w:rFonts w:ascii="Arial" w:eastAsia="Arial" w:hAnsi="Arial" w:cs="Arial"/>
          <w:sz w:val="24"/>
          <w:szCs w:val="24"/>
        </w:rPr>
      </w:pPr>
    </w:p>
    <w:p w14:paraId="4BFD6727" w14:textId="659711CE" w:rsidR="002D7E2F" w:rsidRDefault="004F31A1">
      <w:pPr>
        <w:spacing w:line="360" w:lineRule="auto"/>
        <w:jc w:val="both"/>
        <w:rPr>
          <w:rFonts w:ascii="Arial" w:eastAsia="Arial" w:hAnsi="Arial" w:cs="Arial"/>
          <w:b/>
          <w:bCs/>
          <w:sz w:val="24"/>
          <w:szCs w:val="24"/>
        </w:rPr>
      </w:pPr>
      <w:r>
        <w:rPr>
          <w:rFonts w:ascii="Arial" w:eastAsia="Arial" w:hAnsi="Arial" w:cs="Arial"/>
          <w:b/>
          <w:bCs/>
          <w:sz w:val="24"/>
          <w:szCs w:val="24"/>
        </w:rPr>
        <w:t>Gibbs Reflective Cycle (1988) was used</w:t>
      </w:r>
    </w:p>
    <w:p w14:paraId="536B2B3E" w14:textId="77777777" w:rsidR="002D7E2F" w:rsidRDefault="004F31A1">
      <w:pPr>
        <w:keepNext/>
        <w:spacing w:line="360" w:lineRule="auto"/>
        <w:jc w:val="center"/>
      </w:pPr>
      <w:r>
        <w:rPr>
          <w:rFonts w:ascii="Arial" w:eastAsia="Arial" w:hAnsi="Arial" w:cs="Arial"/>
          <w:noProof/>
          <w:sz w:val="24"/>
          <w:szCs w:val="24"/>
        </w:rPr>
        <w:drawing>
          <wp:inline distT="0" distB="0" distL="0" distR="0" wp14:anchorId="205D1461" wp14:editId="2DE39911">
            <wp:extent cx="5943600" cy="343598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3435985"/>
                    </a:xfrm>
                    <a:prstGeom prst="rect">
                      <a:avLst/>
                    </a:prstGeom>
                    <a:ln/>
                  </pic:spPr>
                </pic:pic>
              </a:graphicData>
            </a:graphic>
          </wp:inline>
        </w:drawing>
      </w:r>
    </w:p>
    <w:p w14:paraId="5166CED3" w14:textId="77777777" w:rsidR="002D7E2F" w:rsidRDefault="004F31A1">
      <w:pPr>
        <w:pBdr>
          <w:top w:val="nil"/>
          <w:left w:val="nil"/>
          <w:bottom w:val="nil"/>
          <w:right w:val="nil"/>
          <w:between w:val="nil"/>
        </w:pBdr>
        <w:spacing w:after="200" w:line="240" w:lineRule="auto"/>
        <w:jc w:val="center"/>
        <w:rPr>
          <w:rFonts w:ascii="Arial" w:eastAsia="Arial" w:hAnsi="Arial" w:cs="Arial"/>
          <w:i/>
          <w:iCs/>
          <w:color w:val="44546A"/>
          <w:sz w:val="28"/>
          <w:szCs w:val="28"/>
        </w:rPr>
      </w:pPr>
      <w:bookmarkStart w:id="34" w:name="_urjbegjzweqm" w:colFirst="0" w:colLast="0"/>
      <w:bookmarkEnd w:id="34"/>
      <w:r>
        <w:rPr>
          <w:rFonts w:ascii="Arial" w:eastAsia="Arial" w:hAnsi="Arial" w:cs="Arial"/>
          <w:i/>
          <w:iCs/>
          <w:color w:val="44546A"/>
          <w:sz w:val="20"/>
          <w:szCs w:val="20"/>
        </w:rPr>
        <w:t>Figure 7: Application of Gibbs Reflective Cycle in Tesco Strategic Analysis</w:t>
      </w:r>
    </w:p>
    <w:p w14:paraId="701964AB" w14:textId="77777777" w:rsidR="002D7E2F" w:rsidRDefault="004F31A1" w:rsidP="00872596">
      <w:pPr>
        <w:pStyle w:val="Heading2"/>
        <w:spacing w:after="240"/>
      </w:pPr>
      <w:bookmarkStart w:id="35" w:name="_Toc225521835"/>
      <w:r>
        <w:t>1. Description</w:t>
      </w:r>
      <w:bookmarkEnd w:id="35"/>
    </w:p>
    <w:p w14:paraId="1937E32B" w14:textId="3A2852F1"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This review essay is based on the process of writing a strategic management report on Tesco, including the use of strategic models, data collection and analysis, and incorporation of AI tools in an ethical way. In the project, there was a requirement of the choice of an </w:t>
      </w:r>
      <w:r w:rsidR="00C102B9">
        <w:rPr>
          <w:rFonts w:ascii="Arial" w:eastAsia="Arial" w:hAnsi="Arial" w:cs="Arial"/>
          <w:sz w:val="24"/>
          <w:szCs w:val="24"/>
        </w:rPr>
        <w:t>organization</w:t>
      </w:r>
      <w:r>
        <w:rPr>
          <w:rFonts w:ascii="Arial" w:eastAsia="Arial" w:hAnsi="Arial" w:cs="Arial"/>
          <w:sz w:val="24"/>
          <w:szCs w:val="24"/>
        </w:rPr>
        <w:t xml:space="preserve"> that possesses adequate strategic complexity, analysis of the external and internal environment, CSR, Balanced Scorecard performance, strategic options, and actionable recommendations. </w:t>
      </w:r>
    </w:p>
    <w:p w14:paraId="1012A398" w14:textId="0DA6A8BB"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I selected strategic models such as PESTEL, Porter’s Five Forces, and VRIO to ensure a structured and theory-driven analysis, as these frameworks are widely </w:t>
      </w:r>
      <w:r w:rsidR="00C102B9">
        <w:rPr>
          <w:rFonts w:ascii="Arial" w:eastAsia="Arial" w:hAnsi="Arial" w:cs="Arial"/>
          <w:sz w:val="24"/>
          <w:szCs w:val="24"/>
        </w:rPr>
        <w:t>recognized</w:t>
      </w:r>
      <w:r>
        <w:rPr>
          <w:rFonts w:ascii="Arial" w:eastAsia="Arial" w:hAnsi="Arial" w:cs="Arial"/>
          <w:sz w:val="24"/>
          <w:szCs w:val="24"/>
        </w:rPr>
        <w:t xml:space="preserve"> for evaluating external pressures and internal capabilities. The reason for using multiple models was to avoid a narrow perspective and to develop a comprehensive understanding of Tesco’s strategic position.</w:t>
      </w:r>
    </w:p>
    <w:p w14:paraId="361AAFD2"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lastRenderedPageBreak/>
        <w:t>The essential steps followed are: (1) the selection of Tesco as an appropriate case study based on the leadership in the UK market and the availability of valuable strategic data; (2) the critical analysis of the external environment through the use of PESTEL and Porters Five Forces; (3) the analysis of the internal resources and capabilities through the use of VRIO; (4) the connections between CSR and sustainability initiatives and strategic results; (5) the construction of a Balanced Scorecard; and (6) the creation of strategic choices, evaluation, and recommendations. There was a need to be very careful in each stage of deciding on what models to use, how to critically interpret data and how to be academic.</w:t>
      </w:r>
    </w:p>
    <w:p w14:paraId="38D7EE92" w14:textId="77777777" w:rsidR="002D7E2F" w:rsidRDefault="004F31A1" w:rsidP="00872596">
      <w:pPr>
        <w:pStyle w:val="Heading2"/>
        <w:spacing w:after="240"/>
      </w:pPr>
      <w:bookmarkStart w:id="36" w:name="_Toc225521836"/>
      <w:r>
        <w:t>2. Feelings</w:t>
      </w:r>
      <w:bookmarkEnd w:id="36"/>
    </w:p>
    <w:p w14:paraId="4EE8245D" w14:textId="2795A7F3"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To begin with, I was excited and apprehensive. The excitement was due to the chance to analyze a genuine market leader in the United Kingdom and implement advanced frameworks of strategy </w:t>
      </w:r>
      <w:r w:rsidR="00D96D0E">
        <w:rPr>
          <w:rFonts w:ascii="Arial" w:eastAsia="Arial" w:hAnsi="Arial" w:cs="Arial"/>
          <w:sz w:val="24"/>
          <w:szCs w:val="24"/>
        </w:rPr>
        <w:t>at l</w:t>
      </w:r>
      <w:r>
        <w:rPr>
          <w:rFonts w:ascii="Arial" w:eastAsia="Arial" w:hAnsi="Arial" w:cs="Arial"/>
          <w:sz w:val="24"/>
          <w:szCs w:val="24"/>
        </w:rPr>
        <w:t>evel</w:t>
      </w:r>
      <w:r w:rsidR="00D96D0E">
        <w:rPr>
          <w:rFonts w:ascii="Arial" w:eastAsia="Arial" w:hAnsi="Arial" w:cs="Arial"/>
          <w:sz w:val="24"/>
          <w:szCs w:val="24"/>
        </w:rPr>
        <w:t xml:space="preserve"> </w:t>
      </w:r>
      <w:r>
        <w:rPr>
          <w:rFonts w:ascii="Arial" w:eastAsia="Arial" w:hAnsi="Arial" w:cs="Arial"/>
          <w:sz w:val="24"/>
          <w:szCs w:val="24"/>
        </w:rPr>
        <w:t xml:space="preserve">7. This was </w:t>
      </w:r>
      <w:r w:rsidR="00C102B9">
        <w:rPr>
          <w:rFonts w:ascii="Arial" w:eastAsia="Arial" w:hAnsi="Arial" w:cs="Arial"/>
          <w:sz w:val="24"/>
          <w:szCs w:val="24"/>
        </w:rPr>
        <w:t>challenging</w:t>
      </w:r>
      <w:r>
        <w:rPr>
          <w:rFonts w:ascii="Arial" w:eastAsia="Arial" w:hAnsi="Arial" w:cs="Arial"/>
          <w:sz w:val="24"/>
          <w:szCs w:val="24"/>
        </w:rPr>
        <w:t xml:space="preserve"> because it was hard to </w:t>
      </w:r>
      <w:r w:rsidR="00C102B9">
        <w:rPr>
          <w:rFonts w:ascii="Arial" w:eastAsia="Arial" w:hAnsi="Arial" w:cs="Arial"/>
          <w:sz w:val="24"/>
          <w:szCs w:val="24"/>
        </w:rPr>
        <w:t>synthesize</w:t>
      </w:r>
      <w:r>
        <w:rPr>
          <w:rFonts w:ascii="Arial" w:eastAsia="Arial" w:hAnsi="Arial" w:cs="Arial"/>
          <w:sz w:val="24"/>
          <w:szCs w:val="24"/>
        </w:rPr>
        <w:t xml:space="preserve"> various models, work with recent (2020</w:t>
      </w:r>
      <w:r w:rsidR="00C102B9">
        <w:rPr>
          <w:rFonts w:ascii="Arial" w:eastAsia="Arial" w:hAnsi="Arial" w:cs="Arial"/>
          <w:sz w:val="24"/>
          <w:szCs w:val="24"/>
        </w:rPr>
        <w:t>-</w:t>
      </w:r>
      <w:r>
        <w:rPr>
          <w:rFonts w:ascii="Arial" w:eastAsia="Arial" w:hAnsi="Arial" w:cs="Arial"/>
          <w:sz w:val="24"/>
          <w:szCs w:val="24"/>
        </w:rPr>
        <w:t xml:space="preserve">2025) data, and make sure that it is critically </w:t>
      </w:r>
      <w:r w:rsidR="00C102B9">
        <w:rPr>
          <w:rFonts w:ascii="Arial" w:eastAsia="Arial" w:hAnsi="Arial" w:cs="Arial"/>
          <w:sz w:val="24"/>
          <w:szCs w:val="24"/>
        </w:rPr>
        <w:t>analyzed</w:t>
      </w:r>
      <w:r>
        <w:rPr>
          <w:rFonts w:ascii="Arial" w:eastAsia="Arial" w:hAnsi="Arial" w:cs="Arial"/>
          <w:sz w:val="24"/>
          <w:szCs w:val="24"/>
        </w:rPr>
        <w:t xml:space="preserve"> and not described. The application of AI tools was both a relief and the warning: relief because the </w:t>
      </w:r>
      <w:r w:rsidR="00C102B9">
        <w:rPr>
          <w:rFonts w:ascii="Arial" w:eastAsia="Arial" w:hAnsi="Arial" w:cs="Arial"/>
          <w:sz w:val="24"/>
          <w:szCs w:val="24"/>
        </w:rPr>
        <w:t>summarization</w:t>
      </w:r>
      <w:r>
        <w:rPr>
          <w:rFonts w:ascii="Arial" w:eastAsia="Arial" w:hAnsi="Arial" w:cs="Arial"/>
          <w:sz w:val="24"/>
          <w:szCs w:val="24"/>
        </w:rPr>
        <w:t xml:space="preserve"> and reference </w:t>
      </w:r>
      <w:r w:rsidR="00C102B9">
        <w:rPr>
          <w:rFonts w:ascii="Arial" w:eastAsia="Arial" w:hAnsi="Arial" w:cs="Arial"/>
          <w:sz w:val="24"/>
          <w:szCs w:val="24"/>
        </w:rPr>
        <w:t>organization</w:t>
      </w:r>
      <w:r>
        <w:rPr>
          <w:rFonts w:ascii="Arial" w:eastAsia="Arial" w:hAnsi="Arial" w:cs="Arial"/>
          <w:sz w:val="24"/>
          <w:szCs w:val="24"/>
        </w:rPr>
        <w:t xml:space="preserve"> saves time, and the warning because of the ethical obligation to not use AI-written material as core analysis to ensure the originality and personal contribution.</w:t>
      </w:r>
    </w:p>
    <w:p w14:paraId="3AC7EF02" w14:textId="77777777" w:rsidR="002D7E2F" w:rsidRDefault="004F31A1">
      <w:pPr>
        <w:spacing w:line="360" w:lineRule="auto"/>
        <w:jc w:val="both"/>
        <w:rPr>
          <w:rFonts w:ascii="Arial" w:eastAsia="Arial" w:hAnsi="Arial" w:cs="Arial"/>
          <w:sz w:val="24"/>
          <w:szCs w:val="24"/>
        </w:rPr>
      </w:pPr>
      <w:r>
        <w:rPr>
          <w:rFonts w:ascii="Arial" w:eastAsia="Arial" w:hAnsi="Arial" w:cs="Arial"/>
          <w:sz w:val="24"/>
          <w:szCs w:val="24"/>
        </w:rPr>
        <w:t>Feelings were changed to confidence as the project moved on, especially where trends among Tesco internal capabilities in relation to external pressures were realized. The combination of VRIO insights with Balanced Scorecard metrics and the implementation of CSR considerations contributed to the feeling of accomplishment that was created after developing coherent, theory-informed suggestions that were also practical.</w:t>
      </w:r>
    </w:p>
    <w:p w14:paraId="2328F6CC" w14:textId="77777777" w:rsidR="002D7E2F" w:rsidRDefault="004F31A1" w:rsidP="00872596">
      <w:pPr>
        <w:pStyle w:val="Heading2"/>
        <w:spacing w:after="240"/>
      </w:pPr>
      <w:bookmarkStart w:id="37" w:name="_Toc225521837"/>
      <w:r>
        <w:t>3. Evaluation</w:t>
      </w:r>
      <w:bookmarkEnd w:id="37"/>
    </w:p>
    <w:p w14:paraId="7590A621" w14:textId="2E0C9B12"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The strategic models applied were mostly efficient in the structuring of analysis. PESTEL gave an insight </w:t>
      </w:r>
      <w:r w:rsidR="007E4078">
        <w:rPr>
          <w:rFonts w:ascii="Arial" w:eastAsia="Arial" w:hAnsi="Arial" w:cs="Arial"/>
          <w:sz w:val="24"/>
          <w:szCs w:val="24"/>
        </w:rPr>
        <w:t>into</w:t>
      </w:r>
      <w:r>
        <w:rPr>
          <w:rFonts w:ascii="Arial" w:eastAsia="Arial" w:hAnsi="Arial" w:cs="Arial"/>
          <w:sz w:val="24"/>
          <w:szCs w:val="24"/>
        </w:rPr>
        <w:t xml:space="preserve"> macro-environmental factors and Porter</w:t>
      </w:r>
      <w:r w:rsidR="00D96D0E">
        <w:rPr>
          <w:rFonts w:ascii="Arial" w:eastAsia="Arial" w:hAnsi="Arial" w:cs="Arial"/>
          <w:sz w:val="24"/>
          <w:szCs w:val="24"/>
        </w:rPr>
        <w:t>’</w:t>
      </w:r>
      <w:r>
        <w:rPr>
          <w:rFonts w:ascii="Arial" w:eastAsia="Arial" w:hAnsi="Arial" w:cs="Arial"/>
          <w:sz w:val="24"/>
          <w:szCs w:val="24"/>
        </w:rPr>
        <w:t xml:space="preserve">s Five Forces showed the competitive factors in the UK grocery industry. VRIO provided an understanding of the sustainability of the Tesco competitive advantage especially its Clubcard regime and supply-chain potential. The analysis of the Balanced Scorecard enabled the incorporation </w:t>
      </w:r>
      <w:r>
        <w:rPr>
          <w:rFonts w:ascii="Arial" w:eastAsia="Arial" w:hAnsi="Arial" w:cs="Arial"/>
          <w:sz w:val="24"/>
          <w:szCs w:val="24"/>
        </w:rPr>
        <w:lastRenderedPageBreak/>
        <w:t>of non-financial as well as financial indicators, which helped to carry out holistic assessment.</w:t>
      </w:r>
    </w:p>
    <w:p w14:paraId="49423EC4" w14:textId="7689015D" w:rsidR="002D7E2F" w:rsidRDefault="004F31A1">
      <w:pPr>
        <w:spacing w:line="360" w:lineRule="auto"/>
        <w:jc w:val="both"/>
        <w:rPr>
          <w:rFonts w:ascii="Arial" w:eastAsia="Arial" w:hAnsi="Arial" w:cs="Arial"/>
          <w:sz w:val="24"/>
          <w:szCs w:val="24"/>
        </w:rPr>
      </w:pPr>
      <w:r>
        <w:rPr>
          <w:rFonts w:ascii="Arial" w:eastAsia="Arial" w:hAnsi="Arial" w:cs="Arial"/>
          <w:sz w:val="24"/>
          <w:szCs w:val="24"/>
        </w:rPr>
        <w:t>However, challenges emerged. PESTEL also ran the risk of being descriptive; I had to make each of the factors critically connected with strategic decision-making. There was a discrepancy in the data available on different sources, particularly CSR metrics and financial forecasts, which needed to be carefully triangulated and judged. Also, practicality of the recommendations required theoretically sound and practically viable recommendations could only be achieved through refinement. Nevertheless, the systematic reflection and constant improvement were improved through the systematic approach offered by Gibbs cycle in spite of these challenges.</w:t>
      </w:r>
    </w:p>
    <w:p w14:paraId="0D6ECBEF" w14:textId="77777777" w:rsidR="002D7E2F" w:rsidRDefault="004F31A1" w:rsidP="00872596">
      <w:pPr>
        <w:pStyle w:val="Heading2"/>
        <w:spacing w:after="240"/>
      </w:pPr>
      <w:bookmarkStart w:id="38" w:name="_Toc225521838"/>
      <w:r>
        <w:t>4. Analysis</w:t>
      </w:r>
      <w:bookmarkEnd w:id="38"/>
    </w:p>
    <w:p w14:paraId="6E92446C" w14:textId="2528D89A"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This project has made critical thinking achieve a lot. The strategic theory informed model selection: PESTEL and Porter</w:t>
      </w:r>
      <w:r w:rsidR="002D539E">
        <w:rPr>
          <w:rFonts w:ascii="Arial" w:eastAsia="Arial" w:hAnsi="Arial" w:cs="Arial"/>
          <w:sz w:val="24"/>
          <w:szCs w:val="24"/>
        </w:rPr>
        <w:t>’</w:t>
      </w:r>
      <w:r>
        <w:rPr>
          <w:rFonts w:ascii="Arial" w:eastAsia="Arial" w:hAnsi="Arial" w:cs="Arial"/>
          <w:sz w:val="24"/>
          <w:szCs w:val="24"/>
        </w:rPr>
        <w:t xml:space="preserve">s Five Forces represented environmental pressures, VRIO represented resources that could be used to create a sustained advantage, and Balanced Scorecard related strategy and measurable performance results. The mix of the models promoted the assessment beyond the superficial observations, and it allowed me to question the contradictions between cost leadership and differentiation, digital investment and </w:t>
      </w:r>
      <w:r w:rsidR="002D539E">
        <w:rPr>
          <w:rFonts w:ascii="Arial" w:eastAsia="Arial" w:hAnsi="Arial" w:cs="Arial"/>
          <w:sz w:val="24"/>
          <w:szCs w:val="24"/>
        </w:rPr>
        <w:t>labor</w:t>
      </w:r>
      <w:r>
        <w:rPr>
          <w:rFonts w:ascii="Arial" w:eastAsia="Arial" w:hAnsi="Arial" w:cs="Arial"/>
          <w:sz w:val="24"/>
          <w:szCs w:val="24"/>
        </w:rPr>
        <w:t xml:space="preserve"> costs, or the ambitions towards sustainability and financial limitations.</w:t>
      </w:r>
    </w:p>
    <w:p w14:paraId="7C57D0B4" w14:textId="2B2B8216"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issue of data challenges was also observed as conflicting numbers of market share between the sources or a lack of understanding of operative KPIs, which emphasized the necessity to cross-check various sources and assess their credibility. I learnt to differentiate between descriptive and analytical evidence and </w:t>
      </w:r>
      <w:r w:rsidR="00C102B9">
        <w:rPr>
          <w:rFonts w:ascii="Arial" w:eastAsia="Arial" w:hAnsi="Arial" w:cs="Arial"/>
          <w:sz w:val="24"/>
          <w:szCs w:val="24"/>
        </w:rPr>
        <w:t>synthesize</w:t>
      </w:r>
      <w:r>
        <w:rPr>
          <w:rFonts w:ascii="Arial" w:eastAsia="Arial" w:hAnsi="Arial" w:cs="Arial"/>
          <w:sz w:val="24"/>
          <w:szCs w:val="24"/>
        </w:rPr>
        <w:t xml:space="preserve"> what can be done and not the repetition of information.</w:t>
      </w:r>
    </w:p>
    <w:p w14:paraId="4FEE71C4" w14:textId="16CEFB26"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The use of AI in learning was also influenced by its ethical aspects. AI helped in </w:t>
      </w:r>
      <w:r w:rsidR="00C102B9">
        <w:rPr>
          <w:rFonts w:ascii="Arial" w:eastAsia="Arial" w:hAnsi="Arial" w:cs="Arial"/>
          <w:sz w:val="24"/>
          <w:szCs w:val="24"/>
        </w:rPr>
        <w:t>summarization</w:t>
      </w:r>
      <w:r>
        <w:rPr>
          <w:rFonts w:ascii="Arial" w:eastAsia="Arial" w:hAnsi="Arial" w:cs="Arial"/>
          <w:sz w:val="24"/>
          <w:szCs w:val="24"/>
        </w:rPr>
        <w:t xml:space="preserve"> of scholarly materials, grammar and readability, and reference </w:t>
      </w:r>
      <w:r w:rsidR="00C102B9">
        <w:rPr>
          <w:rFonts w:ascii="Arial" w:eastAsia="Arial" w:hAnsi="Arial" w:cs="Arial"/>
          <w:sz w:val="24"/>
          <w:szCs w:val="24"/>
        </w:rPr>
        <w:t>organizing</w:t>
      </w:r>
      <w:r>
        <w:rPr>
          <w:rFonts w:ascii="Arial" w:eastAsia="Arial" w:hAnsi="Arial" w:cs="Arial"/>
          <w:sz w:val="24"/>
          <w:szCs w:val="24"/>
        </w:rPr>
        <w:t>. Most importantly, I made sure that all the content, interpretation and evaluation of the analytical process were my creation. This reaffirmed the concept of AI as an assistant tool and not a replacement of critical thinking, which is in line with the academic integrity principles.</w:t>
      </w:r>
    </w:p>
    <w:p w14:paraId="098F4718" w14:textId="23E01A5A" w:rsidR="002D7E2F" w:rsidRDefault="004F31A1">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selection of each model was intentional. PESTEL </w:t>
      </w:r>
      <w:r w:rsidR="002D539E">
        <w:rPr>
          <w:rFonts w:ascii="Arial" w:eastAsia="Arial" w:hAnsi="Arial" w:cs="Arial"/>
          <w:sz w:val="24"/>
          <w:szCs w:val="24"/>
        </w:rPr>
        <w:t>used</w:t>
      </w:r>
      <w:r>
        <w:rPr>
          <w:rFonts w:ascii="Arial" w:eastAsia="Arial" w:hAnsi="Arial" w:cs="Arial"/>
          <w:sz w:val="24"/>
          <w:szCs w:val="24"/>
        </w:rPr>
        <w:t xml:space="preserve"> to understand macro-environmental pressures, while Porter’s Five Forces helped </w:t>
      </w:r>
      <w:r w:rsidR="00C102B9">
        <w:rPr>
          <w:rFonts w:ascii="Arial" w:eastAsia="Arial" w:hAnsi="Arial" w:cs="Arial"/>
          <w:sz w:val="24"/>
          <w:szCs w:val="24"/>
        </w:rPr>
        <w:t>analyze</w:t>
      </w:r>
      <w:r>
        <w:rPr>
          <w:rFonts w:ascii="Arial" w:eastAsia="Arial" w:hAnsi="Arial" w:cs="Arial"/>
          <w:sz w:val="24"/>
          <w:szCs w:val="24"/>
        </w:rPr>
        <w:t xml:space="preserve"> industry competitiveness and profitability constraints. VRIO was applied to evaluate whether Tesco’s resources could generate sustained competitive advantage. I used the Balanced Scorecard to link strategy with measurable performance outcomes, ensuring that my analysis moved beyond theory into practical implications. This approach allowed me to critically connect “what the company faces” with “how the company responds,” which is essential in strategic management.</w:t>
      </w:r>
    </w:p>
    <w:p w14:paraId="58A723DB" w14:textId="77777777" w:rsidR="002D7E2F" w:rsidRDefault="004F31A1" w:rsidP="00872596">
      <w:pPr>
        <w:pStyle w:val="Heading2"/>
        <w:spacing w:after="240"/>
      </w:pPr>
      <w:bookmarkStart w:id="39" w:name="_Toc225521839"/>
      <w:r>
        <w:t>5. Conclusion</w:t>
      </w:r>
      <w:bookmarkEnd w:id="39"/>
    </w:p>
    <w:p w14:paraId="1F1774FB" w14:textId="33404C65"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 xml:space="preserve">In general, the project improved my skills in transferring strategic management theory to the complex </w:t>
      </w:r>
      <w:r w:rsidR="00C102B9">
        <w:rPr>
          <w:rFonts w:ascii="Arial" w:eastAsia="Arial" w:hAnsi="Arial" w:cs="Arial"/>
          <w:sz w:val="24"/>
          <w:szCs w:val="24"/>
        </w:rPr>
        <w:t>organizational</w:t>
      </w:r>
      <w:r>
        <w:rPr>
          <w:rFonts w:ascii="Arial" w:eastAsia="Arial" w:hAnsi="Arial" w:cs="Arial"/>
          <w:sz w:val="24"/>
          <w:szCs w:val="24"/>
        </w:rPr>
        <w:t xml:space="preserve"> environment. I acquired abilities of selecting the right model, critical review, interpretation of data, and the </w:t>
      </w:r>
      <w:r w:rsidR="00C102B9">
        <w:rPr>
          <w:rFonts w:ascii="Arial" w:eastAsia="Arial" w:hAnsi="Arial" w:cs="Arial"/>
          <w:sz w:val="24"/>
          <w:szCs w:val="24"/>
        </w:rPr>
        <w:t>synthesis</w:t>
      </w:r>
      <w:r>
        <w:rPr>
          <w:rFonts w:ascii="Arial" w:eastAsia="Arial" w:hAnsi="Arial" w:cs="Arial"/>
          <w:sz w:val="24"/>
          <w:szCs w:val="24"/>
        </w:rPr>
        <w:t xml:space="preserve"> of insights into the coherent strategic recommendations. Data quality issues and model integration revealed the importance of critical thinking and responsible and reflective academic practice was supported by the use of ethical AI. I also felt confident about how to connect theory to practice and I was able to produce a report that matched the Level-7 requirements, both in terms of depth of analysis and practical applicability.</w:t>
      </w:r>
    </w:p>
    <w:p w14:paraId="61EF94A7" w14:textId="77777777" w:rsidR="002D7E2F" w:rsidRDefault="004F31A1" w:rsidP="00872596">
      <w:pPr>
        <w:pStyle w:val="Heading2"/>
        <w:spacing w:after="240"/>
      </w:pPr>
      <w:bookmarkStart w:id="40" w:name="_Toc225521840"/>
      <w:r>
        <w:t>6. Action Plan</w:t>
      </w:r>
      <w:bookmarkEnd w:id="40"/>
    </w:p>
    <w:p w14:paraId="3F26B1D8" w14:textId="77777777" w:rsidR="002D7E2F" w:rsidRDefault="004F31A1" w:rsidP="00872596">
      <w:pPr>
        <w:spacing w:after="240" w:line="360" w:lineRule="auto"/>
        <w:jc w:val="both"/>
        <w:rPr>
          <w:rFonts w:ascii="Arial" w:eastAsia="Arial" w:hAnsi="Arial" w:cs="Arial"/>
          <w:sz w:val="24"/>
          <w:szCs w:val="24"/>
        </w:rPr>
      </w:pPr>
      <w:r>
        <w:rPr>
          <w:rFonts w:ascii="Arial" w:eastAsia="Arial" w:hAnsi="Arial" w:cs="Arial"/>
          <w:sz w:val="24"/>
          <w:szCs w:val="24"/>
        </w:rPr>
        <w:t>To continue on my strategic management competencies:</w:t>
      </w:r>
    </w:p>
    <w:p w14:paraId="4A8189E1" w14:textId="77777777" w:rsidR="002D7E2F" w:rsidRDefault="004F31A1">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Model Application</w:t>
      </w:r>
      <w:r>
        <w:rPr>
          <w:rFonts w:ascii="Arial" w:eastAsia="Arial" w:hAnsi="Arial" w:cs="Arial"/>
          <w:color w:val="000000"/>
          <w:sz w:val="24"/>
          <w:szCs w:val="24"/>
        </w:rPr>
        <w:t>: Exercises Practice combining several strategic models at the same time, making sure that none of them informs conclusions based on description.</w:t>
      </w:r>
    </w:p>
    <w:p w14:paraId="6693517B" w14:textId="77777777" w:rsidR="002D7E2F" w:rsidRDefault="004F31A1">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Data Management:</w:t>
      </w:r>
      <w:r>
        <w:rPr>
          <w:rFonts w:ascii="Arial" w:eastAsia="Arial" w:hAnsi="Arial" w:cs="Arial"/>
          <w:color w:val="000000"/>
          <w:sz w:val="24"/>
          <w:szCs w:val="24"/>
        </w:rPr>
        <w:t xml:space="preserve"> Attract higher levels of data triangulation abilities and knowledge of the UK retail industry databases in order to eliminate reliance on secondary data with inconsistencies.</w:t>
      </w:r>
    </w:p>
    <w:p w14:paraId="3CA9C63B" w14:textId="77777777" w:rsidR="002D7E2F" w:rsidRDefault="004F31A1">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t>Critical Analysis:</w:t>
      </w:r>
      <w:r>
        <w:rPr>
          <w:rFonts w:ascii="Arial" w:eastAsia="Arial" w:hAnsi="Arial" w:cs="Arial"/>
          <w:color w:val="000000"/>
          <w:sz w:val="24"/>
          <w:szCs w:val="24"/>
        </w:rPr>
        <w:t xml:space="preserve"> Keep on questioning assumptions, think of alternative views and support recommendation with evidence and theory.</w:t>
      </w:r>
    </w:p>
    <w:p w14:paraId="5826AA83" w14:textId="77777777" w:rsidR="002D7E2F" w:rsidRDefault="004F31A1">
      <w:pPr>
        <w:numPr>
          <w:ilvl w:val="0"/>
          <w:numId w:val="12"/>
        </w:numPr>
        <w:pBdr>
          <w:top w:val="nil"/>
          <w:left w:val="nil"/>
          <w:bottom w:val="nil"/>
          <w:right w:val="nil"/>
          <w:between w:val="nil"/>
        </w:pBdr>
        <w:spacing w:after="0" w:line="360" w:lineRule="auto"/>
        <w:jc w:val="both"/>
        <w:rPr>
          <w:color w:val="000000"/>
          <w:sz w:val="24"/>
          <w:szCs w:val="24"/>
        </w:rPr>
      </w:pPr>
      <w:r>
        <w:rPr>
          <w:rFonts w:ascii="Arial" w:eastAsia="Arial" w:hAnsi="Arial" w:cs="Arial"/>
          <w:b/>
          <w:bCs/>
          <w:color w:val="000000"/>
          <w:sz w:val="24"/>
          <w:szCs w:val="24"/>
        </w:rPr>
        <w:lastRenderedPageBreak/>
        <w:t>Ethical Use of AI:</w:t>
      </w:r>
      <w:r>
        <w:rPr>
          <w:rFonts w:ascii="Arial" w:eastAsia="Arial" w:hAnsi="Arial" w:cs="Arial"/>
          <w:color w:val="000000"/>
          <w:sz w:val="24"/>
          <w:szCs w:val="24"/>
        </w:rPr>
        <w:t xml:space="preserve"> Keep AI as an efficiency and clarity system and protect originality and personal insight, have AI support documented where it is needed.</w:t>
      </w:r>
    </w:p>
    <w:p w14:paraId="5E683EB3" w14:textId="77777777" w:rsidR="002D7E2F" w:rsidRDefault="004F31A1">
      <w:pPr>
        <w:numPr>
          <w:ilvl w:val="0"/>
          <w:numId w:val="12"/>
        </w:numPr>
        <w:pBdr>
          <w:top w:val="nil"/>
          <w:left w:val="nil"/>
          <w:bottom w:val="nil"/>
          <w:right w:val="nil"/>
          <w:between w:val="nil"/>
        </w:pBdr>
        <w:spacing w:line="360" w:lineRule="auto"/>
        <w:jc w:val="both"/>
        <w:rPr>
          <w:color w:val="000000"/>
          <w:sz w:val="24"/>
          <w:szCs w:val="24"/>
        </w:rPr>
      </w:pPr>
      <w:r>
        <w:rPr>
          <w:rFonts w:ascii="Arial" w:eastAsia="Arial" w:hAnsi="Arial" w:cs="Arial"/>
          <w:b/>
          <w:bCs/>
          <w:color w:val="000000"/>
          <w:sz w:val="24"/>
          <w:szCs w:val="24"/>
        </w:rPr>
        <w:t>Reflective Practice</w:t>
      </w:r>
      <w:r>
        <w:rPr>
          <w:rFonts w:ascii="Arial" w:eastAsia="Arial" w:hAnsi="Arial" w:cs="Arial"/>
          <w:color w:val="000000"/>
          <w:sz w:val="24"/>
          <w:szCs w:val="24"/>
        </w:rPr>
        <w:t>: Embark on a practice of structured reflection (Gibbs or Kolb) on future projects to become a better learner, decision-maker and skill developer.</w:t>
      </w:r>
    </w:p>
    <w:p w14:paraId="603A546F" w14:textId="77777777" w:rsidR="002D7E2F" w:rsidRDefault="004F31A1">
      <w:pPr>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I will practice combining multiple strategic models to improve my ability to generate deeper insights rather than isolated analysis, as this will strengthen my critical thinking and help produce more integrated strategic recommendations in future assignments.</w:t>
      </w:r>
    </w:p>
    <w:p w14:paraId="38C60662" w14:textId="0718A491" w:rsidR="002D7E2F" w:rsidRDefault="004F31A1">
      <w:pPr>
        <w:spacing w:line="360" w:lineRule="auto"/>
        <w:jc w:val="both"/>
        <w:rPr>
          <w:rFonts w:ascii="Arial" w:eastAsia="Arial" w:hAnsi="Arial" w:cs="Arial"/>
          <w:sz w:val="24"/>
          <w:szCs w:val="24"/>
        </w:rPr>
      </w:pPr>
      <w:r>
        <w:rPr>
          <w:rFonts w:ascii="Arial" w:eastAsia="Arial" w:hAnsi="Arial" w:cs="Arial"/>
          <w:sz w:val="24"/>
          <w:szCs w:val="24"/>
        </w:rPr>
        <w:t xml:space="preserve">Given this action plan, I would like to improve strategic reasoning, research </w:t>
      </w:r>
      <w:r w:rsidR="00C102B9">
        <w:rPr>
          <w:rFonts w:ascii="Arial" w:eastAsia="Arial" w:hAnsi="Arial" w:cs="Arial"/>
          <w:sz w:val="24"/>
          <w:szCs w:val="24"/>
        </w:rPr>
        <w:t>rigor</w:t>
      </w:r>
      <w:r>
        <w:rPr>
          <w:rFonts w:ascii="Arial" w:eastAsia="Arial" w:hAnsi="Arial" w:cs="Arial"/>
          <w:sz w:val="24"/>
          <w:szCs w:val="24"/>
        </w:rPr>
        <w:t xml:space="preserve"> and reflective capability </w:t>
      </w:r>
      <w:r w:rsidR="002D539E">
        <w:rPr>
          <w:rFonts w:ascii="Arial" w:eastAsia="Arial" w:hAnsi="Arial" w:cs="Arial"/>
          <w:sz w:val="24"/>
          <w:szCs w:val="24"/>
        </w:rPr>
        <w:t>to</w:t>
      </w:r>
      <w:r>
        <w:rPr>
          <w:rFonts w:ascii="Arial" w:eastAsia="Arial" w:hAnsi="Arial" w:cs="Arial"/>
          <w:sz w:val="24"/>
          <w:szCs w:val="24"/>
        </w:rPr>
        <w:t xml:space="preserve"> be prepared to undertake future </w:t>
      </w:r>
      <w:r w:rsidR="00C102B9">
        <w:rPr>
          <w:rFonts w:ascii="Arial" w:eastAsia="Arial" w:hAnsi="Arial" w:cs="Arial"/>
          <w:sz w:val="24"/>
          <w:szCs w:val="24"/>
        </w:rPr>
        <w:t>organizational</w:t>
      </w:r>
      <w:r>
        <w:rPr>
          <w:rFonts w:ascii="Arial" w:eastAsia="Arial" w:hAnsi="Arial" w:cs="Arial"/>
          <w:sz w:val="24"/>
          <w:szCs w:val="24"/>
        </w:rPr>
        <w:t xml:space="preserve"> analysis tasks and leadership issues in strategic management settings.</w:t>
      </w:r>
    </w:p>
    <w:p w14:paraId="1FEFB233" w14:textId="77777777" w:rsidR="002D7E2F" w:rsidRDefault="002D7E2F">
      <w:pPr>
        <w:spacing w:line="360" w:lineRule="auto"/>
        <w:jc w:val="both"/>
        <w:rPr>
          <w:rFonts w:ascii="Arial" w:eastAsia="Arial" w:hAnsi="Arial" w:cs="Arial"/>
          <w:sz w:val="24"/>
          <w:szCs w:val="24"/>
        </w:rPr>
      </w:pPr>
    </w:p>
    <w:p w14:paraId="499404C6" w14:textId="77777777" w:rsidR="002D7E2F" w:rsidRDefault="002D7E2F">
      <w:pPr>
        <w:spacing w:line="360" w:lineRule="auto"/>
        <w:jc w:val="both"/>
        <w:rPr>
          <w:rFonts w:ascii="Arial" w:eastAsia="Arial" w:hAnsi="Arial" w:cs="Arial"/>
          <w:sz w:val="24"/>
          <w:szCs w:val="24"/>
        </w:rPr>
      </w:pPr>
    </w:p>
    <w:p w14:paraId="4E880D40" w14:textId="77777777" w:rsidR="002D7E2F" w:rsidRDefault="002D7E2F">
      <w:pPr>
        <w:spacing w:line="360" w:lineRule="auto"/>
        <w:jc w:val="both"/>
        <w:rPr>
          <w:rFonts w:ascii="Arial" w:eastAsia="Arial" w:hAnsi="Arial" w:cs="Arial"/>
          <w:sz w:val="24"/>
          <w:szCs w:val="24"/>
        </w:rPr>
      </w:pPr>
    </w:p>
    <w:p w14:paraId="54712A9D" w14:textId="77777777" w:rsidR="002D7E2F" w:rsidRDefault="002D7E2F">
      <w:pPr>
        <w:spacing w:line="360" w:lineRule="auto"/>
        <w:jc w:val="both"/>
        <w:rPr>
          <w:rFonts w:ascii="Arial" w:eastAsia="Arial" w:hAnsi="Arial" w:cs="Arial"/>
          <w:sz w:val="24"/>
          <w:szCs w:val="24"/>
        </w:rPr>
      </w:pPr>
    </w:p>
    <w:p w14:paraId="147CA520" w14:textId="77777777" w:rsidR="002D7E2F" w:rsidRDefault="002D7E2F">
      <w:pPr>
        <w:spacing w:line="360" w:lineRule="auto"/>
        <w:jc w:val="both"/>
        <w:rPr>
          <w:rFonts w:ascii="Arial" w:eastAsia="Arial" w:hAnsi="Arial" w:cs="Arial"/>
          <w:sz w:val="24"/>
          <w:szCs w:val="24"/>
        </w:rPr>
      </w:pPr>
    </w:p>
    <w:p w14:paraId="0CD7792C" w14:textId="77777777" w:rsidR="002D7E2F" w:rsidRDefault="002D7E2F">
      <w:pPr>
        <w:spacing w:line="360" w:lineRule="auto"/>
        <w:jc w:val="both"/>
        <w:rPr>
          <w:rFonts w:ascii="Arial" w:eastAsia="Arial" w:hAnsi="Arial" w:cs="Arial"/>
          <w:sz w:val="24"/>
          <w:szCs w:val="24"/>
        </w:rPr>
      </w:pPr>
    </w:p>
    <w:p w14:paraId="41503778" w14:textId="77777777" w:rsidR="002D7E2F" w:rsidRDefault="002D7E2F">
      <w:pPr>
        <w:spacing w:line="360" w:lineRule="auto"/>
        <w:jc w:val="both"/>
        <w:rPr>
          <w:rFonts w:ascii="Arial" w:eastAsia="Arial" w:hAnsi="Arial" w:cs="Arial"/>
          <w:sz w:val="24"/>
          <w:szCs w:val="24"/>
        </w:rPr>
      </w:pPr>
    </w:p>
    <w:p w14:paraId="3D6CD00F" w14:textId="77777777" w:rsidR="002D7E2F" w:rsidRDefault="002D7E2F">
      <w:pPr>
        <w:spacing w:line="360" w:lineRule="auto"/>
        <w:jc w:val="both"/>
        <w:rPr>
          <w:rFonts w:ascii="Arial" w:eastAsia="Arial" w:hAnsi="Arial" w:cs="Arial"/>
          <w:sz w:val="24"/>
          <w:szCs w:val="24"/>
        </w:rPr>
      </w:pPr>
    </w:p>
    <w:p w14:paraId="1276A4A5" w14:textId="77777777" w:rsidR="002D7E2F" w:rsidRDefault="002D7E2F">
      <w:pPr>
        <w:spacing w:line="360" w:lineRule="auto"/>
        <w:jc w:val="both"/>
        <w:rPr>
          <w:rFonts w:ascii="Arial" w:eastAsia="Arial" w:hAnsi="Arial" w:cs="Arial"/>
          <w:sz w:val="24"/>
          <w:szCs w:val="24"/>
        </w:rPr>
      </w:pPr>
    </w:p>
    <w:p w14:paraId="6C971592" w14:textId="77777777" w:rsidR="002D7E2F" w:rsidRDefault="002D7E2F">
      <w:pPr>
        <w:spacing w:line="360" w:lineRule="auto"/>
        <w:jc w:val="both"/>
        <w:rPr>
          <w:rFonts w:ascii="Arial" w:eastAsia="Arial" w:hAnsi="Arial" w:cs="Arial"/>
          <w:sz w:val="24"/>
          <w:szCs w:val="24"/>
        </w:rPr>
      </w:pPr>
    </w:p>
    <w:p w14:paraId="7B2374C0" w14:textId="77777777" w:rsidR="002D7E2F" w:rsidRDefault="002D7E2F">
      <w:pPr>
        <w:spacing w:line="360" w:lineRule="auto"/>
        <w:jc w:val="both"/>
        <w:rPr>
          <w:rFonts w:ascii="Arial" w:eastAsia="Arial" w:hAnsi="Arial" w:cs="Arial"/>
          <w:sz w:val="24"/>
          <w:szCs w:val="24"/>
        </w:rPr>
      </w:pPr>
    </w:p>
    <w:p w14:paraId="1A42ED8D" w14:textId="77777777" w:rsidR="002D7E2F" w:rsidRDefault="002D7E2F">
      <w:pPr>
        <w:spacing w:line="360" w:lineRule="auto"/>
        <w:jc w:val="both"/>
        <w:rPr>
          <w:rFonts w:ascii="Arial" w:eastAsia="Arial" w:hAnsi="Arial" w:cs="Arial"/>
          <w:sz w:val="24"/>
          <w:szCs w:val="24"/>
        </w:rPr>
      </w:pPr>
    </w:p>
    <w:p w14:paraId="14A0012F" w14:textId="77777777" w:rsidR="002D7E2F" w:rsidRDefault="004F31A1" w:rsidP="00872596">
      <w:pPr>
        <w:pStyle w:val="Heading1"/>
        <w:spacing w:after="240"/>
      </w:pPr>
      <w:bookmarkStart w:id="41" w:name="_Toc225521841"/>
      <w:r>
        <w:lastRenderedPageBreak/>
        <w:t>References</w:t>
      </w:r>
      <w:bookmarkEnd w:id="41"/>
    </w:p>
    <w:p w14:paraId="595A1C13" w14:textId="77777777" w:rsidR="002D7E2F" w:rsidRDefault="004F31A1" w:rsidP="00872596">
      <w:pPr>
        <w:numPr>
          <w:ilvl w:val="0"/>
          <w:numId w:val="14"/>
        </w:numPr>
        <w:pBdr>
          <w:top w:val="nil"/>
          <w:left w:val="nil"/>
          <w:bottom w:val="nil"/>
          <w:right w:val="nil"/>
          <w:between w:val="nil"/>
        </w:pBdr>
        <w:spacing w:after="24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Tesco plc. (2024) Annual Report and Financial Statements 2023/24. London: Tesco plc. Available at: </w:t>
      </w:r>
      <w:hyperlink r:id="rId16">
        <w:r>
          <w:rPr>
            <w:rFonts w:ascii="Arial" w:eastAsia="Arial" w:hAnsi="Arial" w:cs="Arial"/>
            <w:color w:val="0563C1"/>
            <w:sz w:val="24"/>
            <w:szCs w:val="24"/>
            <w:u w:val="single"/>
          </w:rPr>
          <w:t>https://www.tescoplc.com/media/u1wlq2qf/tesco-plc-annual-report-2023.pdf</w:t>
        </w:r>
      </w:hyperlink>
      <w:r>
        <w:rPr>
          <w:rFonts w:ascii="Arial" w:eastAsia="Arial" w:hAnsi="Arial" w:cs="Arial"/>
          <w:color w:val="000000"/>
          <w:sz w:val="24"/>
          <w:szCs w:val="24"/>
        </w:rPr>
        <w:t xml:space="preserve">   (Accessed: 18 February 2026).</w:t>
      </w:r>
    </w:p>
    <w:p w14:paraId="70F3E0FD"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Deloitte. (2023) Retail Insights: Data Analytics in UK Grocery Sector. London: Deloitte. </w:t>
      </w:r>
    </w:p>
    <w:p w14:paraId="570B2CD0"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Mintel. (2024) Grocery Retailing in the UK – Market Report. London: Mintel. </w:t>
      </w:r>
    </w:p>
    <w:p w14:paraId="62C31EC6"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Euromonitor International. (2024) UK Grocery Retailing Market Analysis. London: Euromonitor. Available at: </w:t>
      </w:r>
      <w:hyperlink r:id="rId17">
        <w:r>
          <w:rPr>
            <w:rFonts w:ascii="Arial" w:eastAsia="Arial" w:hAnsi="Arial" w:cs="Arial"/>
            <w:color w:val="0563C1"/>
            <w:sz w:val="24"/>
            <w:szCs w:val="24"/>
            <w:u w:val="single"/>
          </w:rPr>
          <w:t>https://lp.euromonitor.com/supermarkets-in-the-united-kingdom/report</w:t>
        </w:r>
      </w:hyperlink>
      <w:r>
        <w:rPr>
          <w:rFonts w:ascii="Arial" w:eastAsia="Arial" w:hAnsi="Arial" w:cs="Arial"/>
          <w:color w:val="000000"/>
          <w:sz w:val="24"/>
          <w:szCs w:val="24"/>
        </w:rPr>
        <w:t xml:space="preserve">  (Accessed: 9 March 2026). </w:t>
      </w:r>
    </w:p>
    <w:p w14:paraId="72806B64"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Brand Finance. (2024) Global Retail Brand Rankings 2024. London: Brand Finance. Available at: </w:t>
      </w:r>
      <w:hyperlink r:id="rId18">
        <w:r>
          <w:rPr>
            <w:rFonts w:ascii="Arial" w:eastAsia="Arial" w:hAnsi="Arial" w:cs="Arial"/>
            <w:color w:val="0563C1"/>
            <w:sz w:val="24"/>
            <w:szCs w:val="24"/>
            <w:u w:val="single"/>
          </w:rPr>
          <w:t>https://static.brandirectory.com/reports/brand-finance-retail-100-2024-preview.pdf?utm_source=chatgpt.com</w:t>
        </w:r>
      </w:hyperlink>
      <w:r>
        <w:rPr>
          <w:rFonts w:ascii="Arial" w:eastAsia="Arial" w:hAnsi="Arial" w:cs="Arial"/>
          <w:color w:val="000000"/>
          <w:sz w:val="24"/>
          <w:szCs w:val="24"/>
        </w:rPr>
        <w:t xml:space="preserve">  (Accessed: 18 February 2026).</w:t>
      </w:r>
    </w:p>
    <w:p w14:paraId="43A4D6E3"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UK Parliament. (2021) Brexit Impacts on UK Food Supply Chains. London: UK Parliament. Available at: </w:t>
      </w:r>
      <w:hyperlink r:id="rId19">
        <w:r>
          <w:rPr>
            <w:rFonts w:ascii="Arial" w:eastAsia="Arial" w:hAnsi="Arial" w:cs="Arial"/>
            <w:color w:val="0563C1"/>
            <w:sz w:val="24"/>
            <w:szCs w:val="24"/>
            <w:u w:val="single"/>
          </w:rPr>
          <w:t>https://www.parliament.uk/business/committees/committees-a-z/</w:t>
        </w:r>
      </w:hyperlink>
      <w:r>
        <w:rPr>
          <w:rFonts w:ascii="Arial" w:eastAsia="Arial" w:hAnsi="Arial" w:cs="Arial"/>
          <w:color w:val="000000"/>
          <w:sz w:val="24"/>
          <w:szCs w:val="24"/>
        </w:rPr>
        <w:t xml:space="preserve">  (Accessed: 18 February 2026).</w:t>
      </w:r>
    </w:p>
    <w:p w14:paraId="25D48A2C"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Competition and Markets Authority (CMA). (2023) Supermarkets Market Investigation: Retailer Conduct. London: CMA. Available at: </w:t>
      </w:r>
      <w:hyperlink r:id="rId20">
        <w:r>
          <w:rPr>
            <w:rFonts w:ascii="Arial" w:eastAsia="Arial" w:hAnsi="Arial" w:cs="Arial"/>
            <w:color w:val="0563C1"/>
            <w:sz w:val="24"/>
            <w:szCs w:val="24"/>
            <w:u w:val="single"/>
          </w:rPr>
          <w:t>https://www.gov.uk/government/publications/competition-and-profitability-in-the-groceries-sector?utm_source=chatgpt.com</w:t>
        </w:r>
      </w:hyperlink>
      <w:r>
        <w:rPr>
          <w:rFonts w:ascii="Arial" w:eastAsia="Arial" w:hAnsi="Arial" w:cs="Arial"/>
          <w:color w:val="000000"/>
          <w:sz w:val="24"/>
          <w:szCs w:val="24"/>
        </w:rPr>
        <w:t xml:space="preserve"> </w:t>
      </w:r>
      <w:r>
        <w:rPr>
          <w:color w:val="000000"/>
          <w:sz w:val="24"/>
          <w:szCs w:val="24"/>
        </w:rPr>
        <w:t xml:space="preserve">  </w:t>
      </w:r>
      <w:r>
        <w:rPr>
          <w:rFonts w:ascii="Arial" w:eastAsia="Arial" w:hAnsi="Arial" w:cs="Arial"/>
          <w:color w:val="000000"/>
          <w:sz w:val="24"/>
          <w:szCs w:val="24"/>
        </w:rPr>
        <w:t>(Accessed: 18 February 2026).</w:t>
      </w:r>
    </w:p>
    <w:p w14:paraId="65C58D4D" w14:textId="3232E565"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CIPD. (2024) </w:t>
      </w:r>
      <w:r w:rsidR="002D539E">
        <w:rPr>
          <w:rFonts w:ascii="Arial" w:eastAsia="Arial" w:hAnsi="Arial" w:cs="Arial"/>
          <w:color w:val="000000"/>
          <w:sz w:val="24"/>
          <w:szCs w:val="24"/>
        </w:rPr>
        <w:t>Labor</w:t>
      </w:r>
      <w:r>
        <w:rPr>
          <w:rFonts w:ascii="Arial" w:eastAsia="Arial" w:hAnsi="Arial" w:cs="Arial"/>
          <w:color w:val="000000"/>
          <w:sz w:val="24"/>
          <w:szCs w:val="24"/>
        </w:rPr>
        <w:t xml:space="preserve"> Market and Employee Regulation in UK Retail. London: Chartered Institute of Personnel and Development. Available at: </w:t>
      </w:r>
      <w:hyperlink r:id="rId21">
        <w:r>
          <w:rPr>
            <w:rFonts w:ascii="Arial" w:eastAsia="Arial" w:hAnsi="Arial" w:cs="Arial"/>
            <w:color w:val="0563C1"/>
            <w:sz w:val="24"/>
            <w:szCs w:val="24"/>
            <w:u w:val="single"/>
          </w:rPr>
          <w:t>https://www.cipd.co.uk/knowledge/fundamentals/emp-law</w:t>
        </w:r>
      </w:hyperlink>
      <w:r>
        <w:rPr>
          <w:rFonts w:ascii="Arial" w:eastAsia="Arial" w:hAnsi="Arial" w:cs="Arial"/>
          <w:color w:val="000000"/>
          <w:sz w:val="24"/>
          <w:szCs w:val="24"/>
        </w:rPr>
        <w:t xml:space="preserve">  (Accessed: 18 February 2026). </w:t>
      </w:r>
    </w:p>
    <w:p w14:paraId="66CAC293"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Tesco plc. (2023) Sustainability &amp; Corporate Responsibility Report 2023. London: Tesco plc. Available at: </w:t>
      </w:r>
      <w:hyperlink r:id="rId22">
        <w:r>
          <w:rPr>
            <w:rFonts w:ascii="Arial" w:eastAsia="Arial" w:hAnsi="Arial" w:cs="Arial"/>
            <w:color w:val="0563C1"/>
            <w:sz w:val="24"/>
            <w:szCs w:val="24"/>
            <w:u w:val="single"/>
          </w:rPr>
          <w:t>https://www.responsibilityreports.com/Company/tesco-plc</w:t>
        </w:r>
      </w:hyperlink>
      <w:r>
        <w:rPr>
          <w:rFonts w:ascii="Arial" w:eastAsia="Arial" w:hAnsi="Arial" w:cs="Arial"/>
          <w:color w:val="000000"/>
          <w:sz w:val="24"/>
          <w:szCs w:val="24"/>
        </w:rPr>
        <w:t xml:space="preserve">? </w:t>
      </w:r>
    </w:p>
    <w:p w14:paraId="0B97680F"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MatrixBCG</w:t>
      </w:r>
      <w:proofErr w:type="spellEnd"/>
      <w:r>
        <w:rPr>
          <w:rFonts w:ascii="Arial" w:eastAsia="Arial" w:hAnsi="Arial" w:cs="Arial"/>
          <w:color w:val="000000"/>
          <w:sz w:val="24"/>
          <w:szCs w:val="24"/>
        </w:rPr>
        <w:t xml:space="preserve">. (2025) Tesco Strategic Review 2025. London: </w:t>
      </w:r>
      <w:proofErr w:type="spellStart"/>
      <w:r>
        <w:rPr>
          <w:rFonts w:ascii="Arial" w:eastAsia="Arial" w:hAnsi="Arial" w:cs="Arial"/>
          <w:color w:val="000000"/>
          <w:sz w:val="24"/>
          <w:szCs w:val="24"/>
        </w:rPr>
        <w:t>MatrixBCG</w:t>
      </w:r>
      <w:proofErr w:type="spellEnd"/>
      <w:r>
        <w:rPr>
          <w:rFonts w:ascii="Arial" w:eastAsia="Arial" w:hAnsi="Arial" w:cs="Arial"/>
          <w:color w:val="000000"/>
          <w:sz w:val="24"/>
          <w:szCs w:val="24"/>
        </w:rPr>
        <w:t xml:space="preserve">. Available at: </w:t>
      </w:r>
      <w:hyperlink r:id="rId23">
        <w:r>
          <w:rPr>
            <w:rFonts w:ascii="Arial" w:eastAsia="Arial" w:hAnsi="Arial" w:cs="Arial"/>
            <w:color w:val="0563C1"/>
            <w:sz w:val="24"/>
            <w:szCs w:val="24"/>
            <w:u w:val="single"/>
          </w:rPr>
          <w:t>https://matrixbcg.com/products/tescoplc-pestle-analysis</w:t>
        </w:r>
      </w:hyperlink>
      <w:r>
        <w:rPr>
          <w:rFonts w:ascii="Arial" w:eastAsia="Arial" w:hAnsi="Arial" w:cs="Arial"/>
          <w:color w:val="000000"/>
          <w:sz w:val="24"/>
          <w:szCs w:val="24"/>
        </w:rPr>
        <w:t xml:space="preserve">? </w:t>
      </w:r>
    </w:p>
    <w:p w14:paraId="4A7FB515"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Pestel-analysis.com. (2025) Tesco PESTEL Analysis. Available at: </w:t>
      </w:r>
      <w:hyperlink r:id="rId24">
        <w:r>
          <w:rPr>
            <w:rFonts w:ascii="Arial" w:eastAsia="Arial" w:hAnsi="Arial" w:cs="Arial"/>
            <w:color w:val="0563C1"/>
            <w:sz w:val="24"/>
            <w:szCs w:val="24"/>
            <w:u w:val="single"/>
          </w:rPr>
          <w:t>https://pestel-analysis.com/products/tescoplc-pestle-analysis</w:t>
        </w:r>
      </w:hyperlink>
      <w:r>
        <w:rPr>
          <w:rFonts w:ascii="Arial" w:eastAsia="Arial" w:hAnsi="Arial" w:cs="Arial"/>
          <w:color w:val="000000"/>
          <w:sz w:val="24"/>
          <w:szCs w:val="24"/>
        </w:rPr>
        <w:t xml:space="preserve">? </w:t>
      </w:r>
    </w:p>
    <w:p w14:paraId="2052B1DC"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McKinsey &amp; Company. (2022) Digital Transformation in UK Grocery Retail. London: McKinsey. </w:t>
      </w:r>
    </w:p>
    <w:p w14:paraId="1F7E067D"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Reveal Intelligence. (2025) Tesco Clubcard and Customer Analytics. London: Reveal Intelligence. Available at: </w:t>
      </w:r>
      <w:hyperlink r:id="rId25">
        <w:r>
          <w:rPr>
            <w:rFonts w:ascii="Arial" w:eastAsia="Arial" w:hAnsi="Arial" w:cs="Arial"/>
            <w:color w:val="0563C1"/>
            <w:sz w:val="24"/>
            <w:szCs w:val="24"/>
            <w:u w:val="single"/>
          </w:rPr>
          <w:t>https://www.revealintelligence.com/di-e28be759-b2b1-4ea8-aa19-37d5a5ebf8c1/</w:t>
        </w:r>
      </w:hyperlink>
      <w:r>
        <w:rPr>
          <w:rFonts w:ascii="Arial" w:eastAsia="Arial" w:hAnsi="Arial" w:cs="Arial"/>
          <w:color w:val="000000"/>
          <w:sz w:val="24"/>
          <w:szCs w:val="24"/>
        </w:rPr>
        <w:t xml:space="preserve"> </w:t>
      </w:r>
    </w:p>
    <w:p w14:paraId="40CB9A6A"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Reuters. (2025) UK Grocery Market Share and Competitor Analysis. London: Reuters Business News. </w:t>
      </w:r>
    </w:p>
    <w:p w14:paraId="5DEFA667"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Tesco plc. (2025) Annual Report and Financial Statements 2024/25. London: Tesco plc. Available at: </w:t>
      </w:r>
      <w:hyperlink r:id="rId26">
        <w:r>
          <w:rPr>
            <w:rFonts w:ascii="Arial" w:eastAsia="Arial" w:hAnsi="Arial" w:cs="Arial"/>
            <w:color w:val="0563C1"/>
            <w:sz w:val="24"/>
            <w:szCs w:val="24"/>
            <w:u w:val="single"/>
          </w:rPr>
          <w:t>https://www.tescoplc.com/media/ky0bfwpo/tesco_ar25_interactive.pdf</w:t>
        </w:r>
      </w:hyperlink>
      <w:r>
        <w:rPr>
          <w:rFonts w:ascii="Arial" w:eastAsia="Arial" w:hAnsi="Arial" w:cs="Arial"/>
          <w:color w:val="000000"/>
          <w:sz w:val="24"/>
          <w:szCs w:val="24"/>
        </w:rPr>
        <w:t xml:space="preserve"> </w:t>
      </w:r>
    </w:p>
    <w:p w14:paraId="4DCFABB6"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Tesco plc. (2024) Corporate Responsibility and Sustainability Report 2023/24. London: Tesco plc. Available at: </w:t>
      </w:r>
      <w:hyperlink r:id="rId27">
        <w:r>
          <w:rPr>
            <w:rFonts w:ascii="Arial" w:eastAsia="Arial" w:hAnsi="Arial" w:cs="Arial"/>
            <w:color w:val="0563C1"/>
            <w:sz w:val="24"/>
            <w:szCs w:val="24"/>
            <w:u w:val="single"/>
          </w:rPr>
          <w:t>https://www.responsibilityreports.com/Company/tesco-plc</w:t>
        </w:r>
      </w:hyperlink>
      <w:r>
        <w:rPr>
          <w:rFonts w:ascii="Arial" w:eastAsia="Arial" w:hAnsi="Arial" w:cs="Arial"/>
          <w:color w:val="000000"/>
          <w:sz w:val="24"/>
          <w:szCs w:val="24"/>
        </w:rPr>
        <w:t xml:space="preserve"> </w:t>
      </w:r>
    </w:p>
    <w:p w14:paraId="32FB4D58"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Mintel. (2024) Grocery Retailing in the UK. London: Mintel. </w:t>
      </w:r>
    </w:p>
    <w:p w14:paraId="6DD2F5D8"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Euromonitor International. (2024) Supermarkets in the United Kingdom. London: Euromonitor. Available at: </w:t>
      </w:r>
      <w:hyperlink r:id="rId28">
        <w:r>
          <w:rPr>
            <w:rFonts w:ascii="Arial" w:eastAsia="Arial" w:hAnsi="Arial" w:cs="Arial"/>
            <w:color w:val="0563C1"/>
            <w:sz w:val="24"/>
            <w:szCs w:val="24"/>
            <w:u w:val="single"/>
          </w:rPr>
          <w:t>https://www.euromonitor.com/supermarkets-in-the-united-kingdom/report</w:t>
        </w:r>
      </w:hyperlink>
      <w:r>
        <w:rPr>
          <w:rFonts w:ascii="Arial" w:eastAsia="Arial" w:hAnsi="Arial" w:cs="Arial"/>
          <w:color w:val="000000"/>
          <w:sz w:val="24"/>
          <w:szCs w:val="24"/>
        </w:rPr>
        <w:t xml:space="preserve"> </w:t>
      </w:r>
    </w:p>
    <w:p w14:paraId="512E473E"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Brand Finance. (2024) Brand Strength Index: Tesco. London: Brand Finance. Available at: </w:t>
      </w:r>
      <w:hyperlink r:id="rId29">
        <w:r>
          <w:rPr>
            <w:rFonts w:ascii="Arial" w:eastAsia="Arial" w:hAnsi="Arial" w:cs="Arial"/>
            <w:color w:val="0563C1"/>
            <w:sz w:val="24"/>
            <w:szCs w:val="24"/>
            <w:u w:val="single"/>
          </w:rPr>
          <w:t>https://brandfinance.com/insights/global-500-2024-report?utm_source=chatgpt.com</w:t>
        </w:r>
      </w:hyperlink>
      <w:r>
        <w:rPr>
          <w:rFonts w:ascii="Arial" w:eastAsia="Arial" w:hAnsi="Arial" w:cs="Arial"/>
          <w:color w:val="000000"/>
          <w:sz w:val="24"/>
          <w:szCs w:val="24"/>
        </w:rPr>
        <w:t xml:space="preserve"> </w:t>
      </w:r>
    </w:p>
    <w:p w14:paraId="77700563"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UK Competition and Markets Authority (CMA). (2023) Grocery Market Review. London: CMA. Available at:</w:t>
      </w:r>
      <w:r>
        <w:rPr>
          <w:color w:val="000000"/>
        </w:rPr>
        <w:t xml:space="preserve"> </w:t>
      </w:r>
      <w:hyperlink r:id="rId30">
        <w:r>
          <w:rPr>
            <w:rFonts w:ascii="Arial" w:eastAsia="Arial" w:hAnsi="Arial" w:cs="Arial"/>
            <w:color w:val="0563C1"/>
            <w:sz w:val="24"/>
            <w:szCs w:val="24"/>
            <w:u w:val="single"/>
          </w:rPr>
          <w:t>https://www.gov.uk/cma-cases/unit-pricing</w:t>
        </w:r>
      </w:hyperlink>
      <w:r>
        <w:rPr>
          <w:rFonts w:ascii="Arial" w:eastAsia="Arial" w:hAnsi="Arial" w:cs="Arial"/>
          <w:color w:val="000000"/>
          <w:sz w:val="24"/>
          <w:szCs w:val="24"/>
        </w:rPr>
        <w:t xml:space="preserve">?  </w:t>
      </w:r>
    </w:p>
    <w:p w14:paraId="1F8BAE70"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Deloitte. (2023) Digital Transformation and Data Analytics in Retail. London: Deloitte. Available at </w:t>
      </w:r>
      <w:hyperlink r:id="rId31">
        <w:r>
          <w:rPr>
            <w:rFonts w:ascii="Arial" w:eastAsia="Arial" w:hAnsi="Arial" w:cs="Arial"/>
            <w:color w:val="0563C1"/>
            <w:sz w:val="24"/>
            <w:szCs w:val="24"/>
            <w:u w:val="single"/>
          </w:rPr>
          <w:t>https://www.deloitte.com/us/en/insights/topics/digital-transformation.html</w:t>
        </w:r>
      </w:hyperlink>
      <w:r>
        <w:rPr>
          <w:rFonts w:ascii="Arial" w:eastAsia="Arial" w:hAnsi="Arial" w:cs="Arial"/>
          <w:color w:val="000000"/>
          <w:sz w:val="24"/>
          <w:szCs w:val="24"/>
        </w:rPr>
        <w:t xml:space="preserve"> </w:t>
      </w:r>
    </w:p>
    <w:p w14:paraId="4CAFC1BF"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Office for National Statistics (ONS). (2023) UK Consumer Price Inflation, Retail Trends and Market Dynamics. London: ONS. Available at: </w:t>
      </w:r>
      <w:hyperlink r:id="rId32">
        <w:r>
          <w:rPr>
            <w:rFonts w:ascii="Arial" w:eastAsia="Arial" w:hAnsi="Arial" w:cs="Arial"/>
            <w:color w:val="0563C1"/>
            <w:sz w:val="24"/>
            <w:szCs w:val="24"/>
            <w:u w:val="single"/>
          </w:rPr>
          <w:t>https://www.ons.gov.uk/economy/inflationandpriceindices</w:t>
        </w:r>
      </w:hyperlink>
      <w:r>
        <w:rPr>
          <w:rFonts w:ascii="Arial" w:eastAsia="Arial" w:hAnsi="Arial" w:cs="Arial"/>
          <w:color w:val="000000"/>
          <w:sz w:val="24"/>
          <w:szCs w:val="24"/>
        </w:rPr>
        <w:t xml:space="preserve"> </w:t>
      </w:r>
    </w:p>
    <w:p w14:paraId="0DA8AC09" w14:textId="77777777" w:rsidR="002D7E2F" w:rsidRDefault="004F31A1">
      <w:pPr>
        <w:numPr>
          <w:ilvl w:val="0"/>
          <w:numId w:val="14"/>
        </w:numPr>
        <w:pBdr>
          <w:top w:val="nil"/>
          <w:left w:val="nil"/>
          <w:bottom w:val="nil"/>
          <w:right w:val="nil"/>
          <w:between w:val="nil"/>
        </w:pBdr>
        <w:spacing w:after="0"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WRAP. (2023) Food Waste Reduction Strategies in Retail. Banbury: WRAP. </w:t>
      </w:r>
    </w:p>
    <w:p w14:paraId="1ADC7B1C" w14:textId="77777777" w:rsidR="002D7E2F" w:rsidRDefault="004F31A1">
      <w:pPr>
        <w:numPr>
          <w:ilvl w:val="0"/>
          <w:numId w:val="14"/>
        </w:num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CIPD. (2024) Workforce Development and Skills in UK Retail. London: Chartered Institute of Personnel and Development. </w:t>
      </w:r>
    </w:p>
    <w:p w14:paraId="176BB099" w14:textId="77777777" w:rsidR="002D7E2F" w:rsidRDefault="002D7E2F">
      <w:pPr>
        <w:spacing w:line="360" w:lineRule="auto"/>
        <w:jc w:val="both"/>
        <w:rPr>
          <w:rFonts w:ascii="Arial" w:eastAsia="Arial" w:hAnsi="Arial" w:cs="Arial"/>
          <w:sz w:val="24"/>
          <w:szCs w:val="24"/>
        </w:rPr>
      </w:pPr>
    </w:p>
    <w:p w14:paraId="1962A5BE" w14:textId="77777777" w:rsidR="002D7E2F" w:rsidRDefault="002D7E2F">
      <w:pPr>
        <w:spacing w:after="0" w:line="240" w:lineRule="auto"/>
        <w:rPr>
          <w:rFonts w:ascii="Times New Roman" w:eastAsia="Times New Roman" w:hAnsi="Times New Roman" w:cs="Times New Roman"/>
          <w:sz w:val="24"/>
          <w:szCs w:val="24"/>
        </w:rPr>
      </w:pPr>
    </w:p>
    <w:p w14:paraId="787D1A6D" w14:textId="77777777" w:rsidR="002D7E2F" w:rsidRDefault="002D7E2F">
      <w:pPr>
        <w:spacing w:after="0" w:line="240" w:lineRule="auto"/>
        <w:rPr>
          <w:rFonts w:ascii="Times New Roman" w:eastAsia="Times New Roman" w:hAnsi="Times New Roman" w:cs="Times New Roman"/>
          <w:sz w:val="24"/>
          <w:szCs w:val="24"/>
        </w:rPr>
      </w:pPr>
    </w:p>
    <w:p w14:paraId="726BAE79" w14:textId="77777777" w:rsidR="002D7E2F" w:rsidRDefault="002D7E2F">
      <w:pPr>
        <w:spacing w:before="280" w:line="360" w:lineRule="auto"/>
        <w:jc w:val="both"/>
        <w:rPr>
          <w:rFonts w:ascii="Arial" w:eastAsia="Arial" w:hAnsi="Arial" w:cs="Arial"/>
          <w:sz w:val="24"/>
          <w:szCs w:val="24"/>
        </w:rPr>
      </w:pPr>
    </w:p>
    <w:sectPr w:rsidR="002D7E2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6CD04" w14:textId="77777777" w:rsidR="00B549F1" w:rsidRDefault="00B549F1">
      <w:pPr>
        <w:spacing w:after="0" w:line="240" w:lineRule="auto"/>
      </w:pPr>
      <w:r>
        <w:separator/>
      </w:r>
    </w:p>
  </w:endnote>
  <w:endnote w:type="continuationSeparator" w:id="0">
    <w:p w14:paraId="1B2DC3AE" w14:textId="77777777" w:rsidR="00B549F1" w:rsidRDefault="00B54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30DF2A63-1042-488C-9428-052F64F96523}"/>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D7162121-1658-4884-9317-75BC12F4A64B}"/>
    <w:embedBold r:id="rId3" w:fontKey="{3A2EBE5B-C1F7-4C12-8A5D-9232C11A198E}"/>
    <w:embedItalic r:id="rId4" w:fontKey="{1829B37B-12C7-4EF0-9E1D-6C99F8F6B6F8}"/>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5" w:fontKey="{11D06C5B-1C03-4514-BADC-0E27272B1158}"/>
  </w:font>
  <w:font w:name="Tahoma">
    <w:panose1 w:val="020B0604030504040204"/>
    <w:charset w:val="00"/>
    <w:family w:val="swiss"/>
    <w:pitch w:val="variable"/>
    <w:sig w:usb0="E1002EFF" w:usb1="C000605B" w:usb2="00000029" w:usb3="00000000" w:csb0="000101FF" w:csb1="00000000"/>
    <w:embedRegular r:id="rId6" w:fontKey="{E1B60EE9-0F8F-4D0D-A733-85239E3C8DE8}"/>
  </w:font>
  <w:font w:name="Vrinda">
    <w:panose1 w:val="020B0502040204020203"/>
    <w:charset w:val="00"/>
    <w:family w:val="swiss"/>
    <w:pitch w:val="variable"/>
    <w:sig w:usb0="00010003" w:usb1="00000000" w:usb2="00000000" w:usb3="00000000" w:csb0="00000001" w:csb1="00000000"/>
    <w:embedRegular r:id="rId7" w:fontKey="{A39E68E5-02C6-41D1-A8E7-F86ECF94FACB}"/>
  </w:font>
  <w:font w:name="Cambria">
    <w:panose1 w:val="02040503050406030204"/>
    <w:charset w:val="00"/>
    <w:family w:val="roman"/>
    <w:pitch w:val="variable"/>
    <w:sig w:usb0="E00006FF" w:usb1="420024FF" w:usb2="02000000" w:usb3="00000000" w:csb0="0000019F" w:csb1="00000000"/>
    <w:embedRegular r:id="rId8" w:fontKey="{8C2DF489-68CF-4349-A14E-F59BE2535B6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0D8A0C" w14:textId="77777777" w:rsidR="002D7E2F" w:rsidRDefault="004F31A1">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0A3E3D">
      <w:rPr>
        <w:noProof/>
        <w:color w:val="000000"/>
      </w:rPr>
      <w:t>18</w:t>
    </w:r>
    <w:r>
      <w:rPr>
        <w:color w:val="000000"/>
      </w:rPr>
      <w:fldChar w:fldCharType="end"/>
    </w:r>
  </w:p>
  <w:p w14:paraId="6575BBD5" w14:textId="77777777" w:rsidR="002D7E2F" w:rsidRDefault="002D7E2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46BA0" w14:textId="77777777" w:rsidR="00B549F1" w:rsidRDefault="00B549F1">
      <w:pPr>
        <w:spacing w:after="0" w:line="240" w:lineRule="auto"/>
      </w:pPr>
      <w:r>
        <w:separator/>
      </w:r>
    </w:p>
  </w:footnote>
  <w:footnote w:type="continuationSeparator" w:id="0">
    <w:p w14:paraId="0C038C02" w14:textId="77777777" w:rsidR="00B549F1" w:rsidRDefault="00B549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46211"/>
    <w:multiLevelType w:val="multilevel"/>
    <w:tmpl w:val="028068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4C11E4C"/>
    <w:multiLevelType w:val="multilevel"/>
    <w:tmpl w:val="217041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FBC4CDB"/>
    <w:multiLevelType w:val="multilevel"/>
    <w:tmpl w:val="6AFA78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E1846F6"/>
    <w:multiLevelType w:val="multilevel"/>
    <w:tmpl w:val="20BC40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EA974A1"/>
    <w:multiLevelType w:val="multilevel"/>
    <w:tmpl w:val="1870F0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AD94760"/>
    <w:multiLevelType w:val="multilevel"/>
    <w:tmpl w:val="F8B4CD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1115E97"/>
    <w:multiLevelType w:val="multilevel"/>
    <w:tmpl w:val="263657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F4E19A2"/>
    <w:multiLevelType w:val="multilevel"/>
    <w:tmpl w:val="01E871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ACC0F07"/>
    <w:multiLevelType w:val="multilevel"/>
    <w:tmpl w:val="6C1CF3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40B37BA"/>
    <w:multiLevelType w:val="multilevel"/>
    <w:tmpl w:val="1D720B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930339E"/>
    <w:multiLevelType w:val="multilevel"/>
    <w:tmpl w:val="EBB8AE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16E50F4"/>
    <w:multiLevelType w:val="multilevel"/>
    <w:tmpl w:val="BC3AB3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1D839BF"/>
    <w:multiLevelType w:val="multilevel"/>
    <w:tmpl w:val="3EC2E2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C5A53EE"/>
    <w:multiLevelType w:val="multilevel"/>
    <w:tmpl w:val="33C0D3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48206528">
    <w:abstractNumId w:val="8"/>
  </w:num>
  <w:num w:numId="2" w16cid:durableId="1923710804">
    <w:abstractNumId w:val="12"/>
  </w:num>
  <w:num w:numId="3" w16cid:durableId="1782872330">
    <w:abstractNumId w:val="10"/>
  </w:num>
  <w:num w:numId="4" w16cid:durableId="975181936">
    <w:abstractNumId w:val="6"/>
  </w:num>
  <w:num w:numId="5" w16cid:durableId="1339649358">
    <w:abstractNumId w:val="13"/>
  </w:num>
  <w:num w:numId="6" w16cid:durableId="709039641">
    <w:abstractNumId w:val="5"/>
  </w:num>
  <w:num w:numId="7" w16cid:durableId="1340622477">
    <w:abstractNumId w:val="2"/>
  </w:num>
  <w:num w:numId="8" w16cid:durableId="1677461101">
    <w:abstractNumId w:val="9"/>
  </w:num>
  <w:num w:numId="9" w16cid:durableId="900671208">
    <w:abstractNumId w:val="3"/>
  </w:num>
  <w:num w:numId="10" w16cid:durableId="45376660">
    <w:abstractNumId w:val="4"/>
  </w:num>
  <w:num w:numId="11" w16cid:durableId="261383633">
    <w:abstractNumId w:val="7"/>
  </w:num>
  <w:num w:numId="12" w16cid:durableId="663360415">
    <w:abstractNumId w:val="0"/>
  </w:num>
  <w:num w:numId="13" w16cid:durableId="941766212">
    <w:abstractNumId w:val="11"/>
  </w:num>
  <w:num w:numId="14" w16cid:durableId="1338341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E2F"/>
    <w:rsid w:val="000A3E3D"/>
    <w:rsid w:val="00142D17"/>
    <w:rsid w:val="001443C3"/>
    <w:rsid w:val="001C3B82"/>
    <w:rsid w:val="00250998"/>
    <w:rsid w:val="002D539E"/>
    <w:rsid w:val="002D7E2F"/>
    <w:rsid w:val="002E60FA"/>
    <w:rsid w:val="00443788"/>
    <w:rsid w:val="004F31A1"/>
    <w:rsid w:val="006F5DAB"/>
    <w:rsid w:val="00732F0A"/>
    <w:rsid w:val="00756355"/>
    <w:rsid w:val="007E4078"/>
    <w:rsid w:val="00872596"/>
    <w:rsid w:val="008E1CB3"/>
    <w:rsid w:val="00924E0C"/>
    <w:rsid w:val="00B549F1"/>
    <w:rsid w:val="00B65DB3"/>
    <w:rsid w:val="00C056FD"/>
    <w:rsid w:val="00C102B9"/>
    <w:rsid w:val="00D917B0"/>
    <w:rsid w:val="00D96D0E"/>
    <w:rsid w:val="00F50792"/>
    <w:rsid w:val="00F9782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7572"/>
  <w15:docId w15:val="{C38E24E1-BA81-4191-9895-AADAA2476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rFonts w:ascii="Arial" w:eastAsia="Arial" w:hAnsi="Arial" w:cs="Arial"/>
      <w:b/>
      <w:bCs/>
      <w:color w:val="000000"/>
      <w:sz w:val="32"/>
      <w:szCs w:val="32"/>
    </w:rPr>
  </w:style>
  <w:style w:type="paragraph" w:styleId="Heading2">
    <w:name w:val="heading 2"/>
    <w:basedOn w:val="Normal"/>
    <w:next w:val="Normal"/>
    <w:pPr>
      <w:keepNext/>
      <w:keepLines/>
      <w:spacing w:before="40" w:after="0"/>
      <w:outlineLvl w:val="1"/>
    </w:pPr>
    <w:rPr>
      <w:rFonts w:ascii="Arial" w:eastAsia="Arial" w:hAnsi="Arial" w:cs="Arial"/>
      <w:b/>
      <w:bCs/>
      <w:color w:val="000000"/>
      <w:sz w:val="28"/>
      <w:szCs w:val="28"/>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40" w:after="0"/>
      <w:outlineLvl w:val="3"/>
    </w:pPr>
    <w:rPr>
      <w:i/>
      <w:iCs/>
      <w:color w:val="2E75B5"/>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40" w:after="0"/>
      <w:outlineLvl w:val="5"/>
    </w:pPr>
    <w:rPr>
      <w:color w:val="1E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character" w:styleId="Hyperlink">
    <w:name w:val="Hyperlink"/>
    <w:basedOn w:val="DefaultParagraphFont"/>
    <w:uiPriority w:val="99"/>
    <w:unhideWhenUsed/>
    <w:rsid w:val="00F97824"/>
    <w:rPr>
      <w:color w:val="0000FF" w:themeColor="hyperlink"/>
      <w:u w:val="single"/>
    </w:rPr>
  </w:style>
  <w:style w:type="character" w:styleId="UnresolvedMention">
    <w:name w:val="Unresolved Mention"/>
    <w:basedOn w:val="DefaultParagraphFont"/>
    <w:uiPriority w:val="99"/>
    <w:semiHidden/>
    <w:unhideWhenUsed/>
    <w:rsid w:val="00F97824"/>
    <w:rPr>
      <w:color w:val="605E5C"/>
      <w:shd w:val="clear" w:color="auto" w:fill="E1DFDD"/>
    </w:rPr>
  </w:style>
  <w:style w:type="paragraph" w:styleId="TOC1">
    <w:name w:val="toc 1"/>
    <w:basedOn w:val="Normal"/>
    <w:next w:val="Normal"/>
    <w:autoRedefine/>
    <w:uiPriority w:val="39"/>
    <w:unhideWhenUsed/>
    <w:rsid w:val="00F97824"/>
    <w:pPr>
      <w:spacing w:after="100"/>
    </w:pPr>
  </w:style>
  <w:style w:type="paragraph" w:styleId="TOC2">
    <w:name w:val="toc 2"/>
    <w:basedOn w:val="Normal"/>
    <w:next w:val="Normal"/>
    <w:autoRedefine/>
    <w:uiPriority w:val="39"/>
    <w:unhideWhenUsed/>
    <w:rsid w:val="00F9782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tatic.brandirectory.com/reports/brand-finance-retail-100-2024-preview.pdf?utm_source=chatgpt.com" TargetMode="External"/><Relationship Id="rId26" Type="http://schemas.openxmlformats.org/officeDocument/2006/relationships/hyperlink" Target="https://www.tescoplc.com/media/ky0bfwpo/tesco_ar25_interactive.pdf" TargetMode="External"/><Relationship Id="rId3" Type="http://schemas.openxmlformats.org/officeDocument/2006/relationships/settings" Target="settings.xml"/><Relationship Id="rId21" Type="http://schemas.openxmlformats.org/officeDocument/2006/relationships/hyperlink" Target="https://www.cipd.co.uk/knowledge/fundamentals/emp-law"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lp.euromonitor.com/supermarkets-in-the-united-kingdom/report" TargetMode="External"/><Relationship Id="rId25" Type="http://schemas.openxmlformats.org/officeDocument/2006/relationships/hyperlink" Target="https://www.revealintelligence.com/di-e28be759-b2b1-4ea8-aa19-37d5a5ebf8c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scoplc.com/media/u1wlq2qf/tesco-plc-annual-report-2023.pdf" TargetMode="External"/><Relationship Id="rId20" Type="http://schemas.openxmlformats.org/officeDocument/2006/relationships/hyperlink" Target="https://www.gov.uk/government/publications/competition-and-profitability-in-the-groceries-sector?utm_source=chatgpt.com" TargetMode="External"/><Relationship Id="rId29" Type="http://schemas.openxmlformats.org/officeDocument/2006/relationships/hyperlink" Target="https://brandfinance.com/insights/global-500-2024-report?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pestel-analysis.com/products/tescoplc-pestle-analysis" TargetMode="External"/><Relationship Id="rId32" Type="http://schemas.openxmlformats.org/officeDocument/2006/relationships/hyperlink" Target="https://www.ons.gov.uk/economy/inflationandpriceindices"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matrixbcg.com/products/tescoplc-pestle-analysis" TargetMode="External"/><Relationship Id="rId28" Type="http://schemas.openxmlformats.org/officeDocument/2006/relationships/hyperlink" Target="https://www.euromonitor.com/supermarkets-in-the-united-kingdom/report" TargetMode="External"/><Relationship Id="rId10" Type="http://schemas.openxmlformats.org/officeDocument/2006/relationships/image" Target="media/image3.png"/><Relationship Id="rId19" Type="http://schemas.openxmlformats.org/officeDocument/2006/relationships/hyperlink" Target="https://www.parliament.uk/business/committees/committees-a-z/" TargetMode="External"/><Relationship Id="rId31" Type="http://schemas.openxmlformats.org/officeDocument/2006/relationships/hyperlink" Target="https://www.deloitte.com/us/en/insights/topics/digital-transformation.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ponsibilityreports.com/Company/tesco-plc" TargetMode="External"/><Relationship Id="rId27" Type="http://schemas.openxmlformats.org/officeDocument/2006/relationships/hyperlink" Target="https://www.responsibilityreports.com/Company/tesco-plc" TargetMode="External"/><Relationship Id="rId30" Type="http://schemas.openxmlformats.org/officeDocument/2006/relationships/hyperlink" Target="https://www.gov.uk/cma-cases/unit-pricing" TargetMode="Externa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29</Pages>
  <Words>7202</Words>
  <Characters>41057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Kamal Hussain</cp:lastModifiedBy>
  <cp:revision>2</cp:revision>
  <dcterms:created xsi:type="dcterms:W3CDTF">2026-03-27T18:12:00Z</dcterms:created>
  <dcterms:modified xsi:type="dcterms:W3CDTF">2026-03-27T18:12:00Z</dcterms:modified>
</cp:coreProperties>
</file>