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colors3.xml" ContentType="application/vnd.ms-office.chartcolorstyle+xml"/>
  <Override PartName="/word/charts/style1.xml" ContentType="application/vnd.ms-office.chartstyle+xml"/>
  <Override PartName="/word/charts/style2.xml" ContentType="application/vnd.ms-office.chartstyle+xml"/>
  <Override PartName="/word/charts/style3.xml" ContentType="application/vnd.ms-office.chart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5"/>
        <w:rPr>
          <w:rFonts w:hint="default" w:ascii="Times New Roman" w:hAnsi="Times New Roman" w:eastAsia="sans-serif" w:cs="Times New Roman"/>
          <w:b/>
          <w:bCs/>
          <w:i w:val="0"/>
          <w:iCs w:val="0"/>
          <w:caps/>
          <w:color w:val="auto"/>
          <w:spacing w:val="0"/>
          <w:sz w:val="44"/>
          <w:szCs w:val="44"/>
          <w:shd w:val="clear" w:fill="FFFFFF"/>
          <w:lang w:val="en-US"/>
        </w:rPr>
      </w:pPr>
      <w:r>
        <w:rPr>
          <w:rFonts w:hint="default" w:ascii="Times New Roman" w:hAnsi="Times New Roman" w:eastAsia="sans-serif" w:cs="Times New Roman"/>
          <w:b/>
          <w:bCs/>
          <w:i w:val="0"/>
          <w:iCs w:val="0"/>
          <w:caps/>
          <w:color w:val="auto"/>
          <w:spacing w:val="0"/>
          <w:sz w:val="44"/>
          <w:szCs w:val="44"/>
          <w:shd w:val="clear" w:fill="FFFFFF"/>
        </w:rPr>
        <w:t>LCBB5000</w:t>
      </w:r>
      <w:r>
        <w:rPr>
          <w:rFonts w:hint="default" w:ascii="Times New Roman" w:hAnsi="Times New Roman" w:eastAsia="sans-serif" w:cs="Times New Roman"/>
          <w:b/>
          <w:bCs/>
          <w:i w:val="0"/>
          <w:iCs w:val="0"/>
          <w:caps/>
          <w:color w:val="auto"/>
          <w:spacing w:val="0"/>
          <w:sz w:val="44"/>
          <w:szCs w:val="44"/>
          <w:shd w:val="clear" w:fill="FFFFFF"/>
          <w:lang w:val="en-US"/>
        </w:rPr>
        <w:t xml:space="preserve"> </w:t>
      </w:r>
    </w:p>
    <w:p>
      <w:pPr>
        <w:pStyle w:val="15"/>
        <w:rPr>
          <w:sz w:val="44"/>
          <w:szCs w:val="44"/>
        </w:rPr>
      </w:pPr>
      <w:r>
        <w:rPr>
          <w:sz w:val="44"/>
          <w:szCs w:val="44"/>
        </w:rPr>
        <w:t>Data Handling &amp; Business Intelligence</w:t>
      </w:r>
    </w:p>
    <w:p/>
    <w:p/>
    <w:p>
      <w:bookmarkStart w:id="34" w:name="_GoBack"/>
      <w:bookmarkEnd w:id="34"/>
    </w:p>
    <w:p/>
    <w:p/>
    <w:p/>
    <w:p/>
    <w:p/>
    <w:p/>
    <w:p/>
    <w:p/>
    <w:p/>
    <w:p/>
    <w:p/>
    <w:p/>
    <w:p/>
    <w:p/>
    <w:p/>
    <w:p/>
    <w:p/>
    <w:p/>
    <w:p/>
    <w:p/>
    <w:p/>
    <w:p/>
    <w:p>
      <w:pPr>
        <w:jc w:val="center"/>
        <w:rPr>
          <w:b/>
          <w:bCs/>
        </w:rPr>
      </w:pPr>
      <w:r>
        <w:rPr>
          <w:b/>
          <w:bCs/>
        </w:rPr>
        <w:t>Student Name:</w:t>
      </w:r>
    </w:p>
    <w:p>
      <w:pPr>
        <w:jc w:val="center"/>
        <w:rPr>
          <w:b/>
          <w:bCs/>
        </w:rPr>
      </w:pPr>
      <w:r>
        <w:rPr>
          <w:b/>
          <w:bCs/>
        </w:rPr>
        <w:t>Student ID:</w:t>
      </w:r>
    </w:p>
    <w:p>
      <w:pPr>
        <w:spacing w:after="160"/>
        <w:jc w:val="center"/>
        <w:rPr>
          <w:b/>
          <w:sz w:val="28"/>
          <w:lang w:val="en-IN"/>
        </w:rPr>
      </w:pPr>
      <w:r>
        <w:rPr>
          <w:b/>
          <w:bCs/>
        </w:rPr>
        <w:br w:type="page"/>
      </w:r>
    </w:p>
    <w:sdt>
      <w:sdtPr>
        <w:rPr>
          <w:rFonts w:ascii="Times New Roman" w:hAnsi="Times New Roman" w:eastAsia="Times New Roman" w:cs="Times New Roman"/>
          <w:color w:val="auto"/>
          <w:sz w:val="24"/>
          <w:szCs w:val="20"/>
        </w:rPr>
        <w:id w:val="921682718"/>
        <w:docPartObj>
          <w:docPartGallery w:val="Table of Contents"/>
          <w:docPartUnique/>
        </w:docPartObj>
      </w:sdtPr>
      <w:sdtEndPr>
        <w:rPr>
          <w:rFonts w:ascii="Times New Roman" w:hAnsi="Times New Roman" w:eastAsia="Times New Roman" w:cs="Times New Roman"/>
          <w:b/>
          <w:bCs/>
          <w:color w:val="auto"/>
          <w:sz w:val="24"/>
          <w:szCs w:val="20"/>
        </w:rPr>
      </w:sdtEndPr>
      <w:sdtContent>
        <w:p>
          <w:pPr>
            <w:pStyle w:val="23"/>
            <w:spacing w:line="360" w:lineRule="auto"/>
            <w:rPr>
              <w:b/>
              <w:color w:val="auto"/>
            </w:rPr>
          </w:pPr>
          <w:r>
            <w:rPr>
              <w:b/>
              <w:color w:val="auto"/>
            </w:rPr>
            <w:t>Table of Contents</w:t>
          </w:r>
        </w:p>
        <w:p>
          <w:pPr>
            <w:pStyle w:val="16"/>
            <w:tabs>
              <w:tab w:val="right" w:leader="dot" w:pos="9016"/>
            </w:tabs>
            <w:rPr>
              <w:rFonts w:asciiTheme="minorHAnsi" w:hAnsiTheme="minorHAnsi" w:eastAsiaTheme="minorEastAsia" w:cstheme="minorBidi"/>
              <w:sz w:val="22"/>
              <w:szCs w:val="22"/>
              <w:lang w:val="en-IN" w:eastAsia="en-IN"/>
            </w:rPr>
          </w:pPr>
          <w:r>
            <w:fldChar w:fldCharType="begin"/>
          </w:r>
          <w:r>
            <w:instrText xml:space="preserve"> TOC \o "1-3" \h \z \u </w:instrText>
          </w:r>
          <w:r>
            <w:fldChar w:fldCharType="separate"/>
          </w:r>
          <w:r>
            <w:fldChar w:fldCharType="begin"/>
          </w:r>
          <w:r>
            <w:instrText xml:space="preserve"> HYPERLINK \l "_Toc122537144" </w:instrText>
          </w:r>
          <w:r>
            <w:fldChar w:fldCharType="separate"/>
          </w:r>
          <w:r>
            <w:rPr>
              <w:rStyle w:val="11"/>
            </w:rPr>
            <w:t>Part 1</w:t>
          </w:r>
          <w:r>
            <w:tab/>
          </w:r>
          <w:r>
            <w:fldChar w:fldCharType="begin"/>
          </w:r>
          <w:r>
            <w:instrText xml:space="preserve"> PAGEREF _Toc122537144 \h </w:instrText>
          </w:r>
          <w:r>
            <w:fldChar w:fldCharType="separate"/>
          </w:r>
          <w:r>
            <w:t>3</w:t>
          </w:r>
          <w:r>
            <w:fldChar w:fldCharType="end"/>
          </w:r>
          <w:r>
            <w:fldChar w:fldCharType="end"/>
          </w:r>
        </w:p>
        <w:p>
          <w:pPr>
            <w:pStyle w:val="17"/>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"_Toc122537145" </w:instrText>
          </w:r>
          <w:r>
            <w:fldChar w:fldCharType="separate"/>
          </w:r>
          <w:r>
            <w:rPr>
              <w:rStyle w:val="11"/>
            </w:rPr>
            <w:t>Data pre-processing</w:t>
          </w:r>
          <w:r>
            <w:tab/>
          </w:r>
          <w:r>
            <w:fldChar w:fldCharType="begin"/>
          </w:r>
          <w:r>
            <w:instrText xml:space="preserve"> PAGEREF _Toc122537145 \h </w:instrText>
          </w:r>
          <w:r>
            <w:fldChar w:fldCharType="separate"/>
          </w:r>
          <w:r>
            <w:t>3</w:t>
          </w:r>
          <w:r>
            <w:fldChar w:fldCharType="end"/>
          </w:r>
          <w:r>
            <w:fldChar w:fldCharType="end"/>
          </w:r>
        </w:p>
        <w:p>
          <w:pPr>
            <w:pStyle w:val="17"/>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"_Toc122537146" </w:instrText>
          </w:r>
          <w:r>
            <w:fldChar w:fldCharType="separate"/>
          </w:r>
          <w:r>
            <w:rPr>
              <w:rStyle w:val="11"/>
            </w:rPr>
            <w:t>Analysing the data</w:t>
          </w:r>
          <w:r>
            <w:tab/>
          </w:r>
          <w:r>
            <w:fldChar w:fldCharType="begin"/>
          </w:r>
          <w:r>
            <w:instrText xml:space="preserve"> PAGEREF _Toc122537146 \h </w:instrText>
          </w:r>
          <w:r>
            <w:fldChar w:fldCharType="separate"/>
          </w:r>
          <w:r>
            <w:t>6</w:t>
          </w:r>
          <w:r>
            <w:fldChar w:fldCharType="end"/>
          </w:r>
          <w:r>
            <w:fldChar w:fldCharType="end"/>
          </w:r>
        </w:p>
        <w:p>
          <w:pPr>
            <w:pStyle w:val="17"/>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"_Toc122537147" </w:instrText>
          </w:r>
          <w:r>
            <w:fldChar w:fldCharType="separate"/>
          </w:r>
          <w:r>
            <w:rPr>
              <w:rStyle w:val="11"/>
              <w:lang w:val="en-IN"/>
            </w:rPr>
            <w:t>Functions used in excel</w:t>
          </w:r>
          <w:r>
            <w:tab/>
          </w:r>
          <w:r>
            <w:fldChar w:fldCharType="begin"/>
          </w:r>
          <w:r>
            <w:instrText xml:space="preserve"> PAGEREF _Toc122537147 \h </w:instrText>
          </w:r>
          <w:r>
            <w:fldChar w:fldCharType="separate"/>
          </w:r>
          <w:r>
            <w:t>6</w:t>
          </w:r>
          <w:r>
            <w:fldChar w:fldCharType="end"/>
          </w:r>
          <w:r>
            <w:fldChar w:fldCharType="end"/>
          </w:r>
        </w:p>
        <w:p>
          <w:pPr>
            <w:pStyle w:val="18"/>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"_Toc122537148" </w:instrText>
          </w:r>
          <w:r>
            <w:fldChar w:fldCharType="separate"/>
          </w:r>
          <w:r>
            <w:rPr>
              <w:rStyle w:val="11"/>
            </w:rPr>
            <w:t>IF function</w:t>
          </w:r>
          <w:r>
            <w:tab/>
          </w:r>
          <w:r>
            <w:fldChar w:fldCharType="begin"/>
          </w:r>
          <w:r>
            <w:instrText xml:space="preserve"> PAGEREF _Toc122537148 \h </w:instrText>
          </w:r>
          <w:r>
            <w:fldChar w:fldCharType="separate"/>
          </w:r>
          <w:r>
            <w:t>6</w:t>
          </w:r>
          <w:r>
            <w:fldChar w:fldCharType="end"/>
          </w:r>
          <w:r>
            <w:fldChar w:fldCharType="end"/>
          </w:r>
        </w:p>
        <w:p>
          <w:pPr>
            <w:pStyle w:val="18"/>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"_Toc122537149" </w:instrText>
          </w:r>
          <w:r>
            <w:fldChar w:fldCharType="separate"/>
          </w:r>
          <w:r>
            <w:rPr>
              <w:rStyle w:val="11"/>
              <w:lang w:val="en-IN"/>
            </w:rPr>
            <w:t>Pivot table</w:t>
          </w:r>
          <w:r>
            <w:tab/>
          </w:r>
          <w:r>
            <w:fldChar w:fldCharType="begin"/>
          </w:r>
          <w:r>
            <w:instrText xml:space="preserve"> PAGEREF _Toc122537149 \h </w:instrText>
          </w:r>
          <w:r>
            <w:fldChar w:fldCharType="separate"/>
          </w:r>
          <w:r>
            <w:t>6</w:t>
          </w:r>
          <w:r>
            <w:fldChar w:fldCharType="end"/>
          </w:r>
          <w:r>
            <w:fldChar w:fldCharType="end"/>
          </w:r>
        </w:p>
        <w:p>
          <w:pPr>
            <w:pStyle w:val="17"/>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"_Toc122537150" </w:instrText>
          </w:r>
          <w:r>
            <w:fldChar w:fldCharType="separate"/>
          </w:r>
          <w:r>
            <w:rPr>
              <w:rStyle w:val="11"/>
              <w:lang w:val="en-IN"/>
            </w:rPr>
            <w:t>Interpretation of visualization</w:t>
          </w:r>
          <w:r>
            <w:tab/>
          </w:r>
          <w:r>
            <w:fldChar w:fldCharType="begin"/>
          </w:r>
          <w:r>
            <w:instrText xml:space="preserve"> PAGEREF _Toc122537150 \h </w:instrText>
          </w:r>
          <w:r>
            <w:fldChar w:fldCharType="separate"/>
          </w:r>
          <w:r>
            <w:t>6</w:t>
          </w:r>
          <w:r>
            <w:fldChar w:fldCharType="end"/>
          </w:r>
          <w:r>
            <w:fldChar w:fldCharType="end"/>
          </w:r>
        </w:p>
        <w:p>
          <w:pPr>
            <w:pStyle w:val="16"/>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"_Toc122537151" </w:instrText>
          </w:r>
          <w:r>
            <w:fldChar w:fldCharType="separate"/>
          </w:r>
          <w:r>
            <w:rPr>
              <w:rStyle w:val="11"/>
            </w:rPr>
            <w:t>Part 2</w:t>
          </w:r>
          <w:r>
            <w:tab/>
          </w:r>
          <w:r>
            <w:fldChar w:fldCharType="begin"/>
          </w:r>
          <w:r>
            <w:instrText xml:space="preserve"> PAGEREF _Toc122537151 \h </w:instrText>
          </w:r>
          <w:r>
            <w:fldChar w:fldCharType="separate"/>
          </w:r>
          <w:r>
            <w:t>12</w:t>
          </w:r>
          <w:r>
            <w:fldChar w:fldCharType="end"/>
          </w:r>
          <w:r>
            <w:fldChar w:fldCharType="end"/>
          </w:r>
        </w:p>
        <w:p>
          <w:pPr>
            <w:pStyle w:val="17"/>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"_Toc122537152" </w:instrText>
          </w:r>
          <w:r>
            <w:fldChar w:fldCharType="separate"/>
          </w:r>
          <w:r>
            <w:rPr>
              <w:rStyle w:val="11"/>
            </w:rPr>
            <w:t>2.1 Number of students like vanilla flavor</w:t>
          </w:r>
          <w:r>
            <w:tab/>
          </w:r>
          <w:r>
            <w:fldChar w:fldCharType="begin"/>
          </w:r>
          <w:r>
            <w:instrText xml:space="preserve"> PAGEREF _Toc122537152 \h </w:instrText>
          </w:r>
          <w:r>
            <w:fldChar w:fldCharType="separate"/>
          </w:r>
          <w:r>
            <w:t>12</w:t>
          </w:r>
          <w:r>
            <w:fldChar w:fldCharType="end"/>
          </w:r>
          <w:r>
            <w:fldChar w:fldCharType="end"/>
          </w:r>
        </w:p>
        <w:p>
          <w:pPr>
            <w:pStyle w:val="17"/>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"_Toc122537153" </w:instrText>
          </w:r>
          <w:r>
            <w:fldChar w:fldCharType="separate"/>
          </w:r>
          <w:r>
            <w:rPr>
              <w:rStyle w:val="11"/>
              <w:lang w:val="en-IN"/>
            </w:rPr>
            <w:t>2.2 number of male and female</w:t>
          </w:r>
          <w:r>
            <w:tab/>
          </w:r>
          <w:r>
            <w:fldChar w:fldCharType="begin"/>
          </w:r>
          <w:r>
            <w:instrText xml:space="preserve"> PAGEREF _Toc122537153 \h </w:instrText>
          </w:r>
          <w:r>
            <w:fldChar w:fldCharType="separate"/>
          </w:r>
          <w:r>
            <w:t>13</w:t>
          </w:r>
          <w:r>
            <w:fldChar w:fldCharType="end"/>
          </w:r>
          <w:r>
            <w:fldChar w:fldCharType="end"/>
          </w:r>
        </w:p>
        <w:p>
          <w:pPr>
            <w:pStyle w:val="17"/>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"_Toc122537154" </w:instrText>
          </w:r>
          <w:r>
            <w:fldChar w:fldCharType="separate"/>
          </w:r>
          <w:r>
            <w:rPr>
              <w:rStyle w:val="11"/>
              <w:lang w:val="en-IN"/>
            </w:rPr>
            <w:t>2.4 K-means clustering</w:t>
          </w:r>
          <w:r>
            <w:tab/>
          </w:r>
          <w:r>
            <w:fldChar w:fldCharType="begin"/>
          </w:r>
          <w:r>
            <w:instrText xml:space="preserve"> PAGEREF _Toc122537154 \h </w:instrText>
          </w:r>
          <w:r>
            <w:fldChar w:fldCharType="separate"/>
          </w:r>
          <w:r>
            <w:t>14</w:t>
          </w:r>
          <w:r>
            <w:fldChar w:fldCharType="end"/>
          </w:r>
          <w:r>
            <w:fldChar w:fldCharType="end"/>
          </w:r>
        </w:p>
        <w:p>
          <w:pPr>
            <w:pStyle w:val="17"/>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"_Toc122537155" </w:instrText>
          </w:r>
          <w:r>
            <w:fldChar w:fldCharType="separate"/>
          </w:r>
          <w:r>
            <w:rPr>
              <w:rStyle w:val="11"/>
            </w:rPr>
            <w:t>2.5 Data mining and text mining</w:t>
          </w:r>
          <w:r>
            <w:tab/>
          </w:r>
          <w:r>
            <w:fldChar w:fldCharType="begin"/>
          </w:r>
          <w:r>
            <w:instrText xml:space="preserve"> PAGEREF _Toc122537155 \h </w:instrText>
          </w:r>
          <w:r>
            <w:fldChar w:fldCharType="separate"/>
          </w:r>
          <w:r>
            <w:t>16</w:t>
          </w:r>
          <w:r>
            <w:fldChar w:fldCharType="end"/>
          </w:r>
          <w:r>
            <w:fldChar w:fldCharType="end"/>
          </w:r>
        </w:p>
        <w:p>
          <w:pPr>
            <w:pStyle w:val="17"/>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"_Toc122537156" </w:instrText>
          </w:r>
          <w:r>
            <w:fldChar w:fldCharType="separate"/>
          </w:r>
          <w:r>
            <w:rPr>
              <w:rStyle w:val="11"/>
              <w:lang w:val="en-IN"/>
            </w:rPr>
            <w:t>2.6 Advantages of excel and SPSS</w:t>
          </w:r>
          <w:r>
            <w:tab/>
          </w:r>
          <w:r>
            <w:fldChar w:fldCharType="begin"/>
          </w:r>
          <w:r>
            <w:instrText xml:space="preserve"> PAGEREF _Toc122537156 \h </w:instrText>
          </w:r>
          <w:r>
            <w:fldChar w:fldCharType="separate"/>
          </w:r>
          <w:r>
            <w:t>17</w:t>
          </w:r>
          <w:r>
            <w:fldChar w:fldCharType="end"/>
          </w:r>
          <w:r>
            <w:fldChar w:fldCharType="end"/>
          </w:r>
        </w:p>
        <w:p>
          <w:pPr>
            <w:pStyle w:val="16"/>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"_Toc122537157" </w:instrText>
          </w:r>
          <w:r>
            <w:fldChar w:fldCharType="separate"/>
          </w:r>
          <w:r>
            <w:rPr>
              <w:rStyle w:val="11"/>
            </w:rPr>
            <w:t>Reference</w:t>
          </w:r>
          <w:r>
            <w:tab/>
          </w:r>
          <w:r>
            <w:fldChar w:fldCharType="begin"/>
          </w:r>
          <w:r>
            <w:instrText xml:space="preserve"> PAGEREF _Toc122537157 \h </w:instrText>
          </w:r>
          <w:r>
            <w:fldChar w:fldCharType="separate"/>
          </w:r>
          <w:r>
            <w:t>19</w:t>
          </w:r>
          <w:r>
            <w:fldChar w:fldCharType="end"/>
          </w:r>
          <w:r>
            <w:fldChar w:fldCharType="end"/>
          </w:r>
        </w:p>
        <w:p>
          <w:pPr>
            <w:rPr>
              <w:b/>
            </w:rPr>
          </w:pPr>
          <w:r>
            <w:rPr>
              <w:b/>
              <w:bCs/>
            </w:rPr>
            <w:fldChar w:fldCharType="end"/>
          </w:r>
        </w:p>
      </w:sdtContent>
    </w:sdt>
    <w:p>
      <w:pPr>
        <w:spacing w:after="160"/>
        <w:rPr>
          <w:b/>
        </w:rPr>
      </w:pPr>
      <w:r>
        <w:rPr>
          <w:b/>
        </w:rPr>
        <w:t>List of figure</w:t>
      </w:r>
    </w:p>
    <w:p>
      <w:pPr>
        <w:pStyle w:val="14"/>
        <w:tabs>
          <w:tab w:val="right" w:leader="dot" w:pos="9016"/>
        </w:tabs>
        <w:rPr>
          <w:rFonts w:asciiTheme="minorHAnsi" w:hAnsiTheme="minorHAnsi" w:eastAsiaTheme="minorEastAsia" w:cstheme="minorBidi"/>
          <w:sz w:val="22"/>
          <w:szCs w:val="22"/>
          <w:lang w:val="en-IN" w:eastAsia="en-IN"/>
        </w:rPr>
      </w:pPr>
      <w:r>
        <w:fldChar w:fldCharType="begin"/>
      </w:r>
      <w:r>
        <w:instrText xml:space="preserve"> TOC \h \z \c "Figure" </w:instrText>
      </w:r>
      <w:r>
        <w:fldChar w:fldCharType="separate"/>
      </w:r>
      <w:r>
        <w:fldChar w:fldCharType="begin"/>
      </w:r>
      <w:r>
        <w:instrText xml:space="preserve"> HYPERLINK \l "_Toc122537070" </w:instrText>
      </w:r>
      <w:r>
        <w:fldChar w:fldCharType="separate"/>
      </w:r>
      <w:r>
        <w:rPr>
          <w:rStyle w:val="11"/>
          <w:rFonts w:eastAsiaTheme="majorEastAsia"/>
        </w:rPr>
        <w:t>Figure 1 Filter option in excel</w:t>
      </w:r>
      <w:r>
        <w:tab/>
      </w:r>
      <w:r>
        <w:fldChar w:fldCharType="begin"/>
      </w:r>
      <w:r>
        <w:instrText xml:space="preserve"> PAGEREF _Toc122537070 \h </w:instrText>
      </w:r>
      <w:r>
        <w:fldChar w:fldCharType="separate"/>
      </w:r>
      <w:r>
        <w:t>4</w:t>
      </w:r>
      <w:r>
        <w:fldChar w:fldCharType="end"/>
      </w:r>
      <w:r>
        <w:fldChar w:fldCharType="end"/>
      </w:r>
    </w:p>
    <w:p>
      <w:pPr>
        <w:pStyle w:val="14"/>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"_Toc122537071" </w:instrText>
      </w:r>
      <w:r>
        <w:fldChar w:fldCharType="separate"/>
      </w:r>
      <w:r>
        <w:rPr>
          <w:rStyle w:val="11"/>
          <w:rFonts w:eastAsiaTheme="majorEastAsia"/>
        </w:rPr>
        <w:t>Figure 2 Conditional formatting option</w:t>
      </w:r>
      <w:r>
        <w:tab/>
      </w:r>
      <w:r>
        <w:fldChar w:fldCharType="begin"/>
      </w:r>
      <w:r>
        <w:instrText xml:space="preserve"> PAGEREF _Toc122537071 \h </w:instrText>
      </w:r>
      <w:r>
        <w:fldChar w:fldCharType="separate"/>
      </w:r>
      <w:r>
        <w:t>5</w:t>
      </w:r>
      <w:r>
        <w:fldChar w:fldCharType="end"/>
      </w:r>
      <w:r>
        <w:fldChar w:fldCharType="end"/>
      </w:r>
    </w:p>
    <w:p>
      <w:pPr>
        <w:pStyle w:val="14"/>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"_Toc122537072" </w:instrText>
      </w:r>
      <w:r>
        <w:fldChar w:fldCharType="separate"/>
      </w:r>
      <w:r>
        <w:rPr>
          <w:rStyle w:val="11"/>
          <w:rFonts w:eastAsiaTheme="majorEastAsia"/>
        </w:rPr>
        <w:t>Figure 3 Result of duplicate values</w:t>
      </w:r>
      <w:r>
        <w:tab/>
      </w:r>
      <w:r>
        <w:fldChar w:fldCharType="begin"/>
      </w:r>
      <w:r>
        <w:instrText xml:space="preserve"> PAGEREF _Toc122537072 \h </w:instrText>
      </w:r>
      <w:r>
        <w:fldChar w:fldCharType="separate"/>
      </w:r>
      <w:r>
        <w:t>5</w:t>
      </w:r>
      <w:r>
        <w:fldChar w:fldCharType="end"/>
      </w:r>
      <w:r>
        <w:fldChar w:fldCharType="end"/>
      </w:r>
    </w:p>
    <w:p>
      <w:pPr>
        <w:pStyle w:val="14"/>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"_Toc122537073" </w:instrText>
      </w:r>
      <w:r>
        <w:fldChar w:fldCharType="separate"/>
      </w:r>
      <w:r>
        <w:rPr>
          <w:rStyle w:val="11"/>
          <w:rFonts w:eastAsiaTheme="majorEastAsia"/>
        </w:rPr>
        <w:t>Figure 4 profit form 2009-2012</w:t>
      </w:r>
      <w:r>
        <w:tab/>
      </w:r>
      <w:r>
        <w:fldChar w:fldCharType="begin"/>
      </w:r>
      <w:r>
        <w:instrText xml:space="preserve"> PAGEREF _Toc122537073 \h </w:instrText>
      </w:r>
      <w:r>
        <w:fldChar w:fldCharType="separate"/>
      </w:r>
      <w:r>
        <w:t>8</w:t>
      </w:r>
      <w:r>
        <w:fldChar w:fldCharType="end"/>
      </w:r>
      <w:r>
        <w:fldChar w:fldCharType="end"/>
      </w:r>
    </w:p>
    <w:p>
      <w:pPr>
        <w:pStyle w:val="14"/>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"_Toc122537074" </w:instrText>
      </w:r>
      <w:r>
        <w:fldChar w:fldCharType="separate"/>
      </w:r>
      <w:r>
        <w:rPr>
          <w:rStyle w:val="11"/>
          <w:rFonts w:eastAsiaTheme="majorEastAsia"/>
        </w:rPr>
        <w:t>Figure 5 sales from year 2009-2012</w:t>
      </w:r>
      <w:r>
        <w:tab/>
      </w:r>
      <w:r>
        <w:fldChar w:fldCharType="begin"/>
      </w:r>
      <w:r>
        <w:instrText xml:space="preserve"> PAGEREF _Toc122537074 \h </w:instrText>
      </w:r>
      <w:r>
        <w:fldChar w:fldCharType="separate"/>
      </w:r>
      <w:r>
        <w:t>9</w:t>
      </w:r>
      <w:r>
        <w:fldChar w:fldCharType="end"/>
      </w:r>
      <w:r>
        <w:fldChar w:fldCharType="end"/>
      </w:r>
    </w:p>
    <w:p>
      <w:pPr>
        <w:pStyle w:val="14"/>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"_Toc122537075" </w:instrText>
      </w:r>
      <w:r>
        <w:fldChar w:fldCharType="separate"/>
      </w:r>
      <w:r>
        <w:rPr>
          <w:rStyle w:val="11"/>
          <w:rFonts w:eastAsiaTheme="majorEastAsia"/>
        </w:rPr>
        <w:t>Figure 6 Countries with average profit</w:t>
      </w:r>
      <w:r>
        <w:tab/>
      </w:r>
      <w:r>
        <w:fldChar w:fldCharType="begin"/>
      </w:r>
      <w:r>
        <w:instrText xml:space="preserve"> PAGEREF _Toc122537075 \h </w:instrText>
      </w:r>
      <w:r>
        <w:fldChar w:fldCharType="separate"/>
      </w:r>
      <w:r>
        <w:t>10</w:t>
      </w:r>
      <w:r>
        <w:fldChar w:fldCharType="end"/>
      </w:r>
      <w:r>
        <w:fldChar w:fldCharType="end"/>
      </w:r>
    </w:p>
    <w:p>
      <w:pPr>
        <w:pStyle w:val="14"/>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"_Toc122537076" </w:instrText>
      </w:r>
      <w:r>
        <w:fldChar w:fldCharType="separate"/>
      </w:r>
      <w:r>
        <w:rPr>
          <w:rStyle w:val="11"/>
          <w:rFonts w:eastAsiaTheme="majorEastAsia"/>
        </w:rPr>
        <w:t>Figure 7 If function</w:t>
      </w:r>
      <w:r>
        <w:tab/>
      </w:r>
      <w:r>
        <w:fldChar w:fldCharType="begin"/>
      </w:r>
      <w:r>
        <w:instrText xml:space="preserve"> PAGEREF _Toc122537076 \h </w:instrText>
      </w:r>
      <w:r>
        <w:fldChar w:fldCharType="separate"/>
      </w:r>
      <w:r>
        <w:t>11</w:t>
      </w:r>
      <w:r>
        <w:fldChar w:fldCharType="end"/>
      </w:r>
      <w:r>
        <w:fldChar w:fldCharType="end"/>
      </w:r>
    </w:p>
    <w:p>
      <w:pPr>
        <w:pStyle w:val="14"/>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"_Toc122537077" </w:instrText>
      </w:r>
      <w:r>
        <w:fldChar w:fldCharType="separate"/>
      </w:r>
      <w:r>
        <w:rPr>
          <w:rStyle w:val="11"/>
          <w:rFonts w:eastAsiaTheme="majorEastAsia"/>
        </w:rPr>
        <w:t>Figure 8 profit making and loss making pie chart</w:t>
      </w:r>
      <w:r>
        <w:tab/>
      </w:r>
      <w:r>
        <w:fldChar w:fldCharType="begin"/>
      </w:r>
      <w:r>
        <w:instrText xml:space="preserve"> PAGEREF _Toc122537077 \h </w:instrText>
      </w:r>
      <w:r>
        <w:fldChar w:fldCharType="separate"/>
      </w:r>
      <w:r>
        <w:t>12</w:t>
      </w:r>
      <w:r>
        <w:fldChar w:fldCharType="end"/>
      </w:r>
      <w:r>
        <w:fldChar w:fldCharType="end"/>
      </w:r>
    </w:p>
    <w:p>
      <w:pPr>
        <w:pStyle w:val="14"/>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"_Toc122537078" </w:instrText>
      </w:r>
      <w:r>
        <w:fldChar w:fldCharType="separate"/>
      </w:r>
      <w:r>
        <w:rPr>
          <w:rStyle w:val="11"/>
          <w:rFonts w:eastAsiaTheme="majorEastAsia"/>
        </w:rPr>
        <w:t>Figure 9 number of ice-cream</w:t>
      </w:r>
      <w:r>
        <w:tab/>
      </w:r>
      <w:r>
        <w:fldChar w:fldCharType="begin"/>
      </w:r>
      <w:r>
        <w:instrText xml:space="preserve"> PAGEREF _Toc122537078 \h </w:instrText>
      </w:r>
      <w:r>
        <w:fldChar w:fldCharType="separate"/>
      </w:r>
      <w:r>
        <w:t>14</w:t>
      </w:r>
      <w:r>
        <w:fldChar w:fldCharType="end"/>
      </w:r>
      <w:r>
        <w:fldChar w:fldCharType="end"/>
      </w:r>
    </w:p>
    <w:p>
      <w:pPr>
        <w:pStyle w:val="14"/>
        <w:tabs>
          <w:tab w:val="right" w:leader="dot" w:pos="9016"/>
        </w:tabs>
        <w:rPr>
          <w:rFonts w:asciiTheme="minorHAnsi" w:hAnsiTheme="minorHAnsi" w:eastAsiaTheme="minorEastAsia" w:cstheme="minorBidi"/>
          <w:sz w:val="22"/>
          <w:szCs w:val="22"/>
          <w:lang w:val="en-IN" w:eastAsia="en-IN"/>
        </w:rPr>
      </w:pPr>
      <w:r>
        <w:fldChar w:fldCharType="begin"/>
      </w:r>
      <w:r>
        <w:instrText xml:space="preserve"> HYPERLINK \l "_Toc122537079" </w:instrText>
      </w:r>
      <w:r>
        <w:fldChar w:fldCharType="separate"/>
      </w:r>
      <w:r>
        <w:rPr>
          <w:rStyle w:val="11"/>
          <w:rFonts w:eastAsiaTheme="majorEastAsia"/>
        </w:rPr>
        <w:t>Figure 10 Pie chart to show number of male and female</w:t>
      </w:r>
      <w:r>
        <w:tab/>
      </w:r>
      <w:r>
        <w:fldChar w:fldCharType="begin"/>
      </w:r>
      <w:r>
        <w:instrText xml:space="preserve"> PAGEREF _Toc122537079 \h </w:instrText>
      </w:r>
      <w:r>
        <w:fldChar w:fldCharType="separate"/>
      </w:r>
      <w:r>
        <w:t>15</w:t>
      </w:r>
      <w:r>
        <w:fldChar w:fldCharType="end"/>
      </w:r>
      <w:r>
        <w:fldChar w:fldCharType="end"/>
      </w:r>
    </w:p>
    <w:p>
      <w:pPr>
        <w:spacing w:after="160"/>
      </w:pPr>
      <w:r>
        <w:fldChar w:fldCharType="end"/>
      </w:r>
    </w:p>
    <w:p>
      <w:pPr>
        <w:spacing w:after="160"/>
        <w:rPr>
          <w:b/>
          <w:sz w:val="28"/>
          <w:lang w:val="en-IN"/>
        </w:rPr>
      </w:pPr>
    </w:p>
    <w:p>
      <w:pPr>
        <w:pStyle w:val="2"/>
      </w:pPr>
      <w:bookmarkStart w:id="0" w:name="_Toc122537144"/>
      <w:r>
        <w:t>Part 1</w:t>
      </w:r>
      <w:bookmarkEnd w:id="0"/>
    </w:p>
    <w:p>
      <w:pPr>
        <w:pStyle w:val="3"/>
      </w:pPr>
      <w:bookmarkStart w:id="1" w:name="_Toc122537145"/>
      <w:r>
        <w:t>Data pre-processing</w:t>
      </w:r>
      <w:bookmarkEnd w:id="1"/>
    </w:p>
    <w:p>
      <w:pPr>
        <w:pStyle w:val="12"/>
        <w:spacing w:before="0" w:beforeAutospacing="0" w:after="240" w:afterAutospacing="0" w:line="360" w:lineRule="auto"/>
        <w:rPr>
          <w:color w:val="000000"/>
        </w:rPr>
      </w:pPr>
      <w:r>
        <w:t xml:space="preserve">The process of cleaning the data and resolving issues in the data is referred to as data pre-processing. The dataset should be perfect and without any issues or problems. The real-world data contain many issues that need to be solved. It contains some inconsistent values and data such as missing values, spelling errors, duplicate values and data type errors. Those errors need to be addressed in a direction to make the data more reliable and useful. If the step of data pre-processing skip, it will create a problem while using in it any machine learning model. There are a few types of data pre-processing issues and solutions </w:t>
      </w:r>
      <w:r>
        <w:rPr>
          <w:color w:val="000000"/>
          <w:shd w:val="clear" w:color="auto" w:fill="FFFFFF"/>
        </w:rPr>
        <w:t>(Azevedo, 2021)</w:t>
      </w:r>
      <w:r>
        <w:t>.</w:t>
      </w:r>
    </w:p>
    <w:p>
      <w:pPr>
        <w:rPr>
          <w:lang w:val="en-IN"/>
        </w:rPr>
      </w:pPr>
      <w:r>
        <w:rPr>
          <w:b/>
          <w:lang w:val="en-IN"/>
        </w:rPr>
        <w:t>Data cleaning:</w:t>
      </w:r>
      <w:r>
        <w:rPr>
          <w:lang w:val="en-IN"/>
        </w:rPr>
        <w:t xml:space="preserve"> This is one of the most essential aspects that is used to detect inaccurate data from the dataset. Identifying the null values and irrelevant values, this technique is used. These values can be replaced and modified to improve the quality of data, </w:t>
      </w:r>
    </w:p>
    <w:p>
      <w:pPr>
        <w:rPr>
          <w:lang w:val="en-IN"/>
        </w:rPr>
      </w:pPr>
      <w:r>
        <w:rPr>
          <w:b/>
          <w:lang w:val="en-IN"/>
        </w:rPr>
        <w:t>Missing or blank data:</w:t>
      </w:r>
      <w:r>
        <w:rPr>
          <w:lang w:val="en-IN"/>
        </w:rPr>
        <w:t xml:space="preserve"> The absence of data is the biggest drawback of real-world data. It creates problems while analyzing the data and cannot handle by the models. It sometimes refers to null values. It can be solved by modifying them. </w:t>
      </w:r>
    </w:p>
    <w:p>
      <w:pPr>
        <w:rPr>
          <w:lang w:val="en-IN"/>
        </w:rPr>
      </w:pPr>
      <w:r>
        <w:rPr>
          <w:b/>
          <w:lang w:val="en-IN"/>
        </w:rPr>
        <w:t>Spelling error:</w:t>
      </w:r>
      <w:r>
        <w:rPr>
          <w:lang w:val="en-IN"/>
        </w:rPr>
        <w:t xml:space="preserve"> while pre-processing the data, sometimes it was found that it contains many spelling errors. Due to this, it shows different results for the same factors, for example, UK and United Kingdom, and it is considered differently by the models. </w:t>
      </w:r>
    </w:p>
    <w:p>
      <w:pPr>
        <w:rPr>
          <w:lang w:val="en-IN"/>
        </w:rPr>
      </w:pPr>
      <w:r>
        <w:rPr>
          <w:b/>
          <w:lang w:val="en-IN"/>
        </w:rPr>
        <w:t>Duplicate values:</w:t>
      </w:r>
      <w:r>
        <w:rPr>
          <w:lang w:val="en-IN"/>
        </w:rPr>
        <w:t xml:space="preserve"> These are the values that are present more than once. It is every so often found while working with an abundant amount of data. Sometimes it is important for the data and users. Sometimes it is not required in the analysis, so it can be eliminated by the dataset. </w:t>
      </w:r>
    </w:p>
    <w:p>
      <w:pPr>
        <w:rPr>
          <w:lang w:val="en-IN"/>
        </w:rPr>
      </w:pPr>
    </w:p>
    <w:p>
      <w:pPr>
        <w:rPr>
          <w:lang w:val="en-IN"/>
        </w:rPr>
      </w:pPr>
      <w:r>
        <w:rPr>
          <w:lang w:val="en-IN"/>
        </w:rPr>
        <w:t xml:space="preserve">In the superstore dataset, before performing any analysis method over it, the first step of data pre-processing is attempted. The data was observed and identified if there were any issues present in the dataset. After the observation, it was found that the dataset contain null values or missing values, duplicate values, etc. Excel has many features that help in data pre-processing. </w:t>
      </w:r>
    </w:p>
    <w:p>
      <w:pPr>
        <w:keepNext/>
      </w:pPr>
      <w:r>
        <w:rPr>
          <w:lang w:val="en-IN" w:eastAsia="en-IN"/>
        </w:rPr>
        <w:drawing>
          <wp:inline distT="0" distB="0" distL="0" distR="0">
            <wp:extent cx="3139440" cy="54483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tretch>
                      <a:fillRect/>
                    </a:stretch>
                  </pic:blipFill>
                  <pic:spPr>
                    <a:xfrm>
                      <a:off x="0" y="0"/>
                      <a:ext cx="3139712" cy="5448772"/>
                    </a:xfrm>
                    <a:prstGeom prst="rect">
                      <a:avLst/>
                    </a:prstGeom>
                  </pic:spPr>
                </pic:pic>
              </a:graphicData>
            </a:graphic>
          </wp:inline>
        </w:drawing>
      </w:r>
    </w:p>
    <w:p>
      <w:pPr>
        <w:pStyle w:val="7"/>
      </w:pPr>
      <w:bookmarkStart w:id="2" w:name="_Toc122537070"/>
      <w:bookmarkStart w:id="3" w:name="_Toc122536954"/>
      <w:r>
        <w:t xml:space="preserve">Figure </w:t>
      </w:r>
      <w:r>
        <w:fldChar w:fldCharType="begin"/>
      </w:r>
      <w:r>
        <w:instrText xml:space="preserve"> SEQ Figure \* ARABIC </w:instrText>
      </w:r>
      <w:r>
        <w:fldChar w:fldCharType="separate"/>
      </w:r>
      <w:r>
        <w:t>1</w:t>
      </w:r>
      <w:r>
        <w:fldChar w:fldCharType="end"/>
      </w:r>
      <w:r>
        <w:t xml:space="preserve"> Filter option in excel</w:t>
      </w:r>
      <w:bookmarkEnd w:id="2"/>
      <w:bookmarkEnd w:id="3"/>
    </w:p>
    <w:p>
      <w:r>
        <w:t>(Source: Author, 2022)</w:t>
      </w:r>
    </w:p>
    <w:p>
      <w:pPr>
        <w:rPr>
          <w:lang w:val="en-IN"/>
        </w:rPr>
      </w:pPr>
      <w:r>
        <w:rPr>
          <w:lang w:val="en-IN"/>
        </w:rPr>
        <w:t xml:space="preserve"> At first, the null values or blank is checked by the filter. If there are null values in the dataset it contains a blank checkbox also at the end. However, the dataset did not contain any null values.</w:t>
      </w:r>
    </w:p>
    <w:p>
      <w:pPr>
        <w:keepNext/>
      </w:pPr>
      <w:r>
        <w:rPr>
          <w:lang w:val="en-IN"/>
        </w:rPr>
        <w:t xml:space="preserve"> </w:t>
      </w:r>
      <w:r>
        <w:rPr>
          <w:lang w:val="en-IN" w:eastAsia="en-IN"/>
        </w:rPr>
        <w:drawing>
          <wp:inline distT="0" distB="0" distL="0" distR="0">
            <wp:extent cx="3596640" cy="370332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8"/>
                    <a:stretch>
                      <a:fillRect/>
                    </a:stretch>
                  </pic:blipFill>
                  <pic:spPr>
                    <a:xfrm>
                      <a:off x="0" y="0"/>
                      <a:ext cx="3596952" cy="3703641"/>
                    </a:xfrm>
                    <a:prstGeom prst="rect">
                      <a:avLst/>
                    </a:prstGeom>
                  </pic:spPr>
                </pic:pic>
              </a:graphicData>
            </a:graphic>
          </wp:inline>
        </w:drawing>
      </w:r>
    </w:p>
    <w:p>
      <w:pPr>
        <w:pStyle w:val="7"/>
      </w:pPr>
      <w:bookmarkStart w:id="4" w:name="_Toc122536955"/>
      <w:bookmarkStart w:id="5" w:name="_Toc122537071"/>
      <w:r>
        <w:t xml:space="preserve">Figure </w:t>
      </w:r>
      <w:r>
        <w:fldChar w:fldCharType="begin"/>
      </w:r>
      <w:r>
        <w:instrText xml:space="preserve"> SEQ Figure \* ARABIC </w:instrText>
      </w:r>
      <w:r>
        <w:fldChar w:fldCharType="separate"/>
      </w:r>
      <w:r>
        <w:t>2</w:t>
      </w:r>
      <w:r>
        <w:fldChar w:fldCharType="end"/>
      </w:r>
      <w:r>
        <w:t xml:space="preserve"> Conditional formatting option</w:t>
      </w:r>
      <w:bookmarkEnd w:id="4"/>
      <w:bookmarkEnd w:id="5"/>
    </w:p>
    <w:p>
      <w:r>
        <w:t>(Source: Author, 2022)</w:t>
      </w:r>
    </w:p>
    <w:p>
      <w:pPr>
        <w:rPr>
          <w:lang w:val="en-IN"/>
        </w:rPr>
      </w:pPr>
      <w:r>
        <w:rPr>
          <w:lang w:val="en-IN"/>
        </w:rPr>
        <w:t xml:space="preserve">Now for checking the duplicate values, excel has a conditional formatting option. It has a duplicate value option. It can be used to check if there are many duplicate values present in the dataset or not. It has an option further named “Duplicate values”. After clicking on this option, it finds the presented duplicated values in the dataset. Now it is essential to select the column where the duplicate values are needful or not. </w:t>
      </w:r>
    </w:p>
    <w:p>
      <w:pPr>
        <w:keepNext/>
      </w:pPr>
      <w:r>
        <w:rPr>
          <w:lang w:val="en-IN" w:eastAsia="en-IN"/>
        </w:rPr>
        <w:drawing>
          <wp:inline distT="0" distB="0" distL="0" distR="0">
            <wp:extent cx="2842260" cy="29413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9"/>
                    <a:stretch>
                      <a:fillRect/>
                    </a:stretch>
                  </pic:blipFill>
                  <pic:spPr>
                    <a:xfrm>
                      <a:off x="0" y="0"/>
                      <a:ext cx="2842506" cy="2941575"/>
                    </a:xfrm>
                    <a:prstGeom prst="rect">
                      <a:avLst/>
                    </a:prstGeom>
                  </pic:spPr>
                </pic:pic>
              </a:graphicData>
            </a:graphic>
          </wp:inline>
        </w:drawing>
      </w:r>
    </w:p>
    <w:p>
      <w:pPr>
        <w:pStyle w:val="7"/>
      </w:pPr>
      <w:bookmarkStart w:id="6" w:name="_Toc122536956"/>
      <w:bookmarkStart w:id="7" w:name="_Toc122537072"/>
      <w:r>
        <w:t xml:space="preserve">Figure </w:t>
      </w:r>
      <w:r>
        <w:fldChar w:fldCharType="begin"/>
      </w:r>
      <w:r>
        <w:instrText xml:space="preserve"> SEQ Figure \* ARABIC </w:instrText>
      </w:r>
      <w:r>
        <w:fldChar w:fldCharType="separate"/>
      </w:r>
      <w:r>
        <w:t>3</w:t>
      </w:r>
      <w:r>
        <w:fldChar w:fldCharType="end"/>
      </w:r>
      <w:r>
        <w:t xml:space="preserve"> Result of duplicate values</w:t>
      </w:r>
      <w:bookmarkEnd w:id="6"/>
      <w:bookmarkEnd w:id="7"/>
    </w:p>
    <w:p>
      <w:r>
        <w:t>(Source: Author, 2022)</w:t>
      </w:r>
    </w:p>
    <w:p>
      <w:pPr>
        <w:rPr>
          <w:lang w:val="en-IN"/>
        </w:rPr>
      </w:pPr>
      <w:r>
        <w:rPr>
          <w:lang w:val="en-IN"/>
        </w:rPr>
        <w:t xml:space="preserve">It highlights the values with colors if there are any duplicate values present. Like it can be shown in the above figure. The order ID column has many duplicate values. </w:t>
      </w:r>
    </w:p>
    <w:p>
      <w:pPr>
        <w:pStyle w:val="3"/>
        <w:rPr>
          <w:lang w:val="en-IN"/>
        </w:rPr>
      </w:pPr>
      <w:bookmarkStart w:id="8" w:name="_Toc122537146"/>
      <w:r>
        <w:t>Analyzing the data</w:t>
      </w:r>
      <w:bookmarkEnd w:id="8"/>
    </w:p>
    <w:p>
      <w:pPr>
        <w:rPr>
          <w:lang w:val="en-IN"/>
        </w:rPr>
      </w:pPr>
      <w:r>
        <w:rPr>
          <w:lang w:val="en-IN"/>
        </w:rPr>
        <w:t xml:space="preserve">The practise of cleansing, transforming, as well as demonstrating data to discovery relevant evidence for business administrative is acknowledged as data analysis. Mining usable data from data also making choices based on that examination are the objectives of data analysis. Data processing as well as manipulation, connection as well as analysis of correlation among set of data, pattern along with trend identification, and explanation are all finished simpler for customers by data examination tools. The data was analyzed through many functions such as charts, formulas, etc. Analyzing the data is important to retrieve useful information from the raw data. It helps to predict customer trends as well as behavior. It increases the productivity of the business. It helps to drive effective decisions (Bergin, 2018). </w:t>
      </w:r>
    </w:p>
    <w:p>
      <w:pPr>
        <w:pStyle w:val="3"/>
        <w:rPr>
          <w:lang w:val="en-IN"/>
        </w:rPr>
      </w:pPr>
      <w:bookmarkStart w:id="9" w:name="_Toc122537147"/>
      <w:r>
        <w:rPr>
          <w:lang w:val="en-IN"/>
        </w:rPr>
        <w:t>Functions used in excel</w:t>
      </w:r>
      <w:bookmarkEnd w:id="9"/>
    </w:p>
    <w:p>
      <w:pPr>
        <w:rPr>
          <w:rStyle w:val="22"/>
        </w:rPr>
      </w:pPr>
      <w:bookmarkStart w:id="10" w:name="_Toc122537148"/>
      <w:r>
        <w:rPr>
          <w:rStyle w:val="22"/>
        </w:rPr>
        <w:t>IF function</w:t>
      </w:r>
      <w:bookmarkEnd w:id="10"/>
    </w:p>
    <w:p>
      <w:pPr>
        <w:rPr>
          <w:lang w:val="en-IN"/>
        </w:rPr>
      </w:pPr>
      <w:r>
        <w:rPr>
          <w:lang w:val="en-IN"/>
        </w:rPr>
        <w:t>Among the greatest used functions in Excel is indeed the function of IF, which allows to relate values reasonably to anticipations. Thus, an IF statement be able to produce two results. If the judgement is true, the first conclusion is what it gets; when False, another. In Excel, an IF function has three parts:</w:t>
      </w:r>
    </w:p>
    <w:p>
      <w:pPr>
        <w:rPr>
          <w:lang w:val="en-IN"/>
        </w:rPr>
      </w:pPr>
      <w:r>
        <w:rPr>
          <w:lang w:val="en-IN"/>
        </w:rPr>
        <w:t>A logical test that compares two arguments with an operator sign;</w:t>
      </w:r>
    </w:p>
    <w:p>
      <w:pPr>
        <w:rPr>
          <w:lang w:val="en-IN"/>
        </w:rPr>
      </w:pPr>
      <w:r>
        <w:rPr>
          <w:lang w:val="en-IN"/>
        </w:rPr>
        <w:t>A value to yield if the analytical test yields TRUE;</w:t>
      </w:r>
    </w:p>
    <w:p>
      <w:pPr>
        <w:rPr>
          <w:lang w:val="en-IN"/>
        </w:rPr>
      </w:pPr>
      <w:r>
        <w:rPr>
          <w:lang w:val="en-IN"/>
        </w:rPr>
        <w:t xml:space="preserve">A value to yield if the analytical test yields FALSE </w:t>
      </w:r>
      <w:r>
        <w:rPr>
          <w:color w:val="000000"/>
          <w:shd w:val="clear" w:color="auto" w:fill="FFFFFF"/>
        </w:rPr>
        <w:t>(IF, 2021).</w:t>
      </w:r>
    </w:p>
    <w:p>
      <w:pPr>
        <w:pStyle w:val="4"/>
        <w:rPr>
          <w:lang w:val="en-IN"/>
        </w:rPr>
      </w:pPr>
      <w:bookmarkStart w:id="11" w:name="_Toc122537149"/>
      <w:r>
        <w:rPr>
          <w:lang w:val="en-IN"/>
        </w:rPr>
        <w:t>Pivot table</w:t>
      </w:r>
      <w:bookmarkEnd w:id="11"/>
    </w:p>
    <w:p>
      <w:pPr>
        <w:rPr>
          <w:lang w:val="en-IN"/>
        </w:rPr>
      </w:pPr>
      <w:r>
        <w:rPr>
          <w:lang w:val="en-IN"/>
        </w:rPr>
        <w:t xml:space="preserve">It is an actual tool for computing, summarizing, as well as analyzing data that allows to advertisement comparisons, shapes, as well as trends in the data refers as pivot table. Conditional on the system you use to run Excel, pivot tables behave a little bit differently. An interactive technique to quickly summarise vast volumes of data is with a pivot table. A Pivot Table can be used to thoroughly evaluate numerical data and provide unexpected answers regarding the data. Querying vast volumes of data in a variety of user-friendly ways is one task that a pivot table is very useful </w:t>
      </w:r>
      <w:r>
        <w:rPr>
          <w:color w:val="000000"/>
          <w:shd w:val="clear" w:color="auto" w:fill="FFFFFF"/>
        </w:rPr>
        <w:t>(Dalgleish, 2022)</w:t>
      </w:r>
      <w:r>
        <w:rPr>
          <w:lang w:val="en-IN"/>
        </w:rPr>
        <w:t>.</w:t>
      </w:r>
    </w:p>
    <w:p>
      <w:pPr>
        <w:pStyle w:val="3"/>
        <w:rPr>
          <w:lang w:val="en-IN"/>
        </w:rPr>
      </w:pPr>
      <w:bookmarkStart w:id="12" w:name="_Toc122537150"/>
      <w:r>
        <w:rPr>
          <w:lang w:val="en-IN"/>
        </w:rPr>
        <w:t>Interpretation of visualization</w:t>
      </w:r>
      <w:bookmarkEnd w:id="12"/>
    </w:p>
    <w:p>
      <w:pPr>
        <w:rPr>
          <w:lang w:val="en-IN"/>
        </w:rPr>
      </w:pPr>
      <w:r>
        <w:rPr>
          <w:lang w:val="en-IN"/>
        </w:rPr>
        <w:t xml:space="preserve">To show the result through visuals are the best method. As it interprets the result as easy to understand and more effective. </w:t>
      </w:r>
    </w:p>
    <w:p>
      <w:pPr>
        <w:rPr>
          <w:lang w:val="en-IN"/>
        </w:rPr>
      </w:pPr>
      <w:r>
        <w:rPr>
          <w:lang w:val="en-IN"/>
        </w:rPr>
        <w:t xml:space="preserve">Bar chart- this chart is used to show the profit and sales decline. It is used because its length can easily help to interpret the result. Its ability to display the data that represent changes according to time. It clarifies the result better than the tables. It shows the key values at a single glance </w:t>
      </w:r>
      <w:r>
        <w:rPr>
          <w:color w:val="000000"/>
          <w:shd w:val="clear" w:color="auto" w:fill="FFFFFF"/>
        </w:rPr>
        <w:t>(Sciencing, 2018)</w:t>
      </w:r>
      <w:r>
        <w:rPr>
          <w:lang w:val="en-IN"/>
        </w:rPr>
        <w:t>.</w:t>
      </w:r>
    </w:p>
    <w:p>
      <w:pPr>
        <w:rPr>
          <w:lang w:val="en-IN"/>
        </w:rPr>
      </w:pPr>
      <w:r>
        <w:rPr>
          <w:lang w:val="en-IN"/>
        </w:rPr>
        <w:t xml:space="preserve"> </w:t>
      </w:r>
      <w:r>
        <w:rPr>
          <w:lang w:val="en-IN" w:eastAsia="en-IN"/>
        </w:rPr>
        <w:drawing>
          <wp:inline distT="0" distB="0" distL="0" distR="0">
            <wp:extent cx="1920240" cy="114300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0"/>
                    <a:stretch>
                      <a:fillRect/>
                    </a:stretch>
                  </pic:blipFill>
                  <pic:spPr>
                    <a:xfrm>
                      <a:off x="0" y="0"/>
                      <a:ext cx="1920406" cy="1143099"/>
                    </a:xfrm>
                    <a:prstGeom prst="rect">
                      <a:avLst/>
                    </a:prstGeom>
                  </pic:spPr>
                </pic:pic>
              </a:graphicData>
            </a:graphic>
          </wp:inline>
        </w:drawing>
      </w:r>
    </w:p>
    <w:p>
      <w:pPr>
        <w:rPr>
          <w:lang w:val="en-IN"/>
        </w:rPr>
      </w:pPr>
      <w:r>
        <w:rPr>
          <w:lang w:val="en-IN"/>
        </w:rPr>
        <w:t xml:space="preserve">After making the pivot table, of year and profit. The profit can be measured into average through the pivot table function. It is better to show the average profit for the year. A pivot table can be simply constructed by selecting the entire data and then clicking on the pivot table option in the insert tab. It makes it easier to construct charts </w:t>
      </w:r>
      <w:r>
        <w:rPr>
          <w:color w:val="000000"/>
          <w:shd w:val="clear" w:color="auto" w:fill="FFFFFF"/>
        </w:rPr>
        <w:t>(Simon, 2020)</w:t>
      </w:r>
      <w:r>
        <w:rPr>
          <w:lang w:val="en-IN"/>
        </w:rPr>
        <w:t xml:space="preserve">. </w:t>
      </w:r>
    </w:p>
    <w:p>
      <w:pPr>
        <w:keepNext/>
      </w:pPr>
      <w:r>
        <w:rPr>
          <w:lang w:val="en-IN" w:eastAsia="en-IN"/>
        </w:rPr>
        <w:drawing>
          <wp:inline distT="0" distB="0" distL="0" distR="0">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pPr>
        <w:pStyle w:val="7"/>
      </w:pPr>
      <w:bookmarkStart w:id="13" w:name="_Toc122537073"/>
      <w:bookmarkStart w:id="14" w:name="_Toc122536957"/>
      <w:r>
        <w:t xml:space="preserve">Figure </w:t>
      </w:r>
      <w:r>
        <w:fldChar w:fldCharType="begin"/>
      </w:r>
      <w:r>
        <w:instrText xml:space="preserve"> SEQ Figure \* ARABIC </w:instrText>
      </w:r>
      <w:r>
        <w:fldChar w:fldCharType="separate"/>
      </w:r>
      <w:r>
        <w:t>4</w:t>
      </w:r>
      <w:r>
        <w:fldChar w:fldCharType="end"/>
      </w:r>
      <w:r>
        <w:t xml:space="preserve"> profit from 2009-2012</w:t>
      </w:r>
      <w:bookmarkEnd w:id="13"/>
      <w:bookmarkEnd w:id="14"/>
    </w:p>
    <w:p>
      <w:r>
        <w:t>(Source: Author, 2022)</w:t>
      </w:r>
    </w:p>
    <w:p>
      <w:r>
        <w:t xml:space="preserve">The above chart was created to identify the decline in the profit over the year. According to the above chart, it can conclude that the year 2009 has the greatest profit than the other year till 2012.  It shows a major fall down in the year 2010. After 2010, it again shows some increase but again fell in the year 2012. It means that the profit of the superstore shows fluctuation. </w:t>
      </w:r>
    </w:p>
    <w:p>
      <w:r>
        <w:t>Table 2</w:t>
      </w:r>
    </w:p>
    <w:p>
      <w:r>
        <w:rPr>
          <w:lang w:val="en-IN" w:eastAsia="en-IN"/>
        </w:rPr>
        <w:drawing>
          <wp:inline distT="0" distB="0" distL="0" distR="0">
            <wp:extent cx="1943100" cy="11201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2"/>
                    <a:stretch>
                      <a:fillRect/>
                    </a:stretch>
                  </pic:blipFill>
                  <pic:spPr>
                    <a:xfrm>
                      <a:off x="0" y="0"/>
                      <a:ext cx="1943268" cy="1120237"/>
                    </a:xfrm>
                    <a:prstGeom prst="rect">
                      <a:avLst/>
                    </a:prstGeom>
                  </pic:spPr>
                </pic:pic>
              </a:graphicData>
            </a:graphic>
          </wp:inline>
        </w:drawing>
      </w:r>
    </w:p>
    <w:p>
      <w:r>
        <w:t xml:space="preserve">A pivot table is constructed that contains the data on sales per year. </w:t>
      </w:r>
    </w:p>
    <w:p>
      <w:pPr>
        <w:keepNext/>
      </w:pPr>
      <w:r>
        <w:rPr>
          <w:lang w:val="en-IN" w:eastAsia="en-IN"/>
        </w:rPr>
        <w:drawing>
          <wp:inline distT="0" distB="0" distL="0" distR="0">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pPr>
        <w:pStyle w:val="7"/>
      </w:pPr>
      <w:bookmarkStart w:id="15" w:name="_Toc122536958"/>
      <w:bookmarkStart w:id="16" w:name="_Toc122537074"/>
      <w:r>
        <w:t xml:space="preserve">Figure </w:t>
      </w:r>
      <w:r>
        <w:fldChar w:fldCharType="begin"/>
      </w:r>
      <w:r>
        <w:instrText xml:space="preserve"> SEQ Figure \* ARABIC </w:instrText>
      </w:r>
      <w:r>
        <w:fldChar w:fldCharType="separate"/>
      </w:r>
      <w:r>
        <w:t>5</w:t>
      </w:r>
      <w:r>
        <w:fldChar w:fldCharType="end"/>
      </w:r>
      <w:r>
        <w:t xml:space="preserve"> sales from the year 2009-2012</w:t>
      </w:r>
      <w:bookmarkEnd w:id="15"/>
      <w:bookmarkEnd w:id="16"/>
    </w:p>
    <w:p>
      <w:r>
        <w:t>(Source: Author, 2022)</w:t>
      </w:r>
    </w:p>
    <w:p>
      <w:r>
        <w:t xml:space="preserve">Through the above chart, sales decline over the year can easily interpret. It shows a major fall down in the year 2010. It was the reason why the profit also fell majorly in the year 2010 either. It shows the greatest sales in the year 2009. Because of this, the profit also had greatest in the year 2009. The sales growth increased after the year 2010 and was much better than in 2010 but again fell in the year 2012. </w:t>
      </w:r>
    </w:p>
    <w:p>
      <w:r>
        <w:t xml:space="preserve">As it was well understood that sales directly affect profit growth. The year which has fewer sales shows less growth in profit as well. </w:t>
      </w:r>
    </w:p>
    <w:p>
      <w:pPr>
        <w:keepNext/>
      </w:pPr>
      <w:r>
        <w:rPr>
          <w:lang w:val="en-IN" w:eastAsia="en-IN"/>
        </w:rPr>
        <w:drawing>
          <wp:inline distT="0" distB="0" distL="0" distR="0">
            <wp:extent cx="5444490" cy="3208020"/>
            <wp:effectExtent l="0" t="0" r="3810" b="1143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pPr>
        <w:pStyle w:val="7"/>
      </w:pPr>
      <w:bookmarkStart w:id="17" w:name="_Toc122536959"/>
      <w:bookmarkStart w:id="18" w:name="_Toc122537075"/>
      <w:r>
        <w:t xml:space="preserve">Figure </w:t>
      </w:r>
      <w:r>
        <w:fldChar w:fldCharType="begin"/>
      </w:r>
      <w:r>
        <w:instrText xml:space="preserve"> SEQ Figure \* ARABIC </w:instrText>
      </w:r>
      <w:r>
        <w:fldChar w:fldCharType="separate"/>
      </w:r>
      <w:r>
        <w:t>6</w:t>
      </w:r>
      <w:r>
        <w:fldChar w:fldCharType="end"/>
      </w:r>
      <w:r>
        <w:t xml:space="preserve"> Countries with the average profit</w:t>
      </w:r>
      <w:bookmarkEnd w:id="17"/>
      <w:bookmarkEnd w:id="18"/>
    </w:p>
    <w:p>
      <w:r>
        <w:t>(Source: Author, 2022)</w:t>
      </w:r>
    </w:p>
    <w:p>
      <w:r>
        <w:t xml:space="preserve">Atlantic was the region where greater profit was obtained over the years. Ontario and Prarie also showed a good average profit in their region. Among all the counties North Carolina showed less profit. The superstore needs to focus on its sales strategies in North Carolina more effectively. Not only this, they need to focus and develop new strategies or ideas to sell more.  </w:t>
      </w:r>
    </w:p>
    <w:p>
      <w:pPr>
        <w:keepNext/>
      </w:pPr>
      <w:r>
        <w:rPr>
          <w:lang w:val="en-IN" w:eastAsia="en-IN"/>
        </w:rPr>
        <w:drawing>
          <wp:inline distT="0" distB="0" distL="0" distR="0">
            <wp:extent cx="3672840" cy="4549140"/>
            <wp:effectExtent l="0" t="0" r="381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5"/>
                    <a:stretch>
                      <a:fillRect/>
                    </a:stretch>
                  </pic:blipFill>
                  <pic:spPr>
                    <a:xfrm>
                      <a:off x="0" y="0"/>
                      <a:ext cx="3673158" cy="4549534"/>
                    </a:xfrm>
                    <a:prstGeom prst="rect">
                      <a:avLst/>
                    </a:prstGeom>
                  </pic:spPr>
                </pic:pic>
              </a:graphicData>
            </a:graphic>
          </wp:inline>
        </w:drawing>
      </w:r>
    </w:p>
    <w:p>
      <w:pPr>
        <w:pStyle w:val="7"/>
      </w:pPr>
      <w:bookmarkStart w:id="19" w:name="_Toc122536960"/>
      <w:bookmarkStart w:id="20" w:name="_Toc122537076"/>
      <w:r>
        <w:t xml:space="preserve">Figure </w:t>
      </w:r>
      <w:r>
        <w:fldChar w:fldCharType="begin"/>
      </w:r>
      <w:r>
        <w:instrText xml:space="preserve"> SEQ Figure \* ARABIC </w:instrText>
      </w:r>
      <w:r>
        <w:fldChar w:fldCharType="separate"/>
      </w:r>
      <w:r>
        <w:t>7</w:t>
      </w:r>
      <w:r>
        <w:fldChar w:fldCharType="end"/>
      </w:r>
      <w:r>
        <w:t xml:space="preserve"> If the function</w:t>
      </w:r>
      <w:bookmarkEnd w:id="19"/>
      <w:bookmarkEnd w:id="20"/>
    </w:p>
    <w:p>
      <w:r>
        <w:t>(Source: Author, 2022)</w:t>
      </w:r>
    </w:p>
    <w:p>
      <w:r>
        <w:t xml:space="preserve">Further, it can be observed that the profit has values in negative and positive both. To calculate the number of profit-making and loss-making. IF function was used. in this, the profit value checks by zero (0). If the profit value is greater than zero, it returns the true value which is profit making otherwise it returns false values which is loss-making. Through this, a new column is created. </w:t>
      </w:r>
    </w:p>
    <w:p>
      <w:r>
        <w:rPr>
          <w:lang w:val="en-IN" w:eastAsia="en-IN"/>
        </w:rPr>
        <w:drawing>
          <wp:inline distT="0" distB="0" distL="0" distR="0">
            <wp:extent cx="2689860" cy="78486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6"/>
                    <a:stretch>
                      <a:fillRect/>
                    </a:stretch>
                  </pic:blipFill>
                  <pic:spPr>
                    <a:xfrm>
                      <a:off x="0" y="0"/>
                      <a:ext cx="2690093" cy="784928"/>
                    </a:xfrm>
                    <a:prstGeom prst="rect">
                      <a:avLst/>
                    </a:prstGeom>
                  </pic:spPr>
                </pic:pic>
              </a:graphicData>
            </a:graphic>
          </wp:inline>
        </w:drawing>
      </w:r>
    </w:p>
    <w:p>
      <w:r>
        <w:t xml:space="preserve">After that, the pivot table is created as it makes it easier to calculate the count of the profit-making and loss-making. It shows 4135 counts for profit-making and 4264 for loss-making. </w:t>
      </w:r>
    </w:p>
    <w:p>
      <w:r>
        <w:t>After that, a pie chart is created to show the percentage of profit-making and loss-making. A pie chart is used as it clearly shows the result. The segment relationship in the data is illustrated through a pie chart. Imagine a pie chart (the variation is up to you), where each slice symbolizes an element and the entire is created by the combination of all the slices. Pies are frequently utilized because we all prefer things to be whole and understand how the many parts relate to the entire. When there are fewer observations, Excel's pie chart function is used to show the data. Additionally, each data point should be associated with a certain period. Whenever there are multiple data points or the data points relate to separate periods, a pie chart is inappropriate.</w:t>
      </w:r>
    </w:p>
    <w:p>
      <w:pPr>
        <w:keepNext/>
      </w:pPr>
      <w:r>
        <w:rPr>
          <w:lang w:val="en-IN" w:eastAsia="en-IN"/>
        </w:rPr>
        <w:drawing>
          <wp:inline distT="0" distB="0" distL="0" distR="0">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pPr>
        <w:pStyle w:val="7"/>
      </w:pPr>
      <w:bookmarkStart w:id="21" w:name="_Toc122537077"/>
      <w:bookmarkStart w:id="22" w:name="_Toc122536961"/>
      <w:r>
        <w:t xml:space="preserve">Figure </w:t>
      </w:r>
      <w:r>
        <w:fldChar w:fldCharType="begin"/>
      </w:r>
      <w:r>
        <w:instrText xml:space="preserve"> SEQ Figure \* ARABIC </w:instrText>
      </w:r>
      <w:r>
        <w:fldChar w:fldCharType="separate"/>
      </w:r>
      <w:r>
        <w:t>8</w:t>
      </w:r>
      <w:r>
        <w:fldChar w:fldCharType="end"/>
      </w:r>
      <w:r>
        <w:t xml:space="preserve"> profit making and loss making a pie chart</w:t>
      </w:r>
      <w:bookmarkEnd w:id="21"/>
      <w:bookmarkEnd w:id="22"/>
    </w:p>
    <w:p>
      <w:r>
        <w:t>(Source: Author, 2022)</w:t>
      </w:r>
      <w:r>
        <w:br w:type="textWrapping"/>
      </w:r>
      <w:r>
        <w:t xml:space="preserve">The above pie chart shows 49% of profit-making and 51 % of loss-making. It shows a good percentage of profit but the loss-making percentage is higher than the profit. It means that the superstore has not been making more profit. The superstore has been running into loss more than profit. </w:t>
      </w:r>
    </w:p>
    <w:p>
      <w:r>
        <w:t xml:space="preserve">Superstore needs to improve their sales growth the improving the percentage of profit-making and decreasing the percentage of loss-making. They can use offers and promotions in their superstore to attract more customers and improve their sales. </w:t>
      </w:r>
    </w:p>
    <w:p>
      <w:pPr>
        <w:spacing w:after="160"/>
      </w:pPr>
      <w:r>
        <w:br w:type="page"/>
      </w:r>
    </w:p>
    <w:p>
      <w:pPr>
        <w:pStyle w:val="2"/>
      </w:pPr>
      <w:bookmarkStart w:id="23" w:name="_Toc122537151"/>
      <w:r>
        <w:t>Part 2</w:t>
      </w:r>
      <w:bookmarkEnd w:id="23"/>
    </w:p>
    <w:p>
      <w:r>
        <w:t>SPSS is used to evaluate the result in the Ice_cream.xls dataset. It does not require the manual insertion of data. Data can be inserted directly through the import option. It provides an environment for visual modeling that support small models to complex models. It can analyze the data with easy instructions. It allows any type of data and creates a report in tabulated format, chats and trends as well as plot distribution.</w:t>
      </w:r>
    </w:p>
    <w:p>
      <w:r>
        <w:t>Ice_cream.xls has a dataset regarding ice cream flavor. It includes flavors such as vanilla, strawberry and chocolate. It also includes the score of the video game and puzzle. In the dataset, variables are defined as follows</w:t>
      </w:r>
    </w:p>
    <w:p>
      <w:r>
        <w:t>In gender, 0 refers to male and 1 refers to female</w:t>
      </w:r>
    </w:p>
    <w:p>
      <w:r>
        <w:t xml:space="preserve">In the ice-cream column, 1 refers to vanilla, 2 refers to chocolate and 3 refers to strawberry. </w:t>
      </w:r>
    </w:p>
    <w:p>
      <w:r>
        <w:t xml:space="preserve"> Some results were obtained after the analyses of the dataset. </w:t>
      </w:r>
    </w:p>
    <w:p>
      <w:r>
        <w:t>Following are the results of questions that were asked</w:t>
      </w:r>
    </w:p>
    <w:p>
      <w:pPr>
        <w:pStyle w:val="3"/>
      </w:pPr>
      <w:bookmarkStart w:id="24" w:name="_Toc122537152"/>
      <w:r>
        <w:t>2.1 Number of students who like vanilla flavor</w:t>
      </w:r>
      <w:bookmarkEnd w:id="24"/>
    </w:p>
    <w:p>
      <w:pPr>
        <w:autoSpaceDE w:val="0"/>
        <w:autoSpaceDN w:val="0"/>
        <w:adjustRightInd w:val="0"/>
        <w:rPr>
          <w:rFonts w:ascii="Arial" w:hAnsi="Arial" w:cs="Arial"/>
          <w:b/>
          <w:bCs/>
          <w:color w:val="000000"/>
          <w:sz w:val="26"/>
          <w:szCs w:val="26"/>
          <w:lang w:val="en-IN"/>
        </w:rPr>
      </w:pPr>
    </w:p>
    <w:p>
      <w:pPr>
        <w:autoSpaceDE w:val="0"/>
        <w:autoSpaceDN w:val="0"/>
        <w:adjustRightInd w:val="0"/>
        <w:rPr>
          <w:rFonts w:ascii="Arial" w:hAnsi="Arial" w:cs="Arial"/>
          <w:b/>
          <w:bCs/>
          <w:color w:val="000000"/>
          <w:sz w:val="26"/>
          <w:szCs w:val="26"/>
          <w:lang w:val="en-IN"/>
        </w:rPr>
      </w:pPr>
      <w:r>
        <w:rPr>
          <w:rFonts w:ascii="Arial" w:hAnsi="Arial" w:cs="Arial"/>
          <w:b/>
          <w:bCs/>
          <w:color w:val="000000"/>
          <w:sz w:val="26"/>
          <w:szCs w:val="26"/>
          <w:lang w:val="en-IN"/>
        </w:rPr>
        <w:t>Frequencies</w:t>
      </w:r>
    </w:p>
    <w:p>
      <w:pPr>
        <w:autoSpaceDE w:val="0"/>
        <w:autoSpaceDN w:val="0"/>
        <w:adjustRightInd w:val="0"/>
        <w:rPr>
          <w:szCs w:val="24"/>
          <w:lang w:val="en-IN"/>
        </w:rPr>
      </w:pPr>
    </w:p>
    <w:tbl>
      <w:tblPr>
        <w:tblStyle w:val="6"/>
        <w:tblW w:w="6548"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737"/>
        <w:gridCol w:w="737"/>
        <w:gridCol w:w="1169"/>
        <w:gridCol w:w="1030"/>
        <w:gridCol w:w="1399"/>
        <w:gridCol w:w="1476"/>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6544" w:type="dxa"/>
            <w:gridSpan w:val="6"/>
            <w:tcBorders>
              <w:top w:val="nil"/>
              <w:left w:val="nil"/>
              <w:bottom w:val="nil"/>
              <w:right w:val="nil"/>
            </w:tcBorders>
            <w:shd w:val="clear" w:color="auto" w:fill="FFFFFF"/>
            <w:vAlign w:val="center"/>
          </w:tcPr>
          <w:p>
            <w:pPr>
              <w:autoSpaceDE w:val="0"/>
              <w:autoSpaceDN w:val="0"/>
              <w:adjustRightInd w:val="0"/>
              <w:ind w:left="60" w:right="60"/>
              <w:jc w:val="center"/>
              <w:rPr>
                <w:rFonts w:ascii="Arial" w:hAnsi="Arial" w:cs="Arial"/>
                <w:color w:val="010205"/>
                <w:sz w:val="22"/>
                <w:szCs w:val="22"/>
                <w:lang w:val="en-IN"/>
              </w:rPr>
            </w:pPr>
            <w:r>
              <w:rPr>
                <w:rFonts w:ascii="Arial" w:hAnsi="Arial" w:cs="Arial"/>
                <w:b/>
                <w:bCs/>
                <w:color w:val="010205"/>
                <w:sz w:val="22"/>
                <w:szCs w:val="22"/>
                <w:lang w:val="en-IN"/>
              </w:rPr>
              <w:t>ice_cream</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474" w:type="dxa"/>
            <w:gridSpan w:val="2"/>
            <w:tcBorders>
              <w:top w:val="nil"/>
              <w:left w:val="nil"/>
              <w:bottom w:val="single" w:color="152935" w:sz="8" w:space="0"/>
              <w:right w:val="nil"/>
            </w:tcBorders>
            <w:shd w:val="clear" w:color="auto" w:fill="FFFFFF"/>
            <w:vAlign w:val="bottom"/>
          </w:tcPr>
          <w:p>
            <w:pPr>
              <w:autoSpaceDE w:val="0"/>
              <w:autoSpaceDN w:val="0"/>
              <w:adjustRightInd w:val="0"/>
              <w:rPr>
                <w:szCs w:val="24"/>
                <w:lang w:val="en-IN"/>
              </w:rPr>
            </w:pPr>
          </w:p>
        </w:tc>
        <w:tc>
          <w:tcPr>
            <w:tcW w:w="1168" w:type="dxa"/>
            <w:tcBorders>
              <w:top w:val="nil"/>
              <w:left w:val="nil"/>
              <w:bottom w:val="single" w:color="152935" w:sz="8" w:space="0"/>
              <w:right w:val="single" w:color="E0E0E0" w:sz="8" w:space="0"/>
            </w:tcBorders>
            <w:shd w:val="clear" w:color="auto" w:fill="FFFFFF"/>
            <w:vAlign w:val="bottom"/>
          </w:tcPr>
          <w:p>
            <w:pPr>
              <w:autoSpaceDE w:val="0"/>
              <w:autoSpaceDN w:val="0"/>
              <w:adjustRightInd w:val="0"/>
              <w:ind w:left="60" w:right="60"/>
              <w:jc w:val="center"/>
              <w:rPr>
                <w:rFonts w:ascii="Arial" w:hAnsi="Arial" w:cs="Arial"/>
                <w:color w:val="264A60"/>
                <w:sz w:val="18"/>
                <w:szCs w:val="18"/>
                <w:lang w:val="en-IN"/>
              </w:rPr>
            </w:pPr>
            <w:r>
              <w:rPr>
                <w:rFonts w:ascii="Arial" w:hAnsi="Arial" w:cs="Arial"/>
                <w:color w:val="264A60"/>
                <w:sz w:val="18"/>
                <w:szCs w:val="18"/>
                <w:lang w:val="en-IN"/>
              </w:rPr>
              <w:t>Frequency</w:t>
            </w:r>
          </w:p>
        </w:tc>
        <w:tc>
          <w:tcPr>
            <w:tcW w:w="1029" w:type="dxa"/>
            <w:tcBorders>
              <w:top w:val="nil"/>
              <w:left w:val="single" w:color="E0E0E0" w:sz="8" w:space="0"/>
              <w:bottom w:val="single" w:color="152935" w:sz="8" w:space="0"/>
              <w:right w:val="single" w:color="E0E0E0" w:sz="8" w:space="0"/>
            </w:tcBorders>
            <w:shd w:val="clear" w:color="auto" w:fill="FFFFFF"/>
            <w:vAlign w:val="bottom"/>
          </w:tcPr>
          <w:p>
            <w:pPr>
              <w:autoSpaceDE w:val="0"/>
              <w:autoSpaceDN w:val="0"/>
              <w:adjustRightInd w:val="0"/>
              <w:ind w:left="60" w:right="60"/>
              <w:jc w:val="center"/>
              <w:rPr>
                <w:rFonts w:ascii="Arial" w:hAnsi="Arial" w:cs="Arial"/>
                <w:color w:val="264A60"/>
                <w:sz w:val="18"/>
                <w:szCs w:val="18"/>
                <w:lang w:val="en-IN"/>
              </w:rPr>
            </w:pPr>
            <w:r>
              <w:rPr>
                <w:rFonts w:ascii="Arial" w:hAnsi="Arial" w:cs="Arial"/>
                <w:color w:val="264A60"/>
                <w:sz w:val="18"/>
                <w:szCs w:val="18"/>
                <w:lang w:val="en-IN"/>
              </w:rPr>
              <w:t>Percent</w:t>
            </w:r>
          </w:p>
        </w:tc>
        <w:tc>
          <w:tcPr>
            <w:tcW w:w="1398" w:type="dxa"/>
            <w:tcBorders>
              <w:top w:val="nil"/>
              <w:left w:val="single" w:color="E0E0E0" w:sz="8" w:space="0"/>
              <w:bottom w:val="single" w:color="152935" w:sz="8" w:space="0"/>
              <w:right w:val="single" w:color="E0E0E0" w:sz="8" w:space="0"/>
            </w:tcBorders>
            <w:shd w:val="clear" w:color="auto" w:fill="FFFFFF"/>
            <w:vAlign w:val="bottom"/>
          </w:tcPr>
          <w:p>
            <w:pPr>
              <w:autoSpaceDE w:val="0"/>
              <w:autoSpaceDN w:val="0"/>
              <w:adjustRightInd w:val="0"/>
              <w:ind w:left="60" w:right="60"/>
              <w:jc w:val="center"/>
              <w:rPr>
                <w:rFonts w:ascii="Arial" w:hAnsi="Arial" w:cs="Arial"/>
                <w:color w:val="264A60"/>
                <w:sz w:val="18"/>
                <w:szCs w:val="18"/>
                <w:lang w:val="en-IN"/>
              </w:rPr>
            </w:pPr>
            <w:r>
              <w:rPr>
                <w:rFonts w:ascii="Arial" w:hAnsi="Arial" w:cs="Arial"/>
                <w:color w:val="264A60"/>
                <w:sz w:val="18"/>
                <w:szCs w:val="18"/>
                <w:lang w:val="en-IN"/>
              </w:rPr>
              <w:t>Valid Percent</w:t>
            </w:r>
          </w:p>
        </w:tc>
        <w:tc>
          <w:tcPr>
            <w:tcW w:w="1475" w:type="dxa"/>
            <w:tcBorders>
              <w:top w:val="nil"/>
              <w:left w:val="single" w:color="E0E0E0" w:sz="8" w:space="0"/>
              <w:bottom w:val="single" w:color="152935" w:sz="8" w:space="0"/>
              <w:right w:val="nil"/>
            </w:tcBorders>
            <w:shd w:val="clear" w:color="auto" w:fill="FFFFFF"/>
            <w:vAlign w:val="bottom"/>
          </w:tcPr>
          <w:p>
            <w:pPr>
              <w:autoSpaceDE w:val="0"/>
              <w:autoSpaceDN w:val="0"/>
              <w:adjustRightInd w:val="0"/>
              <w:ind w:left="60" w:right="60"/>
              <w:jc w:val="center"/>
              <w:rPr>
                <w:rFonts w:ascii="Arial" w:hAnsi="Arial" w:cs="Arial"/>
                <w:color w:val="264A60"/>
                <w:sz w:val="18"/>
                <w:szCs w:val="18"/>
                <w:lang w:val="en-IN"/>
              </w:rPr>
            </w:pPr>
            <w:r>
              <w:rPr>
                <w:rFonts w:ascii="Arial" w:hAnsi="Arial" w:cs="Arial"/>
                <w:color w:val="264A60"/>
                <w:sz w:val="18"/>
                <w:szCs w:val="18"/>
                <w:lang w:val="en-IN"/>
              </w:rPr>
              <w:t>Cumulative Percent</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vMerge w:val="restart"/>
            <w:tcBorders>
              <w:top w:val="single" w:color="152935" w:sz="8" w:space="0"/>
              <w:left w:val="nil"/>
              <w:bottom w:val="single" w:color="152935" w:sz="8" w:space="0"/>
              <w:right w:val="nil"/>
            </w:tcBorders>
            <w:shd w:val="clear" w:color="auto" w:fill="E0E0E0"/>
          </w:tcPr>
          <w:p>
            <w:pPr>
              <w:autoSpaceDE w:val="0"/>
              <w:autoSpaceDN w:val="0"/>
              <w:adjustRightInd w:val="0"/>
              <w:ind w:left="60" w:right="60"/>
              <w:rPr>
                <w:rFonts w:ascii="Arial" w:hAnsi="Arial" w:cs="Arial"/>
                <w:color w:val="264A60"/>
                <w:sz w:val="18"/>
                <w:szCs w:val="18"/>
                <w:lang w:val="en-IN"/>
              </w:rPr>
            </w:pPr>
            <w:r>
              <w:rPr>
                <w:rFonts w:ascii="Arial" w:hAnsi="Arial" w:cs="Arial"/>
                <w:color w:val="264A60"/>
                <w:sz w:val="18"/>
                <w:szCs w:val="18"/>
                <w:lang w:val="en-IN"/>
              </w:rPr>
              <w:t>Valid</w:t>
            </w:r>
          </w:p>
        </w:tc>
        <w:tc>
          <w:tcPr>
            <w:tcW w:w="737" w:type="dxa"/>
            <w:tcBorders>
              <w:top w:val="single" w:color="152935" w:sz="8" w:space="0"/>
              <w:left w:val="nil"/>
              <w:bottom w:val="single" w:color="AEAEAE" w:sz="8" w:space="0"/>
              <w:right w:val="nil"/>
            </w:tcBorders>
            <w:shd w:val="clear" w:color="auto" w:fill="E0E0E0"/>
          </w:tcPr>
          <w:p>
            <w:pPr>
              <w:autoSpaceDE w:val="0"/>
              <w:autoSpaceDN w:val="0"/>
              <w:adjustRightInd w:val="0"/>
              <w:ind w:left="60" w:right="60"/>
              <w:rPr>
                <w:rFonts w:ascii="Arial" w:hAnsi="Arial" w:cs="Arial"/>
                <w:color w:val="264A60"/>
                <w:sz w:val="18"/>
                <w:szCs w:val="18"/>
                <w:lang w:val="en-IN"/>
              </w:rPr>
            </w:pPr>
            <w:r>
              <w:rPr>
                <w:rFonts w:ascii="Arial" w:hAnsi="Arial" w:cs="Arial"/>
                <w:color w:val="264A60"/>
                <w:sz w:val="18"/>
                <w:szCs w:val="18"/>
                <w:lang w:val="en-IN"/>
              </w:rPr>
              <w:t>1</w:t>
            </w:r>
          </w:p>
        </w:tc>
        <w:tc>
          <w:tcPr>
            <w:tcW w:w="1168" w:type="dxa"/>
            <w:tcBorders>
              <w:top w:val="single" w:color="152935" w:sz="8" w:space="0"/>
              <w:left w:val="nil"/>
              <w:bottom w:val="single" w:color="AEAEAE"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95</w:t>
            </w:r>
          </w:p>
        </w:tc>
        <w:tc>
          <w:tcPr>
            <w:tcW w:w="1029" w:type="dxa"/>
            <w:tcBorders>
              <w:top w:val="single" w:color="152935" w:sz="8" w:space="0"/>
              <w:left w:val="single" w:color="E0E0E0" w:sz="8" w:space="0"/>
              <w:bottom w:val="single" w:color="AEAEAE"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47.5</w:t>
            </w:r>
          </w:p>
        </w:tc>
        <w:tc>
          <w:tcPr>
            <w:tcW w:w="1398" w:type="dxa"/>
            <w:tcBorders>
              <w:top w:val="single" w:color="152935" w:sz="8" w:space="0"/>
              <w:left w:val="single" w:color="E0E0E0" w:sz="8" w:space="0"/>
              <w:bottom w:val="single" w:color="AEAEAE"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47.5</w:t>
            </w:r>
          </w:p>
        </w:tc>
        <w:tc>
          <w:tcPr>
            <w:tcW w:w="1475" w:type="dxa"/>
            <w:tcBorders>
              <w:top w:val="single" w:color="152935" w:sz="8" w:space="0"/>
              <w:left w:val="single" w:color="E0E0E0" w:sz="8" w:space="0"/>
              <w:bottom w:val="single" w:color="AEAEAE" w:sz="8" w:space="0"/>
              <w:right w:val="nil"/>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47.5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vMerge w:val="continue"/>
            <w:tcBorders>
              <w:top w:val="single" w:color="152935" w:sz="8" w:space="0"/>
              <w:left w:val="nil"/>
              <w:bottom w:val="single" w:color="152935" w:sz="8" w:space="0"/>
              <w:right w:val="nil"/>
            </w:tcBorders>
            <w:shd w:val="clear" w:color="auto" w:fill="E0E0E0"/>
          </w:tcPr>
          <w:p>
            <w:pPr>
              <w:autoSpaceDE w:val="0"/>
              <w:autoSpaceDN w:val="0"/>
              <w:adjustRightInd w:val="0"/>
              <w:rPr>
                <w:rFonts w:ascii="Arial" w:hAnsi="Arial" w:cs="Arial"/>
                <w:color w:val="010205"/>
                <w:sz w:val="18"/>
                <w:szCs w:val="18"/>
                <w:lang w:val="en-IN"/>
              </w:rPr>
            </w:pPr>
          </w:p>
        </w:tc>
        <w:tc>
          <w:tcPr>
            <w:tcW w:w="737" w:type="dxa"/>
            <w:tcBorders>
              <w:top w:val="single" w:color="AEAEAE" w:sz="8" w:space="0"/>
              <w:left w:val="nil"/>
              <w:bottom w:val="single" w:color="AEAEAE" w:sz="8" w:space="0"/>
              <w:right w:val="nil"/>
            </w:tcBorders>
            <w:shd w:val="clear" w:color="auto" w:fill="E0E0E0"/>
          </w:tcPr>
          <w:p>
            <w:pPr>
              <w:autoSpaceDE w:val="0"/>
              <w:autoSpaceDN w:val="0"/>
              <w:adjustRightInd w:val="0"/>
              <w:ind w:left="60" w:right="60"/>
              <w:rPr>
                <w:rFonts w:ascii="Arial" w:hAnsi="Arial" w:cs="Arial"/>
                <w:color w:val="264A60"/>
                <w:sz w:val="18"/>
                <w:szCs w:val="18"/>
                <w:lang w:val="en-IN"/>
              </w:rPr>
            </w:pPr>
            <w:r>
              <w:rPr>
                <w:rFonts w:ascii="Arial" w:hAnsi="Arial" w:cs="Arial"/>
                <w:color w:val="264A60"/>
                <w:sz w:val="18"/>
                <w:szCs w:val="18"/>
                <w:lang w:val="en-IN"/>
              </w:rPr>
              <w:t>2</w:t>
            </w:r>
          </w:p>
        </w:tc>
        <w:tc>
          <w:tcPr>
            <w:tcW w:w="1168" w:type="dxa"/>
            <w:tcBorders>
              <w:top w:val="single" w:color="AEAEAE" w:sz="8" w:space="0"/>
              <w:left w:val="nil"/>
              <w:bottom w:val="single" w:color="AEAEAE"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47</w:t>
            </w:r>
          </w:p>
        </w:tc>
        <w:tc>
          <w:tcPr>
            <w:tcW w:w="1029" w:type="dxa"/>
            <w:tcBorders>
              <w:top w:val="single" w:color="AEAEAE" w:sz="8" w:space="0"/>
              <w:left w:val="single" w:color="E0E0E0" w:sz="8" w:space="0"/>
              <w:bottom w:val="single" w:color="AEAEAE"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23.5</w:t>
            </w:r>
          </w:p>
        </w:tc>
        <w:tc>
          <w:tcPr>
            <w:tcW w:w="1398" w:type="dxa"/>
            <w:tcBorders>
              <w:top w:val="single" w:color="AEAEAE" w:sz="8" w:space="0"/>
              <w:left w:val="single" w:color="E0E0E0" w:sz="8" w:space="0"/>
              <w:bottom w:val="single" w:color="AEAEAE"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23.5</w:t>
            </w:r>
          </w:p>
        </w:tc>
        <w:tc>
          <w:tcPr>
            <w:tcW w:w="1475" w:type="dxa"/>
            <w:tcBorders>
              <w:top w:val="single" w:color="AEAEAE" w:sz="8" w:space="0"/>
              <w:left w:val="single" w:color="E0E0E0" w:sz="8" w:space="0"/>
              <w:bottom w:val="single" w:color="AEAEAE" w:sz="8" w:space="0"/>
              <w:right w:val="nil"/>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71.0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vMerge w:val="continue"/>
            <w:tcBorders>
              <w:top w:val="single" w:color="152935" w:sz="8" w:space="0"/>
              <w:left w:val="nil"/>
              <w:bottom w:val="single" w:color="152935" w:sz="8" w:space="0"/>
              <w:right w:val="nil"/>
            </w:tcBorders>
            <w:shd w:val="clear" w:color="auto" w:fill="E0E0E0"/>
          </w:tcPr>
          <w:p>
            <w:pPr>
              <w:autoSpaceDE w:val="0"/>
              <w:autoSpaceDN w:val="0"/>
              <w:adjustRightInd w:val="0"/>
              <w:rPr>
                <w:rFonts w:ascii="Arial" w:hAnsi="Arial" w:cs="Arial"/>
                <w:color w:val="010205"/>
                <w:sz w:val="18"/>
                <w:szCs w:val="18"/>
                <w:lang w:val="en-IN"/>
              </w:rPr>
            </w:pPr>
          </w:p>
        </w:tc>
        <w:tc>
          <w:tcPr>
            <w:tcW w:w="737" w:type="dxa"/>
            <w:tcBorders>
              <w:top w:val="single" w:color="AEAEAE" w:sz="8" w:space="0"/>
              <w:left w:val="nil"/>
              <w:bottom w:val="single" w:color="AEAEAE" w:sz="8" w:space="0"/>
              <w:right w:val="nil"/>
            </w:tcBorders>
            <w:shd w:val="clear" w:color="auto" w:fill="E0E0E0"/>
          </w:tcPr>
          <w:p>
            <w:pPr>
              <w:autoSpaceDE w:val="0"/>
              <w:autoSpaceDN w:val="0"/>
              <w:adjustRightInd w:val="0"/>
              <w:ind w:left="60" w:right="60"/>
              <w:rPr>
                <w:rFonts w:ascii="Arial" w:hAnsi="Arial" w:cs="Arial"/>
                <w:color w:val="264A60"/>
                <w:sz w:val="18"/>
                <w:szCs w:val="18"/>
                <w:lang w:val="en-IN"/>
              </w:rPr>
            </w:pPr>
            <w:r>
              <w:rPr>
                <w:rFonts w:ascii="Arial" w:hAnsi="Arial" w:cs="Arial"/>
                <w:color w:val="264A60"/>
                <w:sz w:val="18"/>
                <w:szCs w:val="18"/>
                <w:lang w:val="en-IN"/>
              </w:rPr>
              <w:t>3</w:t>
            </w:r>
          </w:p>
        </w:tc>
        <w:tc>
          <w:tcPr>
            <w:tcW w:w="1168" w:type="dxa"/>
            <w:tcBorders>
              <w:top w:val="single" w:color="AEAEAE" w:sz="8" w:space="0"/>
              <w:left w:val="nil"/>
              <w:bottom w:val="single" w:color="AEAEAE"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58</w:t>
            </w:r>
          </w:p>
        </w:tc>
        <w:tc>
          <w:tcPr>
            <w:tcW w:w="1029" w:type="dxa"/>
            <w:tcBorders>
              <w:top w:val="single" w:color="AEAEAE" w:sz="8" w:space="0"/>
              <w:left w:val="single" w:color="E0E0E0" w:sz="8" w:space="0"/>
              <w:bottom w:val="single" w:color="AEAEAE"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29.0</w:t>
            </w:r>
          </w:p>
        </w:tc>
        <w:tc>
          <w:tcPr>
            <w:tcW w:w="1398" w:type="dxa"/>
            <w:tcBorders>
              <w:top w:val="single" w:color="AEAEAE" w:sz="8" w:space="0"/>
              <w:left w:val="single" w:color="E0E0E0" w:sz="8" w:space="0"/>
              <w:bottom w:val="single" w:color="AEAEAE"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29.0</w:t>
            </w:r>
          </w:p>
        </w:tc>
        <w:tc>
          <w:tcPr>
            <w:tcW w:w="1475" w:type="dxa"/>
            <w:tcBorders>
              <w:top w:val="single" w:color="AEAEAE" w:sz="8" w:space="0"/>
              <w:left w:val="single" w:color="E0E0E0" w:sz="8" w:space="0"/>
              <w:bottom w:val="single" w:color="AEAEAE" w:sz="8" w:space="0"/>
              <w:right w:val="nil"/>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100.0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vMerge w:val="continue"/>
            <w:tcBorders>
              <w:top w:val="single" w:color="152935" w:sz="8" w:space="0"/>
              <w:left w:val="nil"/>
              <w:bottom w:val="single" w:color="152935" w:sz="8" w:space="0"/>
              <w:right w:val="nil"/>
            </w:tcBorders>
            <w:shd w:val="clear" w:color="auto" w:fill="E0E0E0"/>
          </w:tcPr>
          <w:p>
            <w:pPr>
              <w:autoSpaceDE w:val="0"/>
              <w:autoSpaceDN w:val="0"/>
              <w:adjustRightInd w:val="0"/>
              <w:rPr>
                <w:rFonts w:ascii="Arial" w:hAnsi="Arial" w:cs="Arial"/>
                <w:color w:val="010205"/>
                <w:sz w:val="18"/>
                <w:szCs w:val="18"/>
                <w:lang w:val="en-IN"/>
              </w:rPr>
            </w:pPr>
          </w:p>
        </w:tc>
        <w:tc>
          <w:tcPr>
            <w:tcW w:w="737" w:type="dxa"/>
            <w:tcBorders>
              <w:top w:val="single" w:color="AEAEAE" w:sz="8" w:space="0"/>
              <w:left w:val="nil"/>
              <w:bottom w:val="single" w:color="152935" w:sz="8" w:space="0"/>
              <w:right w:val="nil"/>
            </w:tcBorders>
            <w:shd w:val="clear" w:color="auto" w:fill="E0E0E0"/>
          </w:tcPr>
          <w:p>
            <w:pPr>
              <w:autoSpaceDE w:val="0"/>
              <w:autoSpaceDN w:val="0"/>
              <w:adjustRightInd w:val="0"/>
              <w:ind w:left="60" w:right="60"/>
              <w:rPr>
                <w:rFonts w:ascii="Arial" w:hAnsi="Arial" w:cs="Arial"/>
                <w:color w:val="264A60"/>
                <w:sz w:val="18"/>
                <w:szCs w:val="18"/>
                <w:lang w:val="en-IN"/>
              </w:rPr>
            </w:pPr>
            <w:r>
              <w:rPr>
                <w:rFonts w:ascii="Arial" w:hAnsi="Arial" w:cs="Arial"/>
                <w:color w:val="264A60"/>
                <w:sz w:val="18"/>
                <w:szCs w:val="18"/>
                <w:lang w:val="en-IN"/>
              </w:rPr>
              <w:t>Total</w:t>
            </w:r>
          </w:p>
        </w:tc>
        <w:tc>
          <w:tcPr>
            <w:tcW w:w="1168" w:type="dxa"/>
            <w:tcBorders>
              <w:top w:val="single" w:color="AEAEAE" w:sz="8" w:space="0"/>
              <w:left w:val="nil"/>
              <w:bottom w:val="single" w:color="152935"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200</w:t>
            </w:r>
          </w:p>
        </w:tc>
        <w:tc>
          <w:tcPr>
            <w:tcW w:w="1029" w:type="dxa"/>
            <w:tcBorders>
              <w:top w:val="single" w:color="AEAEAE" w:sz="8" w:space="0"/>
              <w:left w:val="single" w:color="E0E0E0" w:sz="8" w:space="0"/>
              <w:bottom w:val="single" w:color="152935"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100.0</w:t>
            </w:r>
          </w:p>
        </w:tc>
        <w:tc>
          <w:tcPr>
            <w:tcW w:w="1398" w:type="dxa"/>
            <w:tcBorders>
              <w:top w:val="single" w:color="AEAEAE" w:sz="8" w:space="0"/>
              <w:left w:val="single" w:color="E0E0E0" w:sz="8" w:space="0"/>
              <w:bottom w:val="single" w:color="152935"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100.0</w:t>
            </w:r>
          </w:p>
        </w:tc>
        <w:tc>
          <w:tcPr>
            <w:tcW w:w="1475" w:type="dxa"/>
            <w:tcBorders>
              <w:top w:val="single" w:color="AEAEAE" w:sz="8" w:space="0"/>
              <w:left w:val="single" w:color="E0E0E0" w:sz="8" w:space="0"/>
              <w:bottom w:val="single" w:color="152935" w:sz="8" w:space="0"/>
              <w:right w:val="nil"/>
            </w:tcBorders>
            <w:shd w:val="clear" w:color="auto" w:fill="FFFFFF"/>
            <w:vAlign w:val="center"/>
          </w:tcPr>
          <w:p>
            <w:pPr>
              <w:autoSpaceDE w:val="0"/>
              <w:autoSpaceDN w:val="0"/>
              <w:adjustRightInd w:val="0"/>
              <w:rPr>
                <w:szCs w:val="24"/>
                <w:lang w:val="en-IN"/>
              </w:rPr>
            </w:pPr>
          </w:p>
        </w:tc>
      </w:tr>
    </w:tbl>
    <w:p>
      <w:pPr>
        <w:autoSpaceDE w:val="0"/>
        <w:autoSpaceDN w:val="0"/>
        <w:adjustRightInd w:val="0"/>
        <w:rPr>
          <w:szCs w:val="24"/>
          <w:lang w:val="en-IN"/>
        </w:rPr>
      </w:pPr>
    </w:p>
    <w:p>
      <w:pPr>
        <w:keepNext/>
        <w:autoSpaceDE w:val="0"/>
        <w:autoSpaceDN w:val="0"/>
        <w:adjustRightInd w:val="0"/>
      </w:pPr>
      <w:r>
        <w:rPr>
          <w:szCs w:val="24"/>
          <w:lang w:val="en-IN" w:eastAsia="en-IN"/>
        </w:rPr>
        <w:drawing>
          <wp:inline distT="0" distB="0" distL="0" distR="0">
            <wp:extent cx="5974080" cy="351282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a:xfrm>
                      <a:off x="0" y="0"/>
                      <a:ext cx="5974080" cy="3512820"/>
                    </a:xfrm>
                    <a:prstGeom prst="rect">
                      <a:avLst/>
                    </a:prstGeom>
                    <a:noFill/>
                    <a:ln>
                      <a:noFill/>
                    </a:ln>
                  </pic:spPr>
                </pic:pic>
              </a:graphicData>
            </a:graphic>
          </wp:inline>
        </w:drawing>
      </w:r>
    </w:p>
    <w:p>
      <w:pPr>
        <w:pStyle w:val="7"/>
      </w:pPr>
      <w:bookmarkStart w:id="25" w:name="_Toc122537078"/>
      <w:bookmarkStart w:id="26" w:name="_Toc122536962"/>
      <w:r>
        <w:t xml:space="preserve">Figure </w:t>
      </w:r>
      <w:r>
        <w:fldChar w:fldCharType="begin"/>
      </w:r>
      <w:r>
        <w:instrText xml:space="preserve"> SEQ Figure \* ARABIC </w:instrText>
      </w:r>
      <w:r>
        <w:fldChar w:fldCharType="separate"/>
      </w:r>
      <w:r>
        <w:t>9</w:t>
      </w:r>
      <w:r>
        <w:fldChar w:fldCharType="end"/>
      </w:r>
      <w:r>
        <w:t xml:space="preserve"> number of ice-cream</w:t>
      </w:r>
      <w:bookmarkEnd w:id="25"/>
      <w:bookmarkEnd w:id="26"/>
    </w:p>
    <w:p>
      <w:r>
        <w:t>(Source: Author, 2022)</w:t>
      </w:r>
    </w:p>
    <w:p>
      <w:pPr>
        <w:autoSpaceDE w:val="0"/>
        <w:autoSpaceDN w:val="0"/>
        <w:adjustRightInd w:val="0"/>
        <w:rPr>
          <w:szCs w:val="24"/>
          <w:lang w:val="en-IN"/>
        </w:rPr>
      </w:pPr>
      <w:r>
        <w:rPr>
          <w:szCs w:val="24"/>
          <w:lang w:val="en-IN"/>
        </w:rPr>
        <w:t xml:space="preserve">For calculating the number of students who like which flavor the most, frequency statistics were used. It gives us the right number of times, a flavor occurs. In another word, it gives us the count of each flavor in tabular format and it also presents the result by the chart. The result can be concluded through a table or chart. </w:t>
      </w:r>
    </w:p>
    <w:p>
      <w:pPr>
        <w:autoSpaceDE w:val="0"/>
        <w:autoSpaceDN w:val="0"/>
        <w:adjustRightInd w:val="0"/>
        <w:rPr>
          <w:szCs w:val="24"/>
          <w:lang w:val="en-IN"/>
        </w:rPr>
      </w:pPr>
      <w:r>
        <w:rPr>
          <w:szCs w:val="24"/>
          <w:lang w:val="en-IN"/>
        </w:rPr>
        <w:t xml:space="preserve">As already mentioned, which number refers to which flavor? The number 1 refers to the vanilla flavor. 95 students who like vanilla who likes vanilla flavor. According to the result, it can also be concluded that the vanilla flavor was more liked flavor out of the other two flavours. </w:t>
      </w:r>
    </w:p>
    <w:p>
      <w:pPr>
        <w:pStyle w:val="3"/>
        <w:rPr>
          <w:lang w:val="en-IN"/>
        </w:rPr>
      </w:pPr>
      <w:bookmarkStart w:id="27" w:name="_Toc122537153"/>
      <w:r>
        <w:rPr>
          <w:lang w:val="en-IN"/>
        </w:rPr>
        <w:t>2.2 number of male and female</w:t>
      </w:r>
      <w:bookmarkEnd w:id="27"/>
    </w:p>
    <w:p>
      <w:pPr>
        <w:autoSpaceDE w:val="0"/>
        <w:autoSpaceDN w:val="0"/>
        <w:adjustRightInd w:val="0"/>
        <w:rPr>
          <w:rFonts w:ascii="Arial" w:hAnsi="Arial" w:cs="Arial"/>
          <w:b/>
          <w:bCs/>
          <w:color w:val="000000"/>
          <w:sz w:val="26"/>
          <w:szCs w:val="26"/>
          <w:lang w:val="en-IN"/>
        </w:rPr>
      </w:pPr>
    </w:p>
    <w:p>
      <w:pPr>
        <w:autoSpaceDE w:val="0"/>
        <w:autoSpaceDN w:val="0"/>
        <w:adjustRightInd w:val="0"/>
        <w:rPr>
          <w:rFonts w:ascii="Arial" w:hAnsi="Arial" w:cs="Arial"/>
          <w:b/>
          <w:bCs/>
          <w:color w:val="000000"/>
          <w:sz w:val="26"/>
          <w:szCs w:val="26"/>
          <w:lang w:val="en-IN"/>
        </w:rPr>
      </w:pPr>
      <w:r>
        <w:rPr>
          <w:rFonts w:ascii="Arial" w:hAnsi="Arial" w:cs="Arial"/>
          <w:b/>
          <w:bCs/>
          <w:color w:val="000000"/>
          <w:sz w:val="26"/>
          <w:szCs w:val="26"/>
          <w:lang w:val="en-IN"/>
        </w:rPr>
        <w:t>Frequencies</w:t>
      </w:r>
    </w:p>
    <w:p>
      <w:pPr>
        <w:autoSpaceDE w:val="0"/>
        <w:autoSpaceDN w:val="0"/>
        <w:adjustRightInd w:val="0"/>
        <w:rPr>
          <w:szCs w:val="24"/>
          <w:lang w:val="en-IN"/>
        </w:rPr>
      </w:pPr>
    </w:p>
    <w:tbl>
      <w:tblPr>
        <w:tblStyle w:val="6"/>
        <w:tblW w:w="6548"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737"/>
        <w:gridCol w:w="737"/>
        <w:gridCol w:w="1169"/>
        <w:gridCol w:w="1030"/>
        <w:gridCol w:w="1399"/>
        <w:gridCol w:w="1476"/>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6544" w:type="dxa"/>
            <w:gridSpan w:val="6"/>
            <w:tcBorders>
              <w:top w:val="nil"/>
              <w:left w:val="nil"/>
              <w:bottom w:val="nil"/>
              <w:right w:val="nil"/>
            </w:tcBorders>
            <w:shd w:val="clear" w:color="auto" w:fill="FFFFFF"/>
            <w:vAlign w:val="center"/>
          </w:tcPr>
          <w:p>
            <w:pPr>
              <w:autoSpaceDE w:val="0"/>
              <w:autoSpaceDN w:val="0"/>
              <w:adjustRightInd w:val="0"/>
              <w:ind w:left="60" w:right="60"/>
              <w:jc w:val="center"/>
              <w:rPr>
                <w:rFonts w:ascii="Arial" w:hAnsi="Arial" w:cs="Arial"/>
                <w:color w:val="010205"/>
                <w:sz w:val="22"/>
                <w:szCs w:val="22"/>
                <w:lang w:val="en-IN"/>
              </w:rPr>
            </w:pPr>
            <w:r>
              <w:rPr>
                <w:rFonts w:ascii="Arial" w:hAnsi="Arial" w:cs="Arial"/>
                <w:b/>
                <w:bCs/>
                <w:color w:val="010205"/>
                <w:sz w:val="22"/>
                <w:szCs w:val="22"/>
                <w:lang w:val="en-IN"/>
              </w:rPr>
              <w:t>Gender</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474" w:type="dxa"/>
            <w:gridSpan w:val="2"/>
            <w:tcBorders>
              <w:top w:val="nil"/>
              <w:left w:val="nil"/>
              <w:bottom w:val="single" w:color="152935" w:sz="8" w:space="0"/>
              <w:right w:val="nil"/>
            </w:tcBorders>
            <w:shd w:val="clear" w:color="auto" w:fill="FFFFFF"/>
            <w:vAlign w:val="bottom"/>
          </w:tcPr>
          <w:p>
            <w:pPr>
              <w:autoSpaceDE w:val="0"/>
              <w:autoSpaceDN w:val="0"/>
              <w:adjustRightInd w:val="0"/>
              <w:rPr>
                <w:szCs w:val="24"/>
                <w:lang w:val="en-IN"/>
              </w:rPr>
            </w:pPr>
          </w:p>
        </w:tc>
        <w:tc>
          <w:tcPr>
            <w:tcW w:w="1168" w:type="dxa"/>
            <w:tcBorders>
              <w:top w:val="nil"/>
              <w:left w:val="nil"/>
              <w:bottom w:val="single" w:color="152935" w:sz="8" w:space="0"/>
              <w:right w:val="single" w:color="E0E0E0" w:sz="8" w:space="0"/>
            </w:tcBorders>
            <w:shd w:val="clear" w:color="auto" w:fill="FFFFFF"/>
            <w:vAlign w:val="bottom"/>
          </w:tcPr>
          <w:p>
            <w:pPr>
              <w:autoSpaceDE w:val="0"/>
              <w:autoSpaceDN w:val="0"/>
              <w:adjustRightInd w:val="0"/>
              <w:ind w:left="60" w:right="60"/>
              <w:jc w:val="center"/>
              <w:rPr>
                <w:rFonts w:ascii="Arial" w:hAnsi="Arial" w:cs="Arial"/>
                <w:color w:val="264A60"/>
                <w:sz w:val="18"/>
                <w:szCs w:val="18"/>
                <w:lang w:val="en-IN"/>
              </w:rPr>
            </w:pPr>
            <w:r>
              <w:rPr>
                <w:rFonts w:ascii="Arial" w:hAnsi="Arial" w:cs="Arial"/>
                <w:color w:val="264A60"/>
                <w:sz w:val="18"/>
                <w:szCs w:val="18"/>
                <w:lang w:val="en-IN"/>
              </w:rPr>
              <w:t>Frequency</w:t>
            </w:r>
          </w:p>
        </w:tc>
        <w:tc>
          <w:tcPr>
            <w:tcW w:w="1029" w:type="dxa"/>
            <w:tcBorders>
              <w:top w:val="nil"/>
              <w:left w:val="single" w:color="E0E0E0" w:sz="8" w:space="0"/>
              <w:bottom w:val="single" w:color="152935" w:sz="8" w:space="0"/>
              <w:right w:val="single" w:color="E0E0E0" w:sz="8" w:space="0"/>
            </w:tcBorders>
            <w:shd w:val="clear" w:color="auto" w:fill="FFFFFF"/>
            <w:vAlign w:val="bottom"/>
          </w:tcPr>
          <w:p>
            <w:pPr>
              <w:autoSpaceDE w:val="0"/>
              <w:autoSpaceDN w:val="0"/>
              <w:adjustRightInd w:val="0"/>
              <w:ind w:left="60" w:right="60"/>
              <w:jc w:val="center"/>
              <w:rPr>
                <w:rFonts w:ascii="Arial" w:hAnsi="Arial" w:cs="Arial"/>
                <w:color w:val="264A60"/>
                <w:sz w:val="18"/>
                <w:szCs w:val="18"/>
                <w:lang w:val="en-IN"/>
              </w:rPr>
            </w:pPr>
            <w:r>
              <w:rPr>
                <w:rFonts w:ascii="Arial" w:hAnsi="Arial" w:cs="Arial"/>
                <w:color w:val="264A60"/>
                <w:sz w:val="18"/>
                <w:szCs w:val="18"/>
                <w:lang w:val="en-IN"/>
              </w:rPr>
              <w:t>Percent</w:t>
            </w:r>
          </w:p>
        </w:tc>
        <w:tc>
          <w:tcPr>
            <w:tcW w:w="1398" w:type="dxa"/>
            <w:tcBorders>
              <w:top w:val="nil"/>
              <w:left w:val="single" w:color="E0E0E0" w:sz="8" w:space="0"/>
              <w:bottom w:val="single" w:color="152935" w:sz="8" w:space="0"/>
              <w:right w:val="single" w:color="E0E0E0" w:sz="8" w:space="0"/>
            </w:tcBorders>
            <w:shd w:val="clear" w:color="auto" w:fill="FFFFFF"/>
            <w:vAlign w:val="bottom"/>
          </w:tcPr>
          <w:p>
            <w:pPr>
              <w:autoSpaceDE w:val="0"/>
              <w:autoSpaceDN w:val="0"/>
              <w:adjustRightInd w:val="0"/>
              <w:ind w:left="60" w:right="60"/>
              <w:jc w:val="center"/>
              <w:rPr>
                <w:rFonts w:ascii="Arial" w:hAnsi="Arial" w:cs="Arial"/>
                <w:color w:val="264A60"/>
                <w:sz w:val="18"/>
                <w:szCs w:val="18"/>
                <w:lang w:val="en-IN"/>
              </w:rPr>
            </w:pPr>
            <w:r>
              <w:rPr>
                <w:rFonts w:ascii="Arial" w:hAnsi="Arial" w:cs="Arial"/>
                <w:color w:val="264A60"/>
                <w:sz w:val="18"/>
                <w:szCs w:val="18"/>
                <w:lang w:val="en-IN"/>
              </w:rPr>
              <w:t>Valid Percent</w:t>
            </w:r>
          </w:p>
        </w:tc>
        <w:tc>
          <w:tcPr>
            <w:tcW w:w="1475" w:type="dxa"/>
            <w:tcBorders>
              <w:top w:val="nil"/>
              <w:left w:val="single" w:color="E0E0E0" w:sz="8" w:space="0"/>
              <w:bottom w:val="single" w:color="152935" w:sz="8" w:space="0"/>
              <w:right w:val="nil"/>
            </w:tcBorders>
            <w:shd w:val="clear" w:color="auto" w:fill="FFFFFF"/>
            <w:vAlign w:val="bottom"/>
          </w:tcPr>
          <w:p>
            <w:pPr>
              <w:autoSpaceDE w:val="0"/>
              <w:autoSpaceDN w:val="0"/>
              <w:adjustRightInd w:val="0"/>
              <w:ind w:left="60" w:right="60"/>
              <w:jc w:val="center"/>
              <w:rPr>
                <w:rFonts w:ascii="Arial" w:hAnsi="Arial" w:cs="Arial"/>
                <w:color w:val="264A60"/>
                <w:sz w:val="18"/>
                <w:szCs w:val="18"/>
                <w:lang w:val="en-IN"/>
              </w:rPr>
            </w:pPr>
            <w:r>
              <w:rPr>
                <w:rFonts w:ascii="Arial" w:hAnsi="Arial" w:cs="Arial"/>
                <w:color w:val="264A60"/>
                <w:sz w:val="18"/>
                <w:szCs w:val="18"/>
                <w:lang w:val="en-IN"/>
              </w:rPr>
              <w:t>Cumulative Percent</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vMerge w:val="restart"/>
            <w:tcBorders>
              <w:top w:val="single" w:color="152935" w:sz="8" w:space="0"/>
              <w:left w:val="nil"/>
              <w:bottom w:val="single" w:color="152935" w:sz="8" w:space="0"/>
              <w:right w:val="nil"/>
            </w:tcBorders>
            <w:shd w:val="clear" w:color="auto" w:fill="E0E0E0"/>
          </w:tcPr>
          <w:p>
            <w:pPr>
              <w:autoSpaceDE w:val="0"/>
              <w:autoSpaceDN w:val="0"/>
              <w:adjustRightInd w:val="0"/>
              <w:ind w:left="60" w:right="60"/>
              <w:rPr>
                <w:rFonts w:ascii="Arial" w:hAnsi="Arial" w:cs="Arial"/>
                <w:color w:val="264A60"/>
                <w:sz w:val="18"/>
                <w:szCs w:val="18"/>
                <w:lang w:val="en-IN"/>
              </w:rPr>
            </w:pPr>
            <w:r>
              <w:rPr>
                <w:rFonts w:ascii="Arial" w:hAnsi="Arial" w:cs="Arial"/>
                <w:color w:val="264A60"/>
                <w:sz w:val="18"/>
                <w:szCs w:val="18"/>
                <w:lang w:val="en-IN"/>
              </w:rPr>
              <w:t>Valid</w:t>
            </w:r>
          </w:p>
        </w:tc>
        <w:tc>
          <w:tcPr>
            <w:tcW w:w="737" w:type="dxa"/>
            <w:tcBorders>
              <w:top w:val="single" w:color="152935" w:sz="8" w:space="0"/>
              <w:left w:val="nil"/>
              <w:bottom w:val="single" w:color="AEAEAE" w:sz="8" w:space="0"/>
              <w:right w:val="nil"/>
            </w:tcBorders>
            <w:shd w:val="clear" w:color="auto" w:fill="E0E0E0"/>
          </w:tcPr>
          <w:p>
            <w:pPr>
              <w:autoSpaceDE w:val="0"/>
              <w:autoSpaceDN w:val="0"/>
              <w:adjustRightInd w:val="0"/>
              <w:ind w:left="60" w:right="60"/>
              <w:rPr>
                <w:rFonts w:ascii="Arial" w:hAnsi="Arial" w:cs="Arial"/>
                <w:color w:val="264A60"/>
                <w:sz w:val="18"/>
                <w:szCs w:val="18"/>
                <w:lang w:val="en-IN"/>
              </w:rPr>
            </w:pPr>
            <w:r>
              <w:rPr>
                <w:rFonts w:ascii="Arial" w:hAnsi="Arial" w:cs="Arial"/>
                <w:color w:val="264A60"/>
                <w:sz w:val="18"/>
                <w:szCs w:val="18"/>
                <w:lang w:val="en-IN"/>
              </w:rPr>
              <w:t>0</w:t>
            </w:r>
          </w:p>
        </w:tc>
        <w:tc>
          <w:tcPr>
            <w:tcW w:w="1168" w:type="dxa"/>
            <w:tcBorders>
              <w:top w:val="single" w:color="152935" w:sz="8" w:space="0"/>
              <w:left w:val="nil"/>
              <w:bottom w:val="single" w:color="AEAEAE"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91</w:t>
            </w:r>
          </w:p>
        </w:tc>
        <w:tc>
          <w:tcPr>
            <w:tcW w:w="1029" w:type="dxa"/>
            <w:tcBorders>
              <w:top w:val="single" w:color="152935" w:sz="8" w:space="0"/>
              <w:left w:val="single" w:color="E0E0E0" w:sz="8" w:space="0"/>
              <w:bottom w:val="single" w:color="AEAEAE"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45.5</w:t>
            </w:r>
          </w:p>
        </w:tc>
        <w:tc>
          <w:tcPr>
            <w:tcW w:w="1398" w:type="dxa"/>
            <w:tcBorders>
              <w:top w:val="single" w:color="152935" w:sz="8" w:space="0"/>
              <w:left w:val="single" w:color="E0E0E0" w:sz="8" w:space="0"/>
              <w:bottom w:val="single" w:color="AEAEAE"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45.5</w:t>
            </w:r>
          </w:p>
        </w:tc>
        <w:tc>
          <w:tcPr>
            <w:tcW w:w="1475" w:type="dxa"/>
            <w:tcBorders>
              <w:top w:val="single" w:color="152935" w:sz="8" w:space="0"/>
              <w:left w:val="single" w:color="E0E0E0" w:sz="8" w:space="0"/>
              <w:bottom w:val="single" w:color="AEAEAE" w:sz="8" w:space="0"/>
              <w:right w:val="nil"/>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45.5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vMerge w:val="continue"/>
            <w:tcBorders>
              <w:top w:val="single" w:color="152935" w:sz="8" w:space="0"/>
              <w:left w:val="nil"/>
              <w:bottom w:val="single" w:color="152935" w:sz="8" w:space="0"/>
              <w:right w:val="nil"/>
            </w:tcBorders>
            <w:shd w:val="clear" w:color="auto" w:fill="E0E0E0"/>
          </w:tcPr>
          <w:p>
            <w:pPr>
              <w:autoSpaceDE w:val="0"/>
              <w:autoSpaceDN w:val="0"/>
              <w:adjustRightInd w:val="0"/>
              <w:rPr>
                <w:rFonts w:ascii="Arial" w:hAnsi="Arial" w:cs="Arial"/>
                <w:color w:val="010205"/>
                <w:sz w:val="18"/>
                <w:szCs w:val="18"/>
                <w:lang w:val="en-IN"/>
              </w:rPr>
            </w:pPr>
          </w:p>
        </w:tc>
        <w:tc>
          <w:tcPr>
            <w:tcW w:w="737" w:type="dxa"/>
            <w:tcBorders>
              <w:top w:val="single" w:color="AEAEAE" w:sz="8" w:space="0"/>
              <w:left w:val="nil"/>
              <w:bottom w:val="single" w:color="AEAEAE" w:sz="8" w:space="0"/>
              <w:right w:val="nil"/>
            </w:tcBorders>
            <w:shd w:val="clear" w:color="auto" w:fill="E0E0E0"/>
          </w:tcPr>
          <w:p>
            <w:pPr>
              <w:autoSpaceDE w:val="0"/>
              <w:autoSpaceDN w:val="0"/>
              <w:adjustRightInd w:val="0"/>
              <w:ind w:left="60" w:right="60"/>
              <w:rPr>
                <w:rFonts w:ascii="Arial" w:hAnsi="Arial" w:cs="Arial"/>
                <w:color w:val="264A60"/>
                <w:sz w:val="18"/>
                <w:szCs w:val="18"/>
                <w:lang w:val="en-IN"/>
              </w:rPr>
            </w:pPr>
            <w:r>
              <w:rPr>
                <w:rFonts w:ascii="Arial" w:hAnsi="Arial" w:cs="Arial"/>
                <w:color w:val="264A60"/>
                <w:sz w:val="18"/>
                <w:szCs w:val="18"/>
                <w:lang w:val="en-IN"/>
              </w:rPr>
              <w:t>1</w:t>
            </w:r>
          </w:p>
        </w:tc>
        <w:tc>
          <w:tcPr>
            <w:tcW w:w="1168" w:type="dxa"/>
            <w:tcBorders>
              <w:top w:val="single" w:color="AEAEAE" w:sz="8" w:space="0"/>
              <w:left w:val="nil"/>
              <w:bottom w:val="single" w:color="AEAEAE"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109</w:t>
            </w:r>
          </w:p>
        </w:tc>
        <w:tc>
          <w:tcPr>
            <w:tcW w:w="1029" w:type="dxa"/>
            <w:tcBorders>
              <w:top w:val="single" w:color="AEAEAE" w:sz="8" w:space="0"/>
              <w:left w:val="single" w:color="E0E0E0" w:sz="8" w:space="0"/>
              <w:bottom w:val="single" w:color="AEAEAE"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54.5</w:t>
            </w:r>
          </w:p>
        </w:tc>
        <w:tc>
          <w:tcPr>
            <w:tcW w:w="1398" w:type="dxa"/>
            <w:tcBorders>
              <w:top w:val="single" w:color="AEAEAE" w:sz="8" w:space="0"/>
              <w:left w:val="single" w:color="E0E0E0" w:sz="8" w:space="0"/>
              <w:bottom w:val="single" w:color="AEAEAE"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54.5</w:t>
            </w:r>
          </w:p>
        </w:tc>
        <w:tc>
          <w:tcPr>
            <w:tcW w:w="1475" w:type="dxa"/>
            <w:tcBorders>
              <w:top w:val="single" w:color="AEAEAE" w:sz="8" w:space="0"/>
              <w:left w:val="single" w:color="E0E0E0" w:sz="8" w:space="0"/>
              <w:bottom w:val="single" w:color="AEAEAE" w:sz="8" w:space="0"/>
              <w:right w:val="nil"/>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100.0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vMerge w:val="continue"/>
            <w:tcBorders>
              <w:top w:val="single" w:color="152935" w:sz="8" w:space="0"/>
              <w:left w:val="nil"/>
              <w:bottom w:val="single" w:color="152935" w:sz="8" w:space="0"/>
              <w:right w:val="nil"/>
            </w:tcBorders>
            <w:shd w:val="clear" w:color="auto" w:fill="E0E0E0"/>
          </w:tcPr>
          <w:p>
            <w:pPr>
              <w:autoSpaceDE w:val="0"/>
              <w:autoSpaceDN w:val="0"/>
              <w:adjustRightInd w:val="0"/>
              <w:rPr>
                <w:rFonts w:ascii="Arial" w:hAnsi="Arial" w:cs="Arial"/>
                <w:color w:val="010205"/>
                <w:sz w:val="18"/>
                <w:szCs w:val="18"/>
                <w:lang w:val="en-IN"/>
              </w:rPr>
            </w:pPr>
          </w:p>
        </w:tc>
        <w:tc>
          <w:tcPr>
            <w:tcW w:w="737" w:type="dxa"/>
            <w:tcBorders>
              <w:top w:val="single" w:color="AEAEAE" w:sz="8" w:space="0"/>
              <w:left w:val="nil"/>
              <w:bottom w:val="single" w:color="152935" w:sz="8" w:space="0"/>
              <w:right w:val="nil"/>
            </w:tcBorders>
            <w:shd w:val="clear" w:color="auto" w:fill="E0E0E0"/>
          </w:tcPr>
          <w:p>
            <w:pPr>
              <w:autoSpaceDE w:val="0"/>
              <w:autoSpaceDN w:val="0"/>
              <w:adjustRightInd w:val="0"/>
              <w:ind w:left="60" w:right="60"/>
              <w:rPr>
                <w:rFonts w:ascii="Arial" w:hAnsi="Arial" w:cs="Arial"/>
                <w:color w:val="264A60"/>
                <w:sz w:val="18"/>
                <w:szCs w:val="18"/>
                <w:lang w:val="en-IN"/>
              </w:rPr>
            </w:pPr>
            <w:r>
              <w:rPr>
                <w:rFonts w:ascii="Arial" w:hAnsi="Arial" w:cs="Arial"/>
                <w:color w:val="264A60"/>
                <w:sz w:val="18"/>
                <w:szCs w:val="18"/>
                <w:lang w:val="en-IN"/>
              </w:rPr>
              <w:t>Total</w:t>
            </w:r>
          </w:p>
        </w:tc>
        <w:tc>
          <w:tcPr>
            <w:tcW w:w="1168" w:type="dxa"/>
            <w:tcBorders>
              <w:top w:val="single" w:color="AEAEAE" w:sz="8" w:space="0"/>
              <w:left w:val="nil"/>
              <w:bottom w:val="single" w:color="152935"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200</w:t>
            </w:r>
          </w:p>
        </w:tc>
        <w:tc>
          <w:tcPr>
            <w:tcW w:w="1029" w:type="dxa"/>
            <w:tcBorders>
              <w:top w:val="single" w:color="AEAEAE" w:sz="8" w:space="0"/>
              <w:left w:val="single" w:color="E0E0E0" w:sz="8" w:space="0"/>
              <w:bottom w:val="single" w:color="152935"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100.0</w:t>
            </w:r>
          </w:p>
        </w:tc>
        <w:tc>
          <w:tcPr>
            <w:tcW w:w="1398" w:type="dxa"/>
            <w:tcBorders>
              <w:top w:val="single" w:color="AEAEAE" w:sz="8" w:space="0"/>
              <w:left w:val="single" w:color="E0E0E0" w:sz="8" w:space="0"/>
              <w:bottom w:val="single" w:color="152935"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100.0</w:t>
            </w:r>
          </w:p>
        </w:tc>
        <w:tc>
          <w:tcPr>
            <w:tcW w:w="1475" w:type="dxa"/>
            <w:tcBorders>
              <w:top w:val="single" w:color="AEAEAE" w:sz="8" w:space="0"/>
              <w:left w:val="single" w:color="E0E0E0" w:sz="8" w:space="0"/>
              <w:bottom w:val="single" w:color="152935" w:sz="8" w:space="0"/>
              <w:right w:val="nil"/>
            </w:tcBorders>
            <w:shd w:val="clear" w:color="auto" w:fill="FFFFFF"/>
            <w:vAlign w:val="center"/>
          </w:tcPr>
          <w:p>
            <w:pPr>
              <w:autoSpaceDE w:val="0"/>
              <w:autoSpaceDN w:val="0"/>
              <w:adjustRightInd w:val="0"/>
              <w:rPr>
                <w:szCs w:val="24"/>
                <w:lang w:val="en-IN"/>
              </w:rPr>
            </w:pPr>
          </w:p>
        </w:tc>
      </w:tr>
    </w:tbl>
    <w:p>
      <w:pPr>
        <w:autoSpaceDE w:val="0"/>
        <w:autoSpaceDN w:val="0"/>
        <w:adjustRightInd w:val="0"/>
        <w:rPr>
          <w:szCs w:val="24"/>
          <w:lang w:val="en-IN"/>
        </w:rPr>
      </w:pPr>
    </w:p>
    <w:p>
      <w:pPr>
        <w:keepNext/>
        <w:autoSpaceDE w:val="0"/>
        <w:autoSpaceDN w:val="0"/>
        <w:adjustRightInd w:val="0"/>
      </w:pPr>
      <w:r>
        <w:rPr>
          <w:szCs w:val="24"/>
          <w:lang w:val="en-IN" w:eastAsia="en-IN"/>
        </w:rPr>
        <w:drawing>
          <wp:inline distT="0" distB="0" distL="0" distR="0">
            <wp:extent cx="5974080" cy="3512820"/>
            <wp:effectExtent l="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a:xfrm>
                      <a:off x="0" y="0"/>
                      <a:ext cx="5974080" cy="3512820"/>
                    </a:xfrm>
                    <a:prstGeom prst="rect">
                      <a:avLst/>
                    </a:prstGeom>
                    <a:noFill/>
                    <a:ln>
                      <a:noFill/>
                    </a:ln>
                  </pic:spPr>
                </pic:pic>
              </a:graphicData>
            </a:graphic>
          </wp:inline>
        </w:drawing>
      </w:r>
    </w:p>
    <w:p>
      <w:pPr>
        <w:pStyle w:val="7"/>
      </w:pPr>
      <w:bookmarkStart w:id="28" w:name="_Toc122536963"/>
      <w:bookmarkStart w:id="29" w:name="_Toc122537079"/>
      <w:r>
        <w:t xml:space="preserve">Figure </w:t>
      </w:r>
      <w:r>
        <w:fldChar w:fldCharType="begin"/>
      </w:r>
      <w:r>
        <w:instrText xml:space="preserve"> SEQ Figure \* ARABIC </w:instrText>
      </w:r>
      <w:r>
        <w:fldChar w:fldCharType="separate"/>
      </w:r>
      <w:r>
        <w:t>10</w:t>
      </w:r>
      <w:r>
        <w:fldChar w:fldCharType="end"/>
      </w:r>
      <w:r>
        <w:t xml:space="preserve"> Pie chart to show the number of male and female</w:t>
      </w:r>
      <w:bookmarkEnd w:id="28"/>
      <w:bookmarkEnd w:id="29"/>
    </w:p>
    <w:p>
      <w:r>
        <w:t>(Source: Author, 2022)</w:t>
      </w:r>
    </w:p>
    <w:p>
      <w:pPr>
        <w:rPr>
          <w:lang w:val="en-IN"/>
        </w:rPr>
      </w:pPr>
      <w:r>
        <w:rPr>
          <w:lang w:val="en-IN"/>
        </w:rPr>
        <w:t xml:space="preserve">Now, to find the total number of males and females in the dataset, frequency statistics are performed. The column gender contains values in binary format. Here, 0 refers to male and 1 refers to female. According to the result, it can interpret that there is a total of 109 female students and 91 male students. Female students are more than male students. </w:t>
      </w:r>
    </w:p>
    <w:p>
      <w:pPr>
        <w:rPr>
          <w:lang w:val="en-IN"/>
        </w:rPr>
      </w:pPr>
    </w:p>
    <w:p>
      <w:pPr>
        <w:rPr>
          <w:b/>
          <w:lang w:val="en-IN"/>
        </w:rPr>
      </w:pPr>
      <w:r>
        <w:rPr>
          <w:b/>
          <w:lang w:val="en-IN"/>
        </w:rPr>
        <w:t>2.3 The question was wrong, the result cannot be calculated</w:t>
      </w:r>
    </w:p>
    <w:p>
      <w:pPr>
        <w:pStyle w:val="3"/>
        <w:rPr>
          <w:lang w:val="en-IN"/>
        </w:rPr>
      </w:pPr>
      <w:bookmarkStart w:id="30" w:name="_Toc122537154"/>
      <w:r>
        <w:rPr>
          <w:lang w:val="en-IN"/>
        </w:rPr>
        <w:t>2.4 K-means clustering</w:t>
      </w:r>
      <w:bookmarkEnd w:id="30"/>
      <w:r>
        <w:rPr>
          <w:lang w:val="en-IN"/>
        </w:rPr>
        <w:t xml:space="preserve"> </w:t>
      </w:r>
    </w:p>
    <w:p>
      <w:pPr>
        <w:rPr>
          <w:lang w:val="en-IN"/>
        </w:rPr>
      </w:pPr>
      <w:r>
        <w:rPr>
          <w:lang w:val="en-IN"/>
        </w:rPr>
        <w:t>The centroids are calculated by the K-means gathering method, that then repeats till it discoveries the perfect centroid. It assumes that there are presently identified quantities of bunches. The flat cluster is one more name for it. It stands for the figure of clusters that the procedure was capable to recognize from the data.</w:t>
      </w:r>
    </w:p>
    <w:p>
      <w:pPr>
        <w:rPr>
          <w:lang w:val="en-IN"/>
        </w:rPr>
      </w:pPr>
      <w:r>
        <w:rPr>
          <w:lang w:val="en-IN"/>
        </w:rPr>
        <w:t>This procedure places the data opinions in clusters so that the whole squared distances among the data points and the centroid are as minor as possible. Fewer diversity inside the clusters will outcome in more identical data opinions inside the similar cluster, as should be agreed (Jahwar and Abdulazeez, 2020).</w:t>
      </w:r>
    </w:p>
    <w:p>
      <w:pPr>
        <w:autoSpaceDE w:val="0"/>
        <w:autoSpaceDN w:val="0"/>
        <w:adjustRightInd w:val="0"/>
        <w:rPr>
          <w:szCs w:val="24"/>
          <w:lang w:val="en-IN"/>
        </w:rPr>
      </w:pPr>
      <w:r>
        <w:rPr>
          <w:szCs w:val="24"/>
          <w:lang w:val="en-IN"/>
        </w:rPr>
        <w:t xml:space="preserve">The k-means clustering method was performed on the ice cream column. </w:t>
      </w:r>
    </w:p>
    <w:p>
      <w:pPr>
        <w:autoSpaceDE w:val="0"/>
        <w:autoSpaceDN w:val="0"/>
        <w:adjustRightInd w:val="0"/>
        <w:rPr>
          <w:rFonts w:ascii="Arial" w:hAnsi="Arial" w:cs="Arial"/>
          <w:b/>
          <w:bCs/>
          <w:color w:val="000000"/>
          <w:sz w:val="26"/>
          <w:szCs w:val="26"/>
          <w:lang w:val="en-IN"/>
        </w:rPr>
      </w:pPr>
    </w:p>
    <w:p>
      <w:pPr>
        <w:rPr>
          <w:b/>
          <w:lang w:val="en-IN"/>
        </w:rPr>
      </w:pPr>
      <w:r>
        <w:rPr>
          <w:b/>
          <w:lang w:val="en-IN"/>
        </w:rPr>
        <w:t>Quick Cluster</w:t>
      </w:r>
    </w:p>
    <w:p>
      <w:pPr>
        <w:autoSpaceDE w:val="0"/>
        <w:autoSpaceDN w:val="0"/>
        <w:adjustRightInd w:val="0"/>
        <w:rPr>
          <w:szCs w:val="24"/>
          <w:lang w:val="en-IN"/>
        </w:rPr>
      </w:pPr>
    </w:p>
    <w:tbl>
      <w:tblPr>
        <w:tblStyle w:val="6"/>
        <w:tblW w:w="4273"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1183"/>
        <w:gridCol w:w="1030"/>
        <w:gridCol w:w="1030"/>
        <w:gridCol w:w="103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4270" w:type="dxa"/>
            <w:gridSpan w:val="4"/>
            <w:tcBorders>
              <w:top w:val="nil"/>
              <w:left w:val="nil"/>
              <w:bottom w:val="nil"/>
              <w:right w:val="nil"/>
            </w:tcBorders>
            <w:shd w:val="clear" w:color="auto" w:fill="FFFFFF"/>
            <w:vAlign w:val="center"/>
          </w:tcPr>
          <w:p>
            <w:pPr>
              <w:autoSpaceDE w:val="0"/>
              <w:autoSpaceDN w:val="0"/>
              <w:adjustRightInd w:val="0"/>
              <w:ind w:left="60" w:right="60"/>
              <w:jc w:val="center"/>
              <w:rPr>
                <w:rFonts w:ascii="Arial" w:hAnsi="Arial" w:cs="Arial"/>
                <w:color w:val="010205"/>
                <w:sz w:val="22"/>
                <w:szCs w:val="22"/>
                <w:lang w:val="en-IN"/>
              </w:rPr>
            </w:pPr>
            <w:r>
              <w:rPr>
                <w:rFonts w:ascii="Arial" w:hAnsi="Arial" w:cs="Arial"/>
                <w:b/>
                <w:bCs/>
                <w:color w:val="010205"/>
                <w:sz w:val="22"/>
                <w:szCs w:val="22"/>
                <w:lang w:val="en-IN"/>
              </w:rPr>
              <w:t>Initial Cluster Centers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183" w:type="dxa"/>
            <w:vMerge w:val="restart"/>
            <w:tcBorders>
              <w:top w:val="nil"/>
              <w:left w:val="nil"/>
              <w:bottom w:val="nil"/>
              <w:right w:val="nil"/>
            </w:tcBorders>
            <w:shd w:val="clear" w:color="auto" w:fill="FFFFFF"/>
            <w:vAlign w:val="bottom"/>
          </w:tcPr>
          <w:p>
            <w:pPr>
              <w:autoSpaceDE w:val="0"/>
              <w:autoSpaceDN w:val="0"/>
              <w:adjustRightInd w:val="0"/>
              <w:rPr>
                <w:szCs w:val="24"/>
                <w:lang w:val="en-IN"/>
              </w:rPr>
            </w:pPr>
          </w:p>
        </w:tc>
        <w:tc>
          <w:tcPr>
            <w:tcW w:w="3087" w:type="dxa"/>
            <w:gridSpan w:val="3"/>
            <w:tcBorders>
              <w:top w:val="nil"/>
              <w:left w:val="nil"/>
              <w:bottom w:val="nil"/>
              <w:right w:val="nil"/>
            </w:tcBorders>
            <w:shd w:val="clear" w:color="auto" w:fill="FFFFFF"/>
            <w:vAlign w:val="bottom"/>
          </w:tcPr>
          <w:p>
            <w:pPr>
              <w:autoSpaceDE w:val="0"/>
              <w:autoSpaceDN w:val="0"/>
              <w:adjustRightInd w:val="0"/>
              <w:ind w:left="60" w:right="60"/>
              <w:jc w:val="center"/>
              <w:rPr>
                <w:rFonts w:ascii="Arial" w:hAnsi="Arial" w:cs="Arial"/>
                <w:color w:val="264A60"/>
                <w:sz w:val="18"/>
                <w:szCs w:val="18"/>
                <w:lang w:val="en-IN"/>
              </w:rPr>
            </w:pPr>
            <w:r>
              <w:rPr>
                <w:rFonts w:ascii="Arial" w:hAnsi="Arial" w:cs="Arial"/>
                <w:color w:val="264A60"/>
                <w:sz w:val="18"/>
                <w:szCs w:val="18"/>
                <w:lang w:val="en-IN"/>
              </w:rPr>
              <w:t>Cluster</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183" w:type="dxa"/>
            <w:vMerge w:val="continue"/>
            <w:tcBorders>
              <w:top w:val="nil"/>
              <w:left w:val="nil"/>
              <w:bottom w:val="nil"/>
              <w:right w:val="nil"/>
            </w:tcBorders>
            <w:shd w:val="clear" w:color="auto" w:fill="FFFFFF"/>
            <w:vAlign w:val="bottom"/>
          </w:tcPr>
          <w:p>
            <w:pPr>
              <w:autoSpaceDE w:val="0"/>
              <w:autoSpaceDN w:val="0"/>
              <w:adjustRightInd w:val="0"/>
              <w:rPr>
                <w:rFonts w:ascii="Arial" w:hAnsi="Arial" w:cs="Arial"/>
                <w:color w:val="264A60"/>
                <w:sz w:val="18"/>
                <w:szCs w:val="18"/>
                <w:lang w:val="en-IN"/>
              </w:rPr>
            </w:pPr>
          </w:p>
        </w:tc>
        <w:tc>
          <w:tcPr>
            <w:tcW w:w="1029" w:type="dxa"/>
            <w:tcBorders>
              <w:top w:val="nil"/>
              <w:left w:val="nil"/>
              <w:bottom w:val="single" w:color="152935" w:sz="8" w:space="0"/>
              <w:right w:val="single" w:color="E0E0E0" w:sz="8" w:space="0"/>
            </w:tcBorders>
            <w:shd w:val="clear" w:color="auto" w:fill="FFFFFF"/>
            <w:vAlign w:val="bottom"/>
          </w:tcPr>
          <w:p>
            <w:pPr>
              <w:autoSpaceDE w:val="0"/>
              <w:autoSpaceDN w:val="0"/>
              <w:adjustRightInd w:val="0"/>
              <w:ind w:left="60" w:right="60"/>
              <w:jc w:val="center"/>
              <w:rPr>
                <w:rFonts w:ascii="Arial" w:hAnsi="Arial" w:cs="Arial"/>
                <w:color w:val="264A60"/>
                <w:sz w:val="18"/>
                <w:szCs w:val="18"/>
                <w:lang w:val="en-IN"/>
              </w:rPr>
            </w:pPr>
            <w:r>
              <w:rPr>
                <w:rFonts w:ascii="Arial" w:hAnsi="Arial" w:cs="Arial"/>
                <w:color w:val="264A60"/>
                <w:sz w:val="18"/>
                <w:szCs w:val="18"/>
                <w:lang w:val="en-IN"/>
              </w:rPr>
              <w:t>1</w:t>
            </w:r>
          </w:p>
        </w:tc>
        <w:tc>
          <w:tcPr>
            <w:tcW w:w="1029" w:type="dxa"/>
            <w:tcBorders>
              <w:top w:val="nil"/>
              <w:left w:val="single" w:color="E0E0E0" w:sz="8" w:space="0"/>
              <w:bottom w:val="single" w:color="152935" w:sz="8" w:space="0"/>
              <w:right w:val="single" w:color="E0E0E0" w:sz="8" w:space="0"/>
            </w:tcBorders>
            <w:shd w:val="clear" w:color="auto" w:fill="FFFFFF"/>
            <w:vAlign w:val="bottom"/>
          </w:tcPr>
          <w:p>
            <w:pPr>
              <w:autoSpaceDE w:val="0"/>
              <w:autoSpaceDN w:val="0"/>
              <w:adjustRightInd w:val="0"/>
              <w:ind w:left="60" w:right="60"/>
              <w:jc w:val="center"/>
              <w:rPr>
                <w:rFonts w:ascii="Arial" w:hAnsi="Arial" w:cs="Arial"/>
                <w:color w:val="264A60"/>
                <w:sz w:val="18"/>
                <w:szCs w:val="18"/>
                <w:lang w:val="en-IN"/>
              </w:rPr>
            </w:pPr>
            <w:r>
              <w:rPr>
                <w:rFonts w:ascii="Arial" w:hAnsi="Arial" w:cs="Arial"/>
                <w:color w:val="264A60"/>
                <w:sz w:val="18"/>
                <w:szCs w:val="18"/>
                <w:lang w:val="en-IN"/>
              </w:rPr>
              <w:t>2</w:t>
            </w:r>
          </w:p>
        </w:tc>
        <w:tc>
          <w:tcPr>
            <w:tcW w:w="1029" w:type="dxa"/>
            <w:tcBorders>
              <w:top w:val="nil"/>
              <w:left w:val="single" w:color="E0E0E0" w:sz="8" w:space="0"/>
              <w:bottom w:val="single" w:color="152935" w:sz="8" w:space="0"/>
              <w:right w:val="nil"/>
            </w:tcBorders>
            <w:shd w:val="clear" w:color="auto" w:fill="FFFFFF"/>
            <w:vAlign w:val="bottom"/>
          </w:tcPr>
          <w:p>
            <w:pPr>
              <w:autoSpaceDE w:val="0"/>
              <w:autoSpaceDN w:val="0"/>
              <w:adjustRightInd w:val="0"/>
              <w:ind w:left="60" w:right="60"/>
              <w:jc w:val="center"/>
              <w:rPr>
                <w:rFonts w:ascii="Arial" w:hAnsi="Arial" w:cs="Arial"/>
                <w:color w:val="264A60"/>
                <w:sz w:val="18"/>
                <w:szCs w:val="18"/>
                <w:lang w:val="en-IN"/>
              </w:rPr>
            </w:pPr>
            <w:r>
              <w:rPr>
                <w:rFonts w:ascii="Arial" w:hAnsi="Arial" w:cs="Arial"/>
                <w:color w:val="264A60"/>
                <w:sz w:val="18"/>
                <w:szCs w:val="18"/>
                <w:lang w:val="en-IN"/>
              </w:rPr>
              <w:t>3</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183" w:type="dxa"/>
            <w:tcBorders>
              <w:top w:val="single" w:color="152935" w:sz="8" w:space="0"/>
              <w:left w:val="nil"/>
              <w:bottom w:val="single" w:color="152935" w:sz="8" w:space="0"/>
              <w:right w:val="nil"/>
            </w:tcBorders>
            <w:shd w:val="clear" w:color="auto" w:fill="E0E0E0"/>
          </w:tcPr>
          <w:p>
            <w:pPr>
              <w:autoSpaceDE w:val="0"/>
              <w:autoSpaceDN w:val="0"/>
              <w:adjustRightInd w:val="0"/>
              <w:ind w:left="60" w:right="60"/>
              <w:rPr>
                <w:rFonts w:ascii="Arial" w:hAnsi="Arial" w:cs="Arial"/>
                <w:color w:val="264A60"/>
                <w:sz w:val="18"/>
                <w:szCs w:val="18"/>
                <w:lang w:val="en-IN"/>
              </w:rPr>
            </w:pPr>
            <w:r>
              <w:rPr>
                <w:rFonts w:ascii="Arial" w:hAnsi="Arial" w:cs="Arial"/>
                <w:color w:val="264A60"/>
                <w:sz w:val="18"/>
                <w:szCs w:val="18"/>
                <w:lang w:val="en-IN"/>
              </w:rPr>
              <w:t>ice_cream</w:t>
            </w:r>
          </w:p>
        </w:tc>
        <w:tc>
          <w:tcPr>
            <w:tcW w:w="1029" w:type="dxa"/>
            <w:tcBorders>
              <w:top w:val="single" w:color="152935" w:sz="8" w:space="0"/>
              <w:left w:val="nil"/>
              <w:bottom w:val="single" w:color="152935"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2</w:t>
            </w:r>
          </w:p>
        </w:tc>
        <w:tc>
          <w:tcPr>
            <w:tcW w:w="1029" w:type="dxa"/>
            <w:tcBorders>
              <w:top w:val="single" w:color="152935" w:sz="8" w:space="0"/>
              <w:left w:val="single" w:color="E0E0E0" w:sz="8" w:space="0"/>
              <w:bottom w:val="single" w:color="152935"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1</w:t>
            </w:r>
          </w:p>
        </w:tc>
        <w:tc>
          <w:tcPr>
            <w:tcW w:w="1029" w:type="dxa"/>
            <w:tcBorders>
              <w:top w:val="single" w:color="152935" w:sz="8" w:space="0"/>
              <w:left w:val="single" w:color="E0E0E0" w:sz="8" w:space="0"/>
              <w:bottom w:val="single" w:color="152935" w:sz="8" w:space="0"/>
              <w:right w:val="nil"/>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3</w:t>
            </w:r>
          </w:p>
        </w:tc>
      </w:tr>
    </w:tbl>
    <w:p>
      <w:pPr>
        <w:autoSpaceDE w:val="0"/>
        <w:autoSpaceDN w:val="0"/>
        <w:adjustRightInd w:val="0"/>
        <w:rPr>
          <w:szCs w:val="24"/>
          <w:lang w:val="en-IN"/>
        </w:rPr>
      </w:pPr>
    </w:p>
    <w:p>
      <w:pPr>
        <w:autoSpaceDE w:val="0"/>
        <w:autoSpaceDN w:val="0"/>
        <w:adjustRightInd w:val="0"/>
        <w:rPr>
          <w:szCs w:val="24"/>
        </w:rPr>
      </w:pPr>
      <w:r>
        <w:rPr>
          <w:szCs w:val="24"/>
          <w:lang w:val="en-IN"/>
        </w:rPr>
        <w:t xml:space="preserve">The above result shows that the result of initial cluster centers, shows that the 1 has a 2 value which means it has a chocolate cluster, cluster 2 has vanilla ice cream and cluster 3 has a strawberry flavor. </w:t>
      </w:r>
    </w:p>
    <w:p>
      <w:pPr>
        <w:autoSpaceDE w:val="0"/>
        <w:autoSpaceDN w:val="0"/>
        <w:adjustRightInd w:val="0"/>
        <w:rPr>
          <w:szCs w:val="24"/>
          <w:lang w:val="en-IN"/>
        </w:rPr>
      </w:pPr>
    </w:p>
    <w:tbl>
      <w:tblPr>
        <w:tblStyle w:val="6"/>
        <w:tblW w:w="4058"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968"/>
        <w:gridCol w:w="1030"/>
        <w:gridCol w:w="1030"/>
        <w:gridCol w:w="103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4055" w:type="dxa"/>
            <w:gridSpan w:val="4"/>
            <w:tcBorders>
              <w:top w:val="nil"/>
              <w:left w:val="nil"/>
              <w:bottom w:val="nil"/>
              <w:right w:val="nil"/>
            </w:tcBorders>
            <w:shd w:val="clear" w:color="auto" w:fill="FFFFFF"/>
            <w:vAlign w:val="center"/>
          </w:tcPr>
          <w:p>
            <w:pPr>
              <w:autoSpaceDE w:val="0"/>
              <w:autoSpaceDN w:val="0"/>
              <w:adjustRightInd w:val="0"/>
              <w:ind w:left="60" w:right="60"/>
              <w:jc w:val="center"/>
              <w:rPr>
                <w:rFonts w:ascii="Arial" w:hAnsi="Arial" w:cs="Arial"/>
                <w:color w:val="010205"/>
                <w:sz w:val="22"/>
                <w:szCs w:val="22"/>
                <w:lang w:val="en-IN"/>
              </w:rPr>
            </w:pPr>
            <w:r>
              <w:rPr>
                <w:rFonts w:ascii="Arial" w:hAnsi="Arial" w:cs="Arial"/>
                <w:b/>
                <w:bCs/>
                <w:color w:val="010205"/>
                <w:sz w:val="22"/>
                <w:szCs w:val="22"/>
                <w:lang w:val="en-IN"/>
              </w:rPr>
              <w:t>Iteration History</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968" w:type="dxa"/>
            <w:vMerge w:val="restart"/>
            <w:tcBorders>
              <w:top w:val="nil"/>
              <w:left w:val="nil"/>
              <w:bottom w:val="nil"/>
              <w:right w:val="nil"/>
            </w:tcBorders>
            <w:shd w:val="clear" w:color="auto" w:fill="FFFFFF"/>
            <w:vAlign w:val="bottom"/>
          </w:tcPr>
          <w:p>
            <w:pPr>
              <w:autoSpaceDE w:val="0"/>
              <w:autoSpaceDN w:val="0"/>
              <w:adjustRightInd w:val="0"/>
              <w:ind w:left="60" w:right="60"/>
              <w:rPr>
                <w:rFonts w:ascii="Arial" w:hAnsi="Arial" w:cs="Arial"/>
                <w:color w:val="264A60"/>
                <w:sz w:val="18"/>
                <w:szCs w:val="18"/>
                <w:lang w:val="en-IN"/>
              </w:rPr>
            </w:pPr>
            <w:r>
              <w:rPr>
                <w:rFonts w:ascii="Arial" w:hAnsi="Arial" w:cs="Arial"/>
                <w:color w:val="264A60"/>
                <w:sz w:val="18"/>
                <w:szCs w:val="18"/>
                <w:lang w:val="en-IN"/>
              </w:rPr>
              <w:t>Iteration</w:t>
            </w:r>
          </w:p>
        </w:tc>
        <w:tc>
          <w:tcPr>
            <w:tcW w:w="3087" w:type="dxa"/>
            <w:gridSpan w:val="3"/>
            <w:tcBorders>
              <w:top w:val="nil"/>
              <w:left w:val="nil"/>
              <w:bottom w:val="nil"/>
              <w:right w:val="nil"/>
            </w:tcBorders>
            <w:shd w:val="clear" w:color="auto" w:fill="FFFFFF"/>
            <w:vAlign w:val="bottom"/>
          </w:tcPr>
          <w:p>
            <w:pPr>
              <w:autoSpaceDE w:val="0"/>
              <w:autoSpaceDN w:val="0"/>
              <w:adjustRightInd w:val="0"/>
              <w:ind w:left="60" w:right="60"/>
              <w:jc w:val="center"/>
              <w:rPr>
                <w:rFonts w:ascii="Arial" w:hAnsi="Arial" w:cs="Arial"/>
                <w:color w:val="264A60"/>
                <w:sz w:val="18"/>
                <w:szCs w:val="18"/>
                <w:lang w:val="en-IN"/>
              </w:rPr>
            </w:pPr>
            <w:r>
              <w:rPr>
                <w:rFonts w:ascii="Arial" w:hAnsi="Arial" w:cs="Arial"/>
                <w:color w:val="264A60"/>
                <w:sz w:val="18"/>
                <w:szCs w:val="18"/>
                <w:lang w:val="en-IN"/>
              </w:rPr>
              <w:t>Change in Cluster Centers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968" w:type="dxa"/>
            <w:vMerge w:val="continue"/>
            <w:tcBorders>
              <w:top w:val="nil"/>
              <w:left w:val="nil"/>
              <w:bottom w:val="nil"/>
              <w:right w:val="nil"/>
            </w:tcBorders>
            <w:shd w:val="clear" w:color="auto" w:fill="FFFFFF"/>
            <w:vAlign w:val="bottom"/>
          </w:tcPr>
          <w:p>
            <w:pPr>
              <w:autoSpaceDE w:val="0"/>
              <w:autoSpaceDN w:val="0"/>
              <w:adjustRightInd w:val="0"/>
              <w:rPr>
                <w:rFonts w:ascii="Arial" w:hAnsi="Arial" w:cs="Arial"/>
                <w:color w:val="264A60"/>
                <w:sz w:val="18"/>
                <w:szCs w:val="18"/>
                <w:lang w:val="en-IN"/>
              </w:rPr>
            </w:pPr>
          </w:p>
        </w:tc>
        <w:tc>
          <w:tcPr>
            <w:tcW w:w="1029" w:type="dxa"/>
            <w:tcBorders>
              <w:top w:val="nil"/>
              <w:left w:val="nil"/>
              <w:bottom w:val="single" w:color="152935" w:sz="8" w:space="0"/>
              <w:right w:val="single" w:color="E0E0E0" w:sz="8" w:space="0"/>
            </w:tcBorders>
            <w:shd w:val="clear" w:color="auto" w:fill="FFFFFF"/>
            <w:vAlign w:val="bottom"/>
          </w:tcPr>
          <w:p>
            <w:pPr>
              <w:autoSpaceDE w:val="0"/>
              <w:autoSpaceDN w:val="0"/>
              <w:adjustRightInd w:val="0"/>
              <w:ind w:left="60" w:right="60"/>
              <w:jc w:val="center"/>
              <w:rPr>
                <w:rFonts w:ascii="Arial" w:hAnsi="Arial" w:cs="Arial"/>
                <w:color w:val="264A60"/>
                <w:sz w:val="18"/>
                <w:szCs w:val="18"/>
                <w:lang w:val="en-IN"/>
              </w:rPr>
            </w:pPr>
            <w:r>
              <w:rPr>
                <w:rFonts w:ascii="Arial" w:hAnsi="Arial" w:cs="Arial"/>
                <w:color w:val="264A60"/>
                <w:sz w:val="18"/>
                <w:szCs w:val="18"/>
                <w:lang w:val="en-IN"/>
              </w:rPr>
              <w:t>1</w:t>
            </w:r>
          </w:p>
        </w:tc>
        <w:tc>
          <w:tcPr>
            <w:tcW w:w="1029" w:type="dxa"/>
            <w:tcBorders>
              <w:top w:val="nil"/>
              <w:left w:val="single" w:color="E0E0E0" w:sz="8" w:space="0"/>
              <w:bottom w:val="single" w:color="152935" w:sz="8" w:space="0"/>
              <w:right w:val="single" w:color="E0E0E0" w:sz="8" w:space="0"/>
            </w:tcBorders>
            <w:shd w:val="clear" w:color="auto" w:fill="FFFFFF"/>
            <w:vAlign w:val="bottom"/>
          </w:tcPr>
          <w:p>
            <w:pPr>
              <w:autoSpaceDE w:val="0"/>
              <w:autoSpaceDN w:val="0"/>
              <w:adjustRightInd w:val="0"/>
              <w:ind w:left="60" w:right="60"/>
              <w:jc w:val="center"/>
              <w:rPr>
                <w:rFonts w:ascii="Arial" w:hAnsi="Arial" w:cs="Arial"/>
                <w:color w:val="264A60"/>
                <w:sz w:val="18"/>
                <w:szCs w:val="18"/>
                <w:lang w:val="en-IN"/>
              </w:rPr>
            </w:pPr>
            <w:r>
              <w:rPr>
                <w:rFonts w:ascii="Arial" w:hAnsi="Arial" w:cs="Arial"/>
                <w:color w:val="264A60"/>
                <w:sz w:val="18"/>
                <w:szCs w:val="18"/>
                <w:lang w:val="en-IN"/>
              </w:rPr>
              <w:t>2</w:t>
            </w:r>
          </w:p>
        </w:tc>
        <w:tc>
          <w:tcPr>
            <w:tcW w:w="1029" w:type="dxa"/>
            <w:tcBorders>
              <w:top w:val="nil"/>
              <w:left w:val="single" w:color="E0E0E0" w:sz="8" w:space="0"/>
              <w:bottom w:val="single" w:color="152935" w:sz="8" w:space="0"/>
              <w:right w:val="nil"/>
            </w:tcBorders>
            <w:shd w:val="clear" w:color="auto" w:fill="FFFFFF"/>
            <w:vAlign w:val="bottom"/>
          </w:tcPr>
          <w:p>
            <w:pPr>
              <w:autoSpaceDE w:val="0"/>
              <w:autoSpaceDN w:val="0"/>
              <w:adjustRightInd w:val="0"/>
              <w:ind w:left="60" w:right="60"/>
              <w:jc w:val="center"/>
              <w:rPr>
                <w:rFonts w:ascii="Arial" w:hAnsi="Arial" w:cs="Arial"/>
                <w:color w:val="264A60"/>
                <w:sz w:val="18"/>
                <w:szCs w:val="18"/>
                <w:lang w:val="en-IN"/>
              </w:rPr>
            </w:pPr>
            <w:r>
              <w:rPr>
                <w:rFonts w:ascii="Arial" w:hAnsi="Arial" w:cs="Arial"/>
                <w:color w:val="264A60"/>
                <w:sz w:val="18"/>
                <w:szCs w:val="18"/>
                <w:lang w:val="en-IN"/>
              </w:rPr>
              <w:t>3</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968" w:type="dxa"/>
            <w:tcBorders>
              <w:top w:val="single" w:color="152935" w:sz="8" w:space="0"/>
              <w:left w:val="nil"/>
              <w:bottom w:val="single" w:color="152935" w:sz="8" w:space="0"/>
              <w:right w:val="nil"/>
            </w:tcBorders>
            <w:shd w:val="clear" w:color="auto" w:fill="E0E0E0"/>
          </w:tcPr>
          <w:p>
            <w:pPr>
              <w:autoSpaceDE w:val="0"/>
              <w:autoSpaceDN w:val="0"/>
              <w:adjustRightInd w:val="0"/>
              <w:ind w:left="60" w:right="60"/>
              <w:rPr>
                <w:rFonts w:ascii="Arial" w:hAnsi="Arial" w:cs="Arial"/>
                <w:color w:val="264A60"/>
                <w:sz w:val="18"/>
                <w:szCs w:val="18"/>
                <w:lang w:val="en-IN"/>
              </w:rPr>
            </w:pPr>
            <w:r>
              <w:rPr>
                <w:rFonts w:ascii="Arial" w:hAnsi="Arial" w:cs="Arial"/>
                <w:color w:val="264A60"/>
                <w:sz w:val="18"/>
                <w:szCs w:val="18"/>
                <w:lang w:val="en-IN"/>
              </w:rPr>
              <w:t>1</w:t>
            </w:r>
          </w:p>
        </w:tc>
        <w:tc>
          <w:tcPr>
            <w:tcW w:w="1029" w:type="dxa"/>
            <w:tcBorders>
              <w:top w:val="single" w:color="152935" w:sz="8" w:space="0"/>
              <w:left w:val="nil"/>
              <w:bottom w:val="single" w:color="152935"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.000</w:t>
            </w:r>
          </w:p>
        </w:tc>
        <w:tc>
          <w:tcPr>
            <w:tcW w:w="1029" w:type="dxa"/>
            <w:tcBorders>
              <w:top w:val="single" w:color="152935" w:sz="8" w:space="0"/>
              <w:left w:val="single" w:color="E0E0E0" w:sz="8" w:space="0"/>
              <w:bottom w:val="single" w:color="152935"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.000</w:t>
            </w:r>
          </w:p>
        </w:tc>
        <w:tc>
          <w:tcPr>
            <w:tcW w:w="1029" w:type="dxa"/>
            <w:tcBorders>
              <w:top w:val="single" w:color="152935" w:sz="8" w:space="0"/>
              <w:left w:val="single" w:color="E0E0E0" w:sz="8" w:space="0"/>
              <w:bottom w:val="single" w:color="152935" w:sz="8" w:space="0"/>
              <w:right w:val="nil"/>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4055" w:type="dxa"/>
            <w:gridSpan w:val="4"/>
            <w:tcBorders>
              <w:top w:val="nil"/>
              <w:left w:val="nil"/>
              <w:bottom w:val="nil"/>
              <w:right w:val="nil"/>
            </w:tcBorders>
            <w:shd w:val="clear" w:color="auto" w:fill="FFFFFF"/>
          </w:tcPr>
          <w:p>
            <w:pPr>
              <w:autoSpaceDE w:val="0"/>
              <w:autoSpaceDN w:val="0"/>
              <w:adjustRightInd w:val="0"/>
              <w:ind w:left="60" w:right="60"/>
              <w:rPr>
                <w:rFonts w:ascii="Arial" w:hAnsi="Arial" w:cs="Arial"/>
                <w:color w:val="010205"/>
                <w:sz w:val="18"/>
                <w:szCs w:val="18"/>
                <w:lang w:val="en-IN"/>
              </w:rPr>
            </w:pPr>
            <w:r>
              <w:rPr>
                <w:rFonts w:ascii="Arial" w:hAnsi="Arial" w:cs="Arial"/>
                <w:color w:val="010205"/>
                <w:sz w:val="18"/>
                <w:szCs w:val="18"/>
                <w:lang w:val="en-IN"/>
              </w:rPr>
              <w:t>a. Convergence achieved due to no or small change in cluster centers. The maximum absolute coordinate change for any center is .000. The current iteration is 1. The minimum distance between initial centers is 1.000.</w:t>
            </w:r>
          </w:p>
        </w:tc>
      </w:tr>
    </w:tbl>
    <w:p>
      <w:pPr>
        <w:autoSpaceDE w:val="0"/>
        <w:autoSpaceDN w:val="0"/>
        <w:adjustRightInd w:val="0"/>
        <w:rPr>
          <w:szCs w:val="24"/>
          <w:lang w:val="en-IN"/>
        </w:rPr>
      </w:pPr>
    </w:p>
    <w:p>
      <w:pPr>
        <w:autoSpaceDE w:val="0"/>
        <w:autoSpaceDN w:val="0"/>
        <w:adjustRightInd w:val="0"/>
        <w:rPr>
          <w:szCs w:val="24"/>
        </w:rPr>
      </w:pPr>
      <w:r>
        <w:rPr>
          <w:szCs w:val="24"/>
        </w:rPr>
        <w:t xml:space="preserve">The iteration runs until the change in cluster centers becomes zero. The above result shows the value of zero. It means that the following cluster is best to cluster and it is created into a single iteration. </w:t>
      </w:r>
    </w:p>
    <w:p>
      <w:pPr>
        <w:autoSpaceDE w:val="0"/>
        <w:autoSpaceDN w:val="0"/>
        <w:adjustRightInd w:val="0"/>
        <w:rPr>
          <w:szCs w:val="24"/>
          <w:lang w:val="en-IN"/>
        </w:rPr>
      </w:pPr>
    </w:p>
    <w:tbl>
      <w:tblPr>
        <w:tblStyle w:val="6"/>
        <w:tblW w:w="4273"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1183"/>
        <w:gridCol w:w="1030"/>
        <w:gridCol w:w="1030"/>
        <w:gridCol w:w="103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4270" w:type="dxa"/>
            <w:gridSpan w:val="4"/>
            <w:tcBorders>
              <w:top w:val="nil"/>
              <w:left w:val="nil"/>
              <w:bottom w:val="nil"/>
              <w:right w:val="nil"/>
            </w:tcBorders>
            <w:shd w:val="clear" w:color="auto" w:fill="FFFFFF"/>
            <w:vAlign w:val="center"/>
          </w:tcPr>
          <w:p>
            <w:pPr>
              <w:autoSpaceDE w:val="0"/>
              <w:autoSpaceDN w:val="0"/>
              <w:adjustRightInd w:val="0"/>
              <w:ind w:left="60" w:right="60"/>
              <w:jc w:val="center"/>
              <w:rPr>
                <w:rFonts w:ascii="Arial" w:hAnsi="Arial" w:cs="Arial"/>
                <w:color w:val="010205"/>
                <w:sz w:val="22"/>
                <w:szCs w:val="22"/>
                <w:lang w:val="en-IN"/>
              </w:rPr>
            </w:pPr>
            <w:r>
              <w:rPr>
                <w:rFonts w:ascii="Arial" w:hAnsi="Arial" w:cs="Arial"/>
                <w:b/>
                <w:bCs/>
                <w:color w:val="010205"/>
                <w:sz w:val="22"/>
                <w:szCs w:val="22"/>
                <w:lang w:val="en-IN"/>
              </w:rPr>
              <w:t>Final Cluster Centers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183" w:type="dxa"/>
            <w:vMerge w:val="restart"/>
            <w:tcBorders>
              <w:top w:val="nil"/>
              <w:left w:val="nil"/>
              <w:bottom w:val="nil"/>
              <w:right w:val="nil"/>
            </w:tcBorders>
            <w:shd w:val="clear" w:color="auto" w:fill="FFFFFF"/>
            <w:vAlign w:val="bottom"/>
          </w:tcPr>
          <w:p>
            <w:pPr>
              <w:autoSpaceDE w:val="0"/>
              <w:autoSpaceDN w:val="0"/>
              <w:adjustRightInd w:val="0"/>
              <w:rPr>
                <w:szCs w:val="24"/>
                <w:lang w:val="en-IN"/>
              </w:rPr>
            </w:pPr>
          </w:p>
        </w:tc>
        <w:tc>
          <w:tcPr>
            <w:tcW w:w="3087" w:type="dxa"/>
            <w:gridSpan w:val="3"/>
            <w:tcBorders>
              <w:top w:val="nil"/>
              <w:left w:val="nil"/>
              <w:bottom w:val="nil"/>
              <w:right w:val="nil"/>
            </w:tcBorders>
            <w:shd w:val="clear" w:color="auto" w:fill="FFFFFF"/>
            <w:vAlign w:val="bottom"/>
          </w:tcPr>
          <w:p>
            <w:pPr>
              <w:autoSpaceDE w:val="0"/>
              <w:autoSpaceDN w:val="0"/>
              <w:adjustRightInd w:val="0"/>
              <w:ind w:left="60" w:right="60"/>
              <w:jc w:val="center"/>
              <w:rPr>
                <w:rFonts w:ascii="Arial" w:hAnsi="Arial" w:cs="Arial"/>
                <w:color w:val="264A60"/>
                <w:sz w:val="18"/>
                <w:szCs w:val="18"/>
                <w:lang w:val="en-IN"/>
              </w:rPr>
            </w:pPr>
            <w:r>
              <w:rPr>
                <w:rFonts w:ascii="Arial" w:hAnsi="Arial" w:cs="Arial"/>
                <w:color w:val="264A60"/>
                <w:sz w:val="18"/>
                <w:szCs w:val="18"/>
                <w:lang w:val="en-IN"/>
              </w:rPr>
              <w:t>Cluster</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183" w:type="dxa"/>
            <w:vMerge w:val="continue"/>
            <w:tcBorders>
              <w:top w:val="nil"/>
              <w:left w:val="nil"/>
              <w:bottom w:val="nil"/>
              <w:right w:val="nil"/>
            </w:tcBorders>
            <w:shd w:val="clear" w:color="auto" w:fill="FFFFFF"/>
            <w:vAlign w:val="bottom"/>
          </w:tcPr>
          <w:p>
            <w:pPr>
              <w:autoSpaceDE w:val="0"/>
              <w:autoSpaceDN w:val="0"/>
              <w:adjustRightInd w:val="0"/>
              <w:rPr>
                <w:rFonts w:ascii="Arial" w:hAnsi="Arial" w:cs="Arial"/>
                <w:color w:val="264A60"/>
                <w:sz w:val="18"/>
                <w:szCs w:val="18"/>
                <w:lang w:val="en-IN"/>
              </w:rPr>
            </w:pPr>
          </w:p>
        </w:tc>
        <w:tc>
          <w:tcPr>
            <w:tcW w:w="1029" w:type="dxa"/>
            <w:tcBorders>
              <w:top w:val="nil"/>
              <w:left w:val="nil"/>
              <w:bottom w:val="single" w:color="152935" w:sz="8" w:space="0"/>
              <w:right w:val="single" w:color="E0E0E0" w:sz="8" w:space="0"/>
            </w:tcBorders>
            <w:shd w:val="clear" w:color="auto" w:fill="FFFFFF"/>
            <w:vAlign w:val="bottom"/>
          </w:tcPr>
          <w:p>
            <w:pPr>
              <w:autoSpaceDE w:val="0"/>
              <w:autoSpaceDN w:val="0"/>
              <w:adjustRightInd w:val="0"/>
              <w:ind w:left="60" w:right="60"/>
              <w:jc w:val="center"/>
              <w:rPr>
                <w:rFonts w:ascii="Arial" w:hAnsi="Arial" w:cs="Arial"/>
                <w:color w:val="264A60"/>
                <w:sz w:val="18"/>
                <w:szCs w:val="18"/>
                <w:lang w:val="en-IN"/>
              </w:rPr>
            </w:pPr>
            <w:r>
              <w:rPr>
                <w:rFonts w:ascii="Arial" w:hAnsi="Arial" w:cs="Arial"/>
                <w:color w:val="264A60"/>
                <w:sz w:val="18"/>
                <w:szCs w:val="18"/>
                <w:lang w:val="en-IN"/>
              </w:rPr>
              <w:t>1</w:t>
            </w:r>
          </w:p>
        </w:tc>
        <w:tc>
          <w:tcPr>
            <w:tcW w:w="1029" w:type="dxa"/>
            <w:tcBorders>
              <w:top w:val="nil"/>
              <w:left w:val="single" w:color="E0E0E0" w:sz="8" w:space="0"/>
              <w:bottom w:val="single" w:color="152935" w:sz="8" w:space="0"/>
              <w:right w:val="single" w:color="E0E0E0" w:sz="8" w:space="0"/>
            </w:tcBorders>
            <w:shd w:val="clear" w:color="auto" w:fill="FFFFFF"/>
            <w:vAlign w:val="bottom"/>
          </w:tcPr>
          <w:p>
            <w:pPr>
              <w:autoSpaceDE w:val="0"/>
              <w:autoSpaceDN w:val="0"/>
              <w:adjustRightInd w:val="0"/>
              <w:ind w:left="60" w:right="60"/>
              <w:jc w:val="center"/>
              <w:rPr>
                <w:rFonts w:ascii="Arial" w:hAnsi="Arial" w:cs="Arial"/>
                <w:color w:val="264A60"/>
                <w:sz w:val="18"/>
                <w:szCs w:val="18"/>
                <w:lang w:val="en-IN"/>
              </w:rPr>
            </w:pPr>
            <w:r>
              <w:rPr>
                <w:rFonts w:ascii="Arial" w:hAnsi="Arial" w:cs="Arial"/>
                <w:color w:val="264A60"/>
                <w:sz w:val="18"/>
                <w:szCs w:val="18"/>
                <w:lang w:val="en-IN"/>
              </w:rPr>
              <w:t>2</w:t>
            </w:r>
          </w:p>
        </w:tc>
        <w:tc>
          <w:tcPr>
            <w:tcW w:w="1029" w:type="dxa"/>
            <w:tcBorders>
              <w:top w:val="nil"/>
              <w:left w:val="single" w:color="E0E0E0" w:sz="8" w:space="0"/>
              <w:bottom w:val="single" w:color="152935" w:sz="8" w:space="0"/>
              <w:right w:val="nil"/>
            </w:tcBorders>
            <w:shd w:val="clear" w:color="auto" w:fill="FFFFFF"/>
            <w:vAlign w:val="bottom"/>
          </w:tcPr>
          <w:p>
            <w:pPr>
              <w:autoSpaceDE w:val="0"/>
              <w:autoSpaceDN w:val="0"/>
              <w:adjustRightInd w:val="0"/>
              <w:ind w:left="60" w:right="60"/>
              <w:jc w:val="center"/>
              <w:rPr>
                <w:rFonts w:ascii="Arial" w:hAnsi="Arial" w:cs="Arial"/>
                <w:color w:val="264A60"/>
                <w:sz w:val="18"/>
                <w:szCs w:val="18"/>
                <w:lang w:val="en-IN"/>
              </w:rPr>
            </w:pPr>
            <w:r>
              <w:rPr>
                <w:rFonts w:ascii="Arial" w:hAnsi="Arial" w:cs="Arial"/>
                <w:color w:val="264A60"/>
                <w:sz w:val="18"/>
                <w:szCs w:val="18"/>
                <w:lang w:val="en-IN"/>
              </w:rPr>
              <w:t>3</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183" w:type="dxa"/>
            <w:tcBorders>
              <w:top w:val="single" w:color="152935" w:sz="8" w:space="0"/>
              <w:left w:val="nil"/>
              <w:bottom w:val="single" w:color="152935" w:sz="8" w:space="0"/>
              <w:right w:val="nil"/>
            </w:tcBorders>
            <w:shd w:val="clear" w:color="auto" w:fill="E0E0E0"/>
          </w:tcPr>
          <w:p>
            <w:pPr>
              <w:autoSpaceDE w:val="0"/>
              <w:autoSpaceDN w:val="0"/>
              <w:adjustRightInd w:val="0"/>
              <w:ind w:left="60" w:right="60"/>
              <w:rPr>
                <w:rFonts w:ascii="Arial" w:hAnsi="Arial" w:cs="Arial"/>
                <w:color w:val="264A60"/>
                <w:sz w:val="18"/>
                <w:szCs w:val="18"/>
                <w:lang w:val="en-IN"/>
              </w:rPr>
            </w:pPr>
            <w:r>
              <w:rPr>
                <w:rFonts w:ascii="Arial" w:hAnsi="Arial" w:cs="Arial"/>
                <w:color w:val="264A60"/>
                <w:sz w:val="18"/>
                <w:szCs w:val="18"/>
                <w:lang w:val="en-IN"/>
              </w:rPr>
              <w:t>ice_cream</w:t>
            </w:r>
          </w:p>
        </w:tc>
        <w:tc>
          <w:tcPr>
            <w:tcW w:w="1029" w:type="dxa"/>
            <w:tcBorders>
              <w:top w:val="single" w:color="152935" w:sz="8" w:space="0"/>
              <w:left w:val="nil"/>
              <w:bottom w:val="single" w:color="152935"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2</w:t>
            </w:r>
          </w:p>
        </w:tc>
        <w:tc>
          <w:tcPr>
            <w:tcW w:w="1029" w:type="dxa"/>
            <w:tcBorders>
              <w:top w:val="single" w:color="152935" w:sz="8" w:space="0"/>
              <w:left w:val="single" w:color="E0E0E0" w:sz="8" w:space="0"/>
              <w:bottom w:val="single" w:color="152935" w:sz="8" w:space="0"/>
              <w:right w:val="single" w:color="E0E0E0" w:sz="8" w:space="0"/>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1</w:t>
            </w:r>
          </w:p>
        </w:tc>
        <w:tc>
          <w:tcPr>
            <w:tcW w:w="1029" w:type="dxa"/>
            <w:tcBorders>
              <w:top w:val="single" w:color="152935" w:sz="8" w:space="0"/>
              <w:left w:val="single" w:color="E0E0E0" w:sz="8" w:space="0"/>
              <w:bottom w:val="single" w:color="152935" w:sz="8" w:space="0"/>
              <w:right w:val="nil"/>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3</w:t>
            </w:r>
          </w:p>
        </w:tc>
      </w:tr>
    </w:tbl>
    <w:p>
      <w:pPr>
        <w:autoSpaceDE w:val="0"/>
        <w:autoSpaceDN w:val="0"/>
        <w:adjustRightInd w:val="0"/>
        <w:rPr>
          <w:szCs w:val="24"/>
          <w:lang w:val="en-IN"/>
        </w:rPr>
      </w:pPr>
    </w:p>
    <w:p>
      <w:pPr>
        <w:autoSpaceDE w:val="0"/>
        <w:autoSpaceDN w:val="0"/>
        <w:adjustRightInd w:val="0"/>
        <w:rPr>
          <w:szCs w:val="24"/>
        </w:rPr>
      </w:pPr>
      <w:r>
        <w:rPr>
          <w:szCs w:val="24"/>
        </w:rPr>
        <w:t>The above result shows the final cluster centers</w:t>
      </w:r>
      <w:r>
        <w:rPr>
          <w:szCs w:val="24"/>
          <w:lang w:val="en-IN"/>
        </w:rPr>
        <w:t xml:space="preserve">. It shows the same result as in initial cluster centers. Cluster 1 was made over chocolate flavor, cluster 2 was created over vanilla flavor and cluster 3 was made over strawberry flavor. </w:t>
      </w:r>
    </w:p>
    <w:p>
      <w:pPr>
        <w:autoSpaceDE w:val="0"/>
        <w:autoSpaceDN w:val="0"/>
        <w:adjustRightInd w:val="0"/>
        <w:rPr>
          <w:szCs w:val="24"/>
          <w:lang w:val="en-IN"/>
        </w:rPr>
      </w:pPr>
    </w:p>
    <w:tbl>
      <w:tblPr>
        <w:tblStyle w:val="6"/>
        <w:tblW w:w="2751"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932"/>
        <w:gridCol w:w="759"/>
        <w:gridCol w:w="106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749" w:type="dxa"/>
            <w:gridSpan w:val="3"/>
            <w:tcBorders>
              <w:top w:val="nil"/>
              <w:left w:val="nil"/>
              <w:bottom w:val="nil"/>
              <w:right w:val="nil"/>
            </w:tcBorders>
            <w:shd w:val="clear" w:color="auto" w:fill="FFFFFF"/>
            <w:vAlign w:val="center"/>
          </w:tcPr>
          <w:p>
            <w:pPr>
              <w:autoSpaceDE w:val="0"/>
              <w:autoSpaceDN w:val="0"/>
              <w:adjustRightInd w:val="0"/>
              <w:ind w:left="60" w:right="60"/>
              <w:jc w:val="center"/>
              <w:rPr>
                <w:rFonts w:ascii="Arial" w:hAnsi="Arial" w:cs="Arial"/>
                <w:color w:val="010205"/>
                <w:sz w:val="22"/>
                <w:szCs w:val="22"/>
                <w:lang w:val="en-IN"/>
              </w:rPr>
            </w:pPr>
            <w:r>
              <w:rPr>
                <w:rFonts w:ascii="Arial" w:hAnsi="Arial" w:cs="Arial"/>
                <w:b/>
                <w:bCs/>
                <w:color w:val="010205"/>
                <w:sz w:val="22"/>
                <w:szCs w:val="22"/>
                <w:lang w:val="en-IN"/>
              </w:rPr>
              <w:t>Number of Cases in each Cluster</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932" w:type="dxa"/>
            <w:vMerge w:val="restart"/>
            <w:tcBorders>
              <w:top w:val="nil"/>
              <w:left w:val="nil"/>
              <w:bottom w:val="single" w:color="AEAEAE" w:sz="8" w:space="0"/>
              <w:right w:val="nil"/>
            </w:tcBorders>
            <w:shd w:val="clear" w:color="auto" w:fill="E0E0E0"/>
          </w:tcPr>
          <w:p>
            <w:pPr>
              <w:autoSpaceDE w:val="0"/>
              <w:autoSpaceDN w:val="0"/>
              <w:adjustRightInd w:val="0"/>
              <w:ind w:left="60" w:right="60"/>
              <w:rPr>
                <w:rFonts w:ascii="Arial" w:hAnsi="Arial" w:cs="Arial"/>
                <w:color w:val="264A60"/>
                <w:sz w:val="18"/>
                <w:szCs w:val="18"/>
                <w:lang w:val="en-IN"/>
              </w:rPr>
            </w:pPr>
            <w:r>
              <w:rPr>
                <w:rFonts w:ascii="Arial" w:hAnsi="Arial" w:cs="Arial"/>
                <w:color w:val="264A60"/>
                <w:sz w:val="18"/>
                <w:szCs w:val="18"/>
                <w:lang w:val="en-IN"/>
              </w:rPr>
              <w:t>Cluster</w:t>
            </w:r>
          </w:p>
        </w:tc>
        <w:tc>
          <w:tcPr>
            <w:tcW w:w="758" w:type="dxa"/>
            <w:tcBorders>
              <w:top w:val="nil"/>
              <w:left w:val="nil"/>
              <w:bottom w:val="single" w:color="AEAEAE" w:sz="8" w:space="0"/>
              <w:right w:val="nil"/>
            </w:tcBorders>
            <w:shd w:val="clear" w:color="auto" w:fill="E0E0E0"/>
          </w:tcPr>
          <w:p>
            <w:pPr>
              <w:autoSpaceDE w:val="0"/>
              <w:autoSpaceDN w:val="0"/>
              <w:adjustRightInd w:val="0"/>
              <w:ind w:left="60" w:right="60"/>
              <w:rPr>
                <w:rFonts w:ascii="Arial" w:hAnsi="Arial" w:cs="Arial"/>
                <w:color w:val="264A60"/>
                <w:sz w:val="18"/>
                <w:szCs w:val="18"/>
                <w:lang w:val="en-IN"/>
              </w:rPr>
            </w:pPr>
            <w:r>
              <w:rPr>
                <w:rFonts w:ascii="Arial" w:hAnsi="Arial" w:cs="Arial"/>
                <w:color w:val="264A60"/>
                <w:sz w:val="18"/>
                <w:szCs w:val="18"/>
                <w:lang w:val="en-IN"/>
              </w:rPr>
              <w:t>1</w:t>
            </w:r>
          </w:p>
        </w:tc>
        <w:tc>
          <w:tcPr>
            <w:tcW w:w="1059" w:type="dxa"/>
            <w:tcBorders>
              <w:top w:val="nil"/>
              <w:left w:val="nil"/>
              <w:bottom w:val="single" w:color="AEAEAE" w:sz="8" w:space="0"/>
              <w:right w:val="nil"/>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47.000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932" w:type="dxa"/>
            <w:vMerge w:val="continue"/>
            <w:tcBorders>
              <w:top w:val="nil"/>
              <w:left w:val="nil"/>
              <w:bottom w:val="single" w:color="AEAEAE" w:sz="8" w:space="0"/>
              <w:right w:val="nil"/>
            </w:tcBorders>
            <w:shd w:val="clear" w:color="auto" w:fill="E0E0E0"/>
          </w:tcPr>
          <w:p>
            <w:pPr>
              <w:autoSpaceDE w:val="0"/>
              <w:autoSpaceDN w:val="0"/>
              <w:adjustRightInd w:val="0"/>
              <w:rPr>
                <w:rFonts w:ascii="Arial" w:hAnsi="Arial" w:cs="Arial"/>
                <w:color w:val="010205"/>
                <w:sz w:val="18"/>
                <w:szCs w:val="18"/>
                <w:lang w:val="en-IN"/>
              </w:rPr>
            </w:pPr>
          </w:p>
        </w:tc>
        <w:tc>
          <w:tcPr>
            <w:tcW w:w="758" w:type="dxa"/>
            <w:tcBorders>
              <w:top w:val="single" w:color="AEAEAE" w:sz="8" w:space="0"/>
              <w:left w:val="nil"/>
              <w:bottom w:val="single" w:color="AEAEAE" w:sz="8" w:space="0"/>
              <w:right w:val="nil"/>
            </w:tcBorders>
            <w:shd w:val="clear" w:color="auto" w:fill="E0E0E0"/>
          </w:tcPr>
          <w:p>
            <w:pPr>
              <w:autoSpaceDE w:val="0"/>
              <w:autoSpaceDN w:val="0"/>
              <w:adjustRightInd w:val="0"/>
              <w:ind w:left="60" w:right="60"/>
              <w:rPr>
                <w:rFonts w:ascii="Arial" w:hAnsi="Arial" w:cs="Arial"/>
                <w:color w:val="264A60"/>
                <w:sz w:val="18"/>
                <w:szCs w:val="18"/>
                <w:lang w:val="en-IN"/>
              </w:rPr>
            </w:pPr>
            <w:r>
              <w:rPr>
                <w:rFonts w:ascii="Arial" w:hAnsi="Arial" w:cs="Arial"/>
                <w:color w:val="264A60"/>
                <w:sz w:val="18"/>
                <w:szCs w:val="18"/>
                <w:lang w:val="en-IN"/>
              </w:rPr>
              <w:t>2</w:t>
            </w:r>
          </w:p>
        </w:tc>
        <w:tc>
          <w:tcPr>
            <w:tcW w:w="1059" w:type="dxa"/>
            <w:tcBorders>
              <w:top w:val="single" w:color="AEAEAE" w:sz="8" w:space="0"/>
              <w:left w:val="nil"/>
              <w:bottom w:val="single" w:color="AEAEAE" w:sz="8" w:space="0"/>
              <w:right w:val="nil"/>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95.000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932" w:type="dxa"/>
            <w:vMerge w:val="continue"/>
            <w:tcBorders>
              <w:top w:val="nil"/>
              <w:left w:val="nil"/>
              <w:bottom w:val="single" w:color="AEAEAE" w:sz="8" w:space="0"/>
              <w:right w:val="nil"/>
            </w:tcBorders>
            <w:shd w:val="clear" w:color="auto" w:fill="E0E0E0"/>
          </w:tcPr>
          <w:p>
            <w:pPr>
              <w:autoSpaceDE w:val="0"/>
              <w:autoSpaceDN w:val="0"/>
              <w:adjustRightInd w:val="0"/>
              <w:rPr>
                <w:rFonts w:ascii="Arial" w:hAnsi="Arial" w:cs="Arial"/>
                <w:color w:val="010205"/>
                <w:sz w:val="18"/>
                <w:szCs w:val="18"/>
                <w:lang w:val="en-IN"/>
              </w:rPr>
            </w:pPr>
          </w:p>
        </w:tc>
        <w:tc>
          <w:tcPr>
            <w:tcW w:w="758" w:type="dxa"/>
            <w:tcBorders>
              <w:top w:val="single" w:color="AEAEAE" w:sz="8" w:space="0"/>
              <w:left w:val="nil"/>
              <w:bottom w:val="single" w:color="AEAEAE" w:sz="8" w:space="0"/>
              <w:right w:val="nil"/>
            </w:tcBorders>
            <w:shd w:val="clear" w:color="auto" w:fill="E0E0E0"/>
          </w:tcPr>
          <w:p>
            <w:pPr>
              <w:autoSpaceDE w:val="0"/>
              <w:autoSpaceDN w:val="0"/>
              <w:adjustRightInd w:val="0"/>
              <w:ind w:left="60" w:right="60"/>
              <w:rPr>
                <w:rFonts w:ascii="Arial" w:hAnsi="Arial" w:cs="Arial"/>
                <w:color w:val="264A60"/>
                <w:sz w:val="18"/>
                <w:szCs w:val="18"/>
                <w:lang w:val="en-IN"/>
              </w:rPr>
            </w:pPr>
            <w:r>
              <w:rPr>
                <w:rFonts w:ascii="Arial" w:hAnsi="Arial" w:cs="Arial"/>
                <w:color w:val="264A60"/>
                <w:sz w:val="18"/>
                <w:szCs w:val="18"/>
                <w:lang w:val="en-IN"/>
              </w:rPr>
              <w:t>3</w:t>
            </w:r>
          </w:p>
        </w:tc>
        <w:tc>
          <w:tcPr>
            <w:tcW w:w="1059" w:type="dxa"/>
            <w:tcBorders>
              <w:top w:val="single" w:color="AEAEAE" w:sz="8" w:space="0"/>
              <w:left w:val="nil"/>
              <w:bottom w:val="single" w:color="AEAEAE" w:sz="8" w:space="0"/>
              <w:right w:val="nil"/>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58.000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690" w:type="dxa"/>
            <w:gridSpan w:val="2"/>
            <w:tcBorders>
              <w:top w:val="single" w:color="AEAEAE" w:sz="8" w:space="0"/>
              <w:left w:val="nil"/>
              <w:bottom w:val="single" w:color="AEAEAE" w:sz="8" w:space="0"/>
              <w:right w:val="nil"/>
            </w:tcBorders>
            <w:shd w:val="clear" w:color="auto" w:fill="E0E0E0"/>
          </w:tcPr>
          <w:p>
            <w:pPr>
              <w:autoSpaceDE w:val="0"/>
              <w:autoSpaceDN w:val="0"/>
              <w:adjustRightInd w:val="0"/>
              <w:ind w:left="60" w:right="60"/>
              <w:rPr>
                <w:rFonts w:ascii="Arial" w:hAnsi="Arial" w:cs="Arial"/>
                <w:color w:val="264A60"/>
                <w:sz w:val="18"/>
                <w:szCs w:val="18"/>
                <w:lang w:val="en-IN"/>
              </w:rPr>
            </w:pPr>
            <w:r>
              <w:rPr>
                <w:rFonts w:ascii="Arial" w:hAnsi="Arial" w:cs="Arial"/>
                <w:color w:val="264A60"/>
                <w:sz w:val="18"/>
                <w:szCs w:val="18"/>
                <w:lang w:val="en-IN"/>
              </w:rPr>
              <w:t>Valid</w:t>
            </w:r>
          </w:p>
        </w:tc>
        <w:tc>
          <w:tcPr>
            <w:tcW w:w="1059" w:type="dxa"/>
            <w:tcBorders>
              <w:top w:val="single" w:color="AEAEAE" w:sz="8" w:space="0"/>
              <w:left w:val="nil"/>
              <w:bottom w:val="single" w:color="AEAEAE" w:sz="8" w:space="0"/>
              <w:right w:val="nil"/>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200.000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690" w:type="dxa"/>
            <w:gridSpan w:val="2"/>
            <w:tcBorders>
              <w:top w:val="single" w:color="AEAEAE" w:sz="8" w:space="0"/>
              <w:left w:val="nil"/>
              <w:bottom w:val="single" w:color="152935" w:sz="8" w:space="0"/>
              <w:right w:val="nil"/>
            </w:tcBorders>
            <w:shd w:val="clear" w:color="auto" w:fill="E0E0E0"/>
          </w:tcPr>
          <w:p>
            <w:pPr>
              <w:autoSpaceDE w:val="0"/>
              <w:autoSpaceDN w:val="0"/>
              <w:adjustRightInd w:val="0"/>
              <w:ind w:left="60" w:right="60"/>
              <w:rPr>
                <w:rFonts w:ascii="Arial" w:hAnsi="Arial" w:cs="Arial"/>
                <w:color w:val="264A60"/>
                <w:sz w:val="18"/>
                <w:szCs w:val="18"/>
                <w:lang w:val="en-IN"/>
              </w:rPr>
            </w:pPr>
            <w:r>
              <w:rPr>
                <w:rFonts w:ascii="Arial" w:hAnsi="Arial" w:cs="Arial"/>
                <w:color w:val="264A60"/>
                <w:sz w:val="18"/>
                <w:szCs w:val="18"/>
                <w:lang w:val="en-IN"/>
              </w:rPr>
              <w:t>Missing</w:t>
            </w:r>
          </w:p>
        </w:tc>
        <w:tc>
          <w:tcPr>
            <w:tcW w:w="1059" w:type="dxa"/>
            <w:tcBorders>
              <w:top w:val="single" w:color="AEAEAE" w:sz="8" w:space="0"/>
              <w:left w:val="nil"/>
              <w:bottom w:val="single" w:color="152935" w:sz="8" w:space="0"/>
              <w:right w:val="nil"/>
            </w:tcBorders>
            <w:shd w:val="clear" w:color="auto" w:fill="FFFFFF"/>
          </w:tcPr>
          <w:p>
            <w:pPr>
              <w:autoSpaceDE w:val="0"/>
              <w:autoSpaceDN w:val="0"/>
              <w:adjustRightInd w:val="0"/>
              <w:ind w:left="60" w:right="60"/>
              <w:jc w:val="right"/>
              <w:rPr>
                <w:rFonts w:ascii="Arial" w:hAnsi="Arial" w:cs="Arial"/>
                <w:color w:val="010205"/>
                <w:sz w:val="18"/>
                <w:szCs w:val="18"/>
                <w:lang w:val="en-IN"/>
              </w:rPr>
            </w:pPr>
            <w:r>
              <w:rPr>
                <w:rFonts w:ascii="Arial" w:hAnsi="Arial" w:cs="Arial"/>
                <w:color w:val="010205"/>
                <w:sz w:val="18"/>
                <w:szCs w:val="18"/>
                <w:lang w:val="en-IN"/>
              </w:rPr>
              <w:t>.000</w:t>
            </w:r>
          </w:p>
        </w:tc>
      </w:tr>
    </w:tbl>
    <w:p>
      <w:pPr>
        <w:autoSpaceDE w:val="0"/>
        <w:autoSpaceDN w:val="0"/>
        <w:adjustRightInd w:val="0"/>
        <w:rPr>
          <w:szCs w:val="24"/>
          <w:lang w:val="en-IN"/>
        </w:rPr>
      </w:pPr>
    </w:p>
    <w:p>
      <w:pPr>
        <w:autoSpaceDE w:val="0"/>
        <w:autoSpaceDN w:val="0"/>
        <w:adjustRightInd w:val="0"/>
        <w:rPr>
          <w:szCs w:val="24"/>
        </w:rPr>
      </w:pPr>
      <w:r>
        <w:rPr>
          <w:szCs w:val="24"/>
        </w:rPr>
        <w:t xml:space="preserve">The above result shows the number of cases in the cluster. Three clusters were created according to the ice cream flavor. The first cluster is created over the chocolate flavor and shows 47 values, and the second cluster represents the vanilla flavor and shows 95 values. This is the highest value among the three flavors. The third cluster is made of strawberry flavor and shows 58 values. It can be concluded that the vanilla flavor was liked most by the students the strawberry flavor and after that chocolate flavor. </w:t>
      </w:r>
    </w:p>
    <w:p>
      <w:pPr>
        <w:rPr>
          <w:b/>
          <w:lang w:val="en-IN"/>
        </w:rPr>
      </w:pPr>
    </w:p>
    <w:p>
      <w:pPr>
        <w:pStyle w:val="3"/>
      </w:pPr>
      <w:bookmarkStart w:id="31" w:name="_Toc122537155"/>
      <w:r>
        <w:t>2.5 Data mining and text mining</w:t>
      </w:r>
      <w:bookmarkEnd w:id="31"/>
    </w:p>
    <w:p>
      <w:pPr>
        <w:rPr>
          <w:b/>
        </w:rPr>
      </w:pPr>
      <w:r>
        <w:rPr>
          <w:b/>
        </w:rPr>
        <w:t>Data mining with a real-world example</w:t>
      </w:r>
    </w:p>
    <w:p>
      <w:r>
        <w:t>The business now has access to a vast amount of data. But until it is transformed into valuable information, such data is useless to management. Data mining is then useful in this situation. It transforms large amounts of unstructured data into useful knowledge that can be used to make informed decisions. It is also named </w:t>
      </w:r>
      <w:r>
        <w:rPr>
          <w:rFonts w:eastAsiaTheme="majorEastAsia"/>
        </w:rPr>
        <w:t xml:space="preserve">Knowledge Discovery in Database. </w:t>
      </w:r>
      <w:r>
        <w:t xml:space="preserve">This process includes cleaning of data, integration, assortment, conversion, Data mining, Pattern estimation, as well as Knowledge presentation. </w:t>
      </w:r>
    </w:p>
    <w:p>
      <w:pPr>
        <w:rPr>
          <w:color w:val="000000"/>
          <w:shd w:val="clear" w:color="auto" w:fill="FFFFFF"/>
        </w:rPr>
      </w:pPr>
      <w:r>
        <w:rPr>
          <w:shd w:val="clear" w:color="auto" w:fill="FFFFFF"/>
        </w:rPr>
        <w:t xml:space="preserve">In another way, it is the process of investigative information is accessible hidden patterns from numerous angles for classification into beneficial data. This data is collected and gathered in exact areas like records stores, effective analysis, along with data mining procedures that aid in decision-making as well as further data requirements that ultimately lessen costs and produce income. </w:t>
      </w:r>
      <w:r>
        <w:rPr>
          <w:color w:val="000000"/>
          <w:shd w:val="clear" w:color="auto" w:fill="FFFFFF"/>
        </w:rPr>
        <w:t>(IBM, 2021)</w:t>
      </w:r>
      <w:r>
        <w:rPr>
          <w:shd w:val="clear" w:color="auto" w:fill="FFFFFF"/>
        </w:rPr>
        <w:t>.</w:t>
      </w:r>
    </w:p>
    <w:p>
      <w:r>
        <w:t>The complete client journey and business customer service can be greatly enhanced by data mining. You gather a lot of information about consumer experiences. Consumers' feedback (provided through multiple channels), emails you receive from customers, postings and comments on social media, and any post-purchase surveys you may do are some of the sources for data on customer service. Afterward, you can utilize that information to pinpoint problems (and find solutions for them), as well as other ways to enhance the customer experience. In reality, Amazon offers services to assist other firms with their big data usage in addition to using the data they analyze to enhance their services. With access to a variety of data, they have been able to better understand customer wants and personalize products accordingly.</w:t>
      </w:r>
    </w:p>
    <w:p>
      <w:pPr>
        <w:rPr>
          <w:b/>
        </w:rPr>
      </w:pPr>
      <w:r>
        <w:rPr>
          <w:b/>
        </w:rPr>
        <w:t>Text mining with a real-world example</w:t>
      </w:r>
    </w:p>
    <w:p>
      <w:pPr>
        <w:rPr>
          <w:color w:val="000000"/>
          <w:szCs w:val="24"/>
          <w:lang w:val="en-IN" w:eastAsia="en-IN"/>
        </w:rPr>
      </w:pPr>
      <w:r>
        <w:t xml:space="preserve">Significant unstructured script data analysis is named text mining, so it comprises using software to identify thoughts, patterns, subjects, phrases, as well as other characteristics in the data. Although some people distinguish between the two names, it is also commonly referred to as analytics. In such cases, text analytics refers to the program that uses textual mining methods to analyze data sets. It includes emails, call logs, records of medical and other text information. Text mining is alike to data mining in that it focusses on text rather than further organized data. Arranging and organizing the data in some system so that it may be succumbed for both qualitative as well as quantitative analysis, meanwhile, is single of the initial phases in the text-mining process. Natural language processing (NLP) innovation, that employs machine learning concepts to parse and appreciate data sets, is frequently used to accomplish this </w:t>
      </w:r>
      <w:r>
        <w:rPr>
          <w:color w:val="000000"/>
          <w:shd w:val="clear" w:color="auto" w:fill="FFFFFF"/>
        </w:rPr>
        <w:t>(Stedman, 2020)</w:t>
      </w:r>
      <w:r>
        <w:t>.</w:t>
      </w:r>
    </w:p>
    <w:p>
      <w:r>
        <w:t xml:space="preserve">Digital advertising has replaced the conventional method of ad placement. Ad placement's effectiveness or failure mostly depends on the type of advertising running as well as the locations where they appear. It is an excellent method for audience targeting because it enables marketers to make sure the right people see their banner ads. Businesses can execute highly profitable contextual web ad campaigns by utilizing text mining. It can use to better comprehend the perspective of a webpage so they may place advertisements there </w:t>
      </w:r>
      <w:r>
        <w:rPr>
          <w:color w:val="000000"/>
          <w:shd w:val="clear" w:color="auto" w:fill="FFFFFF"/>
        </w:rPr>
        <w:t>(Kumar, 2020)</w:t>
      </w:r>
      <w:r>
        <w:t>.</w:t>
      </w:r>
    </w:p>
    <w:p>
      <w:pPr>
        <w:pStyle w:val="3"/>
        <w:rPr>
          <w:lang w:val="en-IN"/>
        </w:rPr>
      </w:pPr>
      <w:bookmarkStart w:id="32" w:name="_Toc122537156"/>
      <w:r>
        <w:rPr>
          <w:lang w:val="en-IN"/>
        </w:rPr>
        <w:t>2.6 Advantages of Excel and SPSS</w:t>
      </w:r>
      <w:bookmarkEnd w:id="32"/>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jc w:val="center"/>
              <w:rPr>
                <w:lang w:val="en-IN"/>
              </w:rPr>
            </w:pPr>
            <w:r>
              <w:rPr>
                <w:lang w:val="en-IN"/>
              </w:rPr>
              <w:t>Excel</w:t>
            </w:r>
          </w:p>
        </w:tc>
        <w:tc>
          <w:tcPr>
            <w:tcW w:w="4508" w:type="dxa"/>
          </w:tcPr>
          <w:p>
            <w:pPr>
              <w:jc w:val="center"/>
              <w:rPr>
                <w:lang w:val="en-IN"/>
              </w:rPr>
            </w:pPr>
            <w:r>
              <w:rPr>
                <w:lang w:val="en-IN"/>
              </w:rPr>
              <w:t>SPSS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rPr>
                <w:lang w:val="en-IN"/>
              </w:rPr>
            </w:pPr>
            <w:r>
              <w:rPr>
                <w:lang w:val="en-IN"/>
              </w:rPr>
              <w:t>Layout the data</w:t>
            </w:r>
          </w:p>
        </w:tc>
        <w:tc>
          <w:tcPr>
            <w:tcW w:w="4508" w:type="dxa"/>
          </w:tcPr>
          <w:p>
            <w:pPr>
              <w:rPr>
                <w:lang w:val="en-IN"/>
              </w:rPr>
            </w:pPr>
            <w:r>
              <w:rPr>
                <w:lang w:val="en-IN"/>
              </w:rPr>
              <w:t>Visualization designer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rPr>
                <w:lang w:val="en-IN"/>
              </w:rPr>
            </w:pPr>
            <w:r>
              <w:rPr>
                <w:lang w:val="en-IN"/>
              </w:rPr>
              <w:t>Simple to rearrange as well as reformat the data</w:t>
            </w:r>
          </w:p>
        </w:tc>
        <w:tc>
          <w:tcPr>
            <w:tcW w:w="4508" w:type="dxa"/>
          </w:tcPr>
          <w:p>
            <w:pPr>
              <w:rPr>
                <w:lang w:val="en-IN"/>
              </w:rPr>
            </w:pPr>
            <w:r>
              <w:rPr>
                <w:lang w:val="en-IN"/>
              </w:rPr>
              <w:t>Predictive modeling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rPr>
                <w:lang w:val="en-IN"/>
              </w:rPr>
            </w:pPr>
            <w:r>
              <w:rPr>
                <w:lang w:val="en-IN"/>
              </w:rPr>
              <w:t>Data processing and analyzing</w:t>
            </w:r>
          </w:p>
        </w:tc>
        <w:tc>
          <w:tcPr>
            <w:tcW w:w="4508" w:type="dxa"/>
          </w:tcPr>
          <w:p>
            <w:pPr>
              <w:rPr>
                <w:lang w:val="en-IN"/>
              </w:rPr>
            </w:pPr>
            <w:r>
              <w:rPr>
                <w:lang w:val="en-IN"/>
              </w:rPr>
              <w:t>Quantitative analysis of data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rPr>
                <w:lang w:val="en-IN"/>
              </w:rPr>
            </w:pPr>
            <w:r>
              <w:rPr>
                <w:lang w:val="en-IN"/>
              </w:rPr>
              <w:t>Analyze trends and patterns over large data</w:t>
            </w:r>
          </w:p>
        </w:tc>
        <w:tc>
          <w:tcPr>
            <w:tcW w:w="4508" w:type="dxa"/>
          </w:tcPr>
          <w:p>
            <w:pPr>
              <w:rPr>
                <w:lang w:val="en-IN"/>
              </w:rPr>
            </w:pPr>
            <w:r>
              <w:rPr>
                <w:lang w:val="en-IN"/>
              </w:rPr>
              <w:t>Text analysis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rPr>
                <w:lang w:val="en-IN"/>
              </w:rPr>
            </w:pPr>
            <w:r>
              <w:rPr>
                <w:lang w:val="en-IN"/>
              </w:rPr>
              <w:t>Sharing and connectivity</w:t>
            </w:r>
          </w:p>
        </w:tc>
        <w:tc>
          <w:tcPr>
            <w:tcW w:w="4508" w:type="dxa"/>
          </w:tcPr>
          <w:p>
            <w:pPr>
              <w:rPr>
                <w:lang w:val="en-IN"/>
              </w:rPr>
            </w:pPr>
            <w:r>
              <w:rPr>
                <w:lang w:val="en-IN"/>
              </w:rPr>
              <w:t>Data management</w:t>
            </w:r>
          </w:p>
        </w:tc>
      </w:tr>
    </w:tbl>
    <w:p>
      <w:pPr>
        <w:rPr>
          <w:lang w:val="en-IN"/>
        </w:rPr>
      </w:pPr>
    </w:p>
    <w:p>
      <w:pPr>
        <w:rPr>
          <w:lang w:val="en-IN"/>
        </w:rPr>
      </w:pPr>
      <w:r>
        <w:rPr>
          <w:lang w:val="en-IN"/>
        </w:rPr>
        <w:t>Disadvantages of Excel and SPSS</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rPr>
                <w:lang w:val="en-IN"/>
              </w:rPr>
            </w:pPr>
            <w:r>
              <w:rPr>
                <w:lang w:val="en-IN"/>
              </w:rPr>
              <w:t>Excel</w:t>
            </w:r>
          </w:p>
          <w:p>
            <w:pPr>
              <w:rPr>
                <w:lang w:val="en-IN"/>
              </w:rPr>
            </w:pPr>
            <w:r>
              <w:rPr>
                <w:lang w:val="en-IN"/>
              </w:rPr>
              <w:t>Lack of security as well as control.</w:t>
            </w:r>
          </w:p>
        </w:tc>
        <w:tc>
          <w:tcPr>
            <w:tcW w:w="4508" w:type="dxa"/>
          </w:tcPr>
          <w:p>
            <w:pPr>
              <w:rPr>
                <w:lang w:val="en-IN"/>
              </w:rPr>
            </w:pPr>
            <w:r>
              <w:rPr>
                <w:lang w:val="en-IN"/>
              </w:rPr>
              <w:t>SPSS</w:t>
            </w:r>
          </w:p>
          <w:p>
            <w:pPr>
              <w:rPr>
                <w:lang w:val="en-IN"/>
              </w:rPr>
            </w:pPr>
            <w:r>
              <w:rPr>
                <w:lang w:val="en-IN"/>
              </w:rPr>
              <w:t>Limitation of visualization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rPr>
                <w:lang w:val="en-IN"/>
              </w:rPr>
            </w:pPr>
            <w:r>
              <w:rPr>
                <w:lang w:val="en-IN"/>
              </w:rPr>
              <w:t xml:space="preserve">It is prone to human error. </w:t>
            </w:r>
          </w:p>
        </w:tc>
        <w:tc>
          <w:tcPr>
            <w:tcW w:w="4508" w:type="dxa"/>
          </w:tcPr>
          <w:p>
            <w:pPr>
              <w:rPr>
                <w:lang w:val="en-IN"/>
              </w:rPr>
            </w:pPr>
            <w:r>
              <w:rPr>
                <w:lang w:val="en-IN"/>
              </w:rPr>
              <w:t>Hard to interpret error logs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rPr>
                <w:lang w:val="en-IN"/>
              </w:rPr>
            </w:pPr>
            <w:r>
              <w:rPr>
                <w:lang w:val="en-IN"/>
              </w:rPr>
              <w:t xml:space="preserve">Unfit for the agile practice of business </w:t>
            </w:r>
          </w:p>
        </w:tc>
        <w:tc>
          <w:tcPr>
            <w:tcW w:w="4508" w:type="dxa"/>
          </w:tcPr>
          <w:p>
            <w:pPr>
              <w:rPr>
                <w:lang w:val="en-IN"/>
              </w:rPr>
            </w:pPr>
            <w:r>
              <w:rPr>
                <w:lang w:val="en-IN"/>
              </w:rPr>
              <w:t>Unfit for analyzing the large data set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rPr>
                <w:lang w:val="en-IN"/>
              </w:rPr>
            </w:pPr>
            <w:r>
              <w:rPr>
                <w:lang w:val="en-IN"/>
              </w:rPr>
              <w:t>Vulnerable to corruption as well as fraud</w:t>
            </w:r>
          </w:p>
        </w:tc>
        <w:tc>
          <w:tcPr>
            <w:tcW w:w="4508" w:type="dxa"/>
          </w:tcPr>
          <w:p>
            <w:pPr>
              <w:rPr>
                <w:lang w:val="en-IN"/>
              </w:rPr>
            </w:pPr>
            <w:r>
              <w:rPr>
                <w:lang w:val="en-IN"/>
              </w:rPr>
              <w:t>It is slow if not using the newest hardware</w:t>
            </w:r>
          </w:p>
        </w:tc>
      </w:tr>
    </w:tbl>
    <w:p>
      <w:pPr>
        <w:rPr>
          <w:lang w:val="en-IN"/>
        </w:rPr>
      </w:pPr>
    </w:p>
    <w:p>
      <w:pPr>
        <w:rPr>
          <w:lang w:val="en-IN"/>
        </w:rPr>
      </w:pPr>
      <w:r>
        <w:rPr>
          <w:lang w:val="en-IN"/>
        </w:rPr>
        <w:t>Pivot tables are a more effective tool for Excel. This makes excel user-friendly. However, SPSS provides strong pivot table options than excel. It provides more build-in-option as well as add-in tool options for analyzing the data.</w:t>
      </w:r>
    </w:p>
    <w:p>
      <w:pPr>
        <w:spacing w:after="160"/>
        <w:rPr>
          <w:lang w:val="en-IN"/>
        </w:rPr>
      </w:pPr>
      <w:r>
        <w:rPr>
          <w:lang w:val="en-IN"/>
        </w:rPr>
        <w:br w:type="page"/>
      </w:r>
    </w:p>
    <w:p>
      <w:pPr>
        <w:pStyle w:val="2"/>
      </w:pPr>
      <w:bookmarkStart w:id="33" w:name="_Toc122537157"/>
      <w:r>
        <w:t>Reference</w:t>
      </w:r>
      <w:bookmarkEnd w:id="33"/>
    </w:p>
    <w:p>
      <w:pPr>
        <w:jc w:val="both"/>
      </w:pPr>
      <w:r>
        <w:t>Azevedo, N. (2021). </w:t>
      </w:r>
      <w:r>
        <w:rPr>
          <w:i/>
          <w:iCs/>
        </w:rPr>
        <w:t>6 Techniques of Data Preprocessing | Scalable Path®</w:t>
      </w:r>
      <w:r>
        <w:t>. [online] Scalable Path. Available at: https://www.scalablepath.com/data-science/data-preprocessing-phase [Accessed 17 Dec. 2022].</w:t>
      </w:r>
    </w:p>
    <w:p>
      <w:pPr>
        <w:jc w:val="both"/>
        <w:rPr>
          <w:lang w:val="en-IN"/>
        </w:rPr>
      </w:pPr>
      <w:r>
        <w:rPr>
          <w:shd w:val="clear" w:color="auto" w:fill="FFFFFF"/>
        </w:rPr>
        <w:t>Bergin, T., 2018. </w:t>
      </w:r>
      <w:r>
        <w:rPr>
          <w:i/>
          <w:iCs/>
          <w:shd w:val="clear" w:color="auto" w:fill="FFFFFF"/>
        </w:rPr>
        <w:t>An introduction to data analysis: Quantitative, qualitative and mixed methods</w:t>
      </w:r>
      <w:r>
        <w:rPr>
          <w:shd w:val="clear" w:color="auto" w:fill="FFFFFF"/>
        </w:rPr>
        <w:t>. Sage. https://books.google.co.in/books?hl=en&amp;lr=&amp;id=-URvDwAAQBAJ&amp;oi=fnd&amp;pg=PP1&amp;dq=data+analysis&amp;ots=H9feiAghsx&amp;sig=pq3N3EqiR6d4GqPIcHBowg6xe3E&amp;redir_esc=y#v=onepage&amp;q=data%20analysis&amp;f=false</w:t>
      </w:r>
    </w:p>
    <w:p>
      <w:pPr>
        <w:spacing w:after="240"/>
        <w:jc w:val="both"/>
        <w:rPr>
          <w:color w:val="000000"/>
          <w:szCs w:val="24"/>
          <w:lang w:val="en-IN" w:eastAsia="en-IN"/>
        </w:rPr>
      </w:pPr>
      <w:r>
        <w:rPr>
          <w:color w:val="000000"/>
          <w:szCs w:val="24"/>
          <w:lang w:val="en-IN" w:eastAsia="en-IN"/>
        </w:rPr>
        <w:t>Dalgleish, D. (2022). </w:t>
      </w:r>
      <w:r>
        <w:rPr>
          <w:i/>
          <w:iCs/>
          <w:color w:val="000000"/>
          <w:szCs w:val="24"/>
          <w:lang w:val="en-IN" w:eastAsia="en-IN"/>
        </w:rPr>
        <w:t>How to Create a Pivot Table in Excel</w:t>
      </w:r>
      <w:r>
        <w:rPr>
          <w:color w:val="000000"/>
          <w:szCs w:val="24"/>
          <w:lang w:val="en-IN" w:eastAsia="en-IN"/>
        </w:rPr>
        <w:t>. [online] Contextures Excel Tips. Available at: https://www.contextures.com/createpivottable.html [Accessed 19 Dec. 2022].</w:t>
      </w:r>
    </w:p>
    <w:p>
      <w:pPr>
        <w:spacing w:after="240"/>
        <w:jc w:val="both"/>
        <w:rPr>
          <w:color w:val="000000"/>
          <w:szCs w:val="24"/>
          <w:lang w:val="en-IN" w:eastAsia="en-IN"/>
        </w:rPr>
      </w:pPr>
      <w:r>
        <w:rPr>
          <w:color w:val="000000"/>
          <w:szCs w:val="24"/>
          <w:lang w:val="en-IN" w:eastAsia="en-IN"/>
        </w:rPr>
        <w:t>IBM Cloud Education (2021). </w:t>
      </w:r>
      <w:r>
        <w:rPr>
          <w:i/>
          <w:iCs/>
          <w:color w:val="000000"/>
          <w:szCs w:val="24"/>
          <w:lang w:val="en-IN" w:eastAsia="en-IN"/>
        </w:rPr>
        <w:t>What is Data Mining?</w:t>
      </w:r>
      <w:r>
        <w:rPr>
          <w:color w:val="000000"/>
          <w:szCs w:val="24"/>
          <w:lang w:val="en-IN" w:eastAsia="en-IN"/>
        </w:rPr>
        <w:t> [online] Ibm.com. Available at: https://www.ibm.com/cloud/learn/data-mining [Accessed 19 Dec. 2022].</w:t>
      </w:r>
    </w:p>
    <w:p>
      <w:pPr>
        <w:spacing w:after="240"/>
        <w:jc w:val="both"/>
        <w:rPr>
          <w:color w:val="000000"/>
          <w:szCs w:val="24"/>
          <w:lang w:val="en-IN" w:eastAsia="en-IN"/>
        </w:rPr>
      </w:pPr>
      <w:r>
        <w:rPr>
          <w:color w:val="000000"/>
          <w:szCs w:val="24"/>
          <w:lang w:val="en-IN" w:eastAsia="en-IN"/>
        </w:rPr>
        <w:t>IF (2021). </w:t>
      </w:r>
      <w:r>
        <w:rPr>
          <w:i/>
          <w:iCs/>
          <w:color w:val="000000"/>
          <w:szCs w:val="24"/>
          <w:lang w:val="en-IN" w:eastAsia="en-IN"/>
        </w:rPr>
        <w:t>IF function - Microsoft Support</w:t>
      </w:r>
      <w:r>
        <w:rPr>
          <w:color w:val="000000"/>
          <w:szCs w:val="24"/>
          <w:lang w:val="en-IN" w:eastAsia="en-IN"/>
        </w:rPr>
        <w:t>. [online] Microsoft.com. Available at: https://support.microsoft.com/en-us/office/if-function-69aed7c9-4e8a-4755-a9bc-aa8bbff73be2#:~:text=The%20IF%20function%20is%20one,if%20your%20comparison%20is%20False. [Accessed 19 Dec. 2022].</w:t>
      </w:r>
    </w:p>
    <w:p>
      <w:pPr>
        <w:jc w:val="both"/>
        <w:rPr>
          <w:shd w:val="clear" w:color="auto" w:fill="FFFFFF"/>
        </w:rPr>
      </w:pPr>
      <w:r>
        <w:rPr>
          <w:shd w:val="clear" w:color="auto" w:fill="FFFFFF"/>
        </w:rPr>
        <w:t>Jahwar, A.F. and Abdulazeez, A.M., 2020. Meta-heuristic algorithms for K-means clustering: A review. </w:t>
      </w:r>
      <w:r>
        <w:rPr>
          <w:i/>
          <w:iCs/>
          <w:shd w:val="clear" w:color="auto" w:fill="FFFFFF"/>
        </w:rPr>
        <w:t>PalArch's Journal of Archaeology of Egypt/Egyptology</w:t>
      </w:r>
      <w:r>
        <w:rPr>
          <w:shd w:val="clear" w:color="auto" w:fill="FFFFFF"/>
        </w:rPr>
        <w:t>, </w:t>
      </w:r>
      <w:r>
        <w:rPr>
          <w:i/>
          <w:iCs/>
          <w:shd w:val="clear" w:color="auto" w:fill="FFFFFF"/>
        </w:rPr>
        <w:t>17</w:t>
      </w:r>
      <w:r>
        <w:rPr>
          <w:shd w:val="clear" w:color="auto" w:fill="FFFFFF"/>
        </w:rPr>
        <w:t xml:space="preserve">(7), pp.12002-12020. </w:t>
      </w:r>
      <w:r>
        <w:fldChar w:fldCharType="begin"/>
      </w:r>
      <w:r>
        <w:instrText xml:space="preserve"> HYPERLINK "https://archives.palarch.nl/index.php/jae/article/view/4630" </w:instrText>
      </w:r>
      <w:r>
        <w:fldChar w:fldCharType="separate"/>
      </w:r>
      <w:r>
        <w:rPr>
          <w:rStyle w:val="11"/>
          <w:rFonts w:ascii="Arial" w:hAnsi="Arial" w:cs="Arial"/>
          <w:sz w:val="20"/>
          <w:shd w:val="clear" w:color="auto" w:fill="FFFFFF"/>
        </w:rPr>
        <w:t>https://archives.palarch.nl/index.php/jae/article/view/4630</w:t>
      </w:r>
      <w:r>
        <w:rPr>
          <w:rStyle w:val="11"/>
          <w:rFonts w:ascii="Arial" w:hAnsi="Arial" w:cs="Arial"/>
          <w:sz w:val="20"/>
          <w:shd w:val="clear" w:color="auto" w:fill="FFFFFF"/>
        </w:rPr>
        <w:fldChar w:fldCharType="end"/>
      </w:r>
    </w:p>
    <w:p>
      <w:pPr>
        <w:spacing w:after="240"/>
        <w:jc w:val="both"/>
        <w:rPr>
          <w:color w:val="000000"/>
          <w:szCs w:val="24"/>
          <w:lang w:val="en-IN" w:eastAsia="en-IN"/>
        </w:rPr>
      </w:pPr>
      <w:r>
        <w:rPr>
          <w:color w:val="000000"/>
          <w:szCs w:val="24"/>
          <w:lang w:val="en-IN" w:eastAsia="en-IN"/>
        </w:rPr>
        <w:t>Kumar, V. (2020). </w:t>
      </w:r>
      <w:r>
        <w:rPr>
          <w:i/>
          <w:iCs/>
          <w:color w:val="000000"/>
          <w:szCs w:val="24"/>
          <w:lang w:val="en-IN" w:eastAsia="en-IN"/>
        </w:rPr>
        <w:t>Text Mining: Best Real-World Applications in Use Today</w:t>
      </w:r>
      <w:r>
        <w:rPr>
          <w:color w:val="000000"/>
          <w:szCs w:val="24"/>
          <w:lang w:val="en-IN" w:eastAsia="en-IN"/>
        </w:rPr>
        <w:t>. [online] Analytics Insight. Available at: https://www.analyticsinsight.net/text-mining-best-real-world-applications-use-today/ [Accessed 19 Dec. 2022].</w:t>
      </w:r>
    </w:p>
    <w:p>
      <w:pPr>
        <w:pStyle w:val="12"/>
        <w:spacing w:before="0" w:beforeAutospacing="0" w:after="240" w:afterAutospacing="0" w:line="360" w:lineRule="auto"/>
        <w:jc w:val="both"/>
      </w:pPr>
      <w:r>
        <w:rPr>
          <w:color w:val="000000"/>
        </w:rPr>
        <w:t xml:space="preserve">‌ </w:t>
      </w:r>
      <w:r>
        <w:t>Sciencing. (2018). The Advantages of Bar Graphs. [online] Available at: https://sciencing.com/advantages-bar-graphs-6822794.html [Accessed 21 Dec. 2022].</w:t>
      </w:r>
    </w:p>
    <w:p>
      <w:pPr>
        <w:jc w:val="both"/>
        <w:rPr>
          <w:lang w:val="en-IN" w:eastAsia="en-IN"/>
        </w:rPr>
      </w:pPr>
      <w:r>
        <w:rPr>
          <w:lang w:val="en-IN" w:eastAsia="en-IN"/>
        </w:rPr>
        <w:t>Simon Sez IT. (2020). </w:t>
      </w:r>
      <w:r>
        <w:rPr>
          <w:i/>
          <w:iCs/>
          <w:lang w:val="en-IN" w:eastAsia="en-IN"/>
        </w:rPr>
        <w:t>Pivot Charts in Excel Tutorial - Simon Sez IT</w:t>
      </w:r>
      <w:r>
        <w:rPr>
          <w:lang w:val="en-IN" w:eastAsia="en-IN"/>
        </w:rPr>
        <w:t>. [online] Available at: https://www.simonsezit.com/article/pivot-charts-in-excel-tutorial/ [Accessed 21 Dec. 2022].</w:t>
      </w:r>
    </w:p>
    <w:p>
      <w:pPr>
        <w:spacing w:after="240"/>
        <w:jc w:val="both"/>
        <w:rPr>
          <w:color w:val="000000"/>
          <w:szCs w:val="24"/>
          <w:lang w:val="en-IN" w:eastAsia="en-IN"/>
        </w:rPr>
      </w:pPr>
      <w:r>
        <w:rPr>
          <w:color w:val="000000"/>
          <w:szCs w:val="24"/>
          <w:lang w:val="en-IN" w:eastAsia="en-IN"/>
        </w:rPr>
        <w:t>Stedman, C. (2020). </w:t>
      </w:r>
      <w:r>
        <w:rPr>
          <w:i/>
          <w:iCs/>
          <w:color w:val="000000"/>
          <w:szCs w:val="24"/>
          <w:lang w:val="en-IN" w:eastAsia="en-IN"/>
        </w:rPr>
        <w:t>text mining (text analytics)</w:t>
      </w:r>
      <w:r>
        <w:rPr>
          <w:color w:val="000000"/>
          <w:szCs w:val="24"/>
          <w:lang w:val="en-IN" w:eastAsia="en-IN"/>
        </w:rPr>
        <w:t>. [online] Business Analytics. Available at: https://www.techtarget.com/searchbusinessanalytics/definition/text-mining [Accessed 19 Dec. 2022].</w:t>
      </w:r>
    </w:p>
    <w:p>
      <w:pPr>
        <w:rPr>
          <w:lang w:val="en-IN"/>
        </w:rPr>
      </w:pPr>
    </w:p>
    <w:sectPr>
      <w:foot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99608776"/>
      <w:docPartObj>
        <w:docPartGallery w:val="autotext"/>
      </w:docPartObj>
    </w:sdtPr>
    <w:sdtContent>
      <w:p>
        <w:pPr>
          <w:pStyle w:val="9"/>
          <w:jc w:val="center"/>
        </w:pPr>
        <w:r>
          <w:fldChar w:fldCharType="begin"/>
        </w:r>
        <w:r>
          <w:instrText xml:space="preserve"> PAGE   \* MERGEFORMAT </w:instrText>
        </w:r>
        <w:r>
          <w:fldChar w:fldCharType="separate"/>
        </w:r>
        <w:r>
          <w:t>19</w:t>
        </w:r>
        <w:r>
          <w:fldChar w:fldCharType="end"/>
        </w:r>
      </w:p>
    </w:sdtContent>
  </w:sdt>
  <w:p>
    <w:pPr>
      <w:pStyle w:val="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U3MjMzM7cwNTEyNDdR0lEKTi0uzszPAykwqQUAagxgeiwAAAA="/>
  </w:docVars>
  <w:rsids>
    <w:rsidRoot w:val="00BB0285"/>
    <w:rsid w:val="0000292F"/>
    <w:rsid w:val="000245F9"/>
    <w:rsid w:val="00033F17"/>
    <w:rsid w:val="000423A3"/>
    <w:rsid w:val="00056C66"/>
    <w:rsid w:val="00075251"/>
    <w:rsid w:val="000827C5"/>
    <w:rsid w:val="00090D29"/>
    <w:rsid w:val="00091257"/>
    <w:rsid w:val="00093356"/>
    <w:rsid w:val="000B4374"/>
    <w:rsid w:val="000C2641"/>
    <w:rsid w:val="000D4B33"/>
    <w:rsid w:val="000E617B"/>
    <w:rsid w:val="000F11E8"/>
    <w:rsid w:val="00110C5D"/>
    <w:rsid w:val="001239E0"/>
    <w:rsid w:val="001604D8"/>
    <w:rsid w:val="00180F82"/>
    <w:rsid w:val="00181E37"/>
    <w:rsid w:val="00182ECF"/>
    <w:rsid w:val="00186564"/>
    <w:rsid w:val="001934FB"/>
    <w:rsid w:val="001A3467"/>
    <w:rsid w:val="001C04CF"/>
    <w:rsid w:val="001C2E3C"/>
    <w:rsid w:val="001C4A77"/>
    <w:rsid w:val="001C4F2A"/>
    <w:rsid w:val="001E7444"/>
    <w:rsid w:val="001F1FB0"/>
    <w:rsid w:val="001F6AE1"/>
    <w:rsid w:val="00203353"/>
    <w:rsid w:val="00227C5E"/>
    <w:rsid w:val="00231EAE"/>
    <w:rsid w:val="00252AEE"/>
    <w:rsid w:val="00255E76"/>
    <w:rsid w:val="00265C67"/>
    <w:rsid w:val="00287199"/>
    <w:rsid w:val="00290A0B"/>
    <w:rsid w:val="00292445"/>
    <w:rsid w:val="00296CFF"/>
    <w:rsid w:val="002A708A"/>
    <w:rsid w:val="002B2A19"/>
    <w:rsid w:val="002E2E33"/>
    <w:rsid w:val="002E4C4D"/>
    <w:rsid w:val="0030100C"/>
    <w:rsid w:val="00307E07"/>
    <w:rsid w:val="003251F4"/>
    <w:rsid w:val="00332A75"/>
    <w:rsid w:val="00366F0F"/>
    <w:rsid w:val="0037199B"/>
    <w:rsid w:val="00376330"/>
    <w:rsid w:val="00377043"/>
    <w:rsid w:val="0038413B"/>
    <w:rsid w:val="003A5305"/>
    <w:rsid w:val="003B182F"/>
    <w:rsid w:val="003C09F7"/>
    <w:rsid w:val="0040125C"/>
    <w:rsid w:val="0042639F"/>
    <w:rsid w:val="00433027"/>
    <w:rsid w:val="00436402"/>
    <w:rsid w:val="00440295"/>
    <w:rsid w:val="0044137B"/>
    <w:rsid w:val="004420A9"/>
    <w:rsid w:val="00471541"/>
    <w:rsid w:val="00495A86"/>
    <w:rsid w:val="00496B22"/>
    <w:rsid w:val="004B04DB"/>
    <w:rsid w:val="004B7260"/>
    <w:rsid w:val="004D5B7D"/>
    <w:rsid w:val="004E5E89"/>
    <w:rsid w:val="004F203B"/>
    <w:rsid w:val="00510715"/>
    <w:rsid w:val="0051369E"/>
    <w:rsid w:val="0053524C"/>
    <w:rsid w:val="00535CAA"/>
    <w:rsid w:val="00541A3D"/>
    <w:rsid w:val="00543644"/>
    <w:rsid w:val="00543B96"/>
    <w:rsid w:val="0055594E"/>
    <w:rsid w:val="005720CB"/>
    <w:rsid w:val="005D7075"/>
    <w:rsid w:val="00612B79"/>
    <w:rsid w:val="00613FDB"/>
    <w:rsid w:val="00615C0B"/>
    <w:rsid w:val="006167A4"/>
    <w:rsid w:val="006168DF"/>
    <w:rsid w:val="0063774E"/>
    <w:rsid w:val="00641CE8"/>
    <w:rsid w:val="00645156"/>
    <w:rsid w:val="006576C5"/>
    <w:rsid w:val="00671AB3"/>
    <w:rsid w:val="006741B0"/>
    <w:rsid w:val="006A37A1"/>
    <w:rsid w:val="006A6315"/>
    <w:rsid w:val="006E0DFE"/>
    <w:rsid w:val="006E45C3"/>
    <w:rsid w:val="006F249F"/>
    <w:rsid w:val="006F714F"/>
    <w:rsid w:val="00713F34"/>
    <w:rsid w:val="00723088"/>
    <w:rsid w:val="0072365A"/>
    <w:rsid w:val="007354AF"/>
    <w:rsid w:val="00740830"/>
    <w:rsid w:val="00752388"/>
    <w:rsid w:val="007879BD"/>
    <w:rsid w:val="00790EF6"/>
    <w:rsid w:val="00791E3A"/>
    <w:rsid w:val="007B36CB"/>
    <w:rsid w:val="007C234A"/>
    <w:rsid w:val="007C25E9"/>
    <w:rsid w:val="007C32C8"/>
    <w:rsid w:val="007F30E6"/>
    <w:rsid w:val="00802C69"/>
    <w:rsid w:val="00811AD3"/>
    <w:rsid w:val="00820C58"/>
    <w:rsid w:val="00821C09"/>
    <w:rsid w:val="00822E87"/>
    <w:rsid w:val="00825D51"/>
    <w:rsid w:val="00837B26"/>
    <w:rsid w:val="008400A1"/>
    <w:rsid w:val="00846524"/>
    <w:rsid w:val="0085469D"/>
    <w:rsid w:val="00863E1B"/>
    <w:rsid w:val="0087583B"/>
    <w:rsid w:val="00886F17"/>
    <w:rsid w:val="008877A8"/>
    <w:rsid w:val="00896D8B"/>
    <w:rsid w:val="008A5F07"/>
    <w:rsid w:val="008C3678"/>
    <w:rsid w:val="008C3E07"/>
    <w:rsid w:val="00940C4C"/>
    <w:rsid w:val="00970DF7"/>
    <w:rsid w:val="00990946"/>
    <w:rsid w:val="00991DEA"/>
    <w:rsid w:val="009B0B48"/>
    <w:rsid w:val="009B11F8"/>
    <w:rsid w:val="009B296A"/>
    <w:rsid w:val="009B6DE2"/>
    <w:rsid w:val="009B76C6"/>
    <w:rsid w:val="009C7807"/>
    <w:rsid w:val="00A0402B"/>
    <w:rsid w:val="00A04D24"/>
    <w:rsid w:val="00A33877"/>
    <w:rsid w:val="00A439DD"/>
    <w:rsid w:val="00A44F1F"/>
    <w:rsid w:val="00A455DF"/>
    <w:rsid w:val="00A5663A"/>
    <w:rsid w:val="00A66DE8"/>
    <w:rsid w:val="00A77328"/>
    <w:rsid w:val="00AB0C93"/>
    <w:rsid w:val="00AB0D27"/>
    <w:rsid w:val="00AD27A8"/>
    <w:rsid w:val="00AE72B7"/>
    <w:rsid w:val="00B04A00"/>
    <w:rsid w:val="00B27539"/>
    <w:rsid w:val="00B479C4"/>
    <w:rsid w:val="00B57231"/>
    <w:rsid w:val="00B64FEB"/>
    <w:rsid w:val="00B7144F"/>
    <w:rsid w:val="00B80447"/>
    <w:rsid w:val="00B82AC0"/>
    <w:rsid w:val="00B9200E"/>
    <w:rsid w:val="00B955D4"/>
    <w:rsid w:val="00BA6971"/>
    <w:rsid w:val="00BB0285"/>
    <w:rsid w:val="00BB6C02"/>
    <w:rsid w:val="00BB7B6D"/>
    <w:rsid w:val="00BC33BE"/>
    <w:rsid w:val="00BC5F93"/>
    <w:rsid w:val="00BC7F9C"/>
    <w:rsid w:val="00BF1C2B"/>
    <w:rsid w:val="00BF4C84"/>
    <w:rsid w:val="00C10730"/>
    <w:rsid w:val="00C32E2F"/>
    <w:rsid w:val="00C413E3"/>
    <w:rsid w:val="00C41903"/>
    <w:rsid w:val="00C431E3"/>
    <w:rsid w:val="00C80297"/>
    <w:rsid w:val="00C8091A"/>
    <w:rsid w:val="00C82814"/>
    <w:rsid w:val="00C92EED"/>
    <w:rsid w:val="00C97633"/>
    <w:rsid w:val="00CA472F"/>
    <w:rsid w:val="00CA55B0"/>
    <w:rsid w:val="00CB487B"/>
    <w:rsid w:val="00CB6C2C"/>
    <w:rsid w:val="00CC228E"/>
    <w:rsid w:val="00CF7A62"/>
    <w:rsid w:val="00D029C4"/>
    <w:rsid w:val="00D41447"/>
    <w:rsid w:val="00D459C2"/>
    <w:rsid w:val="00D80E63"/>
    <w:rsid w:val="00D84221"/>
    <w:rsid w:val="00D87F10"/>
    <w:rsid w:val="00DA003D"/>
    <w:rsid w:val="00DB3FCF"/>
    <w:rsid w:val="00DB6306"/>
    <w:rsid w:val="00DD16AB"/>
    <w:rsid w:val="00DD6D38"/>
    <w:rsid w:val="00DD73D0"/>
    <w:rsid w:val="00DF3194"/>
    <w:rsid w:val="00DF5000"/>
    <w:rsid w:val="00DF692F"/>
    <w:rsid w:val="00E01A69"/>
    <w:rsid w:val="00E238FD"/>
    <w:rsid w:val="00E34DBB"/>
    <w:rsid w:val="00E3784C"/>
    <w:rsid w:val="00E40433"/>
    <w:rsid w:val="00E407B3"/>
    <w:rsid w:val="00E500FF"/>
    <w:rsid w:val="00E61B53"/>
    <w:rsid w:val="00E67F22"/>
    <w:rsid w:val="00E8020B"/>
    <w:rsid w:val="00E814A8"/>
    <w:rsid w:val="00E81EA6"/>
    <w:rsid w:val="00E93A2A"/>
    <w:rsid w:val="00E97D1E"/>
    <w:rsid w:val="00EA153E"/>
    <w:rsid w:val="00EB4554"/>
    <w:rsid w:val="00EB7D5D"/>
    <w:rsid w:val="00EC35F4"/>
    <w:rsid w:val="00ED4488"/>
    <w:rsid w:val="00EE067D"/>
    <w:rsid w:val="00EE2FCD"/>
    <w:rsid w:val="00EE3A17"/>
    <w:rsid w:val="00EE4B01"/>
    <w:rsid w:val="00EF00FD"/>
    <w:rsid w:val="00EF22CA"/>
    <w:rsid w:val="00F02CE5"/>
    <w:rsid w:val="00F06948"/>
    <w:rsid w:val="00F145C3"/>
    <w:rsid w:val="00F1597D"/>
    <w:rsid w:val="00F30FFA"/>
    <w:rsid w:val="00F3753D"/>
    <w:rsid w:val="00F41F90"/>
    <w:rsid w:val="00F43165"/>
    <w:rsid w:val="00F4434D"/>
    <w:rsid w:val="00F50AF4"/>
    <w:rsid w:val="00F56898"/>
    <w:rsid w:val="00F72A7B"/>
    <w:rsid w:val="00F74F8A"/>
    <w:rsid w:val="00FB09D0"/>
    <w:rsid w:val="00FB1B0A"/>
    <w:rsid w:val="00FB3038"/>
    <w:rsid w:val="00FB4416"/>
    <w:rsid w:val="00FB52E5"/>
    <w:rsid w:val="00FC443A"/>
    <w:rsid w:val="00FC6C4E"/>
    <w:rsid w:val="00FD1013"/>
    <w:rsid w:val="00FE3435"/>
    <w:rsid w:val="00FF4E29"/>
    <w:rsid w:val="25E42BF4"/>
    <w:rsid w:val="2DA51FAD"/>
    <w:rsid w:val="36AA5455"/>
    <w:rsid w:val="6BED3350"/>
    <w:rsid w:val="7D47721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pPr>
    <w:rPr>
      <w:rFonts w:ascii="Times New Roman" w:hAnsi="Times New Roman" w:eastAsia="Times New Roman" w:cs="Times New Roman"/>
      <w:sz w:val="24"/>
      <w:lang w:val="en-US" w:eastAsia="en-US" w:bidi="ar-SA"/>
    </w:rPr>
  </w:style>
  <w:style w:type="paragraph" w:styleId="2">
    <w:name w:val="heading 1"/>
    <w:basedOn w:val="1"/>
    <w:next w:val="1"/>
    <w:link w:val="20"/>
    <w:qFormat/>
    <w:uiPriority w:val="0"/>
    <w:pPr>
      <w:outlineLvl w:val="0"/>
    </w:pPr>
    <w:rPr>
      <w:b/>
      <w:sz w:val="28"/>
      <w:lang w:val="en-IN"/>
    </w:rPr>
  </w:style>
  <w:style w:type="paragraph" w:styleId="3">
    <w:name w:val="heading 2"/>
    <w:basedOn w:val="1"/>
    <w:next w:val="1"/>
    <w:link w:val="21"/>
    <w:unhideWhenUsed/>
    <w:qFormat/>
    <w:uiPriority w:val="9"/>
    <w:pPr>
      <w:keepNext/>
      <w:keepLines/>
      <w:spacing w:before="40"/>
      <w:outlineLvl w:val="1"/>
    </w:pPr>
    <w:rPr>
      <w:rFonts w:eastAsiaTheme="majorEastAsia" w:cstheme="majorBidi"/>
      <w:b/>
      <w:color w:val="000000" w:themeColor="text1"/>
      <w:szCs w:val="26"/>
      <w14:textFill>
        <w14:solidFill>
          <w14:schemeClr w14:val="tx1"/>
        </w14:solidFill>
      </w14:textFill>
    </w:rPr>
  </w:style>
  <w:style w:type="paragraph" w:styleId="4">
    <w:name w:val="heading 3"/>
    <w:basedOn w:val="1"/>
    <w:next w:val="1"/>
    <w:link w:val="22"/>
    <w:unhideWhenUsed/>
    <w:qFormat/>
    <w:uiPriority w:val="9"/>
    <w:pPr>
      <w:keepNext/>
      <w:keepLines/>
      <w:spacing w:before="40"/>
      <w:outlineLvl w:val="2"/>
    </w:pPr>
    <w:rPr>
      <w:rFonts w:eastAsiaTheme="majorEastAsia" w:cstheme="majorBidi"/>
      <w:b/>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caption"/>
    <w:basedOn w:val="1"/>
    <w:next w:val="1"/>
    <w:unhideWhenUsed/>
    <w:qFormat/>
    <w:uiPriority w:val="35"/>
    <w:pPr>
      <w:spacing w:after="200"/>
    </w:pPr>
    <w:rPr>
      <w:b/>
      <w:iCs/>
      <w:sz w:val="18"/>
      <w:szCs w:val="18"/>
    </w:rPr>
  </w:style>
  <w:style w:type="character" w:styleId="8">
    <w:name w:val="Emphasis"/>
    <w:basedOn w:val="5"/>
    <w:qFormat/>
    <w:uiPriority w:val="20"/>
    <w:rPr>
      <w:i/>
      <w:iCs/>
    </w:rPr>
  </w:style>
  <w:style w:type="paragraph" w:styleId="9">
    <w:name w:val="footer"/>
    <w:basedOn w:val="1"/>
    <w:link w:val="25"/>
    <w:unhideWhenUsed/>
    <w:qFormat/>
    <w:uiPriority w:val="99"/>
    <w:pPr>
      <w:tabs>
        <w:tab w:val="center" w:pos="4513"/>
        <w:tab w:val="right" w:pos="9026"/>
      </w:tabs>
      <w:spacing w:line="240" w:lineRule="auto"/>
    </w:pPr>
  </w:style>
  <w:style w:type="paragraph" w:styleId="10">
    <w:name w:val="header"/>
    <w:basedOn w:val="1"/>
    <w:link w:val="24"/>
    <w:unhideWhenUsed/>
    <w:qFormat/>
    <w:uiPriority w:val="99"/>
    <w:pPr>
      <w:tabs>
        <w:tab w:val="center" w:pos="4513"/>
        <w:tab w:val="right" w:pos="9026"/>
      </w:tabs>
      <w:spacing w:line="240" w:lineRule="auto"/>
    </w:pPr>
  </w:style>
  <w:style w:type="character" w:styleId="11">
    <w:name w:val="Hyperlink"/>
    <w:basedOn w:val="5"/>
    <w:unhideWhenUsed/>
    <w:qFormat/>
    <w:uiPriority w:val="99"/>
    <w:rPr>
      <w:color w:val="0563C1" w:themeColor="hyperlink"/>
      <w:u w:val="single"/>
      <w14:textFill>
        <w14:solidFill>
          <w14:schemeClr w14:val="hlink"/>
        </w14:solidFill>
      </w14:textFill>
    </w:rPr>
  </w:style>
  <w:style w:type="paragraph" w:styleId="12">
    <w:name w:val="Normal (Web)"/>
    <w:basedOn w:val="1"/>
    <w:unhideWhenUsed/>
    <w:qFormat/>
    <w:uiPriority w:val="99"/>
    <w:pPr>
      <w:spacing w:before="100" w:beforeAutospacing="1" w:after="100" w:afterAutospacing="1" w:line="240" w:lineRule="auto"/>
    </w:pPr>
    <w:rPr>
      <w:szCs w:val="24"/>
      <w:lang w:val="en-IN" w:eastAsia="en-IN"/>
    </w:rPr>
  </w:style>
  <w:style w:type="table" w:styleId="13">
    <w:name w:val="Table Grid"/>
    <w:basedOn w:val="6"/>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14">
    <w:name w:val="table of figures"/>
    <w:basedOn w:val="1"/>
    <w:next w:val="1"/>
    <w:unhideWhenUsed/>
    <w:qFormat/>
    <w:uiPriority w:val="99"/>
  </w:style>
  <w:style w:type="paragraph" w:styleId="15">
    <w:name w:val="Title"/>
    <w:basedOn w:val="1"/>
    <w:next w:val="1"/>
    <w:link w:val="19"/>
    <w:qFormat/>
    <w:uiPriority w:val="10"/>
    <w:pPr>
      <w:contextualSpacing/>
      <w:jc w:val="center"/>
    </w:pPr>
    <w:rPr>
      <w:rFonts w:eastAsiaTheme="majorEastAsia" w:cstheme="majorBidi"/>
      <w:b/>
      <w:spacing w:val="-10"/>
      <w:kern w:val="28"/>
      <w:sz w:val="48"/>
      <w:szCs w:val="56"/>
    </w:rPr>
  </w:style>
  <w:style w:type="paragraph" w:styleId="16">
    <w:name w:val="toc 1"/>
    <w:basedOn w:val="1"/>
    <w:next w:val="1"/>
    <w:unhideWhenUsed/>
    <w:qFormat/>
    <w:uiPriority w:val="39"/>
    <w:pPr>
      <w:spacing w:after="100"/>
    </w:pPr>
  </w:style>
  <w:style w:type="paragraph" w:styleId="17">
    <w:name w:val="toc 2"/>
    <w:basedOn w:val="1"/>
    <w:next w:val="1"/>
    <w:unhideWhenUsed/>
    <w:qFormat/>
    <w:uiPriority w:val="39"/>
    <w:pPr>
      <w:spacing w:after="100"/>
      <w:ind w:left="240"/>
    </w:pPr>
  </w:style>
  <w:style w:type="paragraph" w:styleId="18">
    <w:name w:val="toc 3"/>
    <w:basedOn w:val="1"/>
    <w:next w:val="1"/>
    <w:unhideWhenUsed/>
    <w:qFormat/>
    <w:uiPriority w:val="39"/>
    <w:pPr>
      <w:spacing w:after="100"/>
      <w:ind w:left="480"/>
    </w:pPr>
  </w:style>
  <w:style w:type="character" w:customStyle="1" w:styleId="19">
    <w:name w:val="Title Char"/>
    <w:basedOn w:val="5"/>
    <w:link w:val="15"/>
    <w:qFormat/>
    <w:uiPriority w:val="10"/>
    <w:rPr>
      <w:rFonts w:ascii="Times New Roman" w:hAnsi="Times New Roman" w:eastAsiaTheme="majorEastAsia" w:cstheme="majorBidi"/>
      <w:b/>
      <w:spacing w:val="-10"/>
      <w:kern w:val="28"/>
      <w:sz w:val="48"/>
      <w:szCs w:val="56"/>
    </w:rPr>
  </w:style>
  <w:style w:type="character" w:customStyle="1" w:styleId="20">
    <w:name w:val="Heading 1 Char"/>
    <w:basedOn w:val="5"/>
    <w:link w:val="2"/>
    <w:qFormat/>
    <w:uiPriority w:val="0"/>
    <w:rPr>
      <w:rFonts w:ascii="Times New Roman" w:hAnsi="Times New Roman" w:cs="Times New Roman"/>
      <w:b/>
      <w:sz w:val="28"/>
      <w:szCs w:val="20"/>
    </w:rPr>
  </w:style>
  <w:style w:type="character" w:customStyle="1" w:styleId="21">
    <w:name w:val="Heading 2 Char"/>
    <w:basedOn w:val="5"/>
    <w:link w:val="3"/>
    <w:qFormat/>
    <w:uiPriority w:val="9"/>
    <w:rPr>
      <w:rFonts w:ascii="Times New Roman" w:hAnsi="Times New Roman" w:eastAsiaTheme="majorEastAsia" w:cstheme="majorBidi"/>
      <w:b/>
      <w:color w:val="000000" w:themeColor="text1"/>
      <w:sz w:val="24"/>
      <w:szCs w:val="26"/>
      <w:lang w:val="en-US"/>
      <w14:textFill>
        <w14:solidFill>
          <w14:schemeClr w14:val="tx1"/>
        </w14:solidFill>
      </w14:textFill>
    </w:rPr>
  </w:style>
  <w:style w:type="character" w:customStyle="1" w:styleId="22">
    <w:name w:val="Heading 3 Char"/>
    <w:basedOn w:val="5"/>
    <w:link w:val="4"/>
    <w:qFormat/>
    <w:uiPriority w:val="9"/>
    <w:rPr>
      <w:rFonts w:ascii="Times New Roman" w:hAnsi="Times New Roman" w:eastAsiaTheme="majorEastAsia" w:cstheme="majorBidi"/>
      <w:b/>
      <w:sz w:val="24"/>
      <w:szCs w:val="24"/>
    </w:rPr>
  </w:style>
  <w:style w:type="paragraph" w:customStyle="1" w:styleId="23">
    <w:name w:val="TOC Heading1"/>
    <w:basedOn w:val="2"/>
    <w:next w:val="1"/>
    <w:unhideWhenUsed/>
    <w:qFormat/>
    <w:uiPriority w:val="39"/>
    <w:pPr>
      <w:keepNext/>
      <w:keepLines/>
      <w:spacing w:before="240" w:line="259" w:lineRule="auto"/>
      <w:outlineLvl w:val="9"/>
    </w:pPr>
    <w:rPr>
      <w:rFonts w:asciiTheme="majorHAnsi" w:hAnsiTheme="majorHAnsi" w:eastAsiaTheme="majorEastAsia" w:cstheme="majorBidi"/>
      <w:b w:val="0"/>
      <w:color w:val="2E75B6" w:themeColor="accent1" w:themeShade="BF"/>
      <w:sz w:val="32"/>
      <w:szCs w:val="32"/>
      <w:lang w:val="en-US"/>
    </w:rPr>
  </w:style>
  <w:style w:type="character" w:customStyle="1" w:styleId="24">
    <w:name w:val="Header Char"/>
    <w:basedOn w:val="5"/>
    <w:link w:val="10"/>
    <w:qFormat/>
    <w:uiPriority w:val="99"/>
    <w:rPr>
      <w:rFonts w:ascii="Times New Roman" w:hAnsi="Times New Roman" w:cs="Times New Roman"/>
      <w:sz w:val="24"/>
      <w:szCs w:val="20"/>
      <w:lang w:val="en-US"/>
    </w:rPr>
  </w:style>
  <w:style w:type="character" w:customStyle="1" w:styleId="25">
    <w:name w:val="Footer Char"/>
    <w:basedOn w:val="5"/>
    <w:link w:val="9"/>
    <w:qFormat/>
    <w:uiPriority w:val="99"/>
    <w:rPr>
      <w:rFonts w:ascii="Times New Roman" w:hAnsi="Times New Roman" w:cs="Times New Roman"/>
      <w:sz w:val="24"/>
      <w:szCs w:val="20"/>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1" Type="http://schemas.openxmlformats.org/officeDocument/2006/relationships/fontTable" Target="fontTable.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image" Target="media/image9.png"/><Relationship Id="rId18" Type="http://schemas.openxmlformats.org/officeDocument/2006/relationships/image" Target="media/image8.png"/><Relationship Id="rId17" Type="http://schemas.openxmlformats.org/officeDocument/2006/relationships/chart" Target="charts/chart4.xml"/><Relationship Id="rId16" Type="http://schemas.openxmlformats.org/officeDocument/2006/relationships/image" Target="media/image7.png"/><Relationship Id="rId15" Type="http://schemas.openxmlformats.org/officeDocument/2006/relationships/image" Target="media/image6.png"/><Relationship Id="rId14" Type="http://schemas.openxmlformats.org/officeDocument/2006/relationships/chart" Target="charts/chart3.xml"/><Relationship Id="rId13" Type="http://schemas.openxmlformats.org/officeDocument/2006/relationships/chart" Target="charts/chart2.xml"/><Relationship Id="rId12" Type="http://schemas.openxmlformats.org/officeDocument/2006/relationships/image" Target="media/image5.png"/><Relationship Id="rId11" Type="http://schemas.openxmlformats.org/officeDocument/2006/relationships/chart" Target="charts/chart1.xml"/><Relationship Id="rId10" Type="http://schemas.openxmlformats.org/officeDocument/2006/relationships/image" Target="media/image4.png"/><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C:\Users\Lenovo\OneDrive\Desktop\december\Dec%2020\KE-Superstore_Sales_.xlsx" TargetMode="External"/></Relationships>
</file>

<file path=word/charts/_rels/chart2.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C:\Users\Lenovo\OneDrive\Desktop\december\Dec%2020\KE-Superstore_Sales_.xlsx" TargetMode="External"/></Relationships>
</file>

<file path=word/charts/_rels/chart3.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Lenovo\OneDrive\Desktop\december\Dec%2020\KE-Superstore_Sales_.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Lenovo\OneDrive\Desktop\december\Dec%2020\KE-Superstore_Sales_.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pivotSource>
    <c:name>[KE-Superstore_Sales_.xlsx]profit!PivotTable2</c:name>
    <c:fmtId val="-1"/>
  </c:pivotSource>
  <c:chart>
    <c:title>
      <c:tx>
        <c:rich>
          <a:bodyPr rot="0" spcFirstLastPara="1" vertOverflow="ellipsis" vert="horz" wrap="square" anchor="ctr" anchorCtr="1"/>
          <a:lstStyle/>
          <a:p>
            <a:pPr>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Profit</a:t>
            </a:r>
            <a:endParaRPr lang="en-IN"/>
          </a:p>
        </c:rich>
      </c:tx>
      <c:layout/>
      <c:overlay val="0"/>
      <c:spPr>
        <a:noFill/>
        <a:ln>
          <a:noFill/>
        </a:ln>
        <a:effectLst/>
      </c:spPr>
    </c:title>
    <c:autoTitleDeleted val="0"/>
    <c:plotArea>
      <c:layout/>
      <c:barChart>
        <c:barDir val="col"/>
        <c:grouping val="clustered"/>
        <c:varyColors val="0"/>
        <c:ser>
          <c:idx val="0"/>
          <c:order val="0"/>
          <c:tx>
            <c:strRef>
              <c:f>profit!$B$3</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profit!$A$4:$A$8</c:f>
              <c:strCache>
                <c:ptCount val="4"/>
                <c:pt idx="0">
                  <c:v>2009</c:v>
                </c:pt>
                <c:pt idx="1">
                  <c:v>2010</c:v>
                </c:pt>
                <c:pt idx="2">
                  <c:v>2011</c:v>
                </c:pt>
                <c:pt idx="3">
                  <c:v>2012</c:v>
                </c:pt>
              </c:strCache>
            </c:strRef>
          </c:cat>
          <c:val>
            <c:numRef>
              <c:f>profit!$B$4:$B$8</c:f>
              <c:numCache>
                <c:formatCode>General</c:formatCode>
                <c:ptCount val="4"/>
                <c:pt idx="0">
                  <c:v>201.156635773865</c:v>
                </c:pt>
                <c:pt idx="1">
                  <c:v>170.442470808034</c:v>
                </c:pt>
                <c:pt idx="2">
                  <c:v>190.345595595595</c:v>
                </c:pt>
                <c:pt idx="3">
                  <c:v>162.913477640342</c:v>
                </c:pt>
              </c:numCache>
            </c:numRef>
          </c:val>
        </c:ser>
        <c:dLbls>
          <c:showLegendKey val="0"/>
          <c:showVal val="1"/>
          <c:showCatName val="0"/>
          <c:showSerName val="0"/>
          <c:showPercent val="0"/>
          <c:showBubbleSize val="0"/>
        </c:dLbls>
        <c:gapWidth val="150"/>
        <c:axId val="-43828576"/>
        <c:axId val="-43800288"/>
      </c:barChart>
      <c:catAx>
        <c:axId val="-438285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p>
        </c:txPr>
        <c:crossAx val="-43800288"/>
        <c:crosses val="autoZero"/>
        <c:auto val="1"/>
        <c:lblAlgn val="ctr"/>
        <c:lblOffset val="100"/>
        <c:noMultiLvlLbl val="0"/>
      </c:catAx>
      <c:valAx>
        <c:axId val="-43800288"/>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p>
        </c:txPr>
        <c:crossAx val="-43828576"/>
        <c:crosses val="autoZero"/>
        <c:crossBetween val="between"/>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lang="en-US"/>
      </a:pPr>
    </a:p>
  </c:txPr>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pivotSource>
    <c:name>[KE-Superstore_Sales_.xlsx]sales!PivotTable1</c:name>
    <c:fmtId val="-1"/>
  </c:pivotSource>
  <c:chart>
    <c:title>
      <c:tx>
        <c:rich>
          <a:bodyPr rot="0" spcFirstLastPara="1" vertOverflow="ellipsis" vert="horz" wrap="square" anchor="ctr" anchorCtr="1"/>
          <a:lstStyle/>
          <a:p>
            <a:pPr>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Sales</a:t>
            </a:r>
            <a:endParaRPr lang="en-IN"/>
          </a:p>
        </c:rich>
      </c:tx>
      <c:layout/>
      <c:overlay val="0"/>
      <c:spPr>
        <a:noFill/>
        <a:ln>
          <a:noFill/>
        </a:ln>
        <a:effectLst/>
      </c:spPr>
    </c:title>
    <c:autoTitleDeleted val="0"/>
    <c:plotArea>
      <c:layout/>
      <c:barChart>
        <c:barDir val="col"/>
        <c:grouping val="clustered"/>
        <c:varyColors val="0"/>
        <c:ser>
          <c:idx val="0"/>
          <c:order val="0"/>
          <c:tx>
            <c:strRef>
              <c:f>sales!$B$3</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sales!$A$4:$A$8</c:f>
              <c:strCache>
                <c:ptCount val="4"/>
                <c:pt idx="0">
                  <c:v>2009</c:v>
                </c:pt>
                <c:pt idx="1">
                  <c:v>2010</c:v>
                </c:pt>
                <c:pt idx="2">
                  <c:v>2011</c:v>
                </c:pt>
                <c:pt idx="3">
                  <c:v>2012</c:v>
                </c:pt>
              </c:strCache>
            </c:strRef>
          </c:cat>
          <c:val>
            <c:numRef>
              <c:f>sales!$B$4:$B$8</c:f>
              <c:numCache>
                <c:formatCode>General</c:formatCode>
                <c:ptCount val="4"/>
                <c:pt idx="0">
                  <c:v>1950.83264388322</c:v>
                </c:pt>
                <c:pt idx="1">
                  <c:v>1662.81506048575</c:v>
                </c:pt>
                <c:pt idx="2">
                  <c:v>1716.68917967968</c:v>
                </c:pt>
                <c:pt idx="3">
                  <c:v>1767.68408801142</c:v>
                </c:pt>
              </c:numCache>
            </c:numRef>
          </c:val>
        </c:ser>
        <c:dLbls>
          <c:showLegendKey val="0"/>
          <c:showVal val="1"/>
          <c:showCatName val="0"/>
          <c:showSerName val="0"/>
          <c:showPercent val="0"/>
          <c:showBubbleSize val="0"/>
        </c:dLbls>
        <c:gapWidth val="150"/>
        <c:axId val="-43805184"/>
        <c:axId val="-43827488"/>
      </c:barChart>
      <c:catAx>
        <c:axId val="-4380518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p>
        </c:txPr>
        <c:crossAx val="-43827488"/>
        <c:crosses val="autoZero"/>
        <c:auto val="1"/>
        <c:lblAlgn val="ctr"/>
        <c:lblOffset val="100"/>
        <c:noMultiLvlLbl val="0"/>
      </c:catAx>
      <c:valAx>
        <c:axId val="-43827488"/>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p>
        </c:txPr>
        <c:crossAx val="-43805184"/>
        <c:crosses val="autoZero"/>
        <c:crossBetween val="between"/>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lang="en-US"/>
      </a:pPr>
    </a:p>
  </c:txPr>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pivotSource>
    <c:name>[KE-Superstore_Sales_.xlsx]countries!PivotTable6</c:name>
    <c:fmtId val="-1"/>
  </c:pivotSource>
  <c:chart>
    <c:title>
      <c:tx>
        <c:rich>
          <a:bodyPr rot="0" spcFirstLastPara="1" vertOverflow="ellipsis" vert="horz" wrap="square" anchor="ctr" anchorCtr="1"/>
          <a:lstStyle/>
          <a:p>
            <a:pPr>
              <a:defRPr lang="en-US" sz="1800" b="0" i="0" u="none" strike="noStrike" kern="1200" cap="all" baseline="0">
                <a:solidFill>
                  <a:schemeClr val="lt1"/>
                </a:solidFill>
                <a:latin typeface="+mn-lt"/>
                <a:ea typeface="+mn-ea"/>
                <a:cs typeface="+mn-cs"/>
              </a:defRPr>
            </a:pPr>
            <a:r>
              <a:rPr lang="en-US"/>
              <a:t>countries</a:t>
            </a:r>
            <a:r>
              <a:rPr lang="en-US" baseline="0"/>
              <a:t> with average profit</a:t>
            </a:r>
            <a:endParaRPr lang="en-US"/>
          </a:p>
        </c:rich>
      </c:tx>
      <c:layout/>
      <c:overlay val="0"/>
      <c:spPr>
        <a:noFill/>
        <a:ln>
          <a:noFill/>
        </a:ln>
        <a:effectLst/>
      </c:spPr>
    </c:title>
    <c:autoTitleDeleted val="0"/>
    <c:plotArea>
      <c:layout/>
      <c:barChart>
        <c:barDir val="bar"/>
        <c:grouping val="clustered"/>
        <c:varyColors val="0"/>
        <c:ser>
          <c:idx val="0"/>
          <c:order val="0"/>
          <c:tx>
            <c:strRef>
              <c:f>countries!$B$3</c:f>
              <c:strCache>
                <c:ptCount val="1"/>
                <c:pt idx="0">
                  <c:v>Total</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delete val="1"/>
          </c:dLbls>
          <c:cat>
            <c:strRef>
              <c:f>countries!$A$4:$A$12</c:f>
              <c:strCache>
                <c:ptCount val="8"/>
                <c:pt idx="0">
                  <c:v>Atlantic</c:v>
                </c:pt>
                <c:pt idx="1">
                  <c:v>North Carolina</c:v>
                </c:pt>
                <c:pt idx="2">
                  <c:v>Northwest Territories</c:v>
                </c:pt>
                <c:pt idx="3">
                  <c:v>Ontario</c:v>
                </c:pt>
                <c:pt idx="4">
                  <c:v>Prarie</c:v>
                </c:pt>
                <c:pt idx="5">
                  <c:v>Quebec</c:v>
                </c:pt>
                <c:pt idx="6">
                  <c:v>West</c:v>
                </c:pt>
                <c:pt idx="7">
                  <c:v>Yukon</c:v>
                </c:pt>
              </c:strCache>
            </c:strRef>
          </c:cat>
          <c:val>
            <c:numRef>
              <c:f>countries!$B$4:$B$12</c:f>
              <c:numCache>
                <c:formatCode>General</c:formatCode>
                <c:ptCount val="8"/>
                <c:pt idx="0">
                  <c:v>221.25987037037</c:v>
                </c:pt>
                <c:pt idx="1">
                  <c:v>35.963417721519</c:v>
                </c:pt>
                <c:pt idx="2">
                  <c:v>140.797457627119</c:v>
                </c:pt>
                <c:pt idx="3">
                  <c:v>203.245983341046</c:v>
                </c:pt>
                <c:pt idx="4">
                  <c:v>188.253294255569</c:v>
                </c:pt>
                <c:pt idx="5">
                  <c:v>179.803649167734</c:v>
                </c:pt>
                <c:pt idx="6">
                  <c:v>149.175595178302</c:v>
                </c:pt>
                <c:pt idx="7">
                  <c:v>136.25315498155</c:v>
                </c:pt>
              </c:numCache>
            </c:numRef>
          </c:val>
        </c:ser>
        <c:dLbls>
          <c:showLegendKey val="0"/>
          <c:showVal val="0"/>
          <c:showCatName val="0"/>
          <c:showSerName val="0"/>
          <c:showPercent val="0"/>
          <c:showBubbleSize val="0"/>
        </c:dLbls>
        <c:gapWidth val="84"/>
        <c:axId val="-43803008"/>
        <c:axId val="-43831840"/>
      </c:barChart>
      <c:catAx>
        <c:axId val="-4380300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p>
        </c:txPr>
        <c:crossAx val="-43831840"/>
        <c:crosses val="autoZero"/>
        <c:auto val="1"/>
        <c:lblAlgn val="ctr"/>
        <c:lblOffset val="100"/>
        <c:noMultiLvlLbl val="0"/>
      </c:catAx>
      <c:valAx>
        <c:axId val="-43831840"/>
        <c:scaling>
          <c:orientation val="minMax"/>
        </c:scaling>
        <c:delete val="1"/>
        <c:axPos val="b"/>
        <c:numFmt formatCode="General" sourceLinked="1"/>
        <c:majorTickMark val="out"/>
        <c:minorTickMark val="none"/>
        <c:tickLblPos val="nextTo"/>
        <c:txPr>
          <a:bodyPr rot="-60000000" spcFirstLastPara="0"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p>
        </c:txPr>
        <c:crossAx val="-43803008"/>
        <c:crosses val="autoZero"/>
        <c:crossBetween val="between"/>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lt1">
                  <a:lumMod val="75000"/>
                </a:schemeClr>
              </a:solidFill>
              <a:latin typeface="+mn-lt"/>
              <a:ea typeface="+mn-ea"/>
              <a:cs typeface="+mn-cs"/>
            </a:defRPr>
          </a:pPr>
        </a:p>
      </c:txPr>
    </c:legend>
    <c:plotVisOnly val="1"/>
    <c:dispBlanksAs val="gap"/>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lang="en-US"/>
      </a:pPr>
    </a:p>
  </c:txPr>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pivotSource>
    <c:name>[KE-Superstore_Sales_.xlsx]percent!PivotTable1</c:name>
    <c:fmtId val="-1"/>
  </c:pivotSource>
  <c:chart>
    <c:title>
      <c:tx>
        <c:rich>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r>
              <a:rPr lang="en-IN"/>
              <a:t>profit and loss making</a:t>
            </a:r>
            <a:endParaRPr lang="en-IN"/>
          </a:p>
        </c:rich>
      </c:tx>
      <c:layout/>
      <c:overlay val="0"/>
      <c:spPr>
        <a:noFill/>
        <a:ln>
          <a:noFill/>
        </a:ln>
        <a:effectLst/>
      </c:spPr>
    </c:title>
    <c:autoTitleDeleted val="0"/>
    <c:view3D>
      <c:rotX val="50"/>
      <c:rotY val="0"/>
      <c:depthPercent val="100"/>
      <c:rAngAx val="0"/>
    </c:view3D>
    <c:floor>
      <c:thickness val="0"/>
      <c:spPr>
        <a:noFill/>
        <a:ln>
          <a:noFill/>
        </a:ln>
        <a:effectLst/>
      </c:spPr>
    </c:floor>
    <c:sideWall>
      <c:thickness val="0"/>
      <c:spPr>
        <a:noFill/>
        <a:ln>
          <a:noFill/>
        </a:ln>
        <a:effectLst/>
      </c:spPr>
    </c:sideWall>
    <c:backWall>
      <c:thickness val="0"/>
      <c:spPr>
        <a:noFill/>
        <a:ln>
          <a:noFill/>
        </a:ln>
        <a:effectLst/>
      </c:spPr>
    </c:backWall>
    <c:plotArea>
      <c:layout/>
      <c:pie3DChart>
        <c:varyColors val="1"/>
        <c:ser>
          <c:idx val="0"/>
          <c:order val="0"/>
          <c:tx>
            <c:strRef>
              <c:f>percent!$B$3</c:f>
              <c:strCache>
                <c:ptCount val="1"/>
                <c:pt idx="0">
                  <c:v>Total</c:v>
                </c:pt>
              </c:strCache>
            </c:strRef>
          </c:tx>
          <c:explosion val="0"/>
          <c:dPt>
            <c:idx val="0"/>
            <c:bubble3D val="0"/>
            <c:spPr>
              <a:solidFill>
                <a:schemeClr val="accent1"/>
              </a:solidFill>
              <a:ln>
                <a:noFill/>
              </a:ln>
              <a:effectLst>
                <a:outerShdw blurRad="254000" sx="102000" sy="102000" algn="ctr" rotWithShape="0">
                  <a:prstClr val="black">
                    <a:alpha val="20000"/>
                  </a:prstClr>
                </a:outerShdw>
              </a:effectLst>
              <a:scene3d>
                <a:camera prst="orthographicFront"/>
                <a:lightRig rig="threePt" dir="t"/>
              </a:scene3d>
              <a:sp3d/>
            </c:spPr>
          </c:dPt>
          <c:dPt>
            <c:idx val="1"/>
            <c:bubble3D val="0"/>
            <c:spPr>
              <a:solidFill>
                <a:schemeClr val="accent2"/>
              </a:solidFill>
              <a:ln>
                <a:noFill/>
              </a:ln>
              <a:effectLst>
                <a:outerShdw blurRad="254000" sx="102000" sy="102000" algn="ctr" rotWithShape="0">
                  <a:prstClr val="black">
                    <a:alpha val="20000"/>
                  </a:prstClr>
                </a:outerShdw>
              </a:effectLst>
              <a:scene3d>
                <a:camera prst="orthographicFront"/>
                <a:lightRig rig="threePt" dir="t"/>
              </a:scene3d>
              <a:sp3d/>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p>
            </c:txPr>
            <c:dLblPos val="ctr"/>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dk1">
                          <a:lumMod val="50000"/>
                          <a:lumOff val="50000"/>
                        </a:schemeClr>
                      </a:solidFill>
                      <a:prstDash val="solid"/>
                      <a:round/>
                    </a:ln>
                    <a:effectLst/>
                  </c:spPr>
                </c15:leaderLines>
              </c:ext>
            </c:extLst>
          </c:dLbls>
          <c:cat>
            <c:strRef>
              <c:f>percent!$A$4:$A$6</c:f>
              <c:strCache>
                <c:ptCount val="2"/>
                <c:pt idx="0">
                  <c:v>loss making</c:v>
                </c:pt>
                <c:pt idx="1">
                  <c:v>profit making</c:v>
                </c:pt>
              </c:strCache>
            </c:strRef>
          </c:cat>
          <c:val>
            <c:numRef>
              <c:f>percent!$B$4:$B$6</c:f>
              <c:numCache>
                <c:formatCode>General</c:formatCode>
                <c:ptCount val="2"/>
                <c:pt idx="0">
                  <c:v>4264</c:v>
                </c:pt>
                <c:pt idx="1">
                  <c:v>4135</c:v>
                </c:pt>
              </c:numCache>
            </c:numRef>
          </c:val>
        </c:ser>
        <c:dLbls>
          <c:showLegendKey val="0"/>
          <c:showVal val="0"/>
          <c:showCatName val="0"/>
          <c:showSerName val="0"/>
          <c:showPercent val="1"/>
          <c:showBubbleSize val="0"/>
        </c:dLbls>
      </c:pie3D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prstDash val="solid"/>
      <a:round/>
    </a:ln>
    <a:effectLst/>
  </c:spPr>
  <c:txPr>
    <a:bodyPr/>
    <a:lstStyle/>
    <a:p>
      <a:pPr>
        <a:defRPr lang="en-US"/>
      </a:pPr>
    </a:p>
  </c:txPr>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2.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14F1C4-B566-4CF9-939D-FF752822A368}">
  <ds:schemaRefs/>
</ds:datastoreItem>
</file>

<file path=docProps/app.xml><?xml version="1.0" encoding="utf-8"?>
<Properties xmlns="http://schemas.openxmlformats.org/officeDocument/2006/extended-properties" xmlns:vt="http://schemas.openxmlformats.org/officeDocument/2006/docPropsVTypes">
  <Template>Normal</Template>
  <Pages>19</Pages>
  <Words>3523</Words>
  <Characters>20084</Characters>
  <Lines>167</Lines>
  <Paragraphs>47</Paragraphs>
  <TotalTime>25</TotalTime>
  <ScaleCrop>false</ScaleCrop>
  <LinksUpToDate>false</LinksUpToDate>
  <CharactersWithSpaces>23560</CharactersWithSpaces>
  <Application>WPS Office_11.2.0.11440_F1E327BC-269C-435d-A152-05C5408002CA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105</cp:revision>
  <dcterms:created xsi:type="dcterms:W3CDTF">2022-12-20T04:36:00Z</dcterms:created>
  <dcterms:modified xsi:type="dcterms:W3CDTF">2022-12-21T16:53:22Z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1033-11.2.0.11440</vt:lpwstr>
  </property>
  <property fmtid="{D5CDD505-2E9C-101B-9397-08002B2CF9AE}" pid="3" name="ICV">
    <vt:lpwstr>82D5FDC1DAA043F88B72DA5AEFD0F7D8</vt:lpwstr>
  </property>
</Properties>
</file>