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B882B"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t>University of Wales Trinity Saint David</w:t>
      </w:r>
    </w:p>
    <w:p w14:paraId="05239FC2"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br/>
        <w:t>Certificate of Higher Education Skills for the Workplace (Health &amp; Social Care)</w:t>
      </w:r>
    </w:p>
    <w:p w14:paraId="42B4898D"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br/>
        <w:t>Module Title: Introduction to Health and Social Care (LCHS4003)</w:t>
      </w:r>
    </w:p>
    <w:p w14:paraId="230DC948" w14:textId="77777777" w:rsidR="003A2F02" w:rsidRDefault="003A2F02" w:rsidP="003A2F02">
      <w:pPr>
        <w:spacing w:line="360" w:lineRule="auto"/>
        <w:rPr>
          <w:rFonts w:ascii="Arial" w:hAnsi="Arial" w:cs="Arial"/>
          <w:b/>
          <w:bCs/>
          <w:sz w:val="40"/>
          <w:szCs w:val="40"/>
        </w:rPr>
      </w:pPr>
    </w:p>
    <w:p w14:paraId="62EF8793" w14:textId="7014A2F3" w:rsidR="003A2F02" w:rsidRDefault="003A2F02" w:rsidP="003A2F02">
      <w:pPr>
        <w:spacing w:line="360" w:lineRule="auto"/>
        <w:rPr>
          <w:rFonts w:ascii="Arial" w:hAnsi="Arial" w:cs="Arial"/>
          <w:b/>
          <w:bCs/>
          <w:sz w:val="40"/>
          <w:szCs w:val="40"/>
        </w:rPr>
      </w:pPr>
      <w:r>
        <w:rPr>
          <w:rFonts w:ascii="Arial" w:hAnsi="Arial" w:cs="Arial"/>
          <w:b/>
          <w:bCs/>
          <w:sz w:val="40"/>
          <w:szCs w:val="40"/>
        </w:rPr>
        <w:t>Assignment Title: Written Assignment</w:t>
      </w:r>
      <w:r w:rsidRPr="004C1E08">
        <w:rPr>
          <w:rFonts w:ascii="Arial" w:hAnsi="Arial" w:cs="Arial"/>
          <w:b/>
          <w:bCs/>
          <w:sz w:val="40"/>
          <w:szCs w:val="40"/>
        </w:rPr>
        <w:t>–</w:t>
      </w:r>
      <w:r>
        <w:rPr>
          <w:rFonts w:ascii="Arial" w:hAnsi="Arial" w:cs="Arial"/>
          <w:b/>
          <w:bCs/>
          <w:sz w:val="40"/>
          <w:szCs w:val="40"/>
        </w:rPr>
        <w:t xml:space="preserve"> Component 2</w:t>
      </w:r>
    </w:p>
    <w:p w14:paraId="1A3109FE" w14:textId="77777777" w:rsidR="003A2F02" w:rsidRDefault="003A2F02" w:rsidP="003A2F02">
      <w:pPr>
        <w:spacing w:line="360" w:lineRule="auto"/>
        <w:rPr>
          <w:rFonts w:ascii="Arial" w:hAnsi="Arial" w:cs="Arial"/>
          <w:b/>
          <w:bCs/>
          <w:sz w:val="40"/>
          <w:szCs w:val="40"/>
        </w:rPr>
      </w:pPr>
    </w:p>
    <w:p w14:paraId="665904DA"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t>Student Name: Haleemah Akhtar</w:t>
      </w:r>
      <w:r w:rsidRPr="004C1E08">
        <w:rPr>
          <w:rFonts w:ascii="Arial" w:hAnsi="Arial" w:cs="Arial"/>
          <w:b/>
          <w:bCs/>
          <w:sz w:val="40"/>
          <w:szCs w:val="40"/>
        </w:rPr>
        <w:br/>
      </w:r>
    </w:p>
    <w:p w14:paraId="001C0627"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t>Student ID: 2432717</w:t>
      </w:r>
    </w:p>
    <w:p w14:paraId="4E24A94F" w14:textId="77777777" w:rsidR="003A2F02" w:rsidRDefault="003A2F02" w:rsidP="003A2F02">
      <w:pPr>
        <w:spacing w:line="360" w:lineRule="auto"/>
        <w:rPr>
          <w:rFonts w:ascii="Arial" w:hAnsi="Arial" w:cs="Arial"/>
          <w:b/>
          <w:bCs/>
          <w:sz w:val="40"/>
          <w:szCs w:val="40"/>
        </w:rPr>
      </w:pPr>
    </w:p>
    <w:p w14:paraId="75E5E4CE" w14:textId="0F87B7B0" w:rsidR="00F5451F" w:rsidRDefault="003A2F02" w:rsidP="008B7A12">
      <w:pPr>
        <w:spacing w:line="360" w:lineRule="auto"/>
        <w:rPr>
          <w:rFonts w:ascii="Arial" w:hAnsi="Arial" w:cs="Arial"/>
          <w:b/>
          <w:bCs/>
          <w:sz w:val="40"/>
          <w:szCs w:val="40"/>
        </w:rPr>
      </w:pPr>
      <w:r>
        <w:rPr>
          <w:rFonts w:ascii="Arial" w:hAnsi="Arial" w:cs="Arial"/>
          <w:b/>
          <w:bCs/>
          <w:sz w:val="40"/>
          <w:szCs w:val="40"/>
        </w:rPr>
        <w:t>Lecturer: Mumtaz Goolam</w:t>
      </w:r>
      <w:r w:rsidRPr="004C1E08">
        <w:rPr>
          <w:rFonts w:ascii="Arial" w:hAnsi="Arial" w:cs="Arial"/>
          <w:b/>
          <w:bCs/>
          <w:sz w:val="40"/>
          <w:szCs w:val="40"/>
        </w:rPr>
        <w:br/>
      </w:r>
      <w:r w:rsidRPr="004C1E08">
        <w:rPr>
          <w:rFonts w:ascii="Arial" w:hAnsi="Arial" w:cs="Arial"/>
          <w:b/>
          <w:bCs/>
          <w:sz w:val="40"/>
          <w:szCs w:val="40"/>
        </w:rPr>
        <w:br/>
        <w:t xml:space="preserve">Submission Date: </w:t>
      </w:r>
      <w:r>
        <w:rPr>
          <w:rFonts w:ascii="Arial" w:hAnsi="Arial" w:cs="Arial"/>
          <w:b/>
          <w:bCs/>
          <w:sz w:val="40"/>
          <w:szCs w:val="40"/>
        </w:rPr>
        <w:t>21</w:t>
      </w:r>
      <w:r>
        <w:rPr>
          <w:rFonts w:ascii="Arial" w:hAnsi="Arial" w:cs="Arial"/>
          <w:b/>
          <w:bCs/>
          <w:sz w:val="40"/>
          <w:szCs w:val="40"/>
          <w:vertAlign w:val="superscript"/>
        </w:rPr>
        <w:t>st</w:t>
      </w:r>
      <w:r w:rsidRPr="004C1E08">
        <w:rPr>
          <w:rFonts w:ascii="Arial" w:hAnsi="Arial" w:cs="Arial"/>
          <w:b/>
          <w:bCs/>
          <w:sz w:val="40"/>
          <w:szCs w:val="40"/>
        </w:rPr>
        <w:t xml:space="preserve"> </w:t>
      </w:r>
      <w:r>
        <w:rPr>
          <w:rFonts w:ascii="Arial" w:hAnsi="Arial" w:cs="Arial"/>
          <w:b/>
          <w:bCs/>
          <w:sz w:val="40"/>
          <w:szCs w:val="40"/>
        </w:rPr>
        <w:t>November</w:t>
      </w:r>
      <w:r w:rsidRPr="004C1E08">
        <w:rPr>
          <w:rFonts w:ascii="Arial" w:hAnsi="Arial" w:cs="Arial"/>
          <w:b/>
          <w:bCs/>
          <w:sz w:val="40"/>
          <w:szCs w:val="40"/>
        </w:rPr>
        <w:t xml:space="preserve"> 2025</w:t>
      </w:r>
    </w:p>
    <w:p w14:paraId="02962B9E"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u w:val="single"/>
        </w:rPr>
        <w:lastRenderedPageBreak/>
        <w:t>Introduction</w:t>
      </w:r>
      <w:r>
        <w:rPr>
          <w:rFonts w:ascii="Arial" w:hAnsi="Arial" w:cs="Arial"/>
          <w:b/>
          <w:bCs/>
          <w:sz w:val="22"/>
          <w:szCs w:val="22"/>
          <w:u w:val="single"/>
        </w:rPr>
        <w:t>:</w:t>
      </w:r>
      <w:r>
        <w:rPr>
          <w:rFonts w:ascii="Arial" w:hAnsi="Arial" w:cs="Arial"/>
          <w:b/>
          <w:bCs/>
          <w:sz w:val="22"/>
          <w:szCs w:val="22"/>
          <w:u w:val="single"/>
        </w:rPr>
        <w:br/>
      </w:r>
      <w:r w:rsidRPr="00D904EC">
        <w:rPr>
          <w:rFonts w:ascii="Arial" w:hAnsi="Arial" w:cs="Arial"/>
          <w:sz w:val="22"/>
          <w:szCs w:val="22"/>
        </w:rPr>
        <w:t>Mrs Mann is a 72-year-old woman who recently returned home after undergoing surgery for a hip replacement. She lives alone and receives scheduled domiciliary care visits twice a day to support her with personal hygiene and mobility. Her first language is Urdu, and although she can understand some English, she often relies on her daughter to interpret during appointments or when important information needs to be shared. Alongside the care workers, her community physiotherapist and GP play key roles in monitoring her recovery. However, recent issues such as inconsistent documentation and unclear communication led to a delay in adjusting her medication, raising concerns about care coordination and administrative standards (Care Quality Commission, 2024).</w:t>
      </w:r>
    </w:p>
    <w:p w14:paraId="44D916A3"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This report examines three important aspects of practice in relation to Mrs Mann’s case. First, it discusses the value of effective communication, including strategies for supporting service users with language barriers. Second, it explores the importance of accurate administrative skills and lawful record keeping. Finally, it considers how collaborative working between professionals can promote safe, well-coordinated, and person-centred care.</w:t>
      </w:r>
    </w:p>
    <w:p w14:paraId="40521F0C" w14:textId="77777777" w:rsidR="00D904EC" w:rsidRDefault="00D904EC" w:rsidP="00D904EC">
      <w:pPr>
        <w:spacing w:line="360" w:lineRule="auto"/>
        <w:rPr>
          <w:rFonts w:ascii="Arial" w:hAnsi="Arial" w:cs="Arial"/>
          <w:sz w:val="22"/>
          <w:szCs w:val="22"/>
        </w:rPr>
      </w:pPr>
    </w:p>
    <w:p w14:paraId="169E573A" w14:textId="574655B0"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rPr>
        <w:t xml:space="preserve">1. </w:t>
      </w:r>
      <w:r w:rsidRPr="00D904EC">
        <w:rPr>
          <w:rFonts w:ascii="Arial" w:hAnsi="Arial" w:cs="Arial"/>
          <w:b/>
          <w:bCs/>
          <w:i/>
          <w:iCs/>
          <w:sz w:val="22"/>
          <w:szCs w:val="22"/>
          <w:u w:val="single"/>
        </w:rPr>
        <w:t>Effective Communication</w:t>
      </w:r>
      <w:r w:rsidRPr="00D904EC">
        <w:rPr>
          <w:rFonts w:ascii="Arial" w:hAnsi="Arial" w:cs="Arial"/>
          <w:b/>
          <w:bCs/>
          <w:i/>
          <w:iCs/>
          <w:sz w:val="22"/>
          <w:szCs w:val="22"/>
          <w:u w:val="single"/>
        </w:rPr>
        <w:t>:</w:t>
      </w:r>
      <w:r>
        <w:rPr>
          <w:rFonts w:ascii="Arial" w:hAnsi="Arial" w:cs="Arial"/>
          <w:b/>
          <w:bCs/>
          <w:sz w:val="22"/>
          <w:szCs w:val="22"/>
        </w:rPr>
        <w:br/>
      </w:r>
      <w:r w:rsidRPr="00D904EC">
        <w:rPr>
          <w:rFonts w:ascii="Arial" w:hAnsi="Arial" w:cs="Arial"/>
          <w:sz w:val="22"/>
          <w:szCs w:val="22"/>
        </w:rPr>
        <w:t>Communication is a fundamental element of safe and effective health and social care. For Mrs Mann, limited English proficiency creates barriers that can affect her understanding of her recovery plan, medication, and mobility exercises. When communication is unclear, individuals can experience anxiety or make mistakes that may impact their health. The Equality Act 2010 places a duty on organisations to eliminate discrimination and make reasonable adjustments to support equal access to services (Equality and Human Rights Commission, 2023). In practice, this means care providers must adopt communication approaches that meet service users’ individual needs.</w:t>
      </w:r>
    </w:p>
    <w:p w14:paraId="53851A38"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Using professional interpreters is one important strategy. Family members may unintentionally misinterpret information or withhold sensitive details, whereas professional interpreters offer accurate translation and maintain confidentiality. The NHS encourages the use of interpreting services to ensure communication is safe and effective (NHS England, 2022). Alongside this, visual communication methods—like diagrams, demonstrations, and simple written prompts—can help ensure Mrs Mann understands mobility exercises and wound-care instructions.</w:t>
      </w:r>
    </w:p>
    <w:p w14:paraId="344BC17E"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 xml:space="preserve">Non-verbal communication also plays a key role. Eye contact, tone of voice, gestures, and body language all contribute to how messages are understood. When supporting someone recovering from surgery, demonstrating warmth and patience can help them feel comfortable </w:t>
      </w:r>
      <w:r w:rsidRPr="00D904EC">
        <w:rPr>
          <w:rFonts w:ascii="Arial" w:hAnsi="Arial" w:cs="Arial"/>
          <w:sz w:val="22"/>
          <w:szCs w:val="22"/>
        </w:rPr>
        <w:lastRenderedPageBreak/>
        <w:t>asking questions. Active listening also plays a major role, showing the service user that their concerns and preferences are valued.</w:t>
      </w:r>
    </w:p>
    <w:p w14:paraId="594ACEDF"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Cultural sensitivity is equally important. Cultural beliefs about care, family roles, and independence can influence how someone responds to support. NHS England (2023) highlights the value of personalised care approaches, which involve understanding a person’s background, preferences, and communication style. For Mrs Mann, this might include recognising the importance of her daughter’s involvement or providing explanations in a way that respects her cultural expectations around dignity and privacy.</w:t>
      </w:r>
    </w:p>
    <w:p w14:paraId="25EF2185"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Communication across the professional team is also vital. Poor communication between the care workers, GP, and physiotherapist previously contributed to a delayed medication change. The CQC emphasises that clear communication processes are essential for safe transitions and ongoing coordination (Care Quality Commission, 2024). Regular updates, shared records, and timely reporting of concerns ensure everyone supporting Mrs Mann has accurate information to make appropriate decisions.</w:t>
      </w:r>
    </w:p>
    <w:p w14:paraId="2ACE5623"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Overall, effective communication involves clear, respectful, and person-centred approaches. When supported with interpreting services, visual aids, active listening, and cultural awareness, practice becomes safer and more inclusive.</w:t>
      </w:r>
    </w:p>
    <w:p w14:paraId="3BFAF4CD" w14:textId="77777777" w:rsidR="00D904EC" w:rsidRDefault="00D904EC" w:rsidP="00D904EC">
      <w:pPr>
        <w:spacing w:line="360" w:lineRule="auto"/>
        <w:rPr>
          <w:rFonts w:ascii="Arial" w:hAnsi="Arial" w:cs="Arial"/>
          <w:sz w:val="22"/>
          <w:szCs w:val="22"/>
        </w:rPr>
      </w:pPr>
    </w:p>
    <w:p w14:paraId="70D7C400"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rPr>
        <w:t xml:space="preserve">2. </w:t>
      </w:r>
      <w:r w:rsidRPr="00D904EC">
        <w:rPr>
          <w:rFonts w:ascii="Arial" w:hAnsi="Arial" w:cs="Arial"/>
          <w:b/>
          <w:bCs/>
          <w:i/>
          <w:iCs/>
          <w:sz w:val="22"/>
          <w:szCs w:val="22"/>
          <w:u w:val="single"/>
        </w:rPr>
        <w:t>Administrative Skills &amp; Record Keeping</w:t>
      </w:r>
      <w:r w:rsidRPr="00D904EC">
        <w:rPr>
          <w:rFonts w:ascii="Arial" w:hAnsi="Arial" w:cs="Arial"/>
          <w:b/>
          <w:bCs/>
          <w:i/>
          <w:iCs/>
          <w:sz w:val="22"/>
          <w:szCs w:val="22"/>
          <w:u w:val="single"/>
        </w:rPr>
        <w:t>:</w:t>
      </w:r>
      <w:r>
        <w:rPr>
          <w:rFonts w:ascii="Arial" w:hAnsi="Arial" w:cs="Arial"/>
          <w:sz w:val="22"/>
          <w:szCs w:val="22"/>
        </w:rPr>
        <w:br/>
      </w:r>
      <w:r w:rsidRPr="00D904EC">
        <w:rPr>
          <w:rFonts w:ascii="Arial" w:hAnsi="Arial" w:cs="Arial"/>
          <w:sz w:val="22"/>
          <w:szCs w:val="22"/>
        </w:rPr>
        <w:t>Good administrative skills are essential in health and social care because they support accountability, safety, and continuity. Record keeping is a key part of administration, and when it is done poorly, the effects can be significant. In Mrs Mann’s case, gaps in documentation led to a delay in changing her medication, which could have affected her recovery. The Care Quality Commission states that providers must maintain accurate, complete, and up-to-date records to ensure safe care (Care Quality Commission, 2024).</w:t>
      </w:r>
    </w:p>
    <w:p w14:paraId="20871569" w14:textId="3C5B44F5"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The legal framework guiding record keeping includes the Data Protection Act 2018 and UK GDPR, which emphasise that personal information must be stored securely, kept accurate, and only shared with authorised professionals. According to NHS England (2023), confidential information must be protected through secure systems and good data-handling practices. For Mrs Mann, this means her care notes, medication changes, and updates from the physiotherapist should be recorded promptly and shared only with those involved in her care.</w:t>
      </w:r>
    </w:p>
    <w:p w14:paraId="794D15B6"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 xml:space="preserve">The Records Management Code of Practice provides further guidance. It outlines how records should be created, stored, and retained. Records must be legible, factual, and </w:t>
      </w:r>
      <w:r w:rsidRPr="00D904EC">
        <w:rPr>
          <w:rFonts w:ascii="Arial" w:hAnsi="Arial" w:cs="Arial"/>
          <w:sz w:val="22"/>
          <w:szCs w:val="22"/>
        </w:rPr>
        <w:lastRenderedPageBreak/>
        <w:t>written at the time care is delivered (NHS England, 2021). This is especially important in home-care environments where multiple staff may visit the same individual. Consistent and accurate documentation helps prevent confusion about what support has already been provided and what actions are still required.</w:t>
      </w:r>
    </w:p>
    <w:p w14:paraId="1D46ECA4"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Accurate record keeping also supports decision-making. For example, regular notes on Mrs Mann’s mobility progress would allow the physiotherapist and GP to identify patterns or concerns, helping them adjust her care plan. Written evidence also supports accountability because it shows what actions were taken, when, and by whom. The CQC notes that good governance depends on robust documentation systems (Care Quality Commission, 2024).</w:t>
      </w:r>
    </w:p>
    <w:p w14:paraId="44F11D6E"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Administrative skills go beyond writing notes. Staff must organise information, follow policies, maintain confidentiality, and understand how to escalate concerns. Good administration helps ensure that professionals communicate effectively and that risks are spotted early. For instance, if care workers record any changes in Mrs Mann’s pain levels or mobility, these can be passed to her physiotherapist or GP promptly.</w:t>
      </w:r>
    </w:p>
    <w:p w14:paraId="7F2883DF"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In summary, effective administration and record keeping protect service users, support legal compliance, and help professionals work together safely. In Mrs Mann’s case, applying these principles is essential to preventing further delays or misunderstandings in her rehabilitation.</w:t>
      </w:r>
    </w:p>
    <w:p w14:paraId="5A1D97F4" w14:textId="77777777" w:rsidR="00D904EC" w:rsidRDefault="00D904EC" w:rsidP="00D904EC">
      <w:pPr>
        <w:spacing w:line="360" w:lineRule="auto"/>
        <w:rPr>
          <w:rFonts w:ascii="Arial" w:hAnsi="Arial" w:cs="Arial"/>
          <w:sz w:val="22"/>
          <w:szCs w:val="22"/>
        </w:rPr>
      </w:pPr>
    </w:p>
    <w:p w14:paraId="46982295"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rPr>
        <w:t xml:space="preserve">3. </w:t>
      </w:r>
      <w:r w:rsidRPr="00D904EC">
        <w:rPr>
          <w:rFonts w:ascii="Arial" w:hAnsi="Arial" w:cs="Arial"/>
          <w:b/>
          <w:bCs/>
          <w:i/>
          <w:iCs/>
          <w:sz w:val="22"/>
          <w:szCs w:val="22"/>
          <w:u w:val="single"/>
        </w:rPr>
        <w:t>Collaborative Working</w:t>
      </w:r>
      <w:r>
        <w:rPr>
          <w:rFonts w:ascii="Arial" w:hAnsi="Arial" w:cs="Arial"/>
          <w:b/>
          <w:bCs/>
          <w:i/>
          <w:iCs/>
          <w:sz w:val="22"/>
          <w:szCs w:val="22"/>
          <w:u w:val="single"/>
        </w:rPr>
        <w:t>:</w:t>
      </w:r>
      <w:r>
        <w:rPr>
          <w:rFonts w:ascii="Arial" w:hAnsi="Arial" w:cs="Arial"/>
          <w:b/>
          <w:bCs/>
          <w:sz w:val="22"/>
          <w:szCs w:val="22"/>
        </w:rPr>
        <w:br/>
      </w:r>
      <w:r w:rsidRPr="00D904EC">
        <w:rPr>
          <w:rFonts w:ascii="Arial" w:hAnsi="Arial" w:cs="Arial"/>
          <w:sz w:val="22"/>
          <w:szCs w:val="22"/>
        </w:rPr>
        <w:t>Collaborative working is vital in health and social care because service users often rely on multiple professionals. For Mrs Mann, her GP, community physiotherapist, and domiciliary care workers all play different roles in supporting her recovery. When these professionals work well together, care becomes smoother, safer, and more person-centred. Research shows that strong interprofessional teamwork improves patient outcomes, particularly in community and rehabilitation settings (Bouton et al., 2023).</w:t>
      </w:r>
    </w:p>
    <w:p w14:paraId="5573953B"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Effective collaboration relies on good communication. This includes updating each other about changes, sharing relevant observations, and ensuring everyone understands their responsibilities. NHS England (2023c) explains that shared decision-making and coordinated care planning help reduce duplication and improve consistency. For Mrs Mann, documenting mobility changes, reporting pain levels, and communicating concerns promptly allow her GP and physiotherapist to adjust her treatment in a timely way.</w:t>
      </w:r>
    </w:p>
    <w:p w14:paraId="4E30CFE0"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 xml:space="preserve">However, collaboration is not always easy. Professionals may have different priorities, workloads, or communication styles. The CQC notes that unclear roles and poor information sharing can contribute to safety incidents (Care Quality Commission, 2024). To overcome </w:t>
      </w:r>
      <w:r w:rsidRPr="00D904EC">
        <w:rPr>
          <w:rFonts w:ascii="Arial" w:hAnsi="Arial" w:cs="Arial"/>
          <w:sz w:val="22"/>
          <w:szCs w:val="22"/>
        </w:rPr>
        <w:lastRenderedPageBreak/>
        <w:t>these challenges, teams can use structured communication tools, such as shared care plans, multidisciplinary meetings, and digital notes that everyone can access. These approaches help ensure that important information is not missed.</w:t>
      </w:r>
    </w:p>
    <w:p w14:paraId="41A39D3D"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Family involvement is another important element. Involving Mrs Mann’s daughter in discussions about her care, while respecting confidentiality, supports culturally sensitive, person-centred practice. Clear communication with family members allows them to assist safely with mobility and medication adherence, improving overall quality and safety of care (Equality and Human Rights Commission, 2023).</w:t>
      </w:r>
    </w:p>
    <w:p w14:paraId="5BCC751C"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Overall, effective collaborative working involves respect, communication, and shared responsibility. When professionals coordinate well, the service user experiences safer and more consistent care. For Mrs Mann, strengthening collaboration is essential to ensuring her rehabilitation progresses smoothly.</w:t>
      </w:r>
    </w:p>
    <w:p w14:paraId="4BB57DD1" w14:textId="77777777" w:rsidR="00D904EC" w:rsidRDefault="00D904EC" w:rsidP="00D904EC">
      <w:pPr>
        <w:spacing w:line="360" w:lineRule="auto"/>
        <w:rPr>
          <w:rFonts w:ascii="Arial" w:hAnsi="Arial" w:cs="Arial"/>
          <w:sz w:val="22"/>
          <w:szCs w:val="22"/>
        </w:rPr>
      </w:pPr>
    </w:p>
    <w:p w14:paraId="066CC0FE"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u w:val="single"/>
        </w:rPr>
        <w:t>Conclusion</w:t>
      </w:r>
      <w:r>
        <w:rPr>
          <w:rFonts w:ascii="Arial" w:hAnsi="Arial" w:cs="Arial"/>
          <w:b/>
          <w:bCs/>
          <w:sz w:val="22"/>
          <w:szCs w:val="22"/>
          <w:u w:val="single"/>
        </w:rPr>
        <w:t>:</w:t>
      </w:r>
      <w:r>
        <w:rPr>
          <w:rFonts w:ascii="Arial" w:hAnsi="Arial" w:cs="Arial"/>
          <w:b/>
          <w:bCs/>
          <w:sz w:val="22"/>
          <w:szCs w:val="22"/>
          <w:u w:val="single"/>
        </w:rPr>
        <w:br/>
      </w:r>
      <w:r w:rsidRPr="00D904EC">
        <w:rPr>
          <w:rFonts w:ascii="Arial" w:hAnsi="Arial" w:cs="Arial"/>
          <w:sz w:val="22"/>
          <w:szCs w:val="22"/>
        </w:rPr>
        <w:t>Mrs Mann’s case shows how communication, administration, and collaboration all contribute to safe and effective health and social care. Communication must be person-centred and adapted to meet language and cultural needs, such as using interpreters and visual aids. Good administration and record keeping are essential for accountability and decision-making and must follow legal and professional standards like the Data Protection Act and NHS record-keeping guidance. Collaboration among the GP, physiotherapist, care workers, and family ensures consistency and reduces the risk of errors during her recovery.</w:t>
      </w:r>
    </w:p>
    <w:p w14:paraId="0F21D314" w14:textId="0050AB04"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By applying these principles, professionals can support Mrs Mann’s independence, safety, and wellbeing. The case highlights the importance of coordinated, lawful, and compassionate care, and demonstrates how each aspect of practice is interconnected in promoting positive outcomes.</w:t>
      </w:r>
    </w:p>
    <w:p w14:paraId="269BB5BF" w14:textId="1FAB686E" w:rsidR="00D904EC" w:rsidRDefault="00D904EC" w:rsidP="00D904EC">
      <w:pPr>
        <w:spacing w:line="360" w:lineRule="auto"/>
        <w:rPr>
          <w:rFonts w:ascii="Arial" w:hAnsi="Arial" w:cs="Arial"/>
          <w:sz w:val="22"/>
          <w:szCs w:val="22"/>
        </w:rPr>
      </w:pPr>
    </w:p>
    <w:p w14:paraId="50D5DCAD" w14:textId="77777777" w:rsidR="00D904EC" w:rsidRDefault="00D904EC" w:rsidP="00D904EC">
      <w:pPr>
        <w:spacing w:line="360" w:lineRule="auto"/>
        <w:rPr>
          <w:rFonts w:ascii="Arial" w:hAnsi="Arial" w:cs="Arial"/>
          <w:sz w:val="22"/>
          <w:szCs w:val="22"/>
        </w:rPr>
      </w:pPr>
    </w:p>
    <w:p w14:paraId="37338FEA" w14:textId="77777777" w:rsidR="00D904EC" w:rsidRDefault="00D904EC" w:rsidP="00D904EC">
      <w:pPr>
        <w:spacing w:line="360" w:lineRule="auto"/>
        <w:rPr>
          <w:rFonts w:ascii="Arial" w:hAnsi="Arial" w:cs="Arial"/>
          <w:sz w:val="22"/>
          <w:szCs w:val="22"/>
        </w:rPr>
      </w:pPr>
    </w:p>
    <w:p w14:paraId="30880934" w14:textId="77777777" w:rsidR="00D904EC" w:rsidRDefault="00D904EC" w:rsidP="00D904EC">
      <w:pPr>
        <w:spacing w:line="360" w:lineRule="auto"/>
        <w:rPr>
          <w:rFonts w:ascii="Arial" w:hAnsi="Arial" w:cs="Arial"/>
          <w:sz w:val="22"/>
          <w:szCs w:val="22"/>
        </w:rPr>
      </w:pPr>
    </w:p>
    <w:p w14:paraId="42B699A2" w14:textId="77777777" w:rsidR="00D904EC" w:rsidRDefault="00D904EC" w:rsidP="00D904EC">
      <w:pPr>
        <w:spacing w:line="360" w:lineRule="auto"/>
        <w:rPr>
          <w:rFonts w:ascii="Arial" w:hAnsi="Arial" w:cs="Arial"/>
          <w:sz w:val="22"/>
          <w:szCs w:val="22"/>
        </w:rPr>
      </w:pPr>
    </w:p>
    <w:p w14:paraId="4EF3F8C9" w14:textId="77777777" w:rsidR="00D904EC" w:rsidRDefault="00D904EC" w:rsidP="00D904EC">
      <w:pPr>
        <w:spacing w:line="360" w:lineRule="auto"/>
        <w:rPr>
          <w:rFonts w:ascii="Arial" w:hAnsi="Arial" w:cs="Arial"/>
          <w:sz w:val="22"/>
          <w:szCs w:val="22"/>
        </w:rPr>
      </w:pPr>
    </w:p>
    <w:p w14:paraId="6C37FEB2" w14:textId="77777777" w:rsidR="00D904EC" w:rsidRDefault="00D904EC" w:rsidP="00D904EC">
      <w:pPr>
        <w:spacing w:line="360" w:lineRule="auto"/>
        <w:rPr>
          <w:rFonts w:ascii="Arial" w:hAnsi="Arial" w:cs="Arial"/>
          <w:sz w:val="22"/>
          <w:szCs w:val="22"/>
        </w:rPr>
      </w:pPr>
    </w:p>
    <w:p w14:paraId="297FC44C" w14:textId="0F712482" w:rsidR="00D904EC" w:rsidRDefault="00D904EC" w:rsidP="00D904EC">
      <w:pPr>
        <w:spacing w:line="360" w:lineRule="auto"/>
        <w:rPr>
          <w:rFonts w:ascii="Arial" w:hAnsi="Arial" w:cs="Arial"/>
          <w:b/>
          <w:bCs/>
          <w:sz w:val="22"/>
          <w:szCs w:val="22"/>
          <w:u w:val="single"/>
        </w:rPr>
      </w:pPr>
      <w:r w:rsidRPr="00D904EC">
        <w:rPr>
          <w:rFonts w:ascii="Arial" w:hAnsi="Arial" w:cs="Arial"/>
          <w:b/>
          <w:bCs/>
          <w:sz w:val="22"/>
          <w:szCs w:val="22"/>
          <w:u w:val="single"/>
        </w:rPr>
        <w:lastRenderedPageBreak/>
        <w:t>Reference List</w:t>
      </w:r>
      <w:r>
        <w:rPr>
          <w:rFonts w:ascii="Arial" w:hAnsi="Arial" w:cs="Arial"/>
          <w:b/>
          <w:bCs/>
          <w:sz w:val="22"/>
          <w:szCs w:val="22"/>
          <w:u w:val="single"/>
        </w:rPr>
        <w:t>:</w:t>
      </w:r>
    </w:p>
    <w:p w14:paraId="2F5FE298" w14:textId="6B70A55E"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Care Quality Commission (2024) </w:t>
      </w:r>
      <w:r w:rsidRPr="00D904EC">
        <w:rPr>
          <w:rFonts w:ascii="Arial" w:hAnsi="Arial" w:cs="Arial"/>
          <w:i/>
          <w:iCs/>
          <w:sz w:val="22"/>
          <w:szCs w:val="22"/>
        </w:rPr>
        <w:t>Regulation 17: Good governance</w:t>
      </w:r>
      <w:r w:rsidRPr="00D904EC">
        <w:rPr>
          <w:rFonts w:ascii="Arial" w:hAnsi="Arial" w:cs="Arial"/>
          <w:sz w:val="22"/>
          <w:szCs w:val="22"/>
        </w:rPr>
        <w:t xml:space="preserve">. Available at: </w:t>
      </w:r>
      <w:hyperlink r:id="rId6" w:tgtFrame="_new" w:history="1">
        <w:r w:rsidRPr="00D904EC">
          <w:rPr>
            <w:rStyle w:val="Hyperlink"/>
            <w:rFonts w:ascii="Arial" w:hAnsi="Arial" w:cs="Arial"/>
            <w:sz w:val="22"/>
            <w:szCs w:val="22"/>
            <w:u w:val="none"/>
          </w:rPr>
          <w:t>https://www.cqc.org.uk/guidance-regulation/providers/regulations-service-providers-and-managers/health-social-care-act/regulation-</w:t>
        </w:r>
        <w:r w:rsidRPr="00D904EC">
          <w:rPr>
            <w:rStyle w:val="Hyperlink"/>
            <w:rFonts w:ascii="Arial" w:hAnsi="Arial" w:cs="Arial"/>
            <w:sz w:val="22"/>
            <w:szCs w:val="22"/>
            <w:u w:val="none"/>
          </w:rPr>
          <w:t>17</w:t>
        </w:r>
      </w:hyperlink>
    </w:p>
    <w:p w14:paraId="234F3919" w14:textId="47170ECA"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Equality and Human Rights Commission (2023) </w:t>
      </w:r>
      <w:r w:rsidRPr="00D904EC">
        <w:rPr>
          <w:rFonts w:ascii="Arial" w:hAnsi="Arial" w:cs="Arial"/>
          <w:i/>
          <w:iCs/>
          <w:sz w:val="22"/>
          <w:szCs w:val="22"/>
        </w:rPr>
        <w:t>Equality Act 2010</w:t>
      </w:r>
      <w:r w:rsidRPr="00D904EC">
        <w:rPr>
          <w:rFonts w:ascii="Arial" w:hAnsi="Arial" w:cs="Arial"/>
          <w:sz w:val="22"/>
          <w:szCs w:val="22"/>
        </w:rPr>
        <w:t xml:space="preserve">. Available at: </w:t>
      </w:r>
      <w:hyperlink r:id="rId7" w:tgtFrame="_new" w:history="1">
        <w:r w:rsidRPr="00D904EC">
          <w:rPr>
            <w:rStyle w:val="Hyperlink"/>
            <w:rFonts w:ascii="Arial" w:hAnsi="Arial" w:cs="Arial"/>
            <w:sz w:val="22"/>
            <w:szCs w:val="22"/>
            <w:u w:val="none"/>
          </w:rPr>
          <w:t>https://www.equalityhumanrights.com/equality/equality</w:t>
        </w:r>
        <w:r w:rsidRPr="00D904EC">
          <w:rPr>
            <w:rStyle w:val="Hyperlink"/>
            <w:rFonts w:ascii="Arial" w:hAnsi="Arial" w:cs="Arial"/>
            <w:sz w:val="22"/>
            <w:szCs w:val="22"/>
            <w:u w:val="none"/>
          </w:rPr>
          <w:t>-act-2010</w:t>
        </w:r>
      </w:hyperlink>
    </w:p>
    <w:p w14:paraId="5DE7BA01" w14:textId="5C11967B"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NHS England (2021) </w:t>
      </w:r>
      <w:r w:rsidRPr="00D904EC">
        <w:rPr>
          <w:rFonts w:ascii="Arial" w:hAnsi="Arial" w:cs="Arial"/>
          <w:i/>
          <w:iCs/>
          <w:sz w:val="22"/>
          <w:szCs w:val="22"/>
        </w:rPr>
        <w:t>Records Management Code of Practice for Health and Social Care</w:t>
      </w:r>
      <w:r w:rsidRPr="00D904EC">
        <w:rPr>
          <w:rFonts w:ascii="Arial" w:hAnsi="Arial" w:cs="Arial"/>
          <w:sz w:val="22"/>
          <w:szCs w:val="22"/>
        </w:rPr>
        <w:t xml:space="preserve">. Available at: </w:t>
      </w:r>
      <w:hyperlink r:id="rId8" w:tgtFrame="_new" w:history="1">
        <w:r w:rsidRPr="00D904EC">
          <w:rPr>
            <w:rStyle w:val="Hyperlink"/>
            <w:rFonts w:ascii="Arial" w:hAnsi="Arial" w:cs="Arial"/>
            <w:sz w:val="22"/>
            <w:szCs w:val="22"/>
            <w:u w:val="none"/>
          </w:rPr>
          <w:t>https://transform.england.nhs.uk/infor</w:t>
        </w:r>
        <w:r w:rsidRPr="00D904EC">
          <w:rPr>
            <w:rStyle w:val="Hyperlink"/>
            <w:rFonts w:ascii="Arial" w:hAnsi="Arial" w:cs="Arial"/>
            <w:sz w:val="22"/>
            <w:szCs w:val="22"/>
            <w:u w:val="none"/>
          </w:rPr>
          <w:t>mation-governance/guidance/records-management-code/</w:t>
        </w:r>
      </w:hyperlink>
    </w:p>
    <w:p w14:paraId="7A8754D7" w14:textId="1BA7C482"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NHS England (2022) </w:t>
      </w:r>
      <w:r w:rsidRPr="00D904EC">
        <w:rPr>
          <w:rFonts w:ascii="Arial" w:hAnsi="Arial" w:cs="Arial"/>
          <w:i/>
          <w:iCs/>
          <w:sz w:val="22"/>
          <w:szCs w:val="22"/>
        </w:rPr>
        <w:t>Interpreting and translation services</w:t>
      </w:r>
      <w:r w:rsidRPr="00D904EC">
        <w:rPr>
          <w:rFonts w:ascii="Arial" w:hAnsi="Arial" w:cs="Arial"/>
          <w:sz w:val="22"/>
          <w:szCs w:val="22"/>
        </w:rPr>
        <w:t xml:space="preserve">. Available at: </w:t>
      </w:r>
      <w:hyperlink r:id="rId9" w:tgtFrame="_new" w:history="1">
        <w:r w:rsidRPr="00D904EC">
          <w:rPr>
            <w:rStyle w:val="Hyperlink"/>
            <w:rFonts w:ascii="Arial" w:hAnsi="Arial" w:cs="Arial"/>
            <w:sz w:val="22"/>
            <w:szCs w:val="22"/>
            <w:u w:val="none"/>
          </w:rPr>
          <w:t>https://www.england.nhs.uk/inter</w:t>
        </w:r>
        <w:r w:rsidRPr="00D904EC">
          <w:rPr>
            <w:rStyle w:val="Hyperlink"/>
            <w:rFonts w:ascii="Arial" w:hAnsi="Arial" w:cs="Arial"/>
            <w:sz w:val="22"/>
            <w:szCs w:val="22"/>
            <w:u w:val="none"/>
          </w:rPr>
          <w:t>preting/</w:t>
        </w:r>
      </w:hyperlink>
    </w:p>
    <w:p w14:paraId="690CEF7D" w14:textId="2D11F362"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NHS England (2023) </w:t>
      </w:r>
      <w:r w:rsidRPr="00D904EC">
        <w:rPr>
          <w:rFonts w:ascii="Arial" w:hAnsi="Arial" w:cs="Arial"/>
          <w:i/>
          <w:iCs/>
          <w:sz w:val="22"/>
          <w:szCs w:val="22"/>
        </w:rPr>
        <w:t>Information Governance (UK GDPR Guidance)</w:t>
      </w:r>
      <w:r w:rsidRPr="00D904EC">
        <w:rPr>
          <w:rFonts w:ascii="Arial" w:hAnsi="Arial" w:cs="Arial"/>
          <w:sz w:val="22"/>
          <w:szCs w:val="22"/>
        </w:rPr>
        <w:t xml:space="preserve">. Available at: </w:t>
      </w:r>
      <w:hyperlink r:id="rId10" w:tgtFrame="_new" w:history="1">
        <w:r w:rsidRPr="00D904EC">
          <w:rPr>
            <w:rStyle w:val="Hyperlink"/>
            <w:rFonts w:ascii="Arial" w:hAnsi="Arial" w:cs="Arial"/>
            <w:sz w:val="22"/>
            <w:szCs w:val="22"/>
            <w:u w:val="none"/>
          </w:rPr>
          <w:t>https://www.engla</w:t>
        </w:r>
        <w:r w:rsidRPr="00D904EC">
          <w:rPr>
            <w:rStyle w:val="Hyperlink"/>
            <w:rFonts w:ascii="Arial" w:hAnsi="Arial" w:cs="Arial"/>
            <w:sz w:val="22"/>
            <w:szCs w:val="22"/>
            <w:u w:val="none"/>
          </w:rPr>
          <w:t>nd.nhs.uk/ig/</w:t>
        </w:r>
      </w:hyperlink>
    </w:p>
    <w:p w14:paraId="15FA535F" w14:textId="1F2A9BC6"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Bouton, C., </w:t>
      </w:r>
      <w:proofErr w:type="spellStart"/>
      <w:r w:rsidRPr="00D904EC">
        <w:rPr>
          <w:rFonts w:ascii="Arial" w:hAnsi="Arial" w:cs="Arial"/>
          <w:sz w:val="22"/>
          <w:szCs w:val="22"/>
        </w:rPr>
        <w:t>Cipolat</w:t>
      </w:r>
      <w:proofErr w:type="spellEnd"/>
      <w:r w:rsidRPr="00D904EC">
        <w:rPr>
          <w:rFonts w:ascii="Arial" w:hAnsi="Arial" w:cs="Arial"/>
          <w:sz w:val="22"/>
          <w:szCs w:val="22"/>
        </w:rPr>
        <w:t xml:space="preserve"> Mis, C., Doucet, J., et al. (2023) ‘Interprofessional collaboration in primary care: what effect on patient health? A systematic literature review’, </w:t>
      </w:r>
      <w:r w:rsidRPr="00D904EC">
        <w:rPr>
          <w:rFonts w:ascii="Arial" w:hAnsi="Arial" w:cs="Arial"/>
          <w:i/>
          <w:iCs/>
          <w:sz w:val="22"/>
          <w:szCs w:val="22"/>
        </w:rPr>
        <w:t>BMC Primary Care</w:t>
      </w:r>
      <w:r w:rsidRPr="00D904EC">
        <w:rPr>
          <w:rFonts w:ascii="Arial" w:hAnsi="Arial" w:cs="Arial"/>
          <w:sz w:val="22"/>
          <w:szCs w:val="22"/>
        </w:rPr>
        <w:t xml:space="preserve">, 24(246). Available at: </w:t>
      </w:r>
      <w:hyperlink r:id="rId11" w:tgtFrame="_new" w:history="1">
        <w:r w:rsidRPr="00D904EC">
          <w:rPr>
            <w:rStyle w:val="Hyperlink"/>
            <w:rFonts w:ascii="Arial" w:hAnsi="Arial" w:cs="Arial"/>
            <w:sz w:val="22"/>
            <w:szCs w:val="22"/>
            <w:u w:val="none"/>
          </w:rPr>
          <w:t>https://bmcprimcare.biomedcentral.com/articles/10.1186/s128</w:t>
        </w:r>
        <w:r w:rsidRPr="00D904EC">
          <w:rPr>
            <w:rStyle w:val="Hyperlink"/>
            <w:rFonts w:ascii="Arial" w:hAnsi="Arial" w:cs="Arial"/>
            <w:sz w:val="22"/>
            <w:szCs w:val="22"/>
            <w:u w:val="none"/>
          </w:rPr>
          <w:t>75-023-02189-0</w:t>
        </w:r>
      </w:hyperlink>
    </w:p>
    <w:p w14:paraId="53CB5759" w14:textId="77777777" w:rsidR="00553A43" w:rsidRDefault="00553A43" w:rsidP="008B7A12">
      <w:pPr>
        <w:spacing w:line="360" w:lineRule="auto"/>
        <w:rPr>
          <w:rFonts w:ascii="Arial" w:hAnsi="Arial" w:cs="Arial"/>
          <w:b/>
          <w:bCs/>
          <w:sz w:val="22"/>
          <w:szCs w:val="22"/>
          <w:u w:val="single"/>
        </w:rPr>
      </w:pPr>
    </w:p>
    <w:p w14:paraId="2C4DE97D" w14:textId="77777777" w:rsidR="00553A43" w:rsidRDefault="00553A43" w:rsidP="008B7A12">
      <w:pPr>
        <w:spacing w:line="360" w:lineRule="auto"/>
        <w:rPr>
          <w:rFonts w:ascii="Arial" w:hAnsi="Arial" w:cs="Arial"/>
          <w:b/>
          <w:bCs/>
          <w:sz w:val="22"/>
          <w:szCs w:val="22"/>
          <w:u w:val="single"/>
        </w:rPr>
      </w:pPr>
    </w:p>
    <w:p w14:paraId="4B711453" w14:textId="77777777" w:rsidR="00553A43" w:rsidRDefault="00553A43" w:rsidP="008B7A12">
      <w:pPr>
        <w:spacing w:line="360" w:lineRule="auto"/>
        <w:rPr>
          <w:rFonts w:ascii="Arial" w:hAnsi="Arial" w:cs="Arial"/>
          <w:b/>
          <w:bCs/>
          <w:sz w:val="22"/>
          <w:szCs w:val="22"/>
          <w:u w:val="single"/>
        </w:rPr>
      </w:pPr>
    </w:p>
    <w:p w14:paraId="5AB35931" w14:textId="77777777" w:rsidR="00553A43" w:rsidRDefault="00553A43" w:rsidP="008B7A12">
      <w:pPr>
        <w:spacing w:line="360" w:lineRule="auto"/>
        <w:rPr>
          <w:rFonts w:ascii="Arial" w:hAnsi="Arial" w:cs="Arial"/>
          <w:b/>
          <w:bCs/>
          <w:sz w:val="22"/>
          <w:szCs w:val="22"/>
          <w:u w:val="single"/>
        </w:rPr>
      </w:pPr>
    </w:p>
    <w:p w14:paraId="76FF367B" w14:textId="77777777" w:rsidR="00553A43" w:rsidRDefault="00553A43" w:rsidP="008B7A12">
      <w:pPr>
        <w:spacing w:line="360" w:lineRule="auto"/>
        <w:rPr>
          <w:rFonts w:ascii="Arial" w:hAnsi="Arial" w:cs="Arial"/>
          <w:b/>
          <w:bCs/>
          <w:sz w:val="22"/>
          <w:szCs w:val="22"/>
          <w:u w:val="single"/>
        </w:rPr>
      </w:pPr>
    </w:p>
    <w:p w14:paraId="414D27BC" w14:textId="77777777" w:rsidR="00553A43" w:rsidRDefault="00553A43" w:rsidP="008B7A12">
      <w:pPr>
        <w:spacing w:line="360" w:lineRule="auto"/>
        <w:rPr>
          <w:rFonts w:ascii="Arial" w:hAnsi="Arial" w:cs="Arial"/>
          <w:b/>
          <w:bCs/>
          <w:sz w:val="22"/>
          <w:szCs w:val="22"/>
          <w:u w:val="single"/>
        </w:rPr>
      </w:pPr>
    </w:p>
    <w:p w14:paraId="63D1822B" w14:textId="77777777" w:rsidR="00553A43" w:rsidRDefault="00553A43" w:rsidP="008B7A12">
      <w:pPr>
        <w:spacing w:line="360" w:lineRule="auto"/>
        <w:rPr>
          <w:rFonts w:ascii="Arial" w:hAnsi="Arial" w:cs="Arial"/>
          <w:b/>
          <w:bCs/>
          <w:sz w:val="22"/>
          <w:szCs w:val="22"/>
          <w:u w:val="single"/>
        </w:rPr>
      </w:pPr>
    </w:p>
    <w:p w14:paraId="5E44F1C8" w14:textId="77777777" w:rsidR="00553A43" w:rsidRDefault="00553A43" w:rsidP="008B7A12">
      <w:pPr>
        <w:spacing w:line="360" w:lineRule="auto"/>
        <w:rPr>
          <w:rFonts w:ascii="Arial" w:hAnsi="Arial" w:cs="Arial"/>
          <w:b/>
          <w:bCs/>
          <w:sz w:val="22"/>
          <w:szCs w:val="22"/>
          <w:u w:val="single"/>
        </w:rPr>
      </w:pPr>
    </w:p>
    <w:p w14:paraId="0E165ABE" w14:textId="77777777" w:rsidR="00553A43" w:rsidRDefault="00553A43" w:rsidP="008B7A12">
      <w:pPr>
        <w:spacing w:line="360" w:lineRule="auto"/>
        <w:rPr>
          <w:rFonts w:ascii="Arial" w:hAnsi="Arial" w:cs="Arial"/>
          <w:b/>
          <w:bCs/>
          <w:sz w:val="22"/>
          <w:szCs w:val="22"/>
          <w:u w:val="single"/>
        </w:rPr>
      </w:pPr>
    </w:p>
    <w:p w14:paraId="65F9E847" w14:textId="77777777" w:rsidR="008B7A12" w:rsidRPr="008B7A12" w:rsidRDefault="008B7A12" w:rsidP="008B7A12">
      <w:pPr>
        <w:spacing w:line="360" w:lineRule="auto"/>
        <w:rPr>
          <w:rFonts w:ascii="Arial" w:hAnsi="Arial" w:cs="Arial"/>
          <w:b/>
          <w:bCs/>
          <w:sz w:val="22"/>
          <w:szCs w:val="22"/>
        </w:rPr>
      </w:pPr>
    </w:p>
    <w:p w14:paraId="0C23C17B" w14:textId="77777777" w:rsidR="003A2F02" w:rsidRPr="003A2F02" w:rsidRDefault="003A2F02" w:rsidP="003A2F02">
      <w:pPr>
        <w:spacing w:line="360" w:lineRule="auto"/>
        <w:rPr>
          <w:rFonts w:ascii="Arial" w:hAnsi="Arial" w:cs="Arial"/>
          <w:b/>
          <w:bCs/>
          <w:sz w:val="40"/>
          <w:szCs w:val="40"/>
        </w:rPr>
      </w:pPr>
    </w:p>
    <w:sectPr w:rsidR="003A2F02" w:rsidRPr="003A2F02" w:rsidSect="00553A43">
      <w:footerReference w:type="default" r:id="rId12"/>
      <w:pgSz w:w="11906" w:h="16838"/>
      <w:pgMar w:top="1440" w:right="1440" w:bottom="1440" w:left="1440" w:header="708"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F9371" w14:textId="77777777" w:rsidR="001D254E" w:rsidRDefault="001D254E" w:rsidP="00553A43">
      <w:pPr>
        <w:spacing w:after="0" w:line="240" w:lineRule="auto"/>
      </w:pPr>
      <w:r>
        <w:separator/>
      </w:r>
    </w:p>
  </w:endnote>
  <w:endnote w:type="continuationSeparator" w:id="0">
    <w:p w14:paraId="51A97423" w14:textId="77777777" w:rsidR="001D254E" w:rsidRDefault="001D254E" w:rsidP="00553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2832263"/>
      <w:docPartObj>
        <w:docPartGallery w:val="Page Numbers (Bottom of Page)"/>
        <w:docPartUnique/>
      </w:docPartObj>
    </w:sdtPr>
    <w:sdtEndPr>
      <w:rPr>
        <w:noProof/>
      </w:rPr>
    </w:sdtEndPr>
    <w:sdtContent>
      <w:p w14:paraId="02F5C82E" w14:textId="56FA3EEA" w:rsidR="00553A43" w:rsidRDefault="00553A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709952" w14:textId="77777777" w:rsidR="00553A43" w:rsidRDefault="00553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336AE" w14:textId="77777777" w:rsidR="001D254E" w:rsidRDefault="001D254E" w:rsidP="00553A43">
      <w:pPr>
        <w:spacing w:after="0" w:line="240" w:lineRule="auto"/>
      </w:pPr>
      <w:r>
        <w:separator/>
      </w:r>
    </w:p>
  </w:footnote>
  <w:footnote w:type="continuationSeparator" w:id="0">
    <w:p w14:paraId="73591F2E" w14:textId="77777777" w:rsidR="001D254E" w:rsidRDefault="001D254E" w:rsidP="00553A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F02"/>
    <w:rsid w:val="001D254E"/>
    <w:rsid w:val="00203E83"/>
    <w:rsid w:val="003A2F02"/>
    <w:rsid w:val="003D767D"/>
    <w:rsid w:val="00553A43"/>
    <w:rsid w:val="00640DC5"/>
    <w:rsid w:val="0086180B"/>
    <w:rsid w:val="008774CA"/>
    <w:rsid w:val="008B7A12"/>
    <w:rsid w:val="00974D47"/>
    <w:rsid w:val="00BF0DE2"/>
    <w:rsid w:val="00D904EC"/>
    <w:rsid w:val="00F12EC7"/>
    <w:rsid w:val="00F54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17CE2"/>
  <w15:chartTrackingRefBased/>
  <w15:docId w15:val="{917D753B-0EA5-40BF-8DB6-95EA61980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F02"/>
  </w:style>
  <w:style w:type="paragraph" w:styleId="Heading1">
    <w:name w:val="heading 1"/>
    <w:basedOn w:val="Normal"/>
    <w:next w:val="Normal"/>
    <w:link w:val="Heading1Char"/>
    <w:uiPriority w:val="9"/>
    <w:qFormat/>
    <w:rsid w:val="003A2F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2F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2F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2F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2F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2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F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A2F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2F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2F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2F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2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F02"/>
    <w:rPr>
      <w:rFonts w:eastAsiaTheme="majorEastAsia" w:cstheme="majorBidi"/>
      <w:color w:val="272727" w:themeColor="text1" w:themeTint="D8"/>
    </w:rPr>
  </w:style>
  <w:style w:type="paragraph" w:styleId="Title">
    <w:name w:val="Title"/>
    <w:basedOn w:val="Normal"/>
    <w:next w:val="Normal"/>
    <w:link w:val="TitleChar"/>
    <w:uiPriority w:val="10"/>
    <w:qFormat/>
    <w:rsid w:val="003A2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2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F02"/>
    <w:pPr>
      <w:spacing w:before="160"/>
      <w:jc w:val="center"/>
    </w:pPr>
    <w:rPr>
      <w:i/>
      <w:iCs/>
      <w:color w:val="404040" w:themeColor="text1" w:themeTint="BF"/>
    </w:rPr>
  </w:style>
  <w:style w:type="character" w:customStyle="1" w:styleId="QuoteChar">
    <w:name w:val="Quote Char"/>
    <w:basedOn w:val="DefaultParagraphFont"/>
    <w:link w:val="Quote"/>
    <w:uiPriority w:val="29"/>
    <w:rsid w:val="003A2F02"/>
    <w:rPr>
      <w:i/>
      <w:iCs/>
      <w:color w:val="404040" w:themeColor="text1" w:themeTint="BF"/>
    </w:rPr>
  </w:style>
  <w:style w:type="paragraph" w:styleId="ListParagraph">
    <w:name w:val="List Paragraph"/>
    <w:basedOn w:val="Normal"/>
    <w:uiPriority w:val="34"/>
    <w:qFormat/>
    <w:rsid w:val="003A2F02"/>
    <w:pPr>
      <w:ind w:left="720"/>
      <w:contextualSpacing/>
    </w:pPr>
  </w:style>
  <w:style w:type="character" w:styleId="IntenseEmphasis">
    <w:name w:val="Intense Emphasis"/>
    <w:basedOn w:val="DefaultParagraphFont"/>
    <w:uiPriority w:val="21"/>
    <w:qFormat/>
    <w:rsid w:val="003A2F02"/>
    <w:rPr>
      <w:i/>
      <w:iCs/>
      <w:color w:val="2F5496" w:themeColor="accent1" w:themeShade="BF"/>
    </w:rPr>
  </w:style>
  <w:style w:type="paragraph" w:styleId="IntenseQuote">
    <w:name w:val="Intense Quote"/>
    <w:basedOn w:val="Normal"/>
    <w:next w:val="Normal"/>
    <w:link w:val="IntenseQuoteChar"/>
    <w:uiPriority w:val="30"/>
    <w:qFormat/>
    <w:rsid w:val="003A2F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2F02"/>
    <w:rPr>
      <w:i/>
      <w:iCs/>
      <w:color w:val="2F5496" w:themeColor="accent1" w:themeShade="BF"/>
    </w:rPr>
  </w:style>
  <w:style w:type="character" w:styleId="IntenseReference">
    <w:name w:val="Intense Reference"/>
    <w:basedOn w:val="DefaultParagraphFont"/>
    <w:uiPriority w:val="32"/>
    <w:qFormat/>
    <w:rsid w:val="003A2F02"/>
    <w:rPr>
      <w:b/>
      <w:bCs/>
      <w:smallCaps/>
      <w:color w:val="2F5496" w:themeColor="accent1" w:themeShade="BF"/>
      <w:spacing w:val="5"/>
    </w:rPr>
  </w:style>
  <w:style w:type="character" w:styleId="Hyperlink">
    <w:name w:val="Hyperlink"/>
    <w:basedOn w:val="DefaultParagraphFont"/>
    <w:uiPriority w:val="99"/>
    <w:unhideWhenUsed/>
    <w:rsid w:val="008B7A12"/>
    <w:rPr>
      <w:color w:val="0563C1" w:themeColor="hyperlink"/>
      <w:u w:val="single"/>
    </w:rPr>
  </w:style>
  <w:style w:type="character" w:styleId="UnresolvedMention">
    <w:name w:val="Unresolved Mention"/>
    <w:basedOn w:val="DefaultParagraphFont"/>
    <w:uiPriority w:val="99"/>
    <w:semiHidden/>
    <w:unhideWhenUsed/>
    <w:rsid w:val="008B7A12"/>
    <w:rPr>
      <w:color w:val="605E5C"/>
      <w:shd w:val="clear" w:color="auto" w:fill="E1DFDD"/>
    </w:rPr>
  </w:style>
  <w:style w:type="paragraph" w:styleId="Header">
    <w:name w:val="header"/>
    <w:basedOn w:val="Normal"/>
    <w:link w:val="HeaderChar"/>
    <w:uiPriority w:val="99"/>
    <w:unhideWhenUsed/>
    <w:rsid w:val="00553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A43"/>
  </w:style>
  <w:style w:type="paragraph" w:styleId="Footer">
    <w:name w:val="footer"/>
    <w:basedOn w:val="Normal"/>
    <w:link w:val="FooterChar"/>
    <w:uiPriority w:val="99"/>
    <w:unhideWhenUsed/>
    <w:rsid w:val="00553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A43"/>
  </w:style>
  <w:style w:type="paragraph" w:styleId="NormalWeb">
    <w:name w:val="Normal (Web)"/>
    <w:basedOn w:val="Normal"/>
    <w:uiPriority w:val="99"/>
    <w:semiHidden/>
    <w:unhideWhenUsed/>
    <w:rsid w:val="00D904EC"/>
    <w:rPr>
      <w:rFonts w:ascii="Times New Roman" w:hAnsi="Times New Roman" w:cs="Times New Roman"/>
    </w:rPr>
  </w:style>
  <w:style w:type="character" w:styleId="FollowedHyperlink">
    <w:name w:val="FollowedHyperlink"/>
    <w:basedOn w:val="DefaultParagraphFont"/>
    <w:uiPriority w:val="99"/>
    <w:semiHidden/>
    <w:unhideWhenUsed/>
    <w:rsid w:val="00D904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form.england.nhs.uk/information-governance/guidance/records-management-code/?utm_source=chatgpt.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qualityhumanrights.com/equality/equality-act-2010?utm_source=chatgpt.com"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guidance-regulation/providers/regulations-service-providers-and-managers/health-social-care-act/regulation-17?utm_source=chatgpt.com" TargetMode="External"/><Relationship Id="rId11" Type="http://schemas.openxmlformats.org/officeDocument/2006/relationships/hyperlink" Target="https://bmcprimcare.biomedcentral.com/articles/10.1186/s12875-023-02189-0?utm_source=chatgpt.com" TargetMode="External"/><Relationship Id="rId5" Type="http://schemas.openxmlformats.org/officeDocument/2006/relationships/endnotes" Target="endnotes.xml"/><Relationship Id="rId10" Type="http://schemas.openxmlformats.org/officeDocument/2006/relationships/hyperlink" Target="https://www.england.nhs.uk/ig/" TargetMode="External"/><Relationship Id="rId4" Type="http://schemas.openxmlformats.org/officeDocument/2006/relationships/footnotes" Target="footnotes.xml"/><Relationship Id="rId9" Type="http://schemas.openxmlformats.org/officeDocument/2006/relationships/hyperlink" Target="https://www.england.nhs.uk/interpreting/?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6</Pages>
  <Words>1802</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Hafeez</dc:creator>
  <cp:keywords/>
  <dc:description/>
  <cp:lastModifiedBy>Mohammed Hafeez</cp:lastModifiedBy>
  <cp:revision>1</cp:revision>
  <dcterms:created xsi:type="dcterms:W3CDTF">2025-10-20T22:15:00Z</dcterms:created>
  <dcterms:modified xsi:type="dcterms:W3CDTF">2025-11-07T13:51:00Z</dcterms:modified>
</cp:coreProperties>
</file>