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F3E" w:rsidRPr="00FB5C62" w:rsidRDefault="00414F3E" w:rsidP="00A25E26">
      <w:pPr>
        <w:tabs>
          <w:tab w:val="left" w:pos="-720"/>
          <w:tab w:val="left" w:pos="0"/>
        </w:tabs>
        <w:suppressAutoHyphens/>
        <w:spacing w:line="276" w:lineRule="auto"/>
        <w:jc w:val="center"/>
        <w:rPr>
          <w:rFonts w:ascii="Perpetua" w:hAnsi="Perpetua" w:cs="Adobe Devanagari"/>
          <w:b/>
          <w:spacing w:val="-3"/>
          <w:sz w:val="26"/>
          <w:szCs w:val="26"/>
          <w:lang w:val="en-GB"/>
        </w:rPr>
      </w:pPr>
      <w:r w:rsidRPr="00FB5C62">
        <w:rPr>
          <w:rFonts w:ascii="Perpetua" w:hAnsi="Perpetua" w:cs="Adobe Devanagari"/>
          <w:b/>
          <w:spacing w:val="-3"/>
          <w:sz w:val="26"/>
          <w:szCs w:val="26"/>
          <w:lang w:val="en-GB"/>
        </w:rPr>
        <w:t>Error and Sweet Violence: Shakespeare and Renaissance Comedy and Tragedy</w:t>
      </w:r>
    </w:p>
    <w:p w:rsidR="00414F3E" w:rsidRPr="00FB5C62" w:rsidRDefault="00414F3E" w:rsidP="00A25E26">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HPEN</w:t>
      </w:r>
      <w:r w:rsidR="006C50AC" w:rsidRPr="00FB5C62">
        <w:rPr>
          <w:rFonts w:ascii="Perpetua" w:hAnsi="Perpetua" w:cs="Adobe Devanagari"/>
          <w:spacing w:val="-3"/>
          <w:sz w:val="26"/>
          <w:szCs w:val="26"/>
          <w:lang w:val="en-GB"/>
        </w:rPr>
        <w:t>5</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r w:rsidRPr="00FB5C62">
        <w:rPr>
          <w:rFonts w:ascii="Perpetua" w:hAnsi="Perpetua" w:cs="Adobe Devanagari"/>
          <w:spacing w:val="-3"/>
          <w:sz w:val="26"/>
          <w:szCs w:val="26"/>
          <w:lang w:val="en-GB"/>
        </w:rPr>
        <w:t>/</w:t>
      </w:r>
      <w:r w:rsidR="006C50AC" w:rsidRPr="00FB5C62">
        <w:rPr>
          <w:rFonts w:ascii="Perpetua" w:hAnsi="Perpetua" w:cs="Adobe Devanagari"/>
          <w:spacing w:val="-3"/>
          <w:sz w:val="26"/>
          <w:szCs w:val="26"/>
          <w:lang w:val="en-GB"/>
        </w:rPr>
        <w:t>6</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p>
    <w:p w:rsidR="00414F3E" w:rsidRPr="00FB5C62" w:rsidRDefault="00414F3E" w:rsidP="00A25E26">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LECTURE</w:t>
      </w:r>
    </w:p>
    <w:p w:rsidR="00414F3E" w:rsidRPr="00FB5C62" w:rsidRDefault="00B86094" w:rsidP="00A25E26">
      <w:pPr>
        <w:tabs>
          <w:tab w:val="left" w:pos="-720"/>
          <w:tab w:val="left" w:pos="0"/>
        </w:tabs>
        <w:suppressAutoHyphens/>
        <w:spacing w:line="276" w:lineRule="auto"/>
        <w:jc w:val="center"/>
        <w:rPr>
          <w:rFonts w:ascii="Perpetua" w:hAnsi="Perpetua" w:cs="Adobe Devanagari"/>
          <w:spacing w:val="-3"/>
          <w:sz w:val="26"/>
          <w:szCs w:val="26"/>
          <w:lang w:val="en-GB"/>
        </w:rPr>
      </w:pPr>
      <w:r>
        <w:rPr>
          <w:rFonts w:ascii="Perpetua" w:hAnsi="Perpetua" w:cs="Adobe Devanagari"/>
          <w:b/>
          <w:spacing w:val="-3"/>
          <w:sz w:val="26"/>
          <w:szCs w:val="26"/>
          <w:lang w:val="en-GB"/>
        </w:rPr>
        <w:t>FORD</w:t>
      </w:r>
      <w:r w:rsidR="006D776F" w:rsidRPr="00FB5C62">
        <w:rPr>
          <w:rFonts w:ascii="Perpetua" w:hAnsi="Perpetua" w:cs="Adobe Devanagari"/>
          <w:b/>
          <w:spacing w:val="-3"/>
          <w:sz w:val="26"/>
          <w:szCs w:val="26"/>
          <w:lang w:val="en-GB"/>
        </w:rPr>
        <w:t xml:space="preserve">, </w:t>
      </w:r>
      <w:r>
        <w:rPr>
          <w:rFonts w:ascii="Perpetua" w:hAnsi="Perpetua" w:cs="Adobe Devanagari"/>
          <w:b/>
          <w:i/>
          <w:spacing w:val="-3"/>
          <w:sz w:val="26"/>
          <w:szCs w:val="26"/>
          <w:lang w:val="en-GB"/>
        </w:rPr>
        <w:t>’</w:t>
      </w:r>
      <w:r w:rsidR="006D776F" w:rsidRPr="00FB5C62">
        <w:rPr>
          <w:rFonts w:ascii="Perpetua" w:hAnsi="Perpetua" w:cs="Adobe Devanagari"/>
          <w:b/>
          <w:i/>
          <w:spacing w:val="-3"/>
          <w:sz w:val="26"/>
          <w:szCs w:val="26"/>
          <w:lang w:val="en-GB"/>
        </w:rPr>
        <w:t>T</w:t>
      </w:r>
      <w:r>
        <w:rPr>
          <w:rFonts w:ascii="Perpetua" w:hAnsi="Perpetua" w:cs="Adobe Devanagari"/>
          <w:b/>
          <w:i/>
          <w:spacing w:val="-3"/>
          <w:sz w:val="26"/>
          <w:szCs w:val="26"/>
          <w:lang w:val="en-GB"/>
        </w:rPr>
        <w:t>IS PITY SHE’S A WHORE</w:t>
      </w:r>
    </w:p>
    <w:p w:rsidR="00B86094" w:rsidRPr="00B86094" w:rsidRDefault="00B86094" w:rsidP="00A25E26">
      <w:pPr>
        <w:tabs>
          <w:tab w:val="left" w:pos="-720"/>
          <w:tab w:val="left" w:pos="0"/>
        </w:tabs>
        <w:suppressAutoHyphens/>
        <w:spacing w:line="276" w:lineRule="auto"/>
        <w:rPr>
          <w:rFonts w:ascii="Perpetua" w:hAnsi="Perpetua" w:cs="Adobe Devanagari"/>
          <w:b/>
          <w:spacing w:val="-3"/>
          <w:sz w:val="26"/>
          <w:szCs w:val="26"/>
          <w:lang w:val="en-GB"/>
        </w:rPr>
      </w:pPr>
    </w:p>
    <w:p w:rsidR="00B86094" w:rsidRPr="006B1B5C"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6B1B5C">
        <w:rPr>
          <w:rFonts w:ascii="Perpetua" w:hAnsi="Perpetua" w:cs="Adobe Devanagari"/>
          <w:b/>
          <w:spacing w:val="-3"/>
          <w:sz w:val="26"/>
          <w:szCs w:val="26"/>
          <w:lang w:val="en-GB"/>
        </w:rPr>
        <w:t xml:space="preserve">The early textual history and performance of </w:t>
      </w:r>
      <w:r w:rsidRPr="006B1B5C">
        <w:rPr>
          <w:rFonts w:ascii="Perpetua" w:hAnsi="Perpetua" w:cs="Adobe Devanagari"/>
          <w:b/>
          <w:i/>
          <w:spacing w:val="-3"/>
          <w:sz w:val="26"/>
          <w:szCs w:val="26"/>
          <w:lang w:val="en-GB"/>
        </w:rPr>
        <w:t xml:space="preserve">’Tis Pity She’s </w:t>
      </w:r>
      <w:r w:rsidR="00453AB6" w:rsidRPr="006B1B5C">
        <w:rPr>
          <w:rFonts w:ascii="Perpetua" w:hAnsi="Perpetua" w:cs="Adobe Devanagari"/>
          <w:b/>
          <w:i/>
          <w:spacing w:val="-3"/>
          <w:sz w:val="26"/>
          <w:szCs w:val="26"/>
          <w:lang w:val="en-GB"/>
        </w:rPr>
        <w:t>a</w:t>
      </w:r>
      <w:r w:rsidRPr="006B1B5C">
        <w:rPr>
          <w:rFonts w:ascii="Perpetua" w:hAnsi="Perpetua" w:cs="Adobe Devanagari"/>
          <w:b/>
          <w:i/>
          <w:spacing w:val="-3"/>
          <w:sz w:val="26"/>
          <w:szCs w:val="26"/>
          <w:lang w:val="en-GB"/>
        </w:rPr>
        <w:t xml:space="preserve"> Whore</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6B1B5C" w:rsidRPr="006B1B5C" w:rsidRDefault="006B1B5C"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The title-page of the first, 1633 edition indicates performance by the Queen’s Men at the Phoenix Theatre.</w:t>
      </w:r>
      <w:r w:rsidR="003928C9">
        <w:rPr>
          <w:rFonts w:ascii="Perpetua" w:hAnsi="Perpetua" w:cs="Adobe Devanagari"/>
          <w:spacing w:val="-3"/>
          <w:sz w:val="26"/>
          <w:szCs w:val="26"/>
          <w:lang w:val="en-GB"/>
        </w:rPr>
        <w:t xml:space="preserve"> The play</w:t>
      </w:r>
      <w:r w:rsidR="00ED7794">
        <w:rPr>
          <w:rFonts w:ascii="Perpetua" w:hAnsi="Perpetua" w:cs="Adobe Devanagari"/>
          <w:spacing w:val="-3"/>
          <w:sz w:val="26"/>
          <w:szCs w:val="26"/>
          <w:lang w:val="en-GB"/>
        </w:rPr>
        <w:t xml:space="preserve"> was not entered into the Stationers’ Register. It</w:t>
      </w:r>
      <w:r w:rsidR="003928C9">
        <w:rPr>
          <w:rFonts w:ascii="Perpetua" w:hAnsi="Perpetua" w:cs="Adobe Devanagari"/>
          <w:spacing w:val="-3"/>
          <w:sz w:val="26"/>
          <w:szCs w:val="26"/>
          <w:lang w:val="en-GB"/>
        </w:rPr>
        <w:t xml:space="preserve"> was first performed between 1629 and 1633. </w:t>
      </w:r>
      <w:r>
        <w:rPr>
          <w:rFonts w:ascii="Perpetua" w:hAnsi="Perpetua" w:cs="Adobe Devanagari"/>
          <w:spacing w:val="-3"/>
          <w:sz w:val="26"/>
          <w:szCs w:val="26"/>
          <w:lang w:val="en-GB"/>
        </w:rPr>
        <w:t>The reference to the play as ‘these first fruits of my leisure’ in the dedication</w:t>
      </w:r>
      <w:r w:rsidR="00ED7794">
        <w:rPr>
          <w:rFonts w:ascii="Perpetua" w:hAnsi="Perpetua" w:cs="Adobe Devanagari"/>
          <w:spacing w:val="-3"/>
          <w:sz w:val="26"/>
          <w:szCs w:val="26"/>
          <w:lang w:val="en-GB"/>
        </w:rPr>
        <w:t xml:space="preserve"> in the 1633 edition</w:t>
      </w:r>
      <w:r>
        <w:rPr>
          <w:rFonts w:ascii="Perpetua" w:hAnsi="Perpetua" w:cs="Adobe Devanagari"/>
          <w:spacing w:val="-3"/>
          <w:sz w:val="26"/>
          <w:szCs w:val="26"/>
          <w:lang w:val="en-GB"/>
        </w:rPr>
        <w:t xml:space="preserve"> has been interpreted to mean that </w:t>
      </w:r>
      <w:r>
        <w:rPr>
          <w:rFonts w:ascii="Perpetua" w:hAnsi="Perpetua" w:cs="Adobe Devanagari"/>
          <w:i/>
          <w:spacing w:val="-3"/>
          <w:sz w:val="26"/>
          <w:szCs w:val="26"/>
          <w:lang w:val="en-GB"/>
        </w:rPr>
        <w:t>’Tis Pity</w:t>
      </w:r>
      <w:r>
        <w:rPr>
          <w:rFonts w:ascii="Perpetua" w:hAnsi="Perpetua" w:cs="Adobe Devanagari"/>
          <w:spacing w:val="-3"/>
          <w:sz w:val="26"/>
          <w:szCs w:val="26"/>
          <w:lang w:val="en-GB"/>
        </w:rPr>
        <w:t xml:space="preserve"> was the first play that Ford composed independently, rather than collaboratively.</w:t>
      </w:r>
      <w:r>
        <w:rPr>
          <w:rStyle w:val="FootnoteReference"/>
          <w:rFonts w:ascii="Perpetua" w:hAnsi="Perpetua" w:cs="Adobe Devanagari"/>
          <w:spacing w:val="-3"/>
          <w:sz w:val="26"/>
          <w:szCs w:val="26"/>
          <w:lang w:val="en-GB"/>
        </w:rPr>
        <w:footnoteReference w:id="1"/>
      </w:r>
      <w:r>
        <w:rPr>
          <w:rFonts w:ascii="Perpetua" w:hAnsi="Perpetua" w:cs="Adobe Devanagari"/>
          <w:spacing w:val="-3"/>
          <w:sz w:val="26"/>
          <w:szCs w:val="26"/>
          <w:lang w:val="en-GB"/>
        </w:rPr>
        <w:t xml:space="preserve"> It is known that in 1639, the play was the property of Beeston’s boys.</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ED7794"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D7794">
        <w:rPr>
          <w:rFonts w:ascii="Perpetua" w:hAnsi="Perpetua" w:cs="Adobe Devanagari"/>
          <w:b/>
          <w:spacing w:val="-3"/>
          <w:sz w:val="26"/>
          <w:szCs w:val="26"/>
          <w:lang w:val="en-GB"/>
        </w:rPr>
        <w:t xml:space="preserve">The writing of </w:t>
      </w:r>
      <w:r w:rsidRPr="00ED7794">
        <w:rPr>
          <w:rFonts w:ascii="Perpetua" w:hAnsi="Perpetua" w:cs="Adobe Devanagari"/>
          <w:b/>
          <w:i/>
          <w:spacing w:val="-3"/>
          <w:sz w:val="26"/>
          <w:szCs w:val="26"/>
          <w:lang w:val="en-GB"/>
        </w:rPr>
        <w:t xml:space="preserve">’Tis Pity She’s </w:t>
      </w:r>
      <w:r w:rsidR="00453AB6" w:rsidRPr="00ED7794">
        <w:rPr>
          <w:rFonts w:ascii="Perpetua" w:hAnsi="Perpetua" w:cs="Adobe Devanagari"/>
          <w:b/>
          <w:i/>
          <w:spacing w:val="-3"/>
          <w:sz w:val="26"/>
          <w:szCs w:val="26"/>
          <w:lang w:val="en-GB"/>
        </w:rPr>
        <w:t>a</w:t>
      </w:r>
      <w:r w:rsidRPr="00ED7794">
        <w:rPr>
          <w:rFonts w:ascii="Perpetua" w:hAnsi="Perpetua" w:cs="Adobe Devanagari"/>
          <w:b/>
          <w:i/>
          <w:spacing w:val="-3"/>
          <w:sz w:val="26"/>
          <w:szCs w:val="26"/>
          <w:lang w:val="en-GB"/>
        </w:rPr>
        <w:t xml:space="preserve"> Whore</w:t>
      </w:r>
      <w:r w:rsidRPr="00ED7794">
        <w:rPr>
          <w:rFonts w:ascii="Perpetua" w:hAnsi="Perpetua" w:cs="Adobe Devanagari"/>
          <w:b/>
          <w:spacing w:val="-3"/>
          <w:sz w:val="26"/>
          <w:szCs w:val="26"/>
          <w:lang w:val="en-GB"/>
        </w:rPr>
        <w:t>: elaborate scene headings</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Default="0095517C"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Like most playwrights of the Renaissance, Ford collaborated in the writing o</w:t>
      </w:r>
      <w:r w:rsidR="00DC7C07">
        <w:rPr>
          <w:rFonts w:ascii="Perpetua" w:hAnsi="Perpetua" w:cs="Adobe Devanagari"/>
          <w:spacing w:val="-3"/>
          <w:sz w:val="26"/>
          <w:szCs w:val="26"/>
          <w:lang w:val="en-GB"/>
        </w:rPr>
        <w:t xml:space="preserve">f plays, especially earlier in </w:t>
      </w:r>
      <w:r>
        <w:rPr>
          <w:rFonts w:ascii="Perpetua" w:hAnsi="Perpetua" w:cs="Adobe Devanagari"/>
          <w:spacing w:val="-3"/>
          <w:sz w:val="26"/>
          <w:szCs w:val="26"/>
          <w:lang w:val="en-GB"/>
        </w:rPr>
        <w:t>his career as a playwright.</w:t>
      </w:r>
      <w:r w:rsidR="00703855">
        <w:rPr>
          <w:rFonts w:ascii="Perpetua" w:hAnsi="Perpetua" w:cs="Adobe Devanagari"/>
          <w:spacing w:val="-3"/>
          <w:sz w:val="26"/>
          <w:szCs w:val="26"/>
          <w:lang w:val="en-GB"/>
        </w:rPr>
        <w:t xml:space="preserve"> His independent work dates from the early years of Charles I’s reign (which began in 1625). By 1625 Marlowe had been dead for twenty-two years, and Shakespeare for eleven.</w:t>
      </w:r>
      <w:r w:rsidR="00ED7794">
        <w:rPr>
          <w:rFonts w:ascii="Perpetua" w:hAnsi="Perpetua" w:cs="Adobe Devanagari"/>
          <w:spacing w:val="-3"/>
          <w:sz w:val="26"/>
          <w:szCs w:val="26"/>
          <w:lang w:val="en-GB"/>
        </w:rPr>
        <w:t xml:space="preserve"> </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B86094"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B86094">
        <w:rPr>
          <w:rFonts w:ascii="Perpetua" w:hAnsi="Perpetua" w:cs="Adobe Devanagari"/>
          <w:b/>
          <w:spacing w:val="-3"/>
          <w:sz w:val="26"/>
          <w:szCs w:val="26"/>
          <w:lang w:val="en-GB"/>
        </w:rPr>
        <w:t xml:space="preserve">The play’s genre, sources, and literary context: </w:t>
      </w:r>
      <w:r w:rsidRPr="00106813">
        <w:rPr>
          <w:rFonts w:ascii="Perpetua" w:hAnsi="Perpetua" w:cs="Adobe Devanagari"/>
          <w:b/>
          <w:spacing w:val="-3"/>
          <w:sz w:val="26"/>
          <w:szCs w:val="26"/>
          <w:lang w:val="en-GB"/>
        </w:rPr>
        <w:t>tales of incest between siblings (e.g. François de Rosset, ‘Des Amours Incestueuses d’vn Frère &amp; d’vne Soeur’ (1615)); Italianate tragedy of intrigue;</w:t>
      </w:r>
      <w:r w:rsidRPr="00B86094">
        <w:rPr>
          <w:rFonts w:ascii="Perpetua" w:hAnsi="Perpetua" w:cs="Adobe Devanagari"/>
          <w:b/>
          <w:spacing w:val="-3"/>
          <w:sz w:val="26"/>
          <w:szCs w:val="26"/>
          <w:lang w:val="en-GB"/>
        </w:rPr>
        <w:t xml:space="preserve"> love tragedy (e.g. Shakespeare’s </w:t>
      </w:r>
      <w:r w:rsidRPr="00B86094">
        <w:rPr>
          <w:rFonts w:ascii="Perpetua" w:hAnsi="Perpetua" w:cs="Adobe Devanagari"/>
          <w:b/>
          <w:i/>
          <w:spacing w:val="-3"/>
          <w:sz w:val="26"/>
          <w:szCs w:val="26"/>
          <w:lang w:val="en-GB"/>
        </w:rPr>
        <w:t>Romeo and Juliet</w:t>
      </w:r>
      <w:r w:rsidRPr="00B86094">
        <w:rPr>
          <w:rFonts w:ascii="Perpetua" w:hAnsi="Perpetua" w:cs="Adobe Devanagari"/>
          <w:b/>
          <w:spacing w:val="-3"/>
          <w:sz w:val="26"/>
          <w:szCs w:val="26"/>
          <w:lang w:val="en-GB"/>
        </w:rPr>
        <w:t xml:space="preserve">); </w:t>
      </w:r>
      <w:r w:rsidRPr="005A2D3D">
        <w:rPr>
          <w:rFonts w:ascii="Perpetua" w:hAnsi="Perpetua" w:cs="Adobe Devanagari"/>
          <w:b/>
          <w:spacing w:val="-3"/>
          <w:sz w:val="26"/>
          <w:szCs w:val="26"/>
          <w:lang w:val="en-GB"/>
        </w:rPr>
        <w:t>revenge tragedy;</w:t>
      </w:r>
      <w:r w:rsidRPr="002366D2">
        <w:rPr>
          <w:rFonts w:ascii="Perpetua" w:hAnsi="Perpetua" w:cs="Adobe Devanagari"/>
          <w:b/>
          <w:spacing w:val="-3"/>
          <w:sz w:val="26"/>
          <w:szCs w:val="26"/>
          <w:lang w:val="en-GB"/>
        </w:rPr>
        <w:t xml:space="preserve"> city comedy or satire;</w:t>
      </w:r>
      <w:r w:rsidRPr="00B86094">
        <w:rPr>
          <w:rFonts w:ascii="Perpetua" w:hAnsi="Perpetua" w:cs="Adobe Devanagari"/>
          <w:b/>
          <w:spacing w:val="-3"/>
          <w:sz w:val="26"/>
          <w:szCs w:val="26"/>
          <w:lang w:val="en-GB"/>
        </w:rPr>
        <w:t xml:space="preserve"> chivalry and courtly love of romance; the anatomy theatre and the literary anatomy (associations of dissection, personal observation, opening, discovery, or display, and judgement)</w:t>
      </w:r>
    </w:p>
    <w:p w:rsidR="0095517C" w:rsidRDefault="0095517C"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6B4301" w:rsidRDefault="0095517C"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It is widely acknowledged that Ford’s later, independent work ‘shows the stamp of a very distinctive mind’.</w:t>
      </w:r>
      <w:r w:rsidR="00BE7EF6">
        <w:rPr>
          <w:rStyle w:val="FootnoteReference"/>
          <w:rFonts w:ascii="Perpetua" w:hAnsi="Perpetua" w:cs="Adobe Devanagari"/>
          <w:spacing w:val="-3"/>
          <w:sz w:val="26"/>
          <w:szCs w:val="26"/>
          <w:lang w:val="en-GB"/>
        </w:rPr>
        <w:footnoteReference w:id="2"/>
      </w:r>
      <w:r>
        <w:rPr>
          <w:rFonts w:ascii="Perpetua" w:hAnsi="Perpetua" w:cs="Adobe Devanagari"/>
          <w:spacing w:val="-3"/>
          <w:sz w:val="26"/>
          <w:szCs w:val="26"/>
          <w:lang w:val="en-GB"/>
        </w:rPr>
        <w:t xml:space="preserve"> He has been described as ‘the most original and imaginative playwright of the Caroline period’, yet ‘[p]aradoxically, one of his peculiarities is the way he uses conscious allusion to earlier drama’. </w:t>
      </w:r>
      <w:r w:rsidR="00ED7794">
        <w:rPr>
          <w:rFonts w:ascii="Perpetua" w:hAnsi="Perpetua" w:cs="Adobe Devanagari"/>
          <w:spacing w:val="-3"/>
          <w:sz w:val="26"/>
          <w:szCs w:val="26"/>
          <w:lang w:val="en-GB"/>
        </w:rPr>
        <w:t xml:space="preserve">For example: </w:t>
      </w:r>
      <w:r>
        <w:rPr>
          <w:rFonts w:ascii="Perpetua" w:hAnsi="Perpetua" w:cs="Adobe Devanagari"/>
          <w:spacing w:val="-3"/>
          <w:sz w:val="26"/>
          <w:szCs w:val="26"/>
          <w:lang w:val="en-GB"/>
        </w:rPr>
        <w:t>‘</w:t>
      </w:r>
      <w:r>
        <w:rPr>
          <w:rFonts w:ascii="Perpetua" w:hAnsi="Perpetua" w:cs="Adobe Devanagari"/>
          <w:i/>
          <w:spacing w:val="-3"/>
          <w:sz w:val="26"/>
          <w:szCs w:val="26"/>
          <w:lang w:val="en-GB"/>
        </w:rPr>
        <w:t>’Tis Pity She’s a Whore</w:t>
      </w:r>
      <w:r>
        <w:rPr>
          <w:rFonts w:ascii="Perpetua" w:hAnsi="Perpetua" w:cs="Adobe Devanagari"/>
          <w:spacing w:val="-3"/>
          <w:sz w:val="26"/>
          <w:szCs w:val="26"/>
          <w:lang w:val="en-GB"/>
        </w:rPr>
        <w:t xml:space="preserve"> (published 1633) presents two young lovers, aided by a bawdy nurse, in opposition to their society; we think of </w:t>
      </w:r>
      <w:r>
        <w:rPr>
          <w:rFonts w:ascii="Perpetua" w:hAnsi="Perpetua" w:cs="Adobe Devanagari"/>
          <w:i/>
          <w:spacing w:val="-3"/>
          <w:sz w:val="26"/>
          <w:szCs w:val="26"/>
          <w:lang w:val="en-GB"/>
        </w:rPr>
        <w:t>Romeo and Juliet</w:t>
      </w:r>
      <w:r w:rsidR="00BE7EF6">
        <w:rPr>
          <w:rFonts w:ascii="Perpetua" w:hAnsi="Perpetua" w:cs="Adobe Devanagari"/>
          <w:spacing w:val="-3"/>
          <w:sz w:val="26"/>
          <w:szCs w:val="26"/>
          <w:lang w:val="en-GB"/>
        </w:rPr>
        <w:t>.’</w:t>
      </w:r>
      <w:r w:rsidR="00BE7EF6">
        <w:rPr>
          <w:rStyle w:val="FootnoteReference"/>
          <w:rFonts w:ascii="Perpetua" w:hAnsi="Perpetua" w:cs="Adobe Devanagari"/>
          <w:spacing w:val="-3"/>
          <w:sz w:val="26"/>
          <w:szCs w:val="26"/>
          <w:lang w:val="en-GB"/>
        </w:rPr>
        <w:footnoteReference w:id="3"/>
      </w:r>
      <w:r w:rsidR="00D40384">
        <w:rPr>
          <w:rFonts w:ascii="Perpetua" w:hAnsi="Perpetua" w:cs="Adobe Devanagari"/>
          <w:spacing w:val="-3"/>
          <w:sz w:val="26"/>
          <w:szCs w:val="26"/>
          <w:lang w:val="en-GB"/>
        </w:rPr>
        <w:t xml:space="preserve"> </w:t>
      </w:r>
    </w:p>
    <w:p w:rsidR="006B4301" w:rsidRPr="006B4301" w:rsidRDefault="006B4301" w:rsidP="006B4301">
      <w:pPr>
        <w:tabs>
          <w:tab w:val="left" w:pos="-720"/>
          <w:tab w:val="left" w:pos="0"/>
        </w:tabs>
        <w:suppressAutoHyphens/>
        <w:snapToGrid/>
        <w:ind w:left="1134" w:right="1134"/>
        <w:rPr>
          <w:rFonts w:ascii="Perpetua" w:hAnsi="Perpetua" w:cs="Adobe Devanagari"/>
          <w:spacing w:val="-3"/>
          <w:szCs w:val="24"/>
          <w:lang w:val="en-GB"/>
        </w:rPr>
      </w:pPr>
    </w:p>
    <w:p w:rsidR="006B4301" w:rsidRDefault="00D40384" w:rsidP="006B4301">
      <w:pPr>
        <w:tabs>
          <w:tab w:val="left" w:pos="-720"/>
          <w:tab w:val="left" w:pos="0"/>
        </w:tabs>
        <w:suppressAutoHyphens/>
        <w:snapToGrid/>
        <w:ind w:left="1134" w:right="1134"/>
        <w:rPr>
          <w:rFonts w:ascii="Perpetua" w:hAnsi="Perpetua" w:cs="Adobe Devanagari"/>
          <w:spacing w:val="-3"/>
          <w:szCs w:val="24"/>
          <w:lang w:val="en-GB"/>
        </w:rPr>
      </w:pPr>
      <w:r w:rsidRPr="006B4301">
        <w:rPr>
          <w:rFonts w:ascii="Perpetua" w:hAnsi="Perpetua" w:cs="Adobe Devanagari"/>
          <w:spacing w:val="-3"/>
          <w:szCs w:val="24"/>
          <w:lang w:val="en-GB"/>
        </w:rPr>
        <w:t xml:space="preserve">These echoes are not the signs of a tired, imitative art. The allusiveness, for one thing, is consciously advertised; […]. Ford’s awareness of the literary past advertises a reach and grandeur like that of the earlier drama, something that had </w:t>
      </w:r>
      <w:r w:rsidRPr="006B4301">
        <w:rPr>
          <w:rFonts w:ascii="Perpetua" w:hAnsi="Perpetua" w:cs="Adobe Devanagari"/>
          <w:spacing w:val="-3"/>
          <w:szCs w:val="24"/>
          <w:lang w:val="en-GB"/>
        </w:rPr>
        <w:lastRenderedPageBreak/>
        <w:t>been lost in the more relaxed manner of the later Jacobeans.</w:t>
      </w:r>
      <w:r w:rsidR="006B4301" w:rsidRPr="006B4301">
        <w:rPr>
          <w:rFonts w:ascii="Perpetua" w:hAnsi="Perpetua" w:cs="Adobe Devanagari"/>
          <w:spacing w:val="-3"/>
          <w:szCs w:val="24"/>
          <w:lang w:val="en-GB"/>
        </w:rPr>
        <w:t xml:space="preserve"> But he is not just turning the clock back; the old material is there to be re-shaped in a new way. […] the young lovers of </w:t>
      </w:r>
      <w:r w:rsidR="006B4301" w:rsidRPr="006B4301">
        <w:rPr>
          <w:rFonts w:ascii="Perpetua" w:hAnsi="Perpetua" w:cs="Adobe Devanagari"/>
          <w:i/>
          <w:spacing w:val="-3"/>
          <w:szCs w:val="24"/>
          <w:lang w:val="en-GB"/>
        </w:rPr>
        <w:t>’Tis Pity She’s a Whore</w:t>
      </w:r>
      <w:r w:rsidR="006B4301" w:rsidRPr="006B4301">
        <w:rPr>
          <w:rFonts w:ascii="Perpetua" w:hAnsi="Perpetua" w:cs="Adobe Devanagari"/>
          <w:spacing w:val="-3"/>
          <w:szCs w:val="24"/>
          <w:lang w:val="en-GB"/>
        </w:rPr>
        <w:t xml:space="preserve"> are brother and sister.</w:t>
      </w:r>
    </w:p>
    <w:p w:rsidR="00B86094" w:rsidRPr="006B4301" w:rsidRDefault="006B4301" w:rsidP="006B4301">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ab/>
        <w:t xml:space="preserve">One consequence of this conscious originality is a certain difficulty in finding an attitude to the characters’ behaviour, a difficulty which bothers not just the audience but the characters themselves. We see this in </w:t>
      </w:r>
      <w:r>
        <w:rPr>
          <w:rFonts w:ascii="Perpetua" w:hAnsi="Perpetua" w:cs="Adobe Devanagari"/>
          <w:i/>
          <w:spacing w:val="-3"/>
          <w:szCs w:val="24"/>
          <w:lang w:val="en-GB"/>
        </w:rPr>
        <w:t>’Tis Pity</w:t>
      </w:r>
      <w:r>
        <w:rPr>
          <w:rFonts w:ascii="Perpetua" w:hAnsi="Perpetua" w:cs="Adobe Devanagari"/>
          <w:spacing w:val="-3"/>
          <w:szCs w:val="24"/>
          <w:lang w:val="en-GB"/>
        </w:rPr>
        <w:t xml:space="preserve">. Giovanni and Annabella are entering unknown territory. The fact that Giovanni’s principal adviser, and the main opponent of his love, is a friar, not only recalls </w:t>
      </w:r>
      <w:r>
        <w:rPr>
          <w:rFonts w:ascii="Perpetua" w:hAnsi="Perpetua" w:cs="Adobe Devanagari"/>
          <w:i/>
          <w:spacing w:val="-3"/>
          <w:szCs w:val="24"/>
          <w:lang w:val="en-GB"/>
        </w:rPr>
        <w:t>Romeo and Juliet</w:t>
      </w:r>
      <w:r>
        <w:rPr>
          <w:rFonts w:ascii="Perpetua" w:hAnsi="Perpetua" w:cs="Adobe Devanagari"/>
          <w:spacing w:val="-3"/>
          <w:szCs w:val="24"/>
          <w:lang w:val="en-GB"/>
        </w:rPr>
        <w:t xml:space="preserve"> but emphasizes that the lovers are breaking not just a sexual taboo but a religious one.</w:t>
      </w:r>
      <w:r w:rsidR="003126BB" w:rsidRPr="006B4301">
        <w:rPr>
          <w:rStyle w:val="FootnoteReference"/>
          <w:rFonts w:ascii="Perpetua" w:hAnsi="Perpetua" w:cs="Adobe Devanagari"/>
          <w:spacing w:val="-3"/>
          <w:szCs w:val="24"/>
          <w:lang w:val="en-GB"/>
        </w:rPr>
        <w:footnoteReference w:id="4"/>
      </w:r>
    </w:p>
    <w:p w:rsidR="00B86094" w:rsidRPr="006B4301" w:rsidRDefault="00B86094" w:rsidP="006B4301">
      <w:pPr>
        <w:tabs>
          <w:tab w:val="left" w:pos="-720"/>
          <w:tab w:val="left" w:pos="0"/>
        </w:tabs>
        <w:suppressAutoHyphens/>
        <w:snapToGrid/>
        <w:ind w:left="1134" w:right="1134"/>
        <w:rPr>
          <w:rFonts w:ascii="Perpetua" w:hAnsi="Perpetua" w:cs="Adobe Devanagari"/>
          <w:spacing w:val="-3"/>
          <w:szCs w:val="24"/>
          <w:lang w:val="en-GB"/>
        </w:rPr>
      </w:pPr>
    </w:p>
    <w:p w:rsidR="00164C2D" w:rsidRPr="00164C2D" w:rsidRDefault="00164C2D" w:rsidP="00164C2D">
      <w:pPr>
        <w:tabs>
          <w:tab w:val="left" w:pos="-720"/>
          <w:tab w:val="left" w:pos="0"/>
        </w:tabs>
        <w:suppressAutoHyphens/>
        <w:snapToGrid/>
        <w:spacing w:line="276" w:lineRule="auto"/>
        <w:rPr>
          <w:rFonts w:ascii="Perpetua" w:hAnsi="Perpetua" w:cs="Adobe Devanagari"/>
          <w:spacing w:val="-3"/>
          <w:sz w:val="26"/>
          <w:szCs w:val="26"/>
          <w:lang w:val="en-GB"/>
        </w:rPr>
      </w:pPr>
    </w:p>
    <w:p w:rsidR="00833A1F" w:rsidRDefault="00164C2D" w:rsidP="00B12A0E">
      <w:pPr>
        <w:spacing w:line="276" w:lineRule="auto"/>
        <w:rPr>
          <w:rFonts w:ascii="Perpetua" w:hAnsi="Perpetua"/>
          <w:spacing w:val="-3"/>
          <w:sz w:val="26"/>
          <w:szCs w:val="26"/>
        </w:rPr>
      </w:pPr>
      <w:r>
        <w:rPr>
          <w:rFonts w:ascii="Perpetua" w:hAnsi="Perpetua"/>
          <w:spacing w:val="-3"/>
          <w:sz w:val="26"/>
          <w:szCs w:val="26"/>
        </w:rPr>
        <w:t>There are certain</w:t>
      </w:r>
      <w:r w:rsidRPr="00164C2D">
        <w:rPr>
          <w:rFonts w:ascii="Perpetua" w:hAnsi="Perpetua"/>
          <w:spacing w:val="-3"/>
          <w:sz w:val="26"/>
          <w:szCs w:val="26"/>
        </w:rPr>
        <w:t xml:space="preserve"> qualit</w:t>
      </w:r>
      <w:r>
        <w:rPr>
          <w:rFonts w:ascii="Perpetua" w:hAnsi="Perpetua"/>
          <w:spacing w:val="-3"/>
          <w:sz w:val="26"/>
          <w:szCs w:val="26"/>
        </w:rPr>
        <w:t xml:space="preserve">ies </w:t>
      </w:r>
      <w:r w:rsidRPr="00164C2D">
        <w:rPr>
          <w:rFonts w:ascii="Perpetua" w:hAnsi="Perpetua"/>
          <w:spacing w:val="-3"/>
          <w:sz w:val="26"/>
          <w:szCs w:val="26"/>
        </w:rPr>
        <w:t>and conventions of courtly love</w:t>
      </w:r>
      <w:r>
        <w:rPr>
          <w:rFonts w:ascii="Perpetua" w:hAnsi="Perpetua"/>
          <w:spacing w:val="-3"/>
          <w:sz w:val="26"/>
          <w:szCs w:val="26"/>
        </w:rPr>
        <w:t xml:space="preserve"> in medieval romance that correspond to certain characteristics of the love between Giovanni and Annabella, or at least, the way in which they represent that love to each other. It involves </w:t>
      </w:r>
      <w:r w:rsidRPr="00164C2D">
        <w:rPr>
          <w:rFonts w:ascii="Perpetua" w:hAnsi="Perpetua"/>
          <w:spacing w:val="-3"/>
          <w:sz w:val="26"/>
          <w:szCs w:val="26"/>
        </w:rPr>
        <w:t>faithfulness and loyalty</w:t>
      </w:r>
      <w:r>
        <w:rPr>
          <w:rFonts w:ascii="Perpetua" w:hAnsi="Perpetua"/>
          <w:spacing w:val="-3"/>
          <w:sz w:val="26"/>
          <w:szCs w:val="26"/>
        </w:rPr>
        <w:t>,</w:t>
      </w:r>
      <w:r w:rsidR="00B12A0E">
        <w:rPr>
          <w:rFonts w:ascii="Perpetua" w:hAnsi="Perpetua"/>
          <w:spacing w:val="-3"/>
          <w:sz w:val="26"/>
          <w:szCs w:val="26"/>
        </w:rPr>
        <w:t xml:space="preserve"> and</w:t>
      </w:r>
      <w:r>
        <w:rPr>
          <w:rFonts w:ascii="Perpetua" w:hAnsi="Perpetua"/>
          <w:spacing w:val="-3"/>
          <w:sz w:val="26"/>
          <w:szCs w:val="26"/>
        </w:rPr>
        <w:t xml:space="preserve"> </w:t>
      </w:r>
      <w:r w:rsidRPr="00164C2D">
        <w:rPr>
          <w:rFonts w:ascii="Perpetua" w:hAnsi="Perpetua"/>
          <w:spacing w:val="-3"/>
          <w:sz w:val="26"/>
          <w:szCs w:val="26"/>
        </w:rPr>
        <w:t>ard</w:t>
      </w:r>
      <w:r>
        <w:rPr>
          <w:rFonts w:ascii="Perpetua" w:hAnsi="Perpetua"/>
          <w:spacing w:val="-3"/>
          <w:sz w:val="26"/>
          <w:szCs w:val="26"/>
        </w:rPr>
        <w:t>our</w:t>
      </w:r>
      <w:r w:rsidRPr="00164C2D">
        <w:rPr>
          <w:rFonts w:ascii="Perpetua" w:hAnsi="Perpetua"/>
          <w:spacing w:val="-3"/>
          <w:sz w:val="26"/>
          <w:szCs w:val="26"/>
        </w:rPr>
        <w:t xml:space="preserve"> and passion</w:t>
      </w:r>
      <w:r w:rsidR="005A2D3D">
        <w:rPr>
          <w:rFonts w:ascii="Perpetua" w:hAnsi="Perpetua"/>
          <w:spacing w:val="-3"/>
          <w:sz w:val="26"/>
          <w:szCs w:val="26"/>
        </w:rPr>
        <w:t>, but also a kind of betrayal</w:t>
      </w:r>
      <w:r w:rsidR="00B12A0E">
        <w:rPr>
          <w:rFonts w:ascii="Perpetua" w:hAnsi="Perpetua"/>
          <w:spacing w:val="-3"/>
          <w:sz w:val="26"/>
          <w:szCs w:val="26"/>
        </w:rPr>
        <w:t>.</w:t>
      </w:r>
      <w:r w:rsidR="005A2D3D">
        <w:rPr>
          <w:rFonts w:ascii="Perpetua" w:hAnsi="Perpetua"/>
          <w:spacing w:val="-3"/>
          <w:sz w:val="26"/>
          <w:szCs w:val="26"/>
        </w:rPr>
        <w:t xml:space="preserve"> </w:t>
      </w:r>
      <w:r w:rsidR="00B12A0E">
        <w:rPr>
          <w:rFonts w:ascii="Perpetua" w:hAnsi="Perpetua"/>
          <w:spacing w:val="-3"/>
          <w:sz w:val="26"/>
          <w:szCs w:val="26"/>
        </w:rPr>
        <w:t>The relationship</w:t>
      </w:r>
      <w:r w:rsidR="005A2D3D">
        <w:rPr>
          <w:rFonts w:ascii="Perpetua" w:hAnsi="Perpetua"/>
          <w:spacing w:val="-3"/>
          <w:sz w:val="26"/>
          <w:szCs w:val="26"/>
        </w:rPr>
        <w:t xml:space="preserve"> of the lovers</w:t>
      </w:r>
      <w:r w:rsidR="00B12A0E">
        <w:rPr>
          <w:rFonts w:ascii="Perpetua" w:hAnsi="Perpetua"/>
          <w:spacing w:val="-3"/>
          <w:sz w:val="26"/>
          <w:szCs w:val="26"/>
        </w:rPr>
        <w:t xml:space="preserve"> is willingly entered into and so is</w:t>
      </w:r>
      <w:r w:rsidRPr="00164C2D">
        <w:rPr>
          <w:rFonts w:ascii="Perpetua" w:hAnsi="Perpetua"/>
          <w:spacing w:val="-3"/>
          <w:sz w:val="26"/>
          <w:szCs w:val="26"/>
        </w:rPr>
        <w:t xml:space="preserve"> to be distinguished from the art of controlling love</w:t>
      </w:r>
      <w:r w:rsidR="00B12A0E">
        <w:rPr>
          <w:rFonts w:ascii="Perpetua" w:hAnsi="Perpetua"/>
          <w:spacing w:val="-3"/>
          <w:sz w:val="26"/>
          <w:szCs w:val="26"/>
        </w:rPr>
        <w:t xml:space="preserve">. The love occurs between persons of elevated social status, and is chivalric. It is </w:t>
      </w:r>
      <w:r w:rsidRPr="00164C2D">
        <w:rPr>
          <w:rFonts w:ascii="Perpetua" w:hAnsi="Perpetua"/>
          <w:spacing w:val="-3"/>
          <w:sz w:val="26"/>
          <w:szCs w:val="26"/>
        </w:rPr>
        <w:t>distinct from, and may dramatically clash with the imperatives of dynastic marriage through being adulterous</w:t>
      </w:r>
      <w:r w:rsidR="00B12A0E">
        <w:rPr>
          <w:rFonts w:ascii="Perpetua" w:hAnsi="Perpetua"/>
          <w:spacing w:val="-3"/>
          <w:sz w:val="26"/>
          <w:szCs w:val="26"/>
        </w:rPr>
        <w:t xml:space="preserve">, and additionally in this case, incestuous, </w:t>
      </w:r>
      <w:r w:rsidRPr="00164C2D">
        <w:rPr>
          <w:rFonts w:ascii="Perpetua" w:hAnsi="Perpetua"/>
          <w:spacing w:val="-3"/>
          <w:sz w:val="26"/>
          <w:szCs w:val="26"/>
        </w:rPr>
        <w:t>and consequently it requires secrecy</w:t>
      </w:r>
      <w:r w:rsidR="00B12A0E">
        <w:rPr>
          <w:rFonts w:ascii="Perpetua" w:hAnsi="Perpetua"/>
          <w:spacing w:val="-3"/>
          <w:sz w:val="26"/>
          <w:szCs w:val="26"/>
        </w:rPr>
        <w:t>.</w:t>
      </w:r>
      <w:r w:rsidR="00833A1F">
        <w:rPr>
          <w:rFonts w:ascii="Perpetua" w:hAnsi="Perpetua"/>
          <w:spacing w:val="-3"/>
          <w:sz w:val="26"/>
          <w:szCs w:val="26"/>
        </w:rPr>
        <w:t xml:space="preserve"> </w:t>
      </w:r>
    </w:p>
    <w:p w:rsidR="00833A1F" w:rsidRDefault="00833A1F" w:rsidP="00B12A0E">
      <w:pPr>
        <w:spacing w:line="276" w:lineRule="auto"/>
        <w:rPr>
          <w:rFonts w:ascii="Perpetua" w:hAnsi="Perpetua"/>
          <w:spacing w:val="-3"/>
          <w:sz w:val="26"/>
          <w:szCs w:val="26"/>
        </w:rPr>
      </w:pPr>
    </w:p>
    <w:p w:rsidR="00ED7794" w:rsidRPr="00111388" w:rsidRDefault="00ED7794" w:rsidP="00B12A0E">
      <w:pPr>
        <w:spacing w:line="276" w:lineRule="auto"/>
        <w:rPr>
          <w:rFonts w:ascii="Perpetua" w:hAnsi="Perpetua"/>
          <w:spacing w:val="-3"/>
          <w:sz w:val="26"/>
          <w:szCs w:val="26"/>
        </w:rPr>
      </w:pPr>
      <w:r>
        <w:rPr>
          <w:rFonts w:ascii="Perpetua" w:hAnsi="Perpetua"/>
          <w:spacing w:val="-3"/>
          <w:sz w:val="26"/>
          <w:szCs w:val="26"/>
        </w:rPr>
        <w:t>Giovanni and Annabella are not courtly in a traditional sense, however. The rest of the characters ‘see their family clearly, as rich but “new.” Hippolita, Soranzo’s previous and now rejected love, bitterly calls Annabella “Madam Merchant” (2.2.49), an epithet that accurately designates</w:t>
      </w:r>
      <w:r w:rsidR="004E5A18">
        <w:rPr>
          <w:rFonts w:ascii="Perpetua" w:hAnsi="Perpetua"/>
          <w:spacing w:val="-3"/>
          <w:sz w:val="26"/>
          <w:szCs w:val="26"/>
        </w:rPr>
        <w:t xml:space="preserve"> Annabella’s bourgeois origins […].’</w:t>
      </w:r>
      <w:r w:rsidR="004E5A18">
        <w:rPr>
          <w:rStyle w:val="FootnoteReference"/>
          <w:rFonts w:ascii="Perpetua" w:hAnsi="Perpetua"/>
          <w:spacing w:val="-3"/>
          <w:sz w:val="26"/>
          <w:szCs w:val="26"/>
        </w:rPr>
        <w:footnoteReference w:id="5"/>
      </w:r>
      <w:r w:rsidR="002366D2">
        <w:rPr>
          <w:rFonts w:ascii="Perpetua" w:hAnsi="Perpetua"/>
          <w:spacing w:val="-3"/>
          <w:sz w:val="26"/>
          <w:szCs w:val="26"/>
        </w:rPr>
        <w:t xml:space="preserve"> The social world which the brother and sister now inhabit</w:t>
      </w:r>
      <w:r w:rsidR="0008738B">
        <w:rPr>
          <w:rFonts w:ascii="Perpetua" w:hAnsi="Perpetua"/>
          <w:spacing w:val="-3"/>
          <w:sz w:val="26"/>
          <w:szCs w:val="26"/>
        </w:rPr>
        <w:t xml:space="preserve"> is full of such </w:t>
      </w:r>
      <w:r w:rsidR="00111388">
        <w:rPr>
          <w:rFonts w:ascii="Perpetua" w:hAnsi="Perpetua"/>
          <w:spacing w:val="-3"/>
          <w:sz w:val="26"/>
          <w:szCs w:val="26"/>
        </w:rPr>
        <w:t xml:space="preserve">corruption </w:t>
      </w:r>
      <w:r w:rsidR="0008738B">
        <w:rPr>
          <w:rFonts w:ascii="Perpetua" w:hAnsi="Perpetua"/>
          <w:spacing w:val="-3"/>
          <w:sz w:val="26"/>
          <w:szCs w:val="26"/>
        </w:rPr>
        <w:t xml:space="preserve">as </w:t>
      </w:r>
      <w:r w:rsidR="00111388">
        <w:rPr>
          <w:rFonts w:ascii="Perpetua" w:hAnsi="Perpetua"/>
          <w:spacing w:val="-3"/>
          <w:sz w:val="26"/>
          <w:szCs w:val="26"/>
        </w:rPr>
        <w:t xml:space="preserve">was often the subject of comedy and satire on the stage, sometimes finding its way into tragedy in comic scenes, as it does in </w:t>
      </w:r>
      <w:r w:rsidR="00111388">
        <w:rPr>
          <w:rFonts w:ascii="Perpetua" w:hAnsi="Perpetua"/>
          <w:i/>
          <w:spacing w:val="-3"/>
          <w:sz w:val="26"/>
          <w:szCs w:val="26"/>
        </w:rPr>
        <w:t>Doctor Faustus</w:t>
      </w:r>
      <w:r w:rsidR="00111388">
        <w:rPr>
          <w:rFonts w:ascii="Perpetua" w:hAnsi="Perpetua"/>
          <w:spacing w:val="-3"/>
          <w:sz w:val="26"/>
          <w:szCs w:val="26"/>
        </w:rPr>
        <w:t>.</w:t>
      </w:r>
    </w:p>
    <w:p w:rsidR="00ED7794" w:rsidRDefault="00ED7794" w:rsidP="00B12A0E">
      <w:pPr>
        <w:spacing w:line="276" w:lineRule="auto"/>
        <w:rPr>
          <w:rFonts w:ascii="Perpetua" w:hAnsi="Perpetua"/>
          <w:spacing w:val="-3"/>
          <w:sz w:val="26"/>
          <w:szCs w:val="26"/>
        </w:rPr>
      </w:pPr>
    </w:p>
    <w:p w:rsidR="00D57CBA" w:rsidRDefault="00833A1F" w:rsidP="00ED7794">
      <w:pPr>
        <w:spacing w:line="276" w:lineRule="auto"/>
        <w:rPr>
          <w:rFonts w:ascii="Perpetua" w:hAnsi="Perpetua" w:cs="Adobe Devanagari"/>
          <w:spacing w:val="-3"/>
          <w:sz w:val="26"/>
          <w:szCs w:val="26"/>
          <w:lang w:val="en-GB"/>
        </w:rPr>
      </w:pPr>
      <w:r>
        <w:rPr>
          <w:rFonts w:ascii="Perpetua" w:hAnsi="Perpetua"/>
          <w:spacing w:val="-3"/>
          <w:sz w:val="26"/>
          <w:szCs w:val="26"/>
        </w:rPr>
        <w:t>To the extent that Giovanni’s killing of Annabella</w:t>
      </w:r>
      <w:r w:rsidR="004E5A18">
        <w:rPr>
          <w:rFonts w:ascii="Perpetua" w:hAnsi="Perpetua"/>
          <w:spacing w:val="-3"/>
          <w:sz w:val="26"/>
          <w:szCs w:val="26"/>
        </w:rPr>
        <w:t xml:space="preserve"> i</w:t>
      </w:r>
      <w:r w:rsidR="004E5A18">
        <w:rPr>
          <w:rFonts w:ascii="Perpetua" w:hAnsi="Perpetua" w:cs="Adobe Devanagari"/>
          <w:spacing w:val="-3"/>
          <w:sz w:val="26"/>
          <w:szCs w:val="26"/>
          <w:lang w:val="en-GB"/>
        </w:rPr>
        <w:t xml:space="preserve">n Act V, Scene v, </w:t>
      </w:r>
      <w:r>
        <w:rPr>
          <w:rFonts w:ascii="Perpetua" w:hAnsi="Perpetua"/>
          <w:spacing w:val="-3"/>
          <w:sz w:val="26"/>
          <w:szCs w:val="26"/>
        </w:rPr>
        <w:t xml:space="preserve">is motivated by revenge, </w:t>
      </w:r>
      <w:r>
        <w:rPr>
          <w:rFonts w:ascii="Perpetua" w:hAnsi="Perpetua"/>
          <w:i/>
          <w:spacing w:val="-3"/>
          <w:sz w:val="26"/>
          <w:szCs w:val="26"/>
        </w:rPr>
        <w:t>’Tis Pity</w:t>
      </w:r>
      <w:r>
        <w:rPr>
          <w:rFonts w:ascii="Perpetua" w:hAnsi="Perpetua"/>
          <w:spacing w:val="-3"/>
          <w:sz w:val="26"/>
          <w:szCs w:val="26"/>
        </w:rPr>
        <w:t xml:space="preserve"> is also a revenge tragedy.</w:t>
      </w:r>
      <w:r>
        <w:rPr>
          <w:rStyle w:val="FootnoteReference"/>
          <w:rFonts w:ascii="Perpetua" w:hAnsi="Perpetua"/>
          <w:spacing w:val="-3"/>
          <w:sz w:val="26"/>
          <w:szCs w:val="26"/>
        </w:rPr>
        <w:footnoteReference w:id="6"/>
      </w:r>
      <w:r>
        <w:rPr>
          <w:rFonts w:ascii="Perpetua" w:hAnsi="Perpetua"/>
          <w:spacing w:val="-3"/>
          <w:sz w:val="26"/>
          <w:szCs w:val="26"/>
        </w:rPr>
        <w:t xml:space="preserve"> The competitive spiral of violence in the last act is familiar in revenge tragedy.</w:t>
      </w:r>
      <w:r w:rsidR="00ED7794">
        <w:rPr>
          <w:rFonts w:ascii="Perpetua" w:hAnsi="Perpetua"/>
          <w:spacing w:val="-3"/>
          <w:sz w:val="26"/>
          <w:szCs w:val="26"/>
        </w:rPr>
        <w:t xml:space="preserve"> </w:t>
      </w:r>
      <w:r w:rsidR="00ED7794">
        <w:rPr>
          <w:rFonts w:ascii="Perpetua" w:hAnsi="Perpetua" w:cs="Adobe Devanagari"/>
          <w:spacing w:val="-3"/>
          <w:sz w:val="26"/>
          <w:szCs w:val="26"/>
          <w:lang w:val="en-GB"/>
        </w:rPr>
        <w:t>But p</w:t>
      </w:r>
      <w:r w:rsidR="00D57CBA">
        <w:rPr>
          <w:rFonts w:ascii="Perpetua" w:hAnsi="Perpetua" w:cs="Adobe Devanagari"/>
          <w:spacing w:val="-3"/>
          <w:sz w:val="26"/>
          <w:szCs w:val="26"/>
          <w:lang w:val="en-GB"/>
        </w:rPr>
        <w:t xml:space="preserve">erhaps the play’s most extraordinary indebtedness is to the theatre of anatomy rather than to other dramatic or narrative sources and analogues. </w:t>
      </w:r>
      <w:r w:rsidR="004E5A18">
        <w:rPr>
          <w:rFonts w:ascii="Perpetua" w:hAnsi="Perpetua" w:cs="Adobe Devanagari"/>
          <w:spacing w:val="-3"/>
          <w:sz w:val="26"/>
          <w:szCs w:val="26"/>
          <w:lang w:val="en-GB"/>
        </w:rPr>
        <w:t xml:space="preserve">Having killed </w:t>
      </w:r>
      <w:r w:rsidR="00D57CBA">
        <w:rPr>
          <w:rFonts w:ascii="Perpetua" w:hAnsi="Perpetua" w:cs="Adobe Devanagari"/>
          <w:spacing w:val="-3"/>
          <w:sz w:val="26"/>
          <w:szCs w:val="26"/>
          <w:lang w:val="en-GB"/>
        </w:rPr>
        <w:t>his sister-lover,</w:t>
      </w:r>
      <w:r w:rsidR="004E5A18">
        <w:rPr>
          <w:rFonts w:ascii="Perpetua" w:hAnsi="Perpetua" w:cs="Adobe Devanagari"/>
          <w:spacing w:val="-3"/>
          <w:sz w:val="26"/>
          <w:szCs w:val="26"/>
          <w:lang w:val="en-GB"/>
        </w:rPr>
        <w:t xml:space="preserve"> Giovanni</w:t>
      </w:r>
      <w:r w:rsidR="00D57CBA">
        <w:rPr>
          <w:rFonts w:ascii="Perpetua" w:hAnsi="Perpetua" w:cs="Adobe Devanagari"/>
          <w:spacing w:val="-3"/>
          <w:sz w:val="26"/>
          <w:szCs w:val="26"/>
          <w:lang w:val="en-GB"/>
        </w:rPr>
        <w:t xml:space="preserve"> then proceeds to dissect her thorax and remove her heart. In the following scene </w:t>
      </w:r>
      <w:r w:rsidR="00D57CBA" w:rsidRPr="00D57CBA">
        <w:rPr>
          <w:rFonts w:ascii="Perpetua" w:hAnsi="Perpetua" w:cs="Adobe Devanagari"/>
          <w:spacing w:val="-3"/>
          <w:sz w:val="26"/>
          <w:szCs w:val="26"/>
          <w:lang w:val="en-GB"/>
        </w:rPr>
        <w:t xml:space="preserve">Giovanni enters </w:t>
      </w:r>
      <w:r w:rsidR="00D57CBA">
        <w:rPr>
          <w:rFonts w:ascii="Perpetua" w:hAnsi="Perpetua" w:cs="Adobe Devanagari"/>
          <w:spacing w:val="-3"/>
          <w:sz w:val="26"/>
          <w:szCs w:val="26"/>
          <w:lang w:val="en-GB"/>
        </w:rPr>
        <w:t xml:space="preserve">the feast </w:t>
      </w:r>
      <w:r w:rsidR="00D57CBA" w:rsidRPr="00D57CBA">
        <w:rPr>
          <w:rFonts w:ascii="Perpetua" w:hAnsi="Perpetua" w:cs="Adobe Devanagari"/>
          <w:spacing w:val="-3"/>
          <w:sz w:val="26"/>
          <w:szCs w:val="26"/>
          <w:lang w:val="en-GB"/>
        </w:rPr>
        <w:t xml:space="preserve">to display </w:t>
      </w:r>
      <w:r w:rsidR="00D57CBA">
        <w:rPr>
          <w:rFonts w:ascii="Perpetua" w:hAnsi="Perpetua" w:cs="Adobe Devanagari"/>
          <w:spacing w:val="-3"/>
          <w:sz w:val="26"/>
          <w:szCs w:val="26"/>
          <w:lang w:val="en-GB"/>
        </w:rPr>
        <w:t>Annabella’s heart</w:t>
      </w:r>
      <w:r w:rsidR="00D57CBA" w:rsidRPr="00D57CBA">
        <w:rPr>
          <w:rFonts w:ascii="Perpetua" w:hAnsi="Perpetua" w:cs="Adobe Devanagari"/>
          <w:spacing w:val="-3"/>
          <w:sz w:val="26"/>
          <w:szCs w:val="26"/>
          <w:lang w:val="en-GB"/>
        </w:rPr>
        <w:t xml:space="preserve"> impaled</w:t>
      </w:r>
      <w:r w:rsidR="00D57CBA">
        <w:rPr>
          <w:rFonts w:ascii="Perpetua" w:hAnsi="Perpetua" w:cs="Adobe Devanagari"/>
          <w:spacing w:val="-3"/>
          <w:sz w:val="26"/>
          <w:szCs w:val="26"/>
          <w:lang w:val="en-GB"/>
        </w:rPr>
        <w:t xml:space="preserve"> on his dagger.</w:t>
      </w:r>
    </w:p>
    <w:p w:rsidR="00D57CBA" w:rsidRDefault="00D57CBA"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8215C7" w:rsidRDefault="00D57CBA"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order to understand this scene, or appreciate its resonance in the Renaissance theatre, you may wish to </w:t>
      </w:r>
      <w:r w:rsidR="008215C7">
        <w:rPr>
          <w:rFonts w:ascii="Perpetua" w:hAnsi="Perpetua" w:cs="Adobe Devanagari"/>
          <w:spacing w:val="-3"/>
          <w:sz w:val="26"/>
          <w:szCs w:val="26"/>
          <w:lang w:val="en-GB"/>
        </w:rPr>
        <w:t xml:space="preserve">recall from </w:t>
      </w:r>
      <w:r w:rsidR="008215C7" w:rsidRPr="008215C7">
        <w:rPr>
          <w:rFonts w:ascii="Perpetua" w:hAnsi="Perpetua" w:cs="Adobe Devanagari"/>
          <w:i/>
          <w:spacing w:val="-3"/>
          <w:sz w:val="26"/>
          <w:szCs w:val="26"/>
          <w:lang w:val="en-GB"/>
        </w:rPr>
        <w:t>Volpone</w:t>
      </w:r>
      <w:r w:rsidR="008215C7">
        <w:rPr>
          <w:rFonts w:ascii="Perpetua" w:hAnsi="Perpetua" w:cs="Adobe Devanagari"/>
          <w:spacing w:val="-3"/>
          <w:sz w:val="26"/>
          <w:szCs w:val="26"/>
          <w:lang w:val="en-GB"/>
        </w:rPr>
        <w:t xml:space="preserve">, the image of anatomy as display, judgement, and punishment, </w:t>
      </w:r>
      <w:r>
        <w:rPr>
          <w:rFonts w:ascii="Perpetua" w:hAnsi="Perpetua" w:cs="Adobe Devanagari"/>
          <w:spacing w:val="-3"/>
          <w:sz w:val="26"/>
          <w:szCs w:val="26"/>
          <w:lang w:val="en-GB"/>
        </w:rPr>
        <w:t xml:space="preserve">with </w:t>
      </w:r>
      <w:r w:rsidR="008215C7">
        <w:rPr>
          <w:rFonts w:ascii="Perpetua" w:hAnsi="Perpetua" w:cs="Adobe Devanagari"/>
          <w:spacing w:val="-3"/>
          <w:sz w:val="26"/>
          <w:szCs w:val="26"/>
          <w:lang w:val="en-GB"/>
        </w:rPr>
        <w:t>which Corvino threatens his wife:</w:t>
      </w:r>
    </w:p>
    <w:p w:rsidR="008215C7" w:rsidRPr="008215C7" w:rsidRDefault="008215C7" w:rsidP="008215C7">
      <w:pPr>
        <w:tabs>
          <w:tab w:val="left" w:pos="-720"/>
          <w:tab w:val="left" w:pos="0"/>
        </w:tabs>
        <w:suppressAutoHyphens/>
        <w:snapToGrid/>
        <w:ind w:left="1134" w:right="1134"/>
        <w:rPr>
          <w:rFonts w:ascii="Perpetua" w:hAnsi="Perpetua" w:cs="Adobe Devanagari"/>
          <w:spacing w:val="-3"/>
          <w:szCs w:val="24"/>
          <w:lang w:val="en-GB"/>
        </w:rPr>
      </w:pPr>
    </w:p>
    <w:p w:rsidR="008215C7" w:rsidRPr="008215C7" w:rsidRDefault="008215C7" w:rsidP="008215C7">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ab/>
      </w:r>
      <w:r>
        <w:rPr>
          <w:rFonts w:ascii="Perpetua" w:hAnsi="Perpetua" w:cs="Adobe Devanagari"/>
          <w:spacing w:val="-3"/>
          <w:szCs w:val="24"/>
          <w:lang w:val="en-GB"/>
        </w:rPr>
        <w:tab/>
      </w:r>
      <w:r w:rsidRPr="008215C7">
        <w:rPr>
          <w:rFonts w:ascii="Perpetua" w:hAnsi="Perpetua" w:cs="Adobe Devanagari"/>
          <w:spacing w:val="-3"/>
          <w:szCs w:val="24"/>
          <w:lang w:val="en-GB"/>
        </w:rPr>
        <w:t>I will make thee an anatomy,</w:t>
      </w:r>
    </w:p>
    <w:p w:rsidR="008215C7" w:rsidRPr="008215C7" w:rsidRDefault="008215C7" w:rsidP="008215C7">
      <w:pPr>
        <w:tabs>
          <w:tab w:val="left" w:pos="-720"/>
          <w:tab w:val="left" w:pos="0"/>
        </w:tabs>
        <w:suppressAutoHyphens/>
        <w:snapToGrid/>
        <w:ind w:left="1134" w:right="1134"/>
        <w:rPr>
          <w:rFonts w:ascii="Perpetua" w:hAnsi="Perpetua" w:cs="Adobe Devanagari"/>
          <w:spacing w:val="-3"/>
          <w:szCs w:val="24"/>
          <w:lang w:val="en-GB"/>
        </w:rPr>
      </w:pPr>
      <w:r w:rsidRPr="008215C7">
        <w:rPr>
          <w:rFonts w:ascii="Perpetua" w:hAnsi="Perpetua" w:cs="Adobe Devanagari"/>
          <w:spacing w:val="-3"/>
          <w:szCs w:val="24"/>
          <w:lang w:val="en-GB"/>
        </w:rPr>
        <w:t>Dissect thee mine own self, and read a lecture</w:t>
      </w:r>
    </w:p>
    <w:p w:rsidR="008215C7" w:rsidRPr="008215C7" w:rsidRDefault="008215C7" w:rsidP="008215C7">
      <w:pPr>
        <w:tabs>
          <w:tab w:val="left" w:pos="-720"/>
          <w:tab w:val="left" w:pos="0"/>
        </w:tabs>
        <w:suppressAutoHyphens/>
        <w:snapToGrid/>
        <w:ind w:left="1134" w:right="1134"/>
        <w:rPr>
          <w:rFonts w:ascii="Perpetua" w:hAnsi="Perpetua" w:cs="Adobe Devanagari"/>
          <w:spacing w:val="-3"/>
          <w:szCs w:val="24"/>
          <w:lang w:val="en-GB"/>
        </w:rPr>
      </w:pPr>
      <w:r w:rsidRPr="008215C7">
        <w:rPr>
          <w:rFonts w:ascii="Perpetua" w:hAnsi="Perpetua" w:cs="Adobe Devanagari"/>
          <w:spacing w:val="-3"/>
          <w:szCs w:val="24"/>
          <w:lang w:val="en-GB"/>
        </w:rPr>
        <w:t>Upon thee to the city, and in public.</w:t>
      </w:r>
    </w:p>
    <w:p w:rsidR="008215C7" w:rsidRPr="008215C7" w:rsidRDefault="008215C7" w:rsidP="008215C7">
      <w:pPr>
        <w:tabs>
          <w:tab w:val="left" w:pos="-720"/>
          <w:tab w:val="left" w:pos="0"/>
        </w:tabs>
        <w:suppressAutoHyphens/>
        <w:snapToGrid/>
        <w:ind w:left="1134" w:right="1134"/>
        <w:rPr>
          <w:rFonts w:ascii="Perpetua" w:hAnsi="Perpetua" w:cs="Adobe Devanagari"/>
          <w:spacing w:val="-3"/>
          <w:szCs w:val="24"/>
          <w:lang w:val="en-GB"/>
        </w:rPr>
      </w:pPr>
      <w:r w:rsidRPr="008215C7">
        <w:rPr>
          <w:rFonts w:ascii="Perpetua" w:hAnsi="Perpetua" w:cs="Adobe Devanagari"/>
          <w:spacing w:val="-3"/>
          <w:szCs w:val="24"/>
          <w:lang w:val="en-GB"/>
        </w:rPr>
        <w:t>(</w:t>
      </w:r>
      <w:r w:rsidRPr="008215C7">
        <w:rPr>
          <w:rFonts w:ascii="Perpetua" w:hAnsi="Perpetua" w:cs="Adobe Devanagari"/>
          <w:i/>
          <w:spacing w:val="-3"/>
          <w:szCs w:val="24"/>
          <w:lang w:val="en-GB"/>
        </w:rPr>
        <w:t>Volpone</w:t>
      </w:r>
      <w:r w:rsidRPr="008215C7">
        <w:rPr>
          <w:rFonts w:ascii="Perpetua" w:hAnsi="Perpetua" w:cs="Adobe Devanagari"/>
          <w:spacing w:val="-3"/>
          <w:szCs w:val="24"/>
          <w:lang w:val="en-GB"/>
        </w:rPr>
        <w:t xml:space="preserve">, II.v.70-72). </w:t>
      </w:r>
    </w:p>
    <w:p w:rsidR="008215C7" w:rsidRPr="008215C7" w:rsidRDefault="008215C7" w:rsidP="008215C7">
      <w:pPr>
        <w:tabs>
          <w:tab w:val="left" w:pos="-720"/>
          <w:tab w:val="left" w:pos="0"/>
        </w:tabs>
        <w:suppressAutoHyphens/>
        <w:snapToGrid/>
        <w:ind w:left="1134" w:right="1134"/>
        <w:rPr>
          <w:rFonts w:ascii="Perpetua" w:hAnsi="Perpetua" w:cs="Adobe Devanagari"/>
          <w:spacing w:val="-3"/>
          <w:szCs w:val="24"/>
          <w:lang w:val="en-GB"/>
        </w:rPr>
      </w:pPr>
    </w:p>
    <w:p w:rsidR="00B86094" w:rsidRDefault="008215C7"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‘Corvino proposes to strip Celia to the last nakedness that will reveal her secret whorishness, […] poring in her corpse for the signs of corruptibility, and visiting upon her the extreme desecration of a public dissection’.</w:t>
      </w:r>
      <w:r>
        <w:rPr>
          <w:rStyle w:val="FootnoteReference"/>
          <w:rFonts w:ascii="Perpetua" w:hAnsi="Perpetua" w:cs="Adobe Devanagari"/>
          <w:spacing w:val="-3"/>
          <w:sz w:val="26"/>
          <w:szCs w:val="26"/>
          <w:lang w:val="en-GB"/>
        </w:rPr>
        <w:footnoteReference w:id="7"/>
      </w:r>
      <w:r>
        <w:rPr>
          <w:rFonts w:ascii="Perpetua" w:hAnsi="Perpetua" w:cs="Adobe Devanagari"/>
          <w:spacing w:val="-3"/>
          <w:sz w:val="26"/>
          <w:szCs w:val="26"/>
          <w:lang w:val="en-GB"/>
        </w:rPr>
        <w:t xml:space="preserve"> I mentioned in the class on </w:t>
      </w:r>
      <w:r>
        <w:rPr>
          <w:rFonts w:ascii="Perpetua" w:hAnsi="Perpetua" w:cs="Adobe Devanagari"/>
          <w:i/>
          <w:spacing w:val="-3"/>
          <w:sz w:val="26"/>
          <w:szCs w:val="26"/>
          <w:lang w:val="en-GB"/>
        </w:rPr>
        <w:t>Volpone</w:t>
      </w:r>
      <w:r>
        <w:rPr>
          <w:rFonts w:ascii="Perpetua" w:hAnsi="Perpetua" w:cs="Adobe Devanagari"/>
          <w:spacing w:val="-3"/>
          <w:sz w:val="26"/>
          <w:szCs w:val="26"/>
          <w:lang w:val="en-GB"/>
        </w:rPr>
        <w:t>, that this is an image that seems to have been more commonly associated with tragedy. ‘Corvino’s deranged fantasy, by collapsing the idea of moral uncasing into that of anatomical discovery, briefly threatens to tip this unstable comedy into a tragic register</w:t>
      </w:r>
      <w:r w:rsidR="00590EFF">
        <w:rPr>
          <w:rFonts w:ascii="Perpetua" w:hAnsi="Perpetua" w:cs="Adobe Devanagari"/>
          <w:spacing w:val="-3"/>
          <w:sz w:val="26"/>
          <w:szCs w:val="26"/>
          <w:lang w:val="en-GB"/>
        </w:rPr>
        <w:t>.’</w:t>
      </w:r>
      <w:r w:rsidR="00590EFF">
        <w:rPr>
          <w:rStyle w:val="FootnoteReference"/>
          <w:rFonts w:ascii="Perpetua" w:hAnsi="Perpetua" w:cs="Adobe Devanagari"/>
          <w:spacing w:val="-3"/>
          <w:sz w:val="26"/>
          <w:szCs w:val="26"/>
          <w:lang w:val="en-GB"/>
        </w:rPr>
        <w:footnoteReference w:id="8"/>
      </w:r>
    </w:p>
    <w:p w:rsidR="0040648B" w:rsidRDefault="0040648B"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D57CBA" w:rsidRPr="00C069DE" w:rsidRDefault="00D57CBA"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To what extent does</w:t>
      </w:r>
      <w:r w:rsidR="00C069DE">
        <w:rPr>
          <w:rFonts w:ascii="Perpetua" w:hAnsi="Perpetua" w:cs="Adobe Devanagari"/>
          <w:spacing w:val="-3"/>
          <w:sz w:val="26"/>
          <w:szCs w:val="26"/>
          <w:lang w:val="en-GB"/>
        </w:rPr>
        <w:t xml:space="preserve"> the meaning of</w:t>
      </w:r>
      <w:r>
        <w:rPr>
          <w:rFonts w:ascii="Perpetua" w:hAnsi="Perpetua" w:cs="Adobe Devanagari"/>
          <w:spacing w:val="-3"/>
          <w:sz w:val="26"/>
          <w:szCs w:val="26"/>
          <w:lang w:val="en-GB"/>
        </w:rPr>
        <w:t xml:space="preserve"> </w:t>
      </w:r>
      <w:r w:rsidR="00C069DE">
        <w:rPr>
          <w:rFonts w:ascii="Perpetua" w:hAnsi="Perpetua" w:cs="Adobe Devanagari"/>
          <w:spacing w:val="-3"/>
          <w:sz w:val="26"/>
          <w:szCs w:val="26"/>
          <w:lang w:val="en-GB"/>
        </w:rPr>
        <w:t xml:space="preserve">Giovanni’s evisceration of Annabella and his display of her heart correlate with that of Corvino’s threat? Read </w:t>
      </w:r>
      <w:r w:rsidR="00C069DE">
        <w:rPr>
          <w:rFonts w:ascii="Perpetua" w:hAnsi="Perpetua" w:cs="Adobe Devanagari"/>
          <w:i/>
          <w:spacing w:val="-3"/>
          <w:sz w:val="26"/>
          <w:szCs w:val="26"/>
          <w:lang w:val="en-GB"/>
        </w:rPr>
        <w:t>’Tis Pity</w:t>
      </w:r>
      <w:r w:rsidR="00C069DE">
        <w:rPr>
          <w:rFonts w:ascii="Perpetua" w:hAnsi="Perpetua" w:cs="Adobe Devanagari"/>
          <w:spacing w:val="-3"/>
          <w:sz w:val="26"/>
          <w:szCs w:val="26"/>
          <w:lang w:val="en-GB"/>
        </w:rPr>
        <w:t>, V.v.1-106 &amp; V.vi.1-59.</w:t>
      </w:r>
    </w:p>
    <w:p w:rsidR="00D57CBA" w:rsidRPr="004F7204" w:rsidRDefault="00D57CBA"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4F7204" w:rsidRDefault="004F7204" w:rsidP="00A25E26">
      <w:pPr>
        <w:tabs>
          <w:tab w:val="left" w:pos="-720"/>
          <w:tab w:val="left" w:pos="0"/>
        </w:tabs>
        <w:suppressAutoHyphens/>
        <w:snapToGrid/>
        <w:spacing w:line="276" w:lineRule="auto"/>
        <w:rPr>
          <w:rFonts w:ascii="Perpetua" w:hAnsi="Perpetua" w:cs="Arial"/>
          <w:sz w:val="26"/>
          <w:szCs w:val="26"/>
        </w:rPr>
      </w:pPr>
      <w:r>
        <w:rPr>
          <w:rFonts w:ascii="Perpetua" w:hAnsi="Perpetua"/>
          <w:spacing w:val="-3"/>
          <w:sz w:val="26"/>
          <w:szCs w:val="26"/>
          <w:lang w:val="en-GB"/>
        </w:rPr>
        <w:t xml:space="preserve">In the Renaissance </w:t>
      </w:r>
      <w:r w:rsidRPr="004F7204">
        <w:rPr>
          <w:rFonts w:ascii="Perpetua" w:hAnsi="Perpetua"/>
          <w:spacing w:val="-3"/>
          <w:sz w:val="26"/>
          <w:szCs w:val="26"/>
          <w:lang w:val="en-GB"/>
        </w:rPr>
        <w:t>anatomists</w:t>
      </w:r>
      <w:r w:rsidR="00AD6341">
        <w:rPr>
          <w:rFonts w:ascii="Perpetua" w:hAnsi="Perpetua"/>
          <w:spacing w:val="-3"/>
          <w:sz w:val="26"/>
          <w:szCs w:val="26"/>
          <w:lang w:val="en-GB"/>
        </w:rPr>
        <w:t xml:space="preserve"> (who were generally physicians)</w:t>
      </w:r>
      <w:r>
        <w:rPr>
          <w:rFonts w:ascii="Perpetua" w:hAnsi="Perpetua"/>
          <w:spacing w:val="-3"/>
          <w:sz w:val="26"/>
          <w:szCs w:val="26"/>
          <w:lang w:val="en-GB"/>
        </w:rPr>
        <w:t xml:space="preserve"> were </w:t>
      </w:r>
      <w:r w:rsidRPr="004F7204">
        <w:rPr>
          <w:rFonts w:ascii="Perpetua" w:hAnsi="Perpetua"/>
          <w:spacing w:val="-3"/>
          <w:sz w:val="26"/>
          <w:szCs w:val="26"/>
          <w:lang w:val="en-GB"/>
        </w:rPr>
        <w:t>dependen</w:t>
      </w:r>
      <w:r>
        <w:rPr>
          <w:rFonts w:ascii="Perpetua" w:hAnsi="Perpetua"/>
          <w:spacing w:val="-3"/>
          <w:sz w:val="26"/>
          <w:szCs w:val="26"/>
          <w:lang w:val="en-GB"/>
        </w:rPr>
        <w:t>t</w:t>
      </w:r>
      <w:r w:rsidRPr="004F7204">
        <w:rPr>
          <w:rFonts w:ascii="Perpetua" w:hAnsi="Perpetua"/>
          <w:spacing w:val="-3"/>
          <w:sz w:val="26"/>
          <w:szCs w:val="26"/>
          <w:lang w:val="en-GB"/>
        </w:rPr>
        <w:t xml:space="preserve"> on </w:t>
      </w:r>
      <w:r>
        <w:rPr>
          <w:rFonts w:ascii="Perpetua" w:hAnsi="Perpetua"/>
          <w:spacing w:val="-3"/>
          <w:sz w:val="26"/>
          <w:szCs w:val="26"/>
          <w:lang w:val="en-GB"/>
        </w:rPr>
        <w:t xml:space="preserve">the </w:t>
      </w:r>
      <w:r w:rsidRPr="004F7204">
        <w:rPr>
          <w:rFonts w:ascii="Perpetua" w:hAnsi="Perpetua"/>
          <w:spacing w:val="-3"/>
          <w:sz w:val="26"/>
          <w:szCs w:val="26"/>
          <w:lang w:val="en-GB"/>
        </w:rPr>
        <w:t>cadavers</w:t>
      </w:r>
      <w:r>
        <w:rPr>
          <w:rFonts w:ascii="Perpetua" w:hAnsi="Perpetua"/>
          <w:spacing w:val="-3"/>
          <w:sz w:val="26"/>
          <w:szCs w:val="26"/>
          <w:lang w:val="en-GB"/>
        </w:rPr>
        <w:t xml:space="preserve"> of executed criminals</w:t>
      </w:r>
      <w:r w:rsidRPr="004F7204">
        <w:rPr>
          <w:rFonts w:ascii="Perpetua" w:hAnsi="Perpetua"/>
          <w:spacing w:val="-3"/>
          <w:sz w:val="26"/>
          <w:szCs w:val="26"/>
          <w:lang w:val="en-GB"/>
        </w:rPr>
        <w:t xml:space="preserve"> for dissection</w:t>
      </w:r>
      <w:r>
        <w:rPr>
          <w:rFonts w:ascii="Perpetua" w:hAnsi="Perpetua"/>
          <w:spacing w:val="-3"/>
          <w:sz w:val="26"/>
          <w:szCs w:val="26"/>
          <w:lang w:val="en-GB"/>
        </w:rPr>
        <w:t>. This meant that th</w:t>
      </w:r>
      <w:r w:rsidRPr="004F7204">
        <w:rPr>
          <w:rFonts w:ascii="Perpetua" w:hAnsi="Perpetua"/>
          <w:spacing w:val="-3"/>
          <w:sz w:val="26"/>
          <w:szCs w:val="26"/>
          <w:lang w:val="en-GB"/>
        </w:rPr>
        <w:t>e</w:t>
      </w:r>
      <w:r>
        <w:rPr>
          <w:rFonts w:ascii="Perpetua" w:hAnsi="Perpetua"/>
          <w:spacing w:val="-3"/>
          <w:sz w:val="26"/>
          <w:szCs w:val="26"/>
          <w:lang w:val="en-GB"/>
        </w:rPr>
        <w:t>y</w:t>
      </w:r>
      <w:r w:rsidRPr="004F7204">
        <w:rPr>
          <w:rFonts w:ascii="Perpetua" w:hAnsi="Perpetua"/>
          <w:spacing w:val="-3"/>
          <w:sz w:val="26"/>
          <w:szCs w:val="26"/>
          <w:lang w:val="en-GB"/>
        </w:rPr>
        <w:t xml:space="preserve"> </w:t>
      </w:r>
      <w:r>
        <w:rPr>
          <w:rFonts w:ascii="Perpetua" w:hAnsi="Perpetua"/>
          <w:spacing w:val="-3"/>
          <w:sz w:val="26"/>
          <w:szCs w:val="26"/>
          <w:lang w:val="en-GB"/>
        </w:rPr>
        <w:t>were</w:t>
      </w:r>
      <w:r w:rsidRPr="004F7204">
        <w:rPr>
          <w:rFonts w:ascii="Perpetua" w:hAnsi="Perpetua"/>
          <w:spacing w:val="-3"/>
          <w:sz w:val="26"/>
          <w:szCs w:val="26"/>
          <w:lang w:val="en-GB"/>
        </w:rPr>
        <w:t xml:space="preserve"> implicated in </w:t>
      </w:r>
      <w:r w:rsidRPr="004F7204">
        <w:rPr>
          <w:rFonts w:ascii="Perpetua" w:hAnsi="Perpetua" w:cs="Arial"/>
          <w:sz w:val="26"/>
          <w:szCs w:val="26"/>
        </w:rPr>
        <w:t>the grim business of the public judicial execution of criminals. In England t</w:t>
      </w:r>
      <w:r w:rsidRPr="004F7204">
        <w:rPr>
          <w:rFonts w:ascii="Perpetua" w:hAnsi="Perpetua"/>
          <w:sz w:val="26"/>
          <w:szCs w:val="26"/>
        </w:rPr>
        <w:t>he infamous connection made between the judgement of the court and the practices of the Barber-Surgeons in taking convicted felons from the gallows at Tyburn only became unavoidable after 1752 when the public anatomy became the legally required punishment of an executed murderer,</w:t>
      </w:r>
      <w:r w:rsidRPr="004F7204">
        <w:rPr>
          <w:rFonts w:ascii="Perpetua" w:hAnsi="Perpetua" w:cs="Arial"/>
          <w:sz w:val="26"/>
          <w:szCs w:val="26"/>
        </w:rPr>
        <w:t xml:space="preserve"> but </w:t>
      </w:r>
      <w:r w:rsidRPr="004F7204">
        <w:rPr>
          <w:rFonts w:ascii="Perpetua" w:hAnsi="Perpetua"/>
          <w:sz w:val="26"/>
          <w:szCs w:val="26"/>
        </w:rPr>
        <w:t>this uncomfortable proximity</w:t>
      </w:r>
      <w:r w:rsidR="00AD6341">
        <w:rPr>
          <w:rFonts w:ascii="Perpetua" w:hAnsi="Perpetua"/>
          <w:sz w:val="26"/>
          <w:szCs w:val="26"/>
        </w:rPr>
        <w:t xml:space="preserve"> had already</w:t>
      </w:r>
      <w:r>
        <w:rPr>
          <w:rFonts w:ascii="Perpetua" w:hAnsi="Perpetua"/>
          <w:sz w:val="26"/>
          <w:szCs w:val="26"/>
        </w:rPr>
        <w:t xml:space="preserve"> resulted in an association of anatomy with punishment in the dramatic theatre</w:t>
      </w:r>
      <w:r w:rsidRPr="004F7204">
        <w:rPr>
          <w:rFonts w:ascii="Perpetua" w:hAnsi="Perpetua" w:cs="Arial"/>
          <w:sz w:val="26"/>
          <w:szCs w:val="26"/>
        </w:rPr>
        <w:t>.</w:t>
      </w:r>
      <w:r w:rsidR="00AD6341">
        <w:rPr>
          <w:rFonts w:ascii="Perpetua" w:hAnsi="Perpetua" w:cs="Arial"/>
          <w:sz w:val="26"/>
          <w:szCs w:val="26"/>
        </w:rPr>
        <w:t xml:space="preserve"> This accounts for the association of anatomy </w:t>
      </w:r>
      <w:r w:rsidR="00C069DE">
        <w:rPr>
          <w:rFonts w:ascii="Perpetua" w:hAnsi="Perpetua" w:cs="Arial"/>
          <w:sz w:val="26"/>
          <w:szCs w:val="26"/>
        </w:rPr>
        <w:t xml:space="preserve">with punishment </w:t>
      </w:r>
      <w:r w:rsidR="00AD6341">
        <w:rPr>
          <w:rFonts w:ascii="Perpetua" w:hAnsi="Perpetua" w:cs="Arial"/>
          <w:sz w:val="26"/>
          <w:szCs w:val="26"/>
        </w:rPr>
        <w:t>in Corvino’s extravagant threat; but what of the associations of display or disclosure of knowledge</w:t>
      </w:r>
      <w:r w:rsidR="00C069DE">
        <w:rPr>
          <w:rFonts w:ascii="Perpetua" w:hAnsi="Perpetua" w:cs="Arial"/>
          <w:sz w:val="26"/>
          <w:szCs w:val="26"/>
        </w:rPr>
        <w:t>?</w:t>
      </w:r>
    </w:p>
    <w:p w:rsidR="00C069DE" w:rsidRPr="00C069DE" w:rsidRDefault="00C069DE"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4F7204" w:rsidRDefault="00C069DE" w:rsidP="00AD6341">
      <w:pPr>
        <w:tabs>
          <w:tab w:val="left" w:pos="-720"/>
          <w:tab w:val="left" w:pos="0"/>
        </w:tabs>
        <w:suppressAutoHyphens/>
        <w:snapToGrid/>
        <w:spacing w:line="276" w:lineRule="auto"/>
        <w:rPr>
          <w:rFonts w:ascii="Perpetua" w:hAnsi="Perpetua"/>
          <w:sz w:val="26"/>
          <w:szCs w:val="26"/>
        </w:rPr>
      </w:pPr>
      <w:r w:rsidRPr="00C069DE">
        <w:rPr>
          <w:rFonts w:ascii="Perpetua" w:hAnsi="Perpetua"/>
          <w:bCs/>
          <w:spacing w:val="-3"/>
          <w:sz w:val="26"/>
          <w:szCs w:val="26"/>
        </w:rPr>
        <w:t xml:space="preserve">From their emergence in the sixteenth century in Italy, Holland, England, and elsewhere, </w:t>
      </w:r>
      <w:r>
        <w:rPr>
          <w:rFonts w:ascii="Perpetua" w:hAnsi="Perpetua"/>
          <w:bCs/>
          <w:spacing w:val="-3"/>
          <w:sz w:val="26"/>
          <w:szCs w:val="26"/>
        </w:rPr>
        <w:t>anatomical lessons and demonstrations</w:t>
      </w:r>
      <w:r w:rsidRPr="00C069DE">
        <w:rPr>
          <w:rFonts w:ascii="Perpetua" w:hAnsi="Perpetua"/>
          <w:bCs/>
          <w:spacing w:val="-3"/>
          <w:sz w:val="26"/>
          <w:szCs w:val="26"/>
        </w:rPr>
        <w:t xml:space="preserve"> took place in purpose-built temporary and permanent anatomy theatres.</w:t>
      </w:r>
      <w:r>
        <w:rPr>
          <w:rFonts w:ascii="Perpetua" w:hAnsi="Perpetua"/>
          <w:bCs/>
          <w:spacing w:val="-3"/>
          <w:sz w:val="26"/>
          <w:szCs w:val="26"/>
        </w:rPr>
        <w:t xml:space="preserve"> Private dissections for the benefit of research and teaching small groups of students went on elsewhere. Public a</w:t>
      </w:r>
      <w:r w:rsidR="00AD6341">
        <w:rPr>
          <w:rFonts w:ascii="Perpetua" w:hAnsi="Perpetua"/>
          <w:spacing w:val="-3"/>
          <w:sz w:val="26"/>
          <w:szCs w:val="26"/>
        </w:rPr>
        <w:t>natomical l</w:t>
      </w:r>
      <w:r w:rsidR="00AD6341" w:rsidRPr="00AD6341">
        <w:rPr>
          <w:rFonts w:ascii="Perpetua" w:hAnsi="Perpetua"/>
          <w:spacing w:val="-3"/>
          <w:sz w:val="26"/>
          <w:szCs w:val="26"/>
        </w:rPr>
        <w:t>ectures and demonstrations in the early modern</w:t>
      </w:r>
      <w:r w:rsidR="00AD6341">
        <w:rPr>
          <w:rFonts w:ascii="Perpetua" w:hAnsi="Perpetua"/>
          <w:spacing w:val="-3"/>
          <w:sz w:val="26"/>
          <w:szCs w:val="26"/>
        </w:rPr>
        <w:t xml:space="preserve"> anatomy</w:t>
      </w:r>
      <w:r w:rsidR="00AD6341" w:rsidRPr="00AD6341">
        <w:rPr>
          <w:rFonts w:ascii="Perpetua" w:hAnsi="Perpetua"/>
          <w:spacing w:val="-3"/>
          <w:sz w:val="26"/>
          <w:szCs w:val="26"/>
        </w:rPr>
        <w:t xml:space="preserve"> theatre</w:t>
      </w:r>
      <w:r w:rsidR="00AD6341">
        <w:rPr>
          <w:rFonts w:ascii="Perpetua" w:hAnsi="Perpetua"/>
          <w:spacing w:val="-3"/>
          <w:sz w:val="26"/>
          <w:szCs w:val="26"/>
        </w:rPr>
        <w:t>s</w:t>
      </w:r>
      <w:r w:rsidR="00AD6341" w:rsidRPr="00AD6341">
        <w:rPr>
          <w:rFonts w:ascii="Perpetua" w:hAnsi="Perpetua"/>
          <w:spacing w:val="-3"/>
          <w:sz w:val="26"/>
          <w:szCs w:val="26"/>
        </w:rPr>
        <w:t xml:space="preserve"> embodied tensions and encountered </w:t>
      </w:r>
      <w:r w:rsidR="00AD6341" w:rsidRPr="00AD6341">
        <w:rPr>
          <w:rFonts w:ascii="Perpetua" w:hAnsi="Perpetua"/>
          <w:sz w:val="26"/>
          <w:szCs w:val="26"/>
        </w:rPr>
        <w:t xml:space="preserve">anthropological problems, like the revulsion generated by contact with cadavers, the cultural association of public display and bodily disintegration with shame and dishonour, the taint of the infamy either of the condemned criminal or the executioner, and more specifically religious concerns about the delaying of burial and a belief in the nobility and dignity of the human body and the sacredness of the human corpse. </w:t>
      </w:r>
      <w:r w:rsidR="00AD6341" w:rsidRPr="00AD6341">
        <w:rPr>
          <w:rFonts w:ascii="Perpetua" w:hAnsi="Perpetua"/>
          <w:spacing w:val="-3"/>
          <w:sz w:val="26"/>
          <w:szCs w:val="26"/>
        </w:rPr>
        <w:t xml:space="preserve">Royal licenses, charters, university statutes and other legally binding documents generally testify to the widespread existence of regulations governing and strictly circumscribing the conditions under which, and the manner in which, anatomical dissection could be </w:t>
      </w:r>
      <w:r w:rsidR="00AD6341" w:rsidRPr="00691381">
        <w:rPr>
          <w:rFonts w:ascii="Perpetua" w:hAnsi="Perpetua"/>
          <w:spacing w:val="-3"/>
          <w:sz w:val="26"/>
          <w:szCs w:val="26"/>
        </w:rPr>
        <w:t xml:space="preserve">practiced. </w:t>
      </w:r>
      <w:r w:rsidR="00691381" w:rsidRPr="00691381">
        <w:rPr>
          <w:rFonts w:ascii="Perpetua" w:hAnsi="Perpetua"/>
          <w:spacing w:val="-3"/>
          <w:sz w:val="26"/>
          <w:szCs w:val="26"/>
        </w:rPr>
        <w:t>I</w:t>
      </w:r>
      <w:r w:rsidR="00691381">
        <w:rPr>
          <w:rFonts w:ascii="Perpetua" w:hAnsi="Perpetua"/>
          <w:spacing w:val="-3"/>
          <w:sz w:val="26"/>
          <w:szCs w:val="26"/>
        </w:rPr>
        <w:t>t may be that</w:t>
      </w:r>
      <w:r w:rsidR="00691381" w:rsidRPr="00691381">
        <w:rPr>
          <w:rFonts w:ascii="Perpetua" w:hAnsi="Perpetua"/>
          <w:spacing w:val="-3"/>
          <w:sz w:val="26"/>
          <w:szCs w:val="26"/>
        </w:rPr>
        <w:t xml:space="preserve"> the dissection was considered macabre and sacrilegious in certain respects and was looked </w:t>
      </w:r>
      <w:r w:rsidR="00691381" w:rsidRPr="00691381">
        <w:rPr>
          <w:rFonts w:ascii="Perpetua" w:hAnsi="Perpetua"/>
          <w:spacing w:val="-3"/>
          <w:sz w:val="26"/>
          <w:szCs w:val="26"/>
        </w:rPr>
        <w:lastRenderedPageBreak/>
        <w:t>upon as barely permissible – an act that avoided prohibition only by being circumscribed by certain regulations and by a rigorous ceremonial</w:t>
      </w:r>
      <w:r w:rsidR="00691381">
        <w:rPr>
          <w:rFonts w:ascii="Perpetua" w:hAnsi="Perpetua"/>
          <w:spacing w:val="-3"/>
          <w:sz w:val="26"/>
          <w:szCs w:val="26"/>
        </w:rPr>
        <w:t>. It is possible that it</w:t>
      </w:r>
      <w:r w:rsidR="00691381" w:rsidRPr="00691381">
        <w:rPr>
          <w:rFonts w:ascii="Perpetua" w:hAnsi="Perpetua"/>
          <w:spacing w:val="-3"/>
          <w:sz w:val="26"/>
          <w:szCs w:val="26"/>
        </w:rPr>
        <w:t xml:space="preserve"> was temporarily channeled into the sphere of the licit by its ritualization and performance, and</w:t>
      </w:r>
      <w:r w:rsidR="00691381">
        <w:rPr>
          <w:rFonts w:ascii="Perpetua" w:hAnsi="Perpetua"/>
          <w:spacing w:val="-3"/>
          <w:sz w:val="26"/>
          <w:szCs w:val="26"/>
        </w:rPr>
        <w:t xml:space="preserve"> it was</w:t>
      </w:r>
      <w:r w:rsidR="00691381" w:rsidRPr="00691381">
        <w:rPr>
          <w:rFonts w:ascii="Perpetua" w:hAnsi="Perpetua"/>
          <w:spacing w:val="-3"/>
          <w:sz w:val="26"/>
          <w:szCs w:val="26"/>
        </w:rPr>
        <w:t xml:space="preserve"> permitted by virtue of an implicit social pact.</w:t>
      </w:r>
      <w:r w:rsidR="00691381">
        <w:rPr>
          <w:rFonts w:ascii="Perpetua" w:hAnsi="Perpetua"/>
          <w:spacing w:val="-3"/>
          <w:sz w:val="26"/>
          <w:szCs w:val="26"/>
        </w:rPr>
        <w:t xml:space="preserve"> </w:t>
      </w:r>
      <w:r w:rsidR="00BC6066">
        <w:rPr>
          <w:rFonts w:ascii="Perpetua" w:hAnsi="Perpetua"/>
          <w:spacing w:val="-3"/>
          <w:sz w:val="26"/>
          <w:szCs w:val="26"/>
        </w:rPr>
        <w:t>Perhaps t</w:t>
      </w:r>
      <w:r w:rsidR="00AD6341" w:rsidRPr="00AD6341">
        <w:rPr>
          <w:rFonts w:ascii="Perpetua" w:hAnsi="Perpetua"/>
          <w:spacing w:val="-3"/>
          <w:sz w:val="26"/>
          <w:szCs w:val="26"/>
        </w:rPr>
        <w:t>he ritual and</w:t>
      </w:r>
      <w:r w:rsidR="00AD6341" w:rsidRPr="00AD6341">
        <w:rPr>
          <w:rFonts w:ascii="Perpetua" w:hAnsi="Perpetua"/>
          <w:sz w:val="26"/>
          <w:szCs w:val="26"/>
        </w:rPr>
        <w:t xml:space="preserve"> ceremony w</w:t>
      </w:r>
      <w:r w:rsidR="00BC6066">
        <w:rPr>
          <w:rFonts w:ascii="Perpetua" w:hAnsi="Perpetua"/>
          <w:sz w:val="26"/>
          <w:szCs w:val="26"/>
        </w:rPr>
        <w:t>ere</w:t>
      </w:r>
      <w:r w:rsidR="00AD6341" w:rsidRPr="00AD6341">
        <w:rPr>
          <w:rFonts w:ascii="Perpetua" w:hAnsi="Perpetua"/>
          <w:sz w:val="26"/>
          <w:szCs w:val="26"/>
        </w:rPr>
        <w:t xml:space="preserve"> propitiatory in the same way as the Masses</w:t>
      </w:r>
      <w:r w:rsidR="00691381">
        <w:rPr>
          <w:rFonts w:ascii="Perpetua" w:hAnsi="Perpetua"/>
          <w:sz w:val="26"/>
          <w:szCs w:val="26"/>
        </w:rPr>
        <w:t xml:space="preserve"> and religious services</w:t>
      </w:r>
      <w:r w:rsidR="00AD6341" w:rsidRPr="00AD6341">
        <w:rPr>
          <w:rFonts w:ascii="Perpetua" w:hAnsi="Perpetua"/>
          <w:sz w:val="26"/>
          <w:szCs w:val="26"/>
        </w:rPr>
        <w:t xml:space="preserve"> celebrated for the redemption of the souls of the dissected victims of execution.</w:t>
      </w:r>
    </w:p>
    <w:p w:rsidR="00C069DE" w:rsidRPr="00C069DE" w:rsidRDefault="00C069DE" w:rsidP="00C069DE">
      <w:pPr>
        <w:tabs>
          <w:tab w:val="left" w:pos="-720"/>
          <w:tab w:val="left" w:pos="0"/>
        </w:tabs>
        <w:suppressAutoHyphens/>
        <w:snapToGrid/>
        <w:spacing w:line="276" w:lineRule="auto"/>
        <w:rPr>
          <w:rFonts w:ascii="Perpetua" w:hAnsi="Perpetua"/>
          <w:sz w:val="26"/>
          <w:szCs w:val="26"/>
        </w:rPr>
      </w:pPr>
    </w:p>
    <w:p w:rsidR="00C069DE" w:rsidRDefault="00C069DE" w:rsidP="00C069DE">
      <w:pPr>
        <w:widowControl/>
        <w:suppressAutoHyphens/>
        <w:spacing w:line="276" w:lineRule="auto"/>
        <w:rPr>
          <w:rFonts w:ascii="Perpetua" w:hAnsi="Perpetua"/>
          <w:sz w:val="26"/>
          <w:szCs w:val="26"/>
        </w:rPr>
      </w:pPr>
      <w:r w:rsidRPr="00C069DE">
        <w:rPr>
          <w:rFonts w:ascii="Perpetua" w:hAnsi="Perpetua"/>
          <w:sz w:val="26"/>
          <w:szCs w:val="26"/>
        </w:rPr>
        <w:t xml:space="preserve">The early modern lectures and demonstrations </w:t>
      </w:r>
      <w:r w:rsidRPr="00C069DE">
        <w:rPr>
          <w:rFonts w:ascii="Perpetua" w:hAnsi="Perpetua"/>
          <w:spacing w:val="-3"/>
          <w:sz w:val="26"/>
          <w:szCs w:val="26"/>
        </w:rPr>
        <w:t xml:space="preserve">were didactic; </w:t>
      </w:r>
      <w:r w:rsidRPr="00C069DE">
        <w:rPr>
          <w:rFonts w:ascii="Perpetua" w:hAnsi="Perpetua"/>
          <w:sz w:val="26"/>
          <w:szCs w:val="26"/>
        </w:rPr>
        <w:t xml:space="preserve">they were intended to communicate and ‘illustrate’ the books read by medical students, thus providing a visual aid to synthesise and facilitate the memorization </w:t>
      </w:r>
      <w:r w:rsidRPr="00BC6066">
        <w:rPr>
          <w:rFonts w:ascii="Perpetua" w:hAnsi="Perpetua"/>
          <w:sz w:val="26"/>
          <w:szCs w:val="26"/>
        </w:rPr>
        <w:t>of texts.</w:t>
      </w:r>
      <w:r w:rsidRPr="00BC6066">
        <w:rPr>
          <w:rFonts w:ascii="Perpetua" w:hAnsi="Perpetua"/>
          <w:spacing w:val="-3"/>
          <w:sz w:val="26"/>
          <w:szCs w:val="26"/>
        </w:rPr>
        <w:t xml:space="preserve"> They </w:t>
      </w:r>
      <w:r w:rsidR="00BC6066">
        <w:rPr>
          <w:rFonts w:ascii="Perpetua" w:hAnsi="Perpetua"/>
          <w:spacing w:val="-3"/>
          <w:sz w:val="26"/>
          <w:szCs w:val="26"/>
        </w:rPr>
        <w:t>combined</w:t>
      </w:r>
      <w:r w:rsidRPr="00BC6066">
        <w:rPr>
          <w:rFonts w:ascii="Perpetua" w:hAnsi="Perpetua"/>
          <w:spacing w:val="-3"/>
          <w:sz w:val="26"/>
          <w:szCs w:val="26"/>
        </w:rPr>
        <w:t xml:space="preserve"> an emerging sensory epistemology</w:t>
      </w:r>
      <w:r w:rsidR="00BC6066">
        <w:rPr>
          <w:rFonts w:ascii="Perpetua" w:hAnsi="Perpetua"/>
          <w:spacing w:val="-3"/>
          <w:sz w:val="26"/>
          <w:szCs w:val="26"/>
        </w:rPr>
        <w:t xml:space="preserve"> with a Renaissance humanist </w:t>
      </w:r>
      <w:r w:rsidR="00BC6066" w:rsidRPr="00BC6066">
        <w:rPr>
          <w:rFonts w:ascii="Perpetua" w:hAnsi="Perpetua"/>
          <w:spacing w:val="-3"/>
          <w:sz w:val="26"/>
          <w:szCs w:val="26"/>
        </w:rPr>
        <w:t xml:space="preserve">invocation of the </w:t>
      </w:r>
      <w:r w:rsidR="00BC6066">
        <w:rPr>
          <w:rFonts w:ascii="Perpetua" w:hAnsi="Perpetua"/>
          <w:spacing w:val="-3"/>
          <w:sz w:val="26"/>
          <w:szCs w:val="26"/>
        </w:rPr>
        <w:t xml:space="preserve">ancient </w:t>
      </w:r>
      <w:r w:rsidR="00BC6066" w:rsidRPr="00BC6066">
        <w:rPr>
          <w:rFonts w:ascii="Perpetua" w:hAnsi="Perpetua"/>
          <w:spacing w:val="-3"/>
          <w:sz w:val="26"/>
          <w:szCs w:val="26"/>
        </w:rPr>
        <w:t xml:space="preserve">Greek proverb, </w:t>
      </w:r>
      <w:r w:rsidR="00BC6066" w:rsidRPr="00BC6066">
        <w:rPr>
          <w:rFonts w:ascii="Perpetua" w:hAnsi="Perpetua"/>
          <w:i/>
          <w:iCs/>
          <w:spacing w:val="-3"/>
          <w:sz w:val="26"/>
          <w:szCs w:val="26"/>
        </w:rPr>
        <w:t>nosce teipsum</w:t>
      </w:r>
      <w:r w:rsidR="00BC6066" w:rsidRPr="00BC6066">
        <w:rPr>
          <w:rFonts w:ascii="Perpetua" w:hAnsi="Perpetua"/>
          <w:spacing w:val="-3"/>
          <w:sz w:val="26"/>
          <w:szCs w:val="26"/>
        </w:rPr>
        <w:t xml:space="preserve"> (know thyself)</w:t>
      </w:r>
      <w:r w:rsidR="00BC6066">
        <w:rPr>
          <w:rFonts w:ascii="Perpetua" w:hAnsi="Perpetua"/>
          <w:spacing w:val="-3"/>
          <w:sz w:val="26"/>
          <w:szCs w:val="26"/>
        </w:rPr>
        <w:t>, demonstrating a body</w:t>
      </w:r>
      <w:r w:rsidR="00BC6066" w:rsidRPr="00BC6066">
        <w:rPr>
          <w:rFonts w:ascii="Perpetua" w:hAnsi="Perpetua"/>
          <w:spacing w:val="-3"/>
          <w:sz w:val="26"/>
          <w:szCs w:val="26"/>
        </w:rPr>
        <w:t xml:space="preserve"> </w:t>
      </w:r>
      <w:r w:rsidRPr="00C069DE">
        <w:rPr>
          <w:rFonts w:ascii="Perpetua" w:hAnsi="Perpetua"/>
          <w:spacing w:val="-3"/>
          <w:sz w:val="26"/>
          <w:szCs w:val="26"/>
        </w:rPr>
        <w:t xml:space="preserve">created and designed for the instrumental use of the soul. Thus </w:t>
      </w:r>
      <w:r w:rsidRPr="00C069DE">
        <w:rPr>
          <w:rFonts w:ascii="Perpetua" w:hAnsi="Perpetua"/>
          <w:sz w:val="26"/>
          <w:szCs w:val="26"/>
        </w:rPr>
        <w:t>moral and theological justification for dissection was provided in the context of tensions.</w:t>
      </w:r>
    </w:p>
    <w:p w:rsidR="00691381" w:rsidRPr="00C069DE" w:rsidRDefault="00691381" w:rsidP="00C069DE">
      <w:pPr>
        <w:widowControl/>
        <w:suppressAutoHyphens/>
        <w:spacing w:line="276" w:lineRule="auto"/>
        <w:rPr>
          <w:rFonts w:ascii="Perpetua" w:hAnsi="Perpetua"/>
          <w:sz w:val="26"/>
          <w:szCs w:val="26"/>
        </w:rPr>
      </w:pPr>
    </w:p>
    <w:p w:rsidR="00E07C23" w:rsidRPr="00E07C23" w:rsidRDefault="0040648B" w:rsidP="004F7204">
      <w:pPr>
        <w:tabs>
          <w:tab w:val="left" w:pos="-720"/>
          <w:tab w:val="left" w:pos="0"/>
        </w:tabs>
        <w:suppressAutoHyphens/>
        <w:snapToGrid/>
        <w:spacing w:line="276" w:lineRule="auto"/>
        <w:rPr>
          <w:rFonts w:ascii="Perpetua" w:hAnsi="Perpetua"/>
          <w:spacing w:val="-3"/>
          <w:sz w:val="26"/>
          <w:szCs w:val="26"/>
        </w:rPr>
      </w:pPr>
      <w:r>
        <w:rPr>
          <w:rFonts w:ascii="Perpetua" w:hAnsi="Perpetua" w:cs="Adobe Devanagari"/>
          <w:spacing w:val="-3"/>
          <w:sz w:val="26"/>
          <w:szCs w:val="26"/>
          <w:lang w:val="en-GB"/>
        </w:rPr>
        <w:t>The following remarks on the public performance of anatomical dissection are made in connection with a sequence of slides.</w:t>
      </w:r>
      <w:r w:rsidR="004F7204">
        <w:rPr>
          <w:rFonts w:ascii="Perpetua" w:hAnsi="Perpetua" w:cs="Adobe Devanagari"/>
          <w:spacing w:val="-3"/>
          <w:sz w:val="26"/>
          <w:szCs w:val="26"/>
          <w:lang w:val="en-GB"/>
        </w:rPr>
        <w:t xml:space="preserve"> </w:t>
      </w:r>
      <w:r w:rsidR="00E07C23" w:rsidRPr="00E07C23">
        <w:rPr>
          <w:rFonts w:ascii="Perpetua" w:hAnsi="Perpetua"/>
          <w:sz w:val="26"/>
          <w:szCs w:val="26"/>
        </w:rPr>
        <w:t>Among the kinds of evidence that can be used to reconstruct the conventional practices and purposes of the public anatomy are woodcuts and copperplate engravings, a number of which illustrate anatomy textbooks. {</w:t>
      </w:r>
      <w:r w:rsidR="00E07C23" w:rsidRPr="00E07C23">
        <w:rPr>
          <w:rFonts w:ascii="Perpetua" w:hAnsi="Perpetua"/>
          <w:b/>
          <w:sz w:val="26"/>
          <w:szCs w:val="26"/>
        </w:rPr>
        <w:t>SLIDE 1}</w:t>
      </w:r>
      <w:r w:rsidR="00E07C23" w:rsidRPr="00E07C23">
        <w:rPr>
          <w:rFonts w:ascii="Perpetua" w:hAnsi="Perpetua"/>
          <w:sz w:val="26"/>
          <w:szCs w:val="26"/>
        </w:rPr>
        <w:t xml:space="preserve"> </w:t>
      </w:r>
      <w:r w:rsidR="00E07C23" w:rsidRPr="00E07C23">
        <w:rPr>
          <w:rFonts w:ascii="Perpetua" w:hAnsi="Perpetua"/>
          <w:spacing w:val="-3"/>
          <w:sz w:val="26"/>
          <w:szCs w:val="26"/>
        </w:rPr>
        <w:t xml:space="preserve">Among the commentaries written on the fourteenth-century Bolognese anatomist Mondino dei Luzzi’s </w:t>
      </w:r>
      <w:r w:rsidR="00E07C23" w:rsidRPr="00E07C23">
        <w:rPr>
          <w:rFonts w:ascii="Perpetua" w:hAnsi="Perpetua"/>
          <w:i/>
          <w:spacing w:val="-3"/>
          <w:sz w:val="26"/>
          <w:szCs w:val="26"/>
        </w:rPr>
        <w:t>Anothomia</w:t>
      </w:r>
      <w:r w:rsidR="00E07C23" w:rsidRPr="00E07C23">
        <w:rPr>
          <w:rFonts w:ascii="Perpetua" w:hAnsi="Perpetua"/>
          <w:spacing w:val="-3"/>
          <w:sz w:val="26"/>
          <w:szCs w:val="26"/>
        </w:rPr>
        <w:t xml:space="preserve"> is one attributed to Johannes Ketham, entitled </w:t>
      </w:r>
      <w:r w:rsidR="00E07C23" w:rsidRPr="00E07C23">
        <w:rPr>
          <w:rFonts w:ascii="Perpetua" w:hAnsi="Perpetua"/>
          <w:i/>
          <w:spacing w:val="-3"/>
          <w:sz w:val="26"/>
          <w:szCs w:val="26"/>
        </w:rPr>
        <w:t>Fasciculo de medicina</w:t>
      </w:r>
      <w:r w:rsidR="00E07C23" w:rsidRPr="00E07C23">
        <w:rPr>
          <w:rFonts w:ascii="Perpetua" w:hAnsi="Perpetua"/>
          <w:spacing w:val="-3"/>
          <w:sz w:val="26"/>
          <w:szCs w:val="26"/>
        </w:rPr>
        <w:t>, published in 1493 and containing this woodcut with contemporary hand colouring, which is supposed to represent a successor of Mondino in the “chair” of anatomy and surgery at the University of Bologna, delivering a public anatomical lecture.</w:t>
      </w:r>
      <w:r w:rsidR="00E07C23" w:rsidRPr="00E07C23">
        <w:rPr>
          <w:rStyle w:val="FootnoteReference"/>
          <w:rFonts w:ascii="Perpetua" w:hAnsi="Perpetua"/>
          <w:spacing w:val="-3"/>
          <w:sz w:val="26"/>
          <w:szCs w:val="26"/>
        </w:rPr>
        <w:footnoteReference w:id="9"/>
      </w:r>
      <w:r w:rsidR="00E07C23" w:rsidRPr="00E07C23">
        <w:rPr>
          <w:rFonts w:ascii="Perpetua" w:hAnsi="Perpetua"/>
          <w:spacing w:val="-3"/>
          <w:sz w:val="26"/>
          <w:szCs w:val="26"/>
        </w:rPr>
        <w:t xml:space="preserve"> This is unintentionally ironic because Mondino actually dissected cadavers himself and was the first known to have dissected the human body systematically in public, but by the</w:t>
      </w:r>
      <w:r w:rsidR="00E07C23" w:rsidRPr="00E07C23">
        <w:rPr>
          <w:rFonts w:ascii="Perpetua" w:hAnsi="Perpetua"/>
          <w:sz w:val="26"/>
          <w:szCs w:val="26"/>
        </w:rPr>
        <w:t xml:space="preserve"> sixteenth century, t</w:t>
      </w:r>
      <w:r w:rsidR="00E07C23" w:rsidRPr="00E07C23">
        <w:rPr>
          <w:rFonts w:ascii="Perpetua" w:hAnsi="Perpetua"/>
          <w:spacing w:val="-3"/>
          <w:sz w:val="26"/>
          <w:szCs w:val="26"/>
        </w:rPr>
        <w:t xml:space="preserve">he typical pedagogical procedure required the </w:t>
      </w:r>
      <w:r w:rsidR="00E07C23" w:rsidRPr="00E07C23">
        <w:rPr>
          <w:rFonts w:ascii="Perpetua" w:hAnsi="Perpetua"/>
          <w:i/>
          <w:iCs/>
          <w:spacing w:val="-3"/>
          <w:sz w:val="26"/>
          <w:szCs w:val="26"/>
        </w:rPr>
        <w:t>lector</w:t>
      </w:r>
      <w:r w:rsidR="00E07C23" w:rsidRPr="00E07C23">
        <w:rPr>
          <w:rFonts w:ascii="Perpetua" w:hAnsi="Perpetua"/>
          <w:spacing w:val="-3"/>
          <w:sz w:val="26"/>
          <w:szCs w:val="26"/>
        </w:rPr>
        <w:t xml:space="preserve">, </w:t>
      </w:r>
      <w:r w:rsidR="00E07C23" w:rsidRPr="00E07C23">
        <w:rPr>
          <w:rFonts w:ascii="Perpetua" w:hAnsi="Perpetua"/>
          <w:sz w:val="26"/>
          <w:szCs w:val="26"/>
        </w:rPr>
        <w:t>{</w:t>
      </w:r>
      <w:r w:rsidR="00E07C23" w:rsidRPr="00E07C23">
        <w:rPr>
          <w:rFonts w:ascii="Perpetua" w:hAnsi="Perpetua"/>
          <w:b/>
          <w:sz w:val="26"/>
          <w:szCs w:val="26"/>
        </w:rPr>
        <w:t>SLIDE 2}</w:t>
      </w:r>
      <w:r w:rsidR="00E07C23" w:rsidRPr="00E07C23">
        <w:rPr>
          <w:rFonts w:ascii="Perpetua" w:hAnsi="Perpetua"/>
          <w:spacing w:val="-3"/>
          <w:sz w:val="26"/>
          <w:szCs w:val="26"/>
        </w:rPr>
        <w:t xml:space="preserve"> a professor of theoretical or practical medicine or of anatomy and surgery, to deliver a lecture in Latin from Mondino’s </w:t>
      </w:r>
      <w:r w:rsidR="00E07C23" w:rsidRPr="00E07C23">
        <w:rPr>
          <w:rFonts w:ascii="Perpetua" w:hAnsi="Perpetua"/>
          <w:i/>
          <w:spacing w:val="-3"/>
          <w:sz w:val="26"/>
          <w:szCs w:val="26"/>
        </w:rPr>
        <w:t>Anothomia</w:t>
      </w:r>
      <w:r w:rsidR="00E07C23" w:rsidRPr="00E07C23">
        <w:rPr>
          <w:rFonts w:ascii="Perpetua" w:hAnsi="Perpetua"/>
          <w:spacing w:val="-3"/>
          <w:sz w:val="26"/>
          <w:szCs w:val="26"/>
        </w:rPr>
        <w:t xml:space="preserve"> or one or other of the works of Galen or Avicenna, literally </w:t>
      </w:r>
      <w:r w:rsidR="00E07C23" w:rsidRPr="00E07C23">
        <w:rPr>
          <w:rFonts w:ascii="Perpetua" w:hAnsi="Perpetua"/>
          <w:i/>
          <w:iCs/>
          <w:spacing w:val="-3"/>
          <w:sz w:val="26"/>
          <w:szCs w:val="26"/>
        </w:rPr>
        <w:t>ex cathedra</w:t>
      </w:r>
      <w:r w:rsidR="00E07C23" w:rsidRPr="00E07C23">
        <w:rPr>
          <w:rFonts w:ascii="Perpetua" w:hAnsi="Perpetua"/>
          <w:spacing w:val="-3"/>
          <w:sz w:val="26"/>
          <w:szCs w:val="26"/>
        </w:rPr>
        <w:t xml:space="preserve"> (out of the chair). The dissection itself was delegated to the </w:t>
      </w:r>
      <w:r w:rsidR="00E07C23" w:rsidRPr="00E07C23">
        <w:rPr>
          <w:rFonts w:ascii="Perpetua" w:hAnsi="Perpetua"/>
          <w:i/>
          <w:iCs/>
          <w:spacing w:val="-3"/>
          <w:sz w:val="26"/>
          <w:szCs w:val="26"/>
        </w:rPr>
        <w:t>sector</w:t>
      </w:r>
      <w:r w:rsidR="00E07C23" w:rsidRPr="00E07C23">
        <w:rPr>
          <w:rFonts w:ascii="Perpetua" w:hAnsi="Perpetua"/>
          <w:spacing w:val="-3"/>
          <w:sz w:val="26"/>
          <w:szCs w:val="26"/>
        </w:rPr>
        <w:t xml:space="preserve">, </w:t>
      </w:r>
      <w:r w:rsidR="00E07C23" w:rsidRPr="00E07C23">
        <w:rPr>
          <w:rFonts w:ascii="Perpetua" w:hAnsi="Perpetua"/>
          <w:sz w:val="26"/>
          <w:szCs w:val="26"/>
        </w:rPr>
        <w:t>{</w:t>
      </w:r>
      <w:r w:rsidR="00E07C23" w:rsidRPr="00E07C23">
        <w:rPr>
          <w:rFonts w:ascii="Perpetua" w:hAnsi="Perpetua"/>
          <w:b/>
          <w:sz w:val="26"/>
          <w:szCs w:val="26"/>
        </w:rPr>
        <w:t>SLIDE 3}</w:t>
      </w:r>
      <w:r w:rsidR="00E07C23" w:rsidRPr="00E07C23">
        <w:rPr>
          <w:rFonts w:ascii="Perpetua" w:hAnsi="Perpetua"/>
          <w:spacing w:val="-3"/>
          <w:sz w:val="26"/>
          <w:szCs w:val="26"/>
        </w:rPr>
        <w:t xml:space="preserve"> who was usually a barber or surgeon</w:t>
      </w:r>
      <w:r w:rsidR="00E07C23" w:rsidRPr="00E07C23">
        <w:rPr>
          <w:rFonts w:ascii="Perpetua" w:hAnsi="Perpetua"/>
          <w:sz w:val="26"/>
          <w:szCs w:val="26"/>
        </w:rPr>
        <w:t>,</w:t>
      </w:r>
      <w:r w:rsidR="00E07C23" w:rsidRPr="00E07C23">
        <w:rPr>
          <w:rFonts w:ascii="Perpetua" w:hAnsi="Perpetua"/>
          <w:spacing w:val="-3"/>
          <w:sz w:val="26"/>
          <w:szCs w:val="26"/>
        </w:rPr>
        <w:t xml:space="preserve"> while a second professor of medicine took the role of </w:t>
      </w:r>
      <w:r w:rsidR="00E07C23" w:rsidRPr="00E07C23">
        <w:rPr>
          <w:rFonts w:ascii="Perpetua" w:hAnsi="Perpetua"/>
          <w:i/>
          <w:iCs/>
          <w:spacing w:val="-3"/>
          <w:sz w:val="26"/>
          <w:szCs w:val="26"/>
        </w:rPr>
        <w:t>ostensor</w:t>
      </w:r>
      <w:r w:rsidR="00E07C23" w:rsidRPr="00E07C23">
        <w:rPr>
          <w:rFonts w:ascii="Perpetua" w:hAnsi="Perpetua"/>
          <w:spacing w:val="-3"/>
          <w:sz w:val="26"/>
          <w:szCs w:val="26"/>
        </w:rPr>
        <w:t xml:space="preserve"> (or demonstrator) </w:t>
      </w:r>
      <w:r w:rsidR="00E07C23" w:rsidRPr="00E07C23">
        <w:rPr>
          <w:rFonts w:ascii="Perpetua" w:hAnsi="Perpetua"/>
          <w:sz w:val="26"/>
          <w:szCs w:val="26"/>
        </w:rPr>
        <w:t>{</w:t>
      </w:r>
      <w:r w:rsidR="00E07C23" w:rsidRPr="00E07C23">
        <w:rPr>
          <w:rFonts w:ascii="Perpetua" w:hAnsi="Perpetua"/>
          <w:b/>
          <w:sz w:val="26"/>
          <w:szCs w:val="26"/>
        </w:rPr>
        <w:t>SLIDE 4}</w:t>
      </w:r>
      <w:r w:rsidR="00E07C23" w:rsidRPr="00E07C23">
        <w:rPr>
          <w:rFonts w:ascii="Perpetua" w:hAnsi="Perpetua"/>
          <w:spacing w:val="-3"/>
          <w:sz w:val="26"/>
          <w:szCs w:val="26"/>
        </w:rPr>
        <w:t xml:space="preserve"> which involved indicating to the sector the correct line of incision in the corpse and to the audience the exposed anatomy. The </w:t>
      </w:r>
      <w:r w:rsidR="00E07C23" w:rsidRPr="00E07C23">
        <w:rPr>
          <w:rFonts w:ascii="Perpetua" w:hAnsi="Perpetua"/>
          <w:i/>
          <w:spacing w:val="-3"/>
          <w:sz w:val="26"/>
          <w:szCs w:val="26"/>
        </w:rPr>
        <w:t>ostensor</w:t>
      </w:r>
      <w:r w:rsidR="00E07C23" w:rsidRPr="00E07C23">
        <w:rPr>
          <w:rFonts w:ascii="Perpetua" w:hAnsi="Perpetua"/>
          <w:spacing w:val="-3"/>
          <w:sz w:val="26"/>
          <w:szCs w:val="26"/>
        </w:rPr>
        <w:t xml:space="preserve"> also probably translated from Latin into the vernacular. Roles shifted so that the ordinary professor, who was more eminent than the extraordinary one, occupied the position of </w:t>
      </w:r>
      <w:r w:rsidR="00E07C23" w:rsidRPr="00E07C23">
        <w:rPr>
          <w:rFonts w:ascii="Perpetua" w:hAnsi="Perpetua"/>
          <w:i/>
          <w:spacing w:val="-3"/>
          <w:sz w:val="26"/>
          <w:szCs w:val="26"/>
        </w:rPr>
        <w:t>lector</w:t>
      </w:r>
      <w:r w:rsidR="00E07C23" w:rsidRPr="00E07C23">
        <w:rPr>
          <w:rFonts w:ascii="Perpetua" w:hAnsi="Perpetua"/>
          <w:spacing w:val="-3"/>
          <w:sz w:val="26"/>
          <w:szCs w:val="26"/>
        </w:rPr>
        <w:t>, emphasising that authority resides in the professor’s ability to memorise and explicate ancient textual sources and produce commentary.</w:t>
      </w:r>
    </w:p>
    <w:p w:rsidR="00E07C23" w:rsidRPr="00E07C23" w:rsidRDefault="00E07C23" w:rsidP="00E07C23">
      <w:pPr>
        <w:suppressAutoHyphens/>
        <w:spacing w:line="276" w:lineRule="auto"/>
        <w:rPr>
          <w:rFonts w:ascii="Perpetua" w:hAnsi="Perpetua"/>
          <w:sz w:val="26"/>
          <w:szCs w:val="26"/>
        </w:rPr>
      </w:pPr>
    </w:p>
    <w:p w:rsidR="00E07C23" w:rsidRPr="00E07C23" w:rsidRDefault="00E07C23" w:rsidP="00E07C23">
      <w:pPr>
        <w:tabs>
          <w:tab w:val="left" w:pos="-142"/>
        </w:tabs>
        <w:spacing w:line="276" w:lineRule="auto"/>
        <w:rPr>
          <w:rFonts w:ascii="Perpetua" w:hAnsi="Perpetua"/>
          <w:spacing w:val="-3"/>
          <w:sz w:val="26"/>
          <w:szCs w:val="26"/>
        </w:rPr>
      </w:pPr>
      <w:r w:rsidRPr="00E07C23">
        <w:rPr>
          <w:rFonts w:ascii="Perpetua" w:hAnsi="Perpetua"/>
          <w:spacing w:val="-3"/>
          <w:sz w:val="26"/>
          <w:szCs w:val="26"/>
        </w:rPr>
        <w:t>In this model, which was followed at Padua and Rome as well as at Bologna, ‘the roles pertaining to practice are kept distinct from those pertaining to theory’.</w:t>
      </w:r>
      <w:r w:rsidRPr="00E07C23">
        <w:rPr>
          <w:rStyle w:val="FootnoteReference"/>
          <w:rFonts w:ascii="Perpetua" w:eastAsia="Calibri" w:hAnsi="Perpetua"/>
          <w:spacing w:val="-3"/>
          <w:sz w:val="26"/>
          <w:szCs w:val="26"/>
        </w:rPr>
        <w:footnoteReference w:id="10"/>
      </w:r>
      <w:r w:rsidRPr="00E07C23">
        <w:rPr>
          <w:rFonts w:ascii="Perpetua" w:hAnsi="Perpetua"/>
          <w:spacing w:val="-3"/>
          <w:sz w:val="26"/>
          <w:szCs w:val="26"/>
        </w:rPr>
        <w:t xml:space="preserve"> But what were the relative weights </w:t>
      </w:r>
      <w:r w:rsidRPr="00E07C23">
        <w:rPr>
          <w:rFonts w:ascii="Perpetua" w:hAnsi="Perpetua"/>
          <w:spacing w:val="-3"/>
          <w:sz w:val="26"/>
          <w:szCs w:val="26"/>
        </w:rPr>
        <w:lastRenderedPageBreak/>
        <w:t xml:space="preserve">placed upon the oral and the visual components? </w:t>
      </w:r>
      <w:r w:rsidRPr="00E07C23">
        <w:rPr>
          <w:rFonts w:ascii="Perpetua" w:hAnsi="Perpetua"/>
          <w:sz w:val="26"/>
          <w:szCs w:val="26"/>
        </w:rPr>
        <w:t xml:space="preserve">Anatomical lectures did not always have the function only of confirmation of a consensus; as a product of the schools, natural philosophy was adversarial, and a </w:t>
      </w:r>
      <w:r w:rsidRPr="00E07C23">
        <w:rPr>
          <w:rFonts w:ascii="Perpetua" w:hAnsi="Perpetua"/>
          <w:spacing w:val="-3"/>
          <w:sz w:val="26"/>
          <w:szCs w:val="26"/>
        </w:rPr>
        <w:t xml:space="preserve">feature of some formal anatomies was the verbal disputation, but this was often carried on without reference to the corpse on display. In other words the lecture was disputational-commentarial in relation to authoritative anatomical texts. So what was the function of the body? According to Andrea Carlino, </w:t>
      </w:r>
      <w:r w:rsidRPr="00E07C23">
        <w:rPr>
          <w:rFonts w:ascii="Perpetua" w:hAnsi="Perpetua"/>
          <w:sz w:val="26"/>
          <w:szCs w:val="26"/>
        </w:rPr>
        <w:t>fifteenth-century public anatomies ‘were intended to “illustrate” the books read by medical students and commented on by the teachers, thus providing a visual aid to facilitate the memorization of these texts’,</w:t>
      </w:r>
      <w:r w:rsidRPr="00E07C23">
        <w:rPr>
          <w:rStyle w:val="FootnoteReference"/>
          <w:rFonts w:ascii="Perpetua" w:eastAsia="Calibri" w:hAnsi="Perpetua"/>
          <w:sz w:val="26"/>
          <w:szCs w:val="26"/>
        </w:rPr>
        <w:footnoteReference w:id="11"/>
      </w:r>
      <w:r w:rsidRPr="00E07C23">
        <w:rPr>
          <w:rFonts w:ascii="Perpetua" w:hAnsi="Perpetua"/>
          <w:spacing w:val="-3"/>
          <w:sz w:val="26"/>
          <w:szCs w:val="26"/>
        </w:rPr>
        <w:t xml:space="preserve"> which until the sixteenth century were not generally illustrated.</w:t>
      </w:r>
    </w:p>
    <w:p w:rsidR="00E07C23" w:rsidRPr="00E07C23" w:rsidRDefault="00E07C23" w:rsidP="00E07C23">
      <w:pPr>
        <w:tabs>
          <w:tab w:val="left" w:pos="-142"/>
        </w:tabs>
        <w:spacing w:line="276" w:lineRule="auto"/>
        <w:rPr>
          <w:rFonts w:ascii="Perpetua" w:hAnsi="Perpetua"/>
          <w:sz w:val="26"/>
          <w:szCs w:val="26"/>
        </w:rPr>
      </w:pPr>
    </w:p>
    <w:p w:rsidR="00E07C23" w:rsidRPr="00E07C23" w:rsidRDefault="00E07C23" w:rsidP="00E07C23">
      <w:pPr>
        <w:spacing w:line="276" w:lineRule="auto"/>
        <w:rPr>
          <w:rFonts w:ascii="Perpetua" w:hAnsi="Perpetua"/>
          <w:spacing w:val="-3"/>
          <w:sz w:val="26"/>
          <w:szCs w:val="26"/>
        </w:rPr>
      </w:pPr>
      <w:r w:rsidRPr="00E07C23">
        <w:rPr>
          <w:rFonts w:ascii="Perpetua" w:hAnsi="Perpetua"/>
          <w:spacing w:val="-3"/>
          <w:sz w:val="26"/>
          <w:szCs w:val="26"/>
        </w:rPr>
        <w:t xml:space="preserve">In the Preface to </w:t>
      </w:r>
      <w:r w:rsidR="00691381">
        <w:rPr>
          <w:rFonts w:ascii="Perpetua" w:hAnsi="Perpetua"/>
          <w:spacing w:val="-3"/>
          <w:sz w:val="26"/>
          <w:szCs w:val="26"/>
        </w:rPr>
        <w:t xml:space="preserve">his </w:t>
      </w:r>
      <w:r w:rsidR="00691381">
        <w:rPr>
          <w:rFonts w:ascii="Perpetua" w:hAnsi="Perpetua"/>
          <w:i/>
          <w:spacing w:val="-3"/>
          <w:sz w:val="26"/>
          <w:szCs w:val="26"/>
        </w:rPr>
        <w:t>De humani corporis f</w:t>
      </w:r>
      <w:r w:rsidRPr="00E07C23">
        <w:rPr>
          <w:rFonts w:ascii="Perpetua" w:hAnsi="Perpetua"/>
          <w:i/>
          <w:spacing w:val="-3"/>
          <w:sz w:val="26"/>
          <w:szCs w:val="26"/>
        </w:rPr>
        <w:t>abrica</w:t>
      </w:r>
      <w:r w:rsidR="00691381">
        <w:rPr>
          <w:rFonts w:ascii="Perpetua" w:hAnsi="Perpetua"/>
          <w:spacing w:val="-3"/>
          <w:sz w:val="26"/>
          <w:szCs w:val="26"/>
        </w:rPr>
        <w:t xml:space="preserve"> (Basle, 1543),</w:t>
      </w:r>
      <w:r w:rsidRPr="00E07C23">
        <w:rPr>
          <w:rFonts w:ascii="Perpetua" w:hAnsi="Perpetua"/>
          <w:spacing w:val="-3"/>
          <w:sz w:val="26"/>
          <w:szCs w:val="26"/>
        </w:rPr>
        <w:t xml:space="preserve"> </w:t>
      </w:r>
      <w:r w:rsidR="00691381">
        <w:rPr>
          <w:rFonts w:ascii="Perpetua" w:hAnsi="Perpetua"/>
          <w:spacing w:val="-3"/>
          <w:sz w:val="26"/>
          <w:szCs w:val="26"/>
        </w:rPr>
        <w:t xml:space="preserve">Andreas </w:t>
      </w:r>
      <w:r w:rsidRPr="00E07C23">
        <w:rPr>
          <w:rFonts w:ascii="Perpetua" w:hAnsi="Perpetua"/>
          <w:spacing w:val="-3"/>
          <w:sz w:val="26"/>
          <w:szCs w:val="26"/>
        </w:rPr>
        <w:t>Vesalius offers ‘a trenchant pedagogical critique against his contemporaries who “scorn working with their hands […]” and who “aloft on their chairs croak away with consummate arrogance like jackdaws about things they have never done themselves but which they commit to memory from the books of others.”’</w:t>
      </w:r>
      <w:r w:rsidRPr="00E07C23">
        <w:rPr>
          <w:rStyle w:val="FootnoteReference"/>
          <w:rFonts w:ascii="Perpetua" w:eastAsia="Calibri" w:hAnsi="Perpetua"/>
          <w:spacing w:val="-3"/>
          <w:sz w:val="26"/>
          <w:szCs w:val="26"/>
        </w:rPr>
        <w:footnoteReference w:id="12"/>
      </w:r>
      <w:r w:rsidRPr="00E07C23">
        <w:rPr>
          <w:rFonts w:ascii="Perpetua" w:hAnsi="Perpetua"/>
          <w:spacing w:val="-3"/>
          <w:sz w:val="26"/>
          <w:szCs w:val="26"/>
        </w:rPr>
        <w:t xml:space="preserve"> </w:t>
      </w:r>
      <w:r w:rsidRPr="00E07C23">
        <w:rPr>
          <w:rFonts w:ascii="Perpetua" w:hAnsi="Perpetua"/>
          <w:sz w:val="26"/>
          <w:szCs w:val="26"/>
        </w:rPr>
        <w:t>{</w:t>
      </w:r>
      <w:r w:rsidRPr="00E07C23">
        <w:rPr>
          <w:rFonts w:ascii="Perpetua" w:hAnsi="Perpetua"/>
          <w:b/>
          <w:sz w:val="26"/>
          <w:szCs w:val="26"/>
        </w:rPr>
        <w:t>SLIDE 5}</w:t>
      </w:r>
      <w:r w:rsidRPr="00E07C23">
        <w:rPr>
          <w:rFonts w:ascii="Perpetua" w:hAnsi="Perpetua"/>
          <w:spacing w:val="-3"/>
          <w:sz w:val="26"/>
          <w:szCs w:val="26"/>
        </w:rPr>
        <w:t xml:space="preserve"> As the woodcut frontispiece of the 1543 edition of the </w:t>
      </w:r>
      <w:r w:rsidRPr="00E07C23">
        <w:rPr>
          <w:rFonts w:ascii="Perpetua" w:hAnsi="Perpetua"/>
          <w:i/>
          <w:spacing w:val="-3"/>
          <w:sz w:val="26"/>
          <w:szCs w:val="26"/>
        </w:rPr>
        <w:t>Fabrica</w:t>
      </w:r>
      <w:r w:rsidRPr="00E07C23">
        <w:rPr>
          <w:rFonts w:ascii="Perpetua" w:hAnsi="Perpetua"/>
          <w:spacing w:val="-3"/>
          <w:sz w:val="26"/>
          <w:szCs w:val="26"/>
        </w:rPr>
        <w:t xml:space="preserve"> shows, Vesalius’ innovations include collapsing the roles of </w:t>
      </w:r>
      <w:r w:rsidRPr="00E07C23">
        <w:rPr>
          <w:rFonts w:ascii="Perpetua" w:hAnsi="Perpetua"/>
          <w:i/>
          <w:spacing w:val="-3"/>
          <w:sz w:val="26"/>
          <w:szCs w:val="26"/>
        </w:rPr>
        <w:t>lector</w:t>
      </w:r>
      <w:r w:rsidRPr="00E07C23">
        <w:rPr>
          <w:rFonts w:ascii="Perpetua" w:hAnsi="Perpetua"/>
          <w:spacing w:val="-3"/>
          <w:sz w:val="26"/>
          <w:szCs w:val="26"/>
        </w:rPr>
        <w:t xml:space="preserve">, </w:t>
      </w:r>
      <w:r w:rsidRPr="00E07C23">
        <w:rPr>
          <w:rFonts w:ascii="Perpetua" w:hAnsi="Perpetua"/>
          <w:i/>
          <w:spacing w:val="-3"/>
          <w:sz w:val="26"/>
          <w:szCs w:val="26"/>
        </w:rPr>
        <w:t>sector</w:t>
      </w:r>
      <w:r w:rsidRPr="00E07C23">
        <w:rPr>
          <w:rFonts w:ascii="Perpetua" w:hAnsi="Perpetua"/>
          <w:spacing w:val="-3"/>
          <w:sz w:val="26"/>
          <w:szCs w:val="26"/>
        </w:rPr>
        <w:t xml:space="preserve">, and </w:t>
      </w:r>
      <w:r w:rsidRPr="00E07C23">
        <w:rPr>
          <w:rFonts w:ascii="Perpetua" w:hAnsi="Perpetua"/>
          <w:i/>
          <w:spacing w:val="-3"/>
          <w:sz w:val="26"/>
          <w:szCs w:val="26"/>
        </w:rPr>
        <w:t>ostensor</w:t>
      </w:r>
      <w:r w:rsidRPr="00E07C23">
        <w:rPr>
          <w:rFonts w:ascii="Perpetua" w:hAnsi="Perpetua"/>
          <w:spacing w:val="-3"/>
          <w:sz w:val="26"/>
          <w:szCs w:val="26"/>
        </w:rPr>
        <w:t xml:space="preserve">, into the role of the physician </w:t>
      </w:r>
      <w:r w:rsidRPr="00E07C23">
        <w:rPr>
          <w:rFonts w:ascii="Perpetua" w:hAnsi="Perpetua"/>
          <w:i/>
          <w:spacing w:val="-3"/>
          <w:sz w:val="26"/>
          <w:szCs w:val="26"/>
        </w:rPr>
        <w:t>anatomista</w:t>
      </w:r>
      <w:r w:rsidRPr="00E07C23">
        <w:rPr>
          <w:rFonts w:ascii="Perpetua" w:hAnsi="Perpetua"/>
          <w:spacing w:val="-3"/>
          <w:sz w:val="26"/>
          <w:szCs w:val="26"/>
        </w:rPr>
        <w:t xml:space="preserve">. </w:t>
      </w:r>
      <w:r w:rsidRPr="00E07C23">
        <w:rPr>
          <w:rFonts w:ascii="Perpetua" w:hAnsi="Perpetua"/>
          <w:sz w:val="26"/>
          <w:szCs w:val="26"/>
        </w:rPr>
        <w:t>{</w:t>
      </w:r>
      <w:r w:rsidRPr="00E07C23">
        <w:rPr>
          <w:rFonts w:ascii="Perpetua" w:hAnsi="Perpetua"/>
          <w:b/>
          <w:sz w:val="26"/>
          <w:szCs w:val="26"/>
        </w:rPr>
        <w:t>SLIDE 6}</w:t>
      </w:r>
      <w:r w:rsidRPr="00E07C23">
        <w:rPr>
          <w:rFonts w:ascii="Perpetua" w:hAnsi="Perpetua"/>
          <w:spacing w:val="-3"/>
          <w:sz w:val="26"/>
          <w:szCs w:val="26"/>
        </w:rPr>
        <w:t xml:space="preserve"> </w:t>
      </w:r>
      <w:r w:rsidRPr="00E07C23">
        <w:rPr>
          <w:rFonts w:ascii="Perpetua" w:hAnsi="Perpetua"/>
          <w:sz w:val="26"/>
          <w:szCs w:val="26"/>
        </w:rPr>
        <w:t>Vesalius also reportedly drew with charcoal on the dissection table in Bologna in 1540, thereby combining illustration with demonstration. He</w:t>
      </w:r>
      <w:r w:rsidRPr="00E07C23">
        <w:rPr>
          <w:rFonts w:ascii="Perpetua" w:hAnsi="Perpetua"/>
          <w:spacing w:val="-3"/>
          <w:sz w:val="26"/>
          <w:szCs w:val="26"/>
        </w:rPr>
        <w:t xml:space="preserve"> placed deliberate emphasis on the need to see for oneself the physical anatomy on view in demonstrations.</w:t>
      </w:r>
    </w:p>
    <w:p w:rsidR="00E07C23" w:rsidRPr="00E07C23" w:rsidRDefault="00E07C23" w:rsidP="00E07C23">
      <w:pPr>
        <w:spacing w:line="276" w:lineRule="auto"/>
        <w:rPr>
          <w:rFonts w:ascii="Perpetua" w:hAnsi="Perpetua"/>
          <w:spacing w:val="-3"/>
          <w:sz w:val="26"/>
          <w:szCs w:val="26"/>
        </w:rPr>
      </w:pPr>
    </w:p>
    <w:p w:rsidR="00E07C23" w:rsidRDefault="00E07C23" w:rsidP="00E07C23">
      <w:pPr>
        <w:tabs>
          <w:tab w:val="left" w:pos="-720"/>
          <w:tab w:val="left" w:pos="0"/>
        </w:tabs>
        <w:suppressAutoHyphens/>
        <w:snapToGrid/>
        <w:spacing w:line="276" w:lineRule="auto"/>
        <w:rPr>
          <w:rFonts w:ascii="Perpetua" w:hAnsi="Perpetua"/>
          <w:spacing w:val="-3"/>
          <w:sz w:val="26"/>
          <w:szCs w:val="26"/>
        </w:rPr>
      </w:pPr>
      <w:r w:rsidRPr="00E07C23">
        <w:rPr>
          <w:rFonts w:ascii="Perpetua" w:hAnsi="Perpetua"/>
          <w:sz w:val="26"/>
          <w:szCs w:val="26"/>
        </w:rPr>
        <w:t>{</w:t>
      </w:r>
      <w:r w:rsidRPr="00E07C23">
        <w:rPr>
          <w:rFonts w:ascii="Perpetua" w:hAnsi="Perpetua"/>
          <w:b/>
          <w:sz w:val="26"/>
          <w:szCs w:val="26"/>
        </w:rPr>
        <w:t>SLIDE 7}</w:t>
      </w:r>
      <w:r w:rsidRPr="00E07C23">
        <w:rPr>
          <w:rFonts w:ascii="Perpetua" w:hAnsi="Perpetua"/>
          <w:spacing w:val="-3"/>
          <w:sz w:val="26"/>
          <w:szCs w:val="26"/>
        </w:rPr>
        <w:t xml:space="preserve"> In this engraving from 1615, by Andries Stock, Pieter Pauw of the University of Leiden is also represented as </w:t>
      </w:r>
      <w:r w:rsidRPr="00E07C23">
        <w:rPr>
          <w:rFonts w:ascii="Perpetua" w:hAnsi="Perpetua"/>
          <w:i/>
          <w:spacing w:val="-3"/>
          <w:sz w:val="26"/>
          <w:szCs w:val="26"/>
        </w:rPr>
        <w:t>lector</w:t>
      </w:r>
      <w:r w:rsidRPr="00E07C23">
        <w:rPr>
          <w:rFonts w:ascii="Perpetua" w:hAnsi="Perpetua"/>
          <w:spacing w:val="-3"/>
          <w:sz w:val="26"/>
          <w:szCs w:val="26"/>
        </w:rPr>
        <w:t xml:space="preserve">, </w:t>
      </w:r>
      <w:r w:rsidRPr="00E07C23">
        <w:rPr>
          <w:rFonts w:ascii="Perpetua" w:hAnsi="Perpetua"/>
          <w:i/>
          <w:spacing w:val="-3"/>
          <w:sz w:val="26"/>
          <w:szCs w:val="26"/>
        </w:rPr>
        <w:t>ostensor</w:t>
      </w:r>
      <w:r w:rsidRPr="00E07C23">
        <w:rPr>
          <w:rFonts w:ascii="Perpetua" w:hAnsi="Perpetua"/>
          <w:spacing w:val="-3"/>
          <w:sz w:val="26"/>
          <w:szCs w:val="26"/>
        </w:rPr>
        <w:t xml:space="preserve">, and </w:t>
      </w:r>
      <w:r w:rsidRPr="00E07C23">
        <w:rPr>
          <w:rFonts w:ascii="Perpetua" w:hAnsi="Perpetua"/>
          <w:i/>
          <w:spacing w:val="-3"/>
          <w:sz w:val="26"/>
          <w:szCs w:val="26"/>
        </w:rPr>
        <w:t>sector</w:t>
      </w:r>
      <w:r w:rsidRPr="00E07C23">
        <w:rPr>
          <w:rFonts w:ascii="Perpetua" w:hAnsi="Perpetua"/>
          <w:spacing w:val="-3"/>
          <w:sz w:val="26"/>
          <w:szCs w:val="26"/>
        </w:rPr>
        <w:t>, having only the body to guide him while an elderly man in the audience seems concerned to reassure himself that what Pauw discovers in the body conforms to what is written in the ancient text.</w:t>
      </w:r>
      <w:r w:rsidRPr="00E07C23">
        <w:rPr>
          <w:rStyle w:val="FootnoteReference"/>
          <w:rFonts w:ascii="Perpetua" w:eastAsia="Calibri" w:hAnsi="Perpetua"/>
          <w:spacing w:val="-3"/>
          <w:sz w:val="26"/>
          <w:szCs w:val="26"/>
        </w:rPr>
        <w:footnoteReference w:id="13"/>
      </w:r>
      <w:r w:rsidRPr="00E07C23">
        <w:rPr>
          <w:rFonts w:ascii="Perpetua" w:hAnsi="Perpetua"/>
          <w:spacing w:val="-3"/>
          <w:sz w:val="26"/>
          <w:szCs w:val="26"/>
        </w:rPr>
        <w:t xml:space="preserve"> The unimpressed expression of the man to his right reflects the shift that had occurred in sources of authority by 1615.</w:t>
      </w:r>
    </w:p>
    <w:p w:rsidR="00E07C23" w:rsidRPr="00C06C54" w:rsidRDefault="00E07C23" w:rsidP="00E07C23">
      <w:pPr>
        <w:tabs>
          <w:tab w:val="left" w:pos="-720"/>
          <w:tab w:val="left" w:pos="0"/>
        </w:tabs>
        <w:suppressAutoHyphens/>
        <w:snapToGrid/>
        <w:spacing w:line="276" w:lineRule="auto"/>
        <w:rPr>
          <w:rFonts w:ascii="Perpetua" w:hAnsi="Perpetua"/>
          <w:spacing w:val="-3"/>
          <w:sz w:val="26"/>
          <w:szCs w:val="26"/>
        </w:rPr>
      </w:pPr>
    </w:p>
    <w:p w:rsidR="00C06C54" w:rsidRPr="00C06C54" w:rsidRDefault="00C06C54" w:rsidP="00E07C23">
      <w:pPr>
        <w:tabs>
          <w:tab w:val="left" w:pos="-720"/>
          <w:tab w:val="left" w:pos="0"/>
        </w:tabs>
        <w:suppressAutoHyphens/>
        <w:snapToGrid/>
        <w:spacing w:line="276" w:lineRule="auto"/>
        <w:rPr>
          <w:rFonts w:ascii="Perpetua" w:hAnsi="Perpetua"/>
          <w:spacing w:val="-3"/>
          <w:sz w:val="26"/>
          <w:szCs w:val="26"/>
        </w:rPr>
      </w:pPr>
      <w:r w:rsidRPr="00C06C54">
        <w:rPr>
          <w:rFonts w:ascii="Perpetua" w:hAnsi="Perpetua"/>
          <w:spacing w:val="-3"/>
          <w:sz w:val="26"/>
          <w:szCs w:val="26"/>
        </w:rPr>
        <w:t xml:space="preserve">Prior to </w:t>
      </w:r>
      <w:r w:rsidRPr="00C06C54">
        <w:rPr>
          <w:rFonts w:ascii="Perpetua" w:hAnsi="Perpetua"/>
          <w:sz w:val="26"/>
          <w:szCs w:val="26"/>
        </w:rPr>
        <w:t>the development of effective preservatives, the corpse</w:t>
      </w:r>
      <w:r w:rsidRPr="00C06C54">
        <w:rPr>
          <w:rFonts w:ascii="Perpetua" w:hAnsi="Perpetua"/>
          <w:spacing w:val="-3"/>
          <w:sz w:val="26"/>
          <w:szCs w:val="26"/>
        </w:rPr>
        <w:t xml:space="preserve"> </w:t>
      </w:r>
      <w:r w:rsidRPr="00C06C54">
        <w:rPr>
          <w:rFonts w:ascii="Perpetua" w:hAnsi="Perpetua"/>
          <w:sz w:val="26"/>
          <w:szCs w:val="26"/>
        </w:rPr>
        <w:t xml:space="preserve">steadily putrefied, </w:t>
      </w:r>
      <w:r w:rsidRPr="00C06C54">
        <w:rPr>
          <w:rFonts w:ascii="Perpetua" w:hAnsi="Perpetua"/>
          <w:spacing w:val="-3"/>
          <w:sz w:val="26"/>
          <w:szCs w:val="26"/>
        </w:rPr>
        <w:t>posing a practical problem</w:t>
      </w:r>
      <w:r>
        <w:rPr>
          <w:rFonts w:ascii="Perpetua" w:hAnsi="Perpetua"/>
          <w:spacing w:val="-3"/>
          <w:sz w:val="26"/>
          <w:szCs w:val="26"/>
        </w:rPr>
        <w:t xml:space="preserve"> for the demonstration. But this </w:t>
      </w:r>
      <w:r w:rsidRPr="00C06C54">
        <w:rPr>
          <w:rFonts w:ascii="Perpetua" w:hAnsi="Perpetua"/>
          <w:spacing w:val="-3"/>
          <w:sz w:val="26"/>
          <w:szCs w:val="26"/>
        </w:rPr>
        <w:t xml:space="preserve">also had symbolic value, wherein ‘know thyself’ meant ‘recognize the mortality of man’. </w:t>
      </w:r>
      <w:r>
        <w:rPr>
          <w:rFonts w:ascii="Perpetua" w:hAnsi="Perpetua"/>
          <w:spacing w:val="-3"/>
          <w:sz w:val="26"/>
          <w:szCs w:val="26"/>
        </w:rPr>
        <w:t>This lesson was morally eloquent since capital punishment ensured that the reward of sin, or at least criminal vice, was death, a premature and unnatural death of the body, at least, by hanging.</w:t>
      </w:r>
      <w:r w:rsidR="00E108DF">
        <w:rPr>
          <w:rFonts w:ascii="Perpetua" w:hAnsi="Perpetua"/>
          <w:spacing w:val="-3"/>
          <w:sz w:val="26"/>
          <w:szCs w:val="26"/>
        </w:rPr>
        <w:t xml:space="preserve"> </w:t>
      </w:r>
      <w:r w:rsidRPr="00C06C54">
        <w:rPr>
          <w:rFonts w:ascii="Perpetua" w:hAnsi="Perpetua"/>
          <w:spacing w:val="-3"/>
          <w:sz w:val="26"/>
          <w:szCs w:val="26"/>
        </w:rPr>
        <w:t xml:space="preserve">That the events of the anatomical demonstration had a certain rhythm and a liturgy which was not without decorum and style was partly in order to ameliorate or effectuate a symbolic distance from the sights, sounds and smells associated contiguously with death. Moral-didactic commentaries on the public anatomies suggest their service as </w:t>
      </w:r>
      <w:r w:rsidRPr="00C06C54">
        <w:rPr>
          <w:rFonts w:ascii="Perpetua" w:hAnsi="Perpetua"/>
          <w:i/>
          <w:iCs/>
          <w:spacing w:val="-3"/>
          <w:sz w:val="26"/>
          <w:szCs w:val="26"/>
        </w:rPr>
        <w:t>memento mori</w:t>
      </w:r>
      <w:r w:rsidR="00E108DF">
        <w:rPr>
          <w:rFonts w:ascii="Perpetua" w:hAnsi="Perpetua"/>
          <w:spacing w:val="-3"/>
          <w:sz w:val="26"/>
          <w:szCs w:val="26"/>
        </w:rPr>
        <w:t xml:space="preserve"> (a reminder of death),</w:t>
      </w:r>
      <w:r w:rsidRPr="00C06C54">
        <w:rPr>
          <w:rFonts w:ascii="Perpetua" w:hAnsi="Perpetua"/>
          <w:spacing w:val="-3"/>
          <w:sz w:val="26"/>
          <w:szCs w:val="26"/>
        </w:rPr>
        <w:t xml:space="preserve"> with the dissected criminal cadaver a perfect </w:t>
      </w:r>
      <w:r w:rsidRPr="00C06C54">
        <w:rPr>
          <w:rFonts w:ascii="Perpetua" w:hAnsi="Perpetua"/>
          <w:spacing w:val="-3"/>
          <w:sz w:val="26"/>
          <w:szCs w:val="26"/>
        </w:rPr>
        <w:lastRenderedPageBreak/>
        <w:t>emblematic display of fallen man’s mortal condition.</w:t>
      </w:r>
      <w:r w:rsidR="004F2690">
        <w:rPr>
          <w:rFonts w:ascii="Perpetua" w:hAnsi="Perpetua"/>
          <w:spacing w:val="-3"/>
          <w:sz w:val="26"/>
          <w:szCs w:val="26"/>
        </w:rPr>
        <w:t xml:space="preserve"> </w:t>
      </w:r>
      <w:r w:rsidR="004F2690" w:rsidRPr="004F2690">
        <w:rPr>
          <w:rFonts w:ascii="Perpetua" w:hAnsi="Perpetua"/>
          <w:sz w:val="26"/>
          <w:szCs w:val="26"/>
        </w:rPr>
        <w:t>On the metaphysical idea of the brevity and inevitable dissolution of human grandeur,</w:t>
      </w:r>
      <w:r w:rsidR="004F2690">
        <w:rPr>
          <w:rFonts w:ascii="Perpetua" w:hAnsi="Perpetua"/>
          <w:sz w:val="26"/>
          <w:szCs w:val="26"/>
        </w:rPr>
        <w:t xml:space="preserve"> remember that</w:t>
      </w:r>
      <w:r w:rsidR="004F2690" w:rsidRPr="004F2690">
        <w:rPr>
          <w:rFonts w:ascii="Perpetua" w:hAnsi="Perpetua"/>
          <w:sz w:val="26"/>
          <w:szCs w:val="26"/>
        </w:rPr>
        <w:t xml:space="preserve"> Sidney </w:t>
      </w:r>
      <w:r w:rsidR="004F2690">
        <w:rPr>
          <w:rFonts w:ascii="Perpetua" w:hAnsi="Perpetua"/>
          <w:sz w:val="26"/>
          <w:szCs w:val="26"/>
        </w:rPr>
        <w:t xml:space="preserve">wrote in his </w:t>
      </w:r>
      <w:r w:rsidR="004F2690">
        <w:rPr>
          <w:rFonts w:ascii="Perpetua" w:hAnsi="Perpetua"/>
          <w:i/>
          <w:sz w:val="26"/>
          <w:szCs w:val="26"/>
        </w:rPr>
        <w:t>Defence of Poesy</w:t>
      </w:r>
      <w:r w:rsidR="004F2690">
        <w:rPr>
          <w:rFonts w:ascii="Perpetua" w:hAnsi="Perpetua"/>
          <w:sz w:val="26"/>
          <w:szCs w:val="26"/>
        </w:rPr>
        <w:t xml:space="preserve">, </w:t>
      </w:r>
      <w:r w:rsidR="004F2690" w:rsidRPr="004F2690">
        <w:rPr>
          <w:rFonts w:ascii="Perpetua" w:hAnsi="Perpetua"/>
          <w:sz w:val="26"/>
          <w:szCs w:val="26"/>
        </w:rPr>
        <w:t>that tragedy ‘teacheth the uncertainty of this world, and upon how weak foundat</w:t>
      </w:r>
      <w:r w:rsidR="004F2690">
        <w:rPr>
          <w:rFonts w:ascii="Perpetua" w:hAnsi="Perpetua"/>
          <w:sz w:val="26"/>
          <w:szCs w:val="26"/>
        </w:rPr>
        <w:t>ions gilden roofs are builded’.</w:t>
      </w:r>
      <w:r w:rsidR="004F2690" w:rsidRPr="004F2690">
        <w:rPr>
          <w:rFonts w:ascii="Perpetua" w:hAnsi="Perpetua"/>
          <w:spacing w:val="-3"/>
          <w:sz w:val="26"/>
          <w:szCs w:val="26"/>
        </w:rPr>
        <w:t xml:space="preserve"> A</w:t>
      </w:r>
      <w:r w:rsidR="004F2690">
        <w:rPr>
          <w:rFonts w:ascii="Perpetua" w:hAnsi="Perpetua"/>
          <w:spacing w:val="-3"/>
          <w:sz w:val="26"/>
          <w:szCs w:val="26"/>
        </w:rPr>
        <w:t>rguably a</w:t>
      </w:r>
      <w:r w:rsidR="004F2690" w:rsidRPr="004F2690">
        <w:rPr>
          <w:rFonts w:ascii="Perpetua" w:hAnsi="Perpetua"/>
          <w:spacing w:val="-3"/>
          <w:sz w:val="26"/>
          <w:szCs w:val="26"/>
        </w:rPr>
        <w:t>natomy lessons were at least as much a piece of drama, a species of didactic tragedy, as a scientific event.</w:t>
      </w:r>
    </w:p>
    <w:p w:rsidR="00C06C54" w:rsidRPr="0040648B" w:rsidRDefault="00C06C54" w:rsidP="00E07C23">
      <w:pPr>
        <w:tabs>
          <w:tab w:val="left" w:pos="-720"/>
          <w:tab w:val="left" w:pos="0"/>
        </w:tabs>
        <w:suppressAutoHyphens/>
        <w:snapToGrid/>
        <w:spacing w:line="276" w:lineRule="auto"/>
        <w:rPr>
          <w:rFonts w:ascii="Perpetua" w:hAnsi="Perpetua"/>
          <w:spacing w:val="-3"/>
          <w:sz w:val="26"/>
          <w:szCs w:val="26"/>
        </w:rPr>
      </w:pPr>
    </w:p>
    <w:p w:rsidR="004F2690" w:rsidRDefault="0040648B" w:rsidP="004F2690">
      <w:pPr>
        <w:tabs>
          <w:tab w:val="left" w:pos="-720"/>
          <w:tab w:val="left" w:pos="0"/>
        </w:tabs>
        <w:suppressAutoHyphens/>
        <w:snapToGrid/>
        <w:spacing w:line="276" w:lineRule="auto"/>
        <w:rPr>
          <w:rFonts w:ascii="Perpetua" w:hAnsi="Perpetua"/>
          <w:sz w:val="26"/>
          <w:szCs w:val="26"/>
        </w:rPr>
      </w:pPr>
      <w:r w:rsidRPr="0040648B">
        <w:rPr>
          <w:rFonts w:ascii="Perpetua" w:hAnsi="Perpetua"/>
          <w:sz w:val="26"/>
          <w:szCs w:val="26"/>
        </w:rPr>
        <w:t>Notwithstanding individual variations and exceptions, generally speaking, according to Heckscher, public anatomies in all Europe were celebrated only once a year, and they always ‘marked the height of the winter season’, while for the rest of the year</w:t>
      </w:r>
      <w:r w:rsidR="001C1459">
        <w:rPr>
          <w:rFonts w:ascii="Perpetua" w:hAnsi="Perpetua"/>
          <w:sz w:val="26"/>
          <w:szCs w:val="26"/>
        </w:rPr>
        <w:t xml:space="preserve"> at least some of</w:t>
      </w:r>
      <w:r w:rsidRPr="0040648B">
        <w:rPr>
          <w:rFonts w:ascii="Perpetua" w:hAnsi="Perpetua"/>
          <w:sz w:val="26"/>
          <w:szCs w:val="26"/>
        </w:rPr>
        <w:t xml:space="preserve"> the anatomy theatres were ‘devotional and moralizing museums’.</w:t>
      </w:r>
      <w:r w:rsidRPr="0040648B">
        <w:rPr>
          <w:rStyle w:val="FootnoteReference"/>
          <w:rFonts w:ascii="Perpetua" w:hAnsi="Perpetua"/>
          <w:sz w:val="26"/>
          <w:szCs w:val="26"/>
        </w:rPr>
        <w:footnoteReference w:id="14"/>
      </w:r>
      <w:r w:rsidRPr="001C1459">
        <w:rPr>
          <w:rFonts w:ascii="Perpetua" w:hAnsi="Perpetua"/>
          <w:sz w:val="26"/>
          <w:szCs w:val="26"/>
        </w:rPr>
        <w:t xml:space="preserve"> </w:t>
      </w:r>
      <w:r w:rsidR="00E108DF">
        <w:rPr>
          <w:rFonts w:ascii="Perpetua" w:hAnsi="Perpetua"/>
          <w:spacing w:val="-3"/>
          <w:sz w:val="26"/>
          <w:szCs w:val="26"/>
        </w:rPr>
        <w:t>T</w:t>
      </w:r>
      <w:r w:rsidR="001C1459" w:rsidRPr="001C1459">
        <w:rPr>
          <w:rFonts w:ascii="Perpetua" w:hAnsi="Perpetua"/>
          <w:spacing w:val="-3"/>
          <w:sz w:val="26"/>
          <w:szCs w:val="26"/>
        </w:rPr>
        <w:t xml:space="preserve">he permanent anatomy theatre of Leiden, built </w:t>
      </w:r>
      <w:r w:rsidR="001C1459" w:rsidRPr="001C1459">
        <w:rPr>
          <w:rFonts w:ascii="Perpetua" w:hAnsi="Perpetua"/>
          <w:sz w:val="26"/>
          <w:szCs w:val="26"/>
        </w:rPr>
        <w:t>by Peter Paauw in 1597,</w:t>
      </w:r>
      <w:r w:rsidR="001C1459" w:rsidRPr="001C1459">
        <w:rPr>
          <w:rFonts w:ascii="Perpetua" w:hAnsi="Perpetua"/>
          <w:spacing w:val="-3"/>
          <w:sz w:val="26"/>
          <w:szCs w:val="26"/>
        </w:rPr>
        <w:t xml:space="preserve"> </w:t>
      </w:r>
      <w:r w:rsidR="001C1459" w:rsidRPr="001C1459">
        <w:rPr>
          <w:rFonts w:ascii="Perpetua" w:hAnsi="Perpetua"/>
          <w:sz w:val="26"/>
          <w:szCs w:val="26"/>
        </w:rPr>
        <w:t xml:space="preserve">in the manner of a museum </w:t>
      </w:r>
      <w:r w:rsidR="001C1459" w:rsidRPr="001C1459">
        <w:rPr>
          <w:rFonts w:ascii="Perpetua" w:hAnsi="Perpetua"/>
          <w:spacing w:val="-3"/>
          <w:sz w:val="26"/>
          <w:szCs w:val="26"/>
        </w:rPr>
        <w:t>mounted exhibits during all but the brief annual season of demonstrations,</w:t>
      </w:r>
      <w:r w:rsidR="004F2690">
        <w:rPr>
          <w:rFonts w:ascii="Perpetua" w:hAnsi="Perpetua"/>
          <w:spacing w:val="-3"/>
          <w:sz w:val="26"/>
          <w:szCs w:val="26"/>
        </w:rPr>
        <w:t xml:space="preserve"> such as </w:t>
      </w:r>
      <w:r w:rsidR="004F2690" w:rsidRPr="004F2690">
        <w:rPr>
          <w:rFonts w:ascii="Perpetua" w:hAnsi="Perpetua"/>
          <w:sz w:val="26"/>
          <w:szCs w:val="26"/>
        </w:rPr>
        <w:t>skeletons placed on the bannisters of the galleries</w:t>
      </w:r>
      <w:r w:rsidR="004F2690">
        <w:rPr>
          <w:rFonts w:ascii="Perpetua" w:hAnsi="Perpetua"/>
          <w:sz w:val="26"/>
          <w:szCs w:val="26"/>
        </w:rPr>
        <w:t>,</w:t>
      </w:r>
      <w:r w:rsidR="001C1459" w:rsidRPr="001C1459">
        <w:rPr>
          <w:rFonts w:ascii="Perpetua" w:hAnsi="Perpetua"/>
          <w:spacing w:val="-3"/>
          <w:sz w:val="26"/>
          <w:szCs w:val="26"/>
        </w:rPr>
        <w:t xml:space="preserve"> including two skeletons representing Adam and Eve, flanking the Tree of Knowledge of Good and Evil.</w:t>
      </w:r>
      <w:r w:rsidR="00023FB2" w:rsidRPr="001C1459">
        <w:rPr>
          <w:rStyle w:val="FootnoteReference"/>
          <w:rFonts w:ascii="Perpetua" w:hAnsi="Perpetua"/>
          <w:spacing w:val="-3"/>
          <w:sz w:val="26"/>
          <w:szCs w:val="26"/>
        </w:rPr>
        <w:footnoteReference w:id="15"/>
      </w:r>
      <w:r w:rsidR="004F2690">
        <w:rPr>
          <w:rFonts w:ascii="Perpetua" w:hAnsi="Perpetua"/>
          <w:spacing w:val="-3"/>
          <w:sz w:val="26"/>
          <w:szCs w:val="26"/>
        </w:rPr>
        <w:t xml:space="preserve"> </w:t>
      </w:r>
      <w:r w:rsidR="004F2690">
        <w:rPr>
          <w:rFonts w:ascii="Perpetua" w:hAnsi="Perpetua"/>
          <w:i/>
          <w:sz w:val="26"/>
          <w:szCs w:val="26"/>
        </w:rPr>
        <w:t>V</w:t>
      </w:r>
      <w:r w:rsidR="004F2690" w:rsidRPr="004F2690">
        <w:rPr>
          <w:rFonts w:ascii="Perpetua" w:hAnsi="Perpetua"/>
          <w:i/>
          <w:sz w:val="26"/>
          <w:szCs w:val="26"/>
        </w:rPr>
        <w:t>anitas</w:t>
      </w:r>
      <w:r w:rsidR="004F2690" w:rsidRPr="004F2690">
        <w:rPr>
          <w:rFonts w:ascii="Perpetua" w:hAnsi="Perpetua"/>
          <w:sz w:val="26"/>
          <w:szCs w:val="26"/>
        </w:rPr>
        <w:t xml:space="preserve"> and </w:t>
      </w:r>
      <w:r w:rsidR="004F2690" w:rsidRPr="004F2690">
        <w:rPr>
          <w:rFonts w:ascii="Perpetua" w:hAnsi="Perpetua"/>
          <w:i/>
          <w:sz w:val="26"/>
          <w:szCs w:val="26"/>
        </w:rPr>
        <w:t>memento mori</w:t>
      </w:r>
      <w:r w:rsidR="004F2690" w:rsidRPr="004F2690">
        <w:rPr>
          <w:rFonts w:ascii="Perpetua" w:hAnsi="Perpetua"/>
          <w:sz w:val="26"/>
          <w:szCs w:val="26"/>
        </w:rPr>
        <w:t xml:space="preserve"> iconography pervades the interior of the theatre</w:t>
      </w:r>
      <w:r w:rsidR="00477733">
        <w:rPr>
          <w:rFonts w:ascii="Perpetua" w:hAnsi="Perpetua"/>
          <w:sz w:val="26"/>
          <w:szCs w:val="26"/>
        </w:rPr>
        <w:t xml:space="preserve"> (see Fig. 1)</w:t>
      </w:r>
      <w:r w:rsidR="004F2690" w:rsidRPr="004F2690">
        <w:rPr>
          <w:rFonts w:ascii="Perpetua" w:hAnsi="Perpetua"/>
          <w:sz w:val="26"/>
          <w:szCs w:val="26"/>
        </w:rPr>
        <w:t>.</w:t>
      </w:r>
    </w:p>
    <w:p w:rsidR="00477733" w:rsidRDefault="00477733" w:rsidP="004F2690">
      <w:pPr>
        <w:tabs>
          <w:tab w:val="left" w:pos="-720"/>
          <w:tab w:val="left" w:pos="0"/>
        </w:tabs>
        <w:suppressAutoHyphens/>
        <w:snapToGrid/>
        <w:spacing w:line="276" w:lineRule="auto"/>
        <w:rPr>
          <w:rFonts w:ascii="Perpetua" w:hAnsi="Perpetua"/>
          <w:sz w:val="26"/>
          <w:szCs w:val="26"/>
        </w:rPr>
      </w:pPr>
    </w:p>
    <w:p w:rsidR="00477733" w:rsidRPr="004F2690" w:rsidRDefault="00477733" w:rsidP="004F2690">
      <w:pPr>
        <w:tabs>
          <w:tab w:val="left" w:pos="-720"/>
          <w:tab w:val="left" w:pos="0"/>
        </w:tabs>
        <w:suppressAutoHyphens/>
        <w:snapToGrid/>
        <w:spacing w:line="276" w:lineRule="auto"/>
        <w:rPr>
          <w:rFonts w:ascii="Perpetua" w:hAnsi="Perpetua"/>
          <w:sz w:val="26"/>
          <w:szCs w:val="26"/>
        </w:rPr>
      </w:pPr>
      <w:r>
        <w:rPr>
          <w:rFonts w:ascii="Perpetua" w:hAnsi="Perpetua"/>
          <w:sz w:val="26"/>
          <w:szCs w:val="26"/>
        </w:rPr>
        <w:t xml:space="preserve">In England during the period with which we are concerned, the venues for anatomical demonstrations and lectures were Barber-Surgeons’ Hall, in Monkwell Street, the College of Physicians of London, and the Universities of Oxford and Cambridge. </w:t>
      </w:r>
      <w:r w:rsidRPr="00E07C23">
        <w:rPr>
          <w:rFonts w:ascii="Perpetua" w:hAnsi="Perpetua"/>
          <w:sz w:val="26"/>
          <w:szCs w:val="26"/>
        </w:rPr>
        <w:t>{</w:t>
      </w:r>
      <w:r w:rsidRPr="00E07C23">
        <w:rPr>
          <w:rFonts w:ascii="Perpetua" w:hAnsi="Perpetua"/>
          <w:b/>
          <w:sz w:val="26"/>
          <w:szCs w:val="26"/>
        </w:rPr>
        <w:t xml:space="preserve">SLIDE </w:t>
      </w:r>
      <w:r>
        <w:rPr>
          <w:rFonts w:ascii="Perpetua" w:hAnsi="Perpetua"/>
          <w:b/>
          <w:sz w:val="26"/>
          <w:szCs w:val="26"/>
        </w:rPr>
        <w:t>8</w:t>
      </w:r>
      <w:r w:rsidRPr="00E07C23">
        <w:rPr>
          <w:rFonts w:ascii="Perpetua" w:hAnsi="Perpetua"/>
          <w:b/>
          <w:sz w:val="26"/>
          <w:szCs w:val="26"/>
        </w:rPr>
        <w:t>}</w:t>
      </w:r>
      <w:r w:rsidRPr="00E07C23">
        <w:rPr>
          <w:rFonts w:ascii="Perpetua" w:hAnsi="Perpetua"/>
          <w:spacing w:val="-3"/>
          <w:sz w:val="26"/>
          <w:szCs w:val="26"/>
        </w:rPr>
        <w:t xml:space="preserve"> </w:t>
      </w:r>
      <w:r>
        <w:rPr>
          <w:rFonts w:ascii="Perpetua" w:hAnsi="Perpetua"/>
          <w:sz w:val="26"/>
          <w:szCs w:val="26"/>
        </w:rPr>
        <w:t xml:space="preserve"> </w:t>
      </w:r>
      <w:r>
        <w:rPr>
          <w:rFonts w:ascii="Perpetua" w:hAnsi="Perpetua"/>
          <w:spacing w:val="-3"/>
          <w:sz w:val="26"/>
          <w:szCs w:val="26"/>
        </w:rPr>
        <w:t>Among the</w:t>
      </w:r>
      <w:r w:rsidRPr="00A1796B">
        <w:rPr>
          <w:rFonts w:ascii="Perpetua" w:hAnsi="Perpetua"/>
          <w:spacing w:val="-3"/>
          <w:sz w:val="26"/>
          <w:szCs w:val="26"/>
        </w:rPr>
        <w:t xml:space="preserve"> set of</w:t>
      </w:r>
      <w:r>
        <w:rPr>
          <w:rFonts w:ascii="Perpetua" w:hAnsi="Perpetua"/>
          <w:spacing w:val="-3"/>
          <w:sz w:val="26"/>
          <w:szCs w:val="26"/>
        </w:rPr>
        <w:t xml:space="preserve"> anatomical tables commissioned by John Banister around 1580/1,</w:t>
      </w:r>
      <w:r w:rsidRPr="00A1796B">
        <w:rPr>
          <w:rFonts w:ascii="Perpetua" w:hAnsi="Perpetua"/>
          <w:spacing w:val="-3"/>
          <w:sz w:val="26"/>
          <w:szCs w:val="26"/>
        </w:rPr>
        <w:t xml:space="preserve"> </w:t>
      </w:r>
      <w:r>
        <w:rPr>
          <w:rFonts w:ascii="Perpetua" w:hAnsi="Perpetua"/>
          <w:spacing w:val="-3"/>
          <w:sz w:val="26"/>
          <w:szCs w:val="26"/>
        </w:rPr>
        <w:t>the frontispiece</w:t>
      </w:r>
      <w:r w:rsidRPr="00A1796B">
        <w:rPr>
          <w:rFonts w:ascii="Perpetua" w:hAnsi="Perpetua"/>
          <w:spacing w:val="-3"/>
          <w:sz w:val="26"/>
          <w:szCs w:val="26"/>
        </w:rPr>
        <w:t xml:space="preserve"> depicting the ‘Mystery and Communality of Barbers and Surgeons of London’,</w:t>
      </w:r>
      <w:r>
        <w:rPr>
          <w:rFonts w:ascii="Perpetua" w:hAnsi="Perpetua"/>
          <w:spacing w:val="-3"/>
          <w:sz w:val="26"/>
          <w:szCs w:val="26"/>
        </w:rPr>
        <w:t xml:space="preserve"> shows Banister as Master or Reader delivering the visceral lecture at Barber-Surgeons’ Hall.</w:t>
      </w:r>
      <w:r>
        <w:rPr>
          <w:rStyle w:val="FootnoteReference"/>
          <w:rFonts w:ascii="Perpetua" w:hAnsi="Perpetua"/>
          <w:spacing w:val="-3"/>
          <w:sz w:val="26"/>
          <w:szCs w:val="26"/>
        </w:rPr>
        <w:footnoteReference w:id="16"/>
      </w:r>
      <w:r w:rsidRPr="00A1796B">
        <w:rPr>
          <w:rFonts w:ascii="Perpetua" w:hAnsi="Perpetua"/>
          <w:spacing w:val="-3"/>
          <w:sz w:val="26"/>
          <w:szCs w:val="26"/>
        </w:rPr>
        <w:t xml:space="preserve"> </w:t>
      </w:r>
      <w:r>
        <w:rPr>
          <w:rFonts w:ascii="Perpetua" w:hAnsi="Perpetua"/>
          <w:spacing w:val="-3"/>
          <w:sz w:val="26"/>
          <w:szCs w:val="26"/>
        </w:rPr>
        <w:t xml:space="preserve">While Banister as </w:t>
      </w:r>
      <w:r w:rsidRPr="00A1796B">
        <w:rPr>
          <w:rFonts w:ascii="Perpetua" w:hAnsi="Perpetua"/>
          <w:i/>
          <w:spacing w:val="-3"/>
          <w:sz w:val="26"/>
          <w:szCs w:val="26"/>
        </w:rPr>
        <w:t>lector</w:t>
      </w:r>
      <w:r>
        <w:rPr>
          <w:rFonts w:ascii="Perpetua" w:hAnsi="Perpetua"/>
          <w:spacing w:val="-3"/>
          <w:sz w:val="26"/>
          <w:szCs w:val="26"/>
        </w:rPr>
        <w:t xml:space="preserve"> explains the text, he also shows and touches the anatomy</w:t>
      </w:r>
      <w:r w:rsidRPr="00A1796B">
        <w:rPr>
          <w:rFonts w:ascii="Perpetua" w:hAnsi="Perpetua"/>
          <w:spacing w:val="-3"/>
          <w:sz w:val="26"/>
          <w:szCs w:val="26"/>
        </w:rPr>
        <w:t xml:space="preserve"> </w:t>
      </w:r>
      <w:r>
        <w:rPr>
          <w:rFonts w:ascii="Perpetua" w:hAnsi="Perpetua"/>
          <w:spacing w:val="-3"/>
          <w:sz w:val="26"/>
          <w:szCs w:val="26"/>
        </w:rPr>
        <w:t xml:space="preserve">with </w:t>
      </w:r>
      <w:r w:rsidRPr="00A1796B">
        <w:rPr>
          <w:rFonts w:ascii="Perpetua" w:hAnsi="Perpetua"/>
          <w:spacing w:val="-3"/>
          <w:sz w:val="26"/>
          <w:szCs w:val="26"/>
        </w:rPr>
        <w:t xml:space="preserve">the </w:t>
      </w:r>
      <w:r w:rsidRPr="00A1796B">
        <w:rPr>
          <w:rFonts w:ascii="Perpetua" w:hAnsi="Perpetua"/>
          <w:i/>
          <w:spacing w:val="-3"/>
          <w:sz w:val="26"/>
          <w:szCs w:val="26"/>
        </w:rPr>
        <w:t>ostensor</w:t>
      </w:r>
      <w:r w:rsidRPr="00A1796B">
        <w:rPr>
          <w:rFonts w:ascii="Perpetua" w:hAnsi="Perpetua"/>
          <w:spacing w:val="-3"/>
          <w:sz w:val="26"/>
          <w:szCs w:val="26"/>
        </w:rPr>
        <w:t>’s rod</w:t>
      </w:r>
      <w:r>
        <w:rPr>
          <w:rFonts w:ascii="Perpetua" w:hAnsi="Perpetua"/>
          <w:spacing w:val="-3"/>
          <w:sz w:val="26"/>
          <w:szCs w:val="26"/>
        </w:rPr>
        <w:t xml:space="preserve"> and with his left hand, but his approach is not entirely Vesalian, for stewards were appointed to assist in the role of </w:t>
      </w:r>
      <w:r w:rsidRPr="00A1796B">
        <w:rPr>
          <w:rFonts w:ascii="Perpetua" w:hAnsi="Perpetua"/>
          <w:i/>
          <w:spacing w:val="-3"/>
          <w:sz w:val="26"/>
          <w:szCs w:val="26"/>
        </w:rPr>
        <w:t>secto</w:t>
      </w:r>
      <w:r w:rsidRPr="000B2414">
        <w:rPr>
          <w:rFonts w:ascii="Perpetua" w:hAnsi="Perpetua"/>
          <w:i/>
          <w:spacing w:val="-3"/>
          <w:sz w:val="26"/>
          <w:szCs w:val="26"/>
        </w:rPr>
        <w:t>r</w:t>
      </w:r>
      <w:r w:rsidRPr="000B2414">
        <w:rPr>
          <w:rFonts w:ascii="Perpetua" w:hAnsi="Perpetua"/>
          <w:spacing w:val="-3"/>
          <w:sz w:val="26"/>
          <w:szCs w:val="26"/>
        </w:rPr>
        <w:t xml:space="preserve"> by the Company’s Court.</w:t>
      </w:r>
      <w:r w:rsidRPr="000B2414">
        <w:rPr>
          <w:rStyle w:val="FootnoteReference"/>
          <w:rFonts w:ascii="Perpetua" w:hAnsi="Perpetua"/>
          <w:spacing w:val="-3"/>
          <w:sz w:val="26"/>
          <w:szCs w:val="26"/>
        </w:rPr>
        <w:footnoteReference w:id="17"/>
      </w:r>
      <w:r>
        <w:rPr>
          <w:rFonts w:ascii="Perpetua" w:hAnsi="Perpetua"/>
          <w:spacing w:val="-3"/>
          <w:sz w:val="26"/>
          <w:szCs w:val="26"/>
        </w:rPr>
        <w:t xml:space="preserve"> </w:t>
      </w:r>
      <w:r w:rsidRPr="00023FB2">
        <w:rPr>
          <w:rFonts w:ascii="Perpetua" w:hAnsi="Perpetua"/>
          <w:spacing w:val="-3"/>
          <w:sz w:val="26"/>
          <w:szCs w:val="26"/>
        </w:rPr>
        <w:t>T</w:t>
      </w:r>
      <w:r w:rsidRPr="00023FB2">
        <w:rPr>
          <w:rFonts w:ascii="Perpetua" w:hAnsi="Perpetua"/>
          <w:sz w:val="26"/>
          <w:szCs w:val="26"/>
        </w:rPr>
        <w:t>he</w:t>
      </w:r>
      <w:r w:rsidRPr="00023FB2">
        <w:rPr>
          <w:rFonts w:ascii="Perpetua" w:hAnsi="Perpetua"/>
          <w:spacing w:val="-3"/>
          <w:sz w:val="26"/>
          <w:szCs w:val="26"/>
        </w:rPr>
        <w:t xml:space="preserve"> elliptical anatomy theatre of the Barber-Surgeons in London was designed by Inigo Jones, and built in 1636, adjoining the north aspect of the Barber-Surgeons’ Hall.</w:t>
      </w:r>
      <w:r w:rsidRPr="00023FB2">
        <w:rPr>
          <w:rStyle w:val="FootnoteReference"/>
          <w:rFonts w:ascii="Perpetua" w:hAnsi="Perpetua"/>
          <w:spacing w:val="-3"/>
          <w:sz w:val="26"/>
          <w:szCs w:val="26"/>
        </w:rPr>
        <w:footnoteReference w:id="18"/>
      </w:r>
      <w:r>
        <w:rPr>
          <w:rFonts w:ascii="Perpetua" w:hAnsi="Perpetua"/>
          <w:spacing w:val="-3"/>
          <w:sz w:val="26"/>
          <w:szCs w:val="26"/>
        </w:rPr>
        <w:t xml:space="preserve"> </w:t>
      </w:r>
      <w:r w:rsidRPr="00023FB2">
        <w:rPr>
          <w:rFonts w:ascii="Perpetua" w:hAnsi="Perpetua"/>
          <w:spacing w:val="-3"/>
          <w:sz w:val="26"/>
          <w:szCs w:val="26"/>
        </w:rPr>
        <w:t>The</w:t>
      </w:r>
      <w:r>
        <w:rPr>
          <w:rFonts w:ascii="Perpetua" w:hAnsi="Perpetua"/>
          <w:spacing w:val="-3"/>
          <w:sz w:val="26"/>
          <w:szCs w:val="26"/>
        </w:rPr>
        <w:t>re were</w:t>
      </w:r>
      <w:r w:rsidRPr="00023FB2">
        <w:rPr>
          <w:rFonts w:ascii="Perpetua" w:hAnsi="Perpetua"/>
          <w:spacing w:val="-3"/>
          <w:sz w:val="26"/>
          <w:szCs w:val="26"/>
        </w:rPr>
        <w:t xml:space="preserve"> </w:t>
      </w:r>
      <w:r w:rsidRPr="00023FB2">
        <w:rPr>
          <w:rFonts w:ascii="Perpetua" w:hAnsi="Perpetua"/>
          <w:sz w:val="26"/>
          <w:szCs w:val="26"/>
        </w:rPr>
        <w:t>‘four degrees of cedar seats, rising one above the other’</w:t>
      </w:r>
      <w:r>
        <w:rPr>
          <w:rFonts w:ascii="Perpetua" w:hAnsi="Perpetua"/>
          <w:sz w:val="26"/>
          <w:szCs w:val="26"/>
        </w:rPr>
        <w:t>.</w:t>
      </w:r>
    </w:p>
    <w:p w:rsidR="00E07C23" w:rsidRPr="00E07C23" w:rsidRDefault="00E07C23" w:rsidP="00E07C23">
      <w:pPr>
        <w:tabs>
          <w:tab w:val="left" w:pos="-720"/>
          <w:tab w:val="left" w:pos="0"/>
        </w:tabs>
        <w:suppressAutoHyphens/>
        <w:snapToGrid/>
        <w:spacing w:line="276" w:lineRule="auto"/>
        <w:rPr>
          <w:rFonts w:ascii="Perpetua" w:hAnsi="Perpetua" w:cs="Adobe Devanagari"/>
          <w:spacing w:val="-3"/>
          <w:sz w:val="26"/>
          <w:szCs w:val="26"/>
          <w:lang w:val="en-GB"/>
        </w:rPr>
      </w:pPr>
      <w:r w:rsidRPr="00E07C23">
        <w:rPr>
          <w:rFonts w:ascii="Perpetua" w:hAnsi="Perpetua" w:cs="Adobe Devanagari"/>
          <w:noProof/>
          <w:spacing w:val="-3"/>
          <w:sz w:val="26"/>
          <w:szCs w:val="26"/>
          <w:lang w:val="en-GB" w:eastAsia="en-GB"/>
        </w:rPr>
        <w:lastRenderedPageBreak/>
        <w:drawing>
          <wp:inline distT="0" distB="0" distL="0" distR="0">
            <wp:extent cx="5731510" cy="4733254"/>
            <wp:effectExtent l="0" t="0" r="2540" b="0"/>
            <wp:docPr id="1" name="Picture 1" descr="E:\Academic Profession\Research, Scholarship &amp; Teaching\Early Modern Anatomy\Anatomical Illustration\Archive Anatomy Theatres\Leiden Anatomy Theatre\Leiden Anatomy Theatre 1610 Yale U Historical Li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cademic Profession\Research, Scholarship &amp; Teaching\Early Modern Anatomy\Anatomical Illustration\Archive Anatomy Theatres\Leiden Anatomy Theatre\Leiden Anatomy Theatre 1610 Yale U Historical Lib.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733254"/>
                    </a:xfrm>
                    <a:prstGeom prst="rect">
                      <a:avLst/>
                    </a:prstGeom>
                    <a:noFill/>
                    <a:ln>
                      <a:noFill/>
                    </a:ln>
                  </pic:spPr>
                </pic:pic>
              </a:graphicData>
            </a:graphic>
          </wp:inline>
        </w:drawing>
      </w:r>
    </w:p>
    <w:p w:rsidR="00E47B6F" w:rsidRPr="00E47B6F" w:rsidRDefault="00477733" w:rsidP="00E47B6F">
      <w:pPr>
        <w:tabs>
          <w:tab w:val="left" w:pos="-720"/>
          <w:tab w:val="left" w:pos="0"/>
        </w:tabs>
        <w:suppressAutoHyphens/>
        <w:spacing w:line="276" w:lineRule="auto"/>
        <w:rPr>
          <w:rFonts w:ascii="Perpetua" w:hAnsi="Perpetua" w:cs="Adobe Devanagari"/>
          <w:spacing w:val="-3"/>
          <w:szCs w:val="24"/>
          <w:lang w:val="en-GB"/>
        </w:rPr>
      </w:pPr>
      <w:r>
        <w:rPr>
          <w:rFonts w:ascii="Perpetua" w:hAnsi="Perpetua" w:cs="Adobe Devanagari"/>
          <w:spacing w:val="-3"/>
          <w:szCs w:val="24"/>
          <w:lang w:val="en-GB"/>
        </w:rPr>
        <w:t xml:space="preserve">Fig. 1. </w:t>
      </w:r>
      <w:r w:rsidR="00E47B6F">
        <w:rPr>
          <w:rFonts w:ascii="Perpetua" w:hAnsi="Perpetua" w:cs="Adobe Devanagari"/>
          <w:spacing w:val="-3"/>
          <w:szCs w:val="24"/>
          <w:lang w:val="en-GB"/>
        </w:rPr>
        <w:t>Leiden Anatomy Theatre.</w:t>
      </w:r>
      <w:r w:rsidR="00E07C23">
        <w:rPr>
          <w:rFonts w:ascii="Perpetua" w:hAnsi="Perpetua" w:cs="Adobe Devanagari"/>
          <w:spacing w:val="-3"/>
          <w:szCs w:val="24"/>
          <w:lang w:val="en-GB"/>
        </w:rPr>
        <w:t xml:space="preserve"> </w:t>
      </w:r>
      <w:r w:rsidR="00E47B6F" w:rsidRPr="00E47B6F">
        <w:rPr>
          <w:rFonts w:ascii="Perpetua" w:hAnsi="Perpetua" w:cs="Adobe Devanagari"/>
          <w:spacing w:val="-3"/>
        </w:rPr>
        <w:t>Engraving by W. Swanenburg after a drawing by J.C. Woudanus</w:t>
      </w:r>
      <w:r w:rsidR="00E47B6F">
        <w:rPr>
          <w:rFonts w:ascii="Perpetua" w:hAnsi="Perpetua" w:cs="Adobe Devanagari"/>
          <w:spacing w:val="-3"/>
        </w:rPr>
        <w:t xml:space="preserve">. </w:t>
      </w:r>
      <w:r w:rsidR="00E47B6F" w:rsidRPr="00E47B6F">
        <w:rPr>
          <w:rFonts w:ascii="Perpetua" w:hAnsi="Perpetua" w:cs="Adobe Devanagari"/>
          <w:spacing w:val="-3"/>
          <w:szCs w:val="24"/>
          <w:lang w:val="en-GB"/>
        </w:rPr>
        <w:t>Leiden: Printed by Andries Clouck, 1610</w:t>
      </w:r>
      <w:r w:rsidR="00E47B6F">
        <w:rPr>
          <w:rFonts w:ascii="Perpetua" w:hAnsi="Perpetua" w:cs="Adobe Devanagari"/>
          <w:spacing w:val="-3"/>
          <w:szCs w:val="24"/>
          <w:lang w:val="en-GB"/>
        </w:rPr>
        <w:t xml:space="preserve">. </w:t>
      </w:r>
      <w:r w:rsidR="00E47B6F" w:rsidRPr="00E47B6F">
        <w:rPr>
          <w:rFonts w:ascii="Perpetua" w:hAnsi="Perpetua" w:cs="Adobe Devanagari"/>
          <w:spacing w:val="-3"/>
          <w:szCs w:val="24"/>
          <w:lang w:val="en-GB"/>
        </w:rPr>
        <w:t>Yale University, Harvey Cushing/John Hay Whitney Medical Library</w:t>
      </w:r>
    </w:p>
    <w:p w:rsidR="00E07C23" w:rsidRDefault="00E07C23" w:rsidP="0010516D">
      <w:pPr>
        <w:tabs>
          <w:tab w:val="left" w:pos="-720"/>
          <w:tab w:val="left" w:pos="0"/>
        </w:tabs>
        <w:suppressAutoHyphens/>
        <w:snapToGrid/>
        <w:spacing w:line="276" w:lineRule="auto"/>
        <w:rPr>
          <w:rFonts w:ascii="Perpetua" w:hAnsi="Perpetua" w:cs="Adobe Devanagari"/>
          <w:spacing w:val="-3"/>
          <w:sz w:val="26"/>
          <w:szCs w:val="26"/>
          <w:lang w:val="en-GB"/>
        </w:rPr>
      </w:pPr>
    </w:p>
    <w:p w:rsidR="00477733" w:rsidRPr="004F2690" w:rsidRDefault="00477733" w:rsidP="0010516D">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AE78D2"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AE78D2">
        <w:rPr>
          <w:rFonts w:ascii="Perpetua" w:hAnsi="Perpetua" w:cs="Adobe Devanagari"/>
          <w:b/>
          <w:spacing w:val="-3"/>
          <w:sz w:val="26"/>
          <w:szCs w:val="26"/>
          <w:lang w:val="en-GB"/>
        </w:rPr>
        <w:t>The play in its biographical context: Devonshire gentry family; Middle Temple</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Default="00DC7C07"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John Ford’s biography is scant of detail, but it is known that he came of an old Devonshire family</w:t>
      </w:r>
      <w:r w:rsidR="00C61188">
        <w:rPr>
          <w:rFonts w:ascii="Perpetua" w:hAnsi="Perpetua" w:cs="Adobe Devanagari"/>
          <w:spacing w:val="-3"/>
          <w:sz w:val="26"/>
          <w:szCs w:val="26"/>
          <w:lang w:val="en-GB"/>
        </w:rPr>
        <w:t xml:space="preserve"> and therefore of gentry class. He</w:t>
      </w:r>
      <w:r>
        <w:rPr>
          <w:rFonts w:ascii="Perpetua" w:hAnsi="Perpetua" w:cs="Adobe Devanagari"/>
          <w:spacing w:val="-3"/>
          <w:sz w:val="26"/>
          <w:szCs w:val="26"/>
          <w:lang w:val="en-GB"/>
        </w:rPr>
        <w:t xml:space="preserve"> was baptized on 17th April 1568. He may have matriculated at Exeter College, Oxford, on 26 March 1601, but it is known that he entered the Middle Temple on 16th November 1602. ‘Like the other Inns of Court, the Middle Temple offered a general and cultivated education to the Elizabethan gentleman as well as legal training.’</w:t>
      </w:r>
      <w:r>
        <w:rPr>
          <w:rStyle w:val="FootnoteReference"/>
          <w:rFonts w:ascii="Perpetua" w:hAnsi="Perpetua" w:cs="Adobe Devanagari"/>
          <w:spacing w:val="-3"/>
          <w:sz w:val="26"/>
          <w:szCs w:val="26"/>
          <w:lang w:val="en-GB"/>
        </w:rPr>
        <w:footnoteReference w:id="19"/>
      </w:r>
      <w:r w:rsidR="00AE78D2">
        <w:rPr>
          <w:rFonts w:ascii="Perpetua" w:hAnsi="Perpetua" w:cs="Adobe Devanagari"/>
          <w:spacing w:val="-3"/>
          <w:sz w:val="26"/>
          <w:szCs w:val="26"/>
          <w:lang w:val="en-GB"/>
        </w:rPr>
        <w:t xml:space="preserve"> We know that the Middle Temple contracted with a theatre company for performances in its Great Hall twice a year during this period. These Ford may well have attended during his time at the Inn.</w:t>
      </w:r>
      <w:r w:rsidR="006B1B5C">
        <w:rPr>
          <w:rFonts w:ascii="Perpetua" w:hAnsi="Perpetua" w:cs="Adobe Devanagari"/>
          <w:spacing w:val="-3"/>
          <w:sz w:val="26"/>
          <w:szCs w:val="26"/>
          <w:lang w:val="en-GB"/>
        </w:rPr>
        <w:t xml:space="preserve"> ‘When Ford arrived at the Middle Temple [the poet and playwright John] Marston was in residence there</w:t>
      </w:r>
      <w:r w:rsidR="00C61188">
        <w:rPr>
          <w:rFonts w:ascii="Perpetua" w:hAnsi="Perpetua" w:cs="Adobe Devanagari"/>
          <w:spacing w:val="-3"/>
          <w:sz w:val="26"/>
          <w:szCs w:val="26"/>
          <w:lang w:val="en-GB"/>
        </w:rPr>
        <w:t>, and had already “created a precedent for other members of the gentry” by turning playwright; […].’</w:t>
      </w:r>
      <w:r w:rsidR="00C61188">
        <w:rPr>
          <w:rStyle w:val="FootnoteReference"/>
          <w:rFonts w:ascii="Perpetua" w:hAnsi="Perpetua" w:cs="Adobe Devanagari"/>
          <w:spacing w:val="-3"/>
          <w:sz w:val="26"/>
          <w:szCs w:val="26"/>
          <w:lang w:val="en-GB"/>
        </w:rPr>
        <w:footnoteReference w:id="20"/>
      </w:r>
      <w:r w:rsidR="00AE78D2">
        <w:rPr>
          <w:rFonts w:ascii="Perpetua" w:hAnsi="Perpetua" w:cs="Adobe Devanagari"/>
          <w:spacing w:val="-3"/>
          <w:sz w:val="26"/>
          <w:szCs w:val="26"/>
          <w:lang w:val="en-GB"/>
        </w:rPr>
        <w:t xml:space="preserve"> </w:t>
      </w:r>
      <w:r w:rsidR="00AE78D2">
        <w:rPr>
          <w:rFonts w:ascii="Perpetua" w:hAnsi="Perpetua" w:cs="Adobe Devanagari"/>
          <w:spacing w:val="-3"/>
          <w:sz w:val="26"/>
          <w:szCs w:val="26"/>
          <w:lang w:val="en-GB"/>
        </w:rPr>
        <w:lastRenderedPageBreak/>
        <w:t>Ford’s literary career dates from 1606 and he remained at the Middle Temple at least until 1617.</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765F5A" w:rsidRDefault="00B86094" w:rsidP="009C13D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765F5A">
        <w:rPr>
          <w:rFonts w:ascii="Perpetua" w:hAnsi="Perpetua" w:cs="Adobe Devanagari"/>
          <w:b/>
          <w:spacing w:val="-3"/>
          <w:sz w:val="26"/>
          <w:szCs w:val="26"/>
          <w:lang w:val="en-GB"/>
        </w:rPr>
        <w:t>Renaissance Platonism, which identifies the good and the beautiful and the worship of beauty with the love of virtue; the image of lovers as perfect likenesses, as one soul mysteriously divided</w:t>
      </w:r>
    </w:p>
    <w:p w:rsidR="00B86094" w:rsidRDefault="00B86094" w:rsidP="009C13D6">
      <w:pPr>
        <w:tabs>
          <w:tab w:val="left" w:pos="-720"/>
          <w:tab w:val="left" w:pos="0"/>
        </w:tabs>
        <w:suppressAutoHyphens/>
        <w:snapToGrid/>
        <w:spacing w:line="276" w:lineRule="auto"/>
        <w:ind w:right="1134"/>
        <w:rPr>
          <w:rFonts w:ascii="Perpetua" w:hAnsi="Perpetua" w:cs="Adobe Devanagari"/>
          <w:spacing w:val="-3"/>
          <w:sz w:val="26"/>
          <w:szCs w:val="26"/>
          <w:lang w:val="en-GB"/>
        </w:rPr>
      </w:pPr>
    </w:p>
    <w:p w:rsidR="006C109B" w:rsidRDefault="006C109B" w:rsidP="006C109B">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In his plays, Ford has been described as returning to certain situations and human problems with great frequency</w:t>
      </w:r>
      <w:r w:rsidR="006B1B5C">
        <w:rPr>
          <w:rFonts w:ascii="Perpetua" w:hAnsi="Perpetua" w:cs="Adobe Devanagari"/>
          <w:spacing w:val="-3"/>
          <w:sz w:val="26"/>
          <w:szCs w:val="26"/>
          <w:lang w:val="en-GB"/>
        </w:rPr>
        <w:t>:</w:t>
      </w:r>
      <w:r>
        <w:rPr>
          <w:rFonts w:ascii="Perpetua" w:hAnsi="Perpetua" w:cs="Adobe Devanagari"/>
          <w:spacing w:val="-3"/>
          <w:sz w:val="26"/>
          <w:szCs w:val="26"/>
          <w:lang w:val="en-GB"/>
        </w:rPr>
        <w:t xml:space="preserve"> </w:t>
      </w:r>
    </w:p>
    <w:p w:rsidR="006C109B" w:rsidRPr="006C109B" w:rsidRDefault="006C109B" w:rsidP="006C109B">
      <w:pPr>
        <w:tabs>
          <w:tab w:val="left" w:pos="-720"/>
          <w:tab w:val="left" w:pos="0"/>
        </w:tabs>
        <w:suppressAutoHyphens/>
        <w:snapToGrid/>
        <w:ind w:left="1134" w:right="1134"/>
        <w:rPr>
          <w:rFonts w:ascii="Perpetua" w:hAnsi="Perpetua" w:cs="Adobe Devanagari"/>
          <w:spacing w:val="-3"/>
          <w:szCs w:val="24"/>
          <w:lang w:val="en-GB"/>
        </w:rPr>
      </w:pPr>
    </w:p>
    <w:p w:rsidR="006C109B" w:rsidRPr="006C109B" w:rsidRDefault="006C109B" w:rsidP="006C109B">
      <w:pPr>
        <w:tabs>
          <w:tab w:val="left" w:pos="-720"/>
          <w:tab w:val="left" w:pos="0"/>
        </w:tabs>
        <w:suppressAutoHyphens/>
        <w:snapToGrid/>
        <w:ind w:left="1134" w:right="1134"/>
        <w:rPr>
          <w:rFonts w:ascii="Perpetua" w:hAnsi="Perpetua" w:cs="Adobe Devanagari"/>
          <w:spacing w:val="-3"/>
          <w:szCs w:val="24"/>
          <w:lang w:val="en-GB"/>
        </w:rPr>
      </w:pPr>
      <w:r w:rsidRPr="006C109B">
        <w:rPr>
          <w:rFonts w:ascii="Perpetua" w:hAnsi="Perpetua" w:cs="Adobe Devanagari"/>
          <w:spacing w:val="-3"/>
          <w:szCs w:val="24"/>
          <w:lang w:val="en-GB"/>
        </w:rPr>
        <w:t>There is a central interest in idealized, romantic love, and Ford has been associated with the Platonic love cult inaugurated at the English court in the late 1620s by Charles I’s French wife, Henrietta Maria. In particular, Ford explores with obsessive interest the love situation where a natural, spontaneous expression of that love is forbidden by society or convention.</w:t>
      </w:r>
      <w:r w:rsidRPr="006C109B">
        <w:rPr>
          <w:rStyle w:val="FootnoteReference"/>
          <w:rFonts w:ascii="Perpetua" w:hAnsi="Perpetua" w:cs="Adobe Devanagari"/>
          <w:spacing w:val="-3"/>
          <w:szCs w:val="24"/>
          <w:lang w:val="en-GB"/>
        </w:rPr>
        <w:footnoteReference w:id="21"/>
      </w:r>
    </w:p>
    <w:p w:rsidR="006C109B" w:rsidRPr="006C109B" w:rsidRDefault="006C109B" w:rsidP="006C109B">
      <w:pPr>
        <w:tabs>
          <w:tab w:val="left" w:pos="-720"/>
          <w:tab w:val="left" w:pos="0"/>
        </w:tabs>
        <w:suppressAutoHyphens/>
        <w:snapToGrid/>
        <w:ind w:left="1134" w:right="1134"/>
        <w:rPr>
          <w:rFonts w:ascii="Perpetua" w:hAnsi="Perpetua" w:cs="Adobe Devanagari"/>
          <w:spacing w:val="-3"/>
          <w:szCs w:val="24"/>
          <w:lang w:val="en-GB"/>
        </w:rPr>
      </w:pPr>
    </w:p>
    <w:p w:rsidR="006C109B" w:rsidRDefault="00765F5A" w:rsidP="009C13D6">
      <w:pPr>
        <w:tabs>
          <w:tab w:val="left" w:pos="-720"/>
          <w:tab w:val="left" w:pos="0"/>
        </w:tabs>
        <w:suppressAutoHyphens/>
        <w:snapToGrid/>
        <w:spacing w:line="276" w:lineRule="auto"/>
        <w:ind w:right="1134"/>
        <w:rPr>
          <w:rFonts w:ascii="Perpetua" w:hAnsi="Perpetua" w:cs="Adobe Devanagari"/>
          <w:spacing w:val="-3"/>
          <w:sz w:val="26"/>
          <w:szCs w:val="26"/>
          <w:lang w:val="en-GB"/>
        </w:rPr>
      </w:pPr>
      <w:r>
        <w:rPr>
          <w:rFonts w:ascii="Perpetua" w:hAnsi="Perpetua" w:cs="Adobe Devanagari"/>
          <w:spacing w:val="-3"/>
          <w:sz w:val="26"/>
          <w:szCs w:val="26"/>
          <w:lang w:val="en-GB"/>
        </w:rPr>
        <w:t>Giovanni ‘is especially drawn to the Neoplatonic image of lovers as perfect likenesses, as mirrors of one another, as one soul mysteriously shared or divided between two bodies and eternally seeking reunion’.</w:t>
      </w:r>
      <w:r>
        <w:rPr>
          <w:rStyle w:val="FootnoteReference"/>
          <w:rFonts w:ascii="Perpetua" w:hAnsi="Perpetua" w:cs="Adobe Devanagari"/>
          <w:spacing w:val="-3"/>
          <w:sz w:val="26"/>
          <w:szCs w:val="26"/>
          <w:lang w:val="en-GB"/>
        </w:rPr>
        <w:footnoteReference w:id="22"/>
      </w:r>
      <w:r>
        <w:rPr>
          <w:rFonts w:ascii="Perpetua" w:hAnsi="Perpetua" w:cs="Adobe Devanagari"/>
          <w:spacing w:val="-3"/>
          <w:sz w:val="26"/>
          <w:szCs w:val="26"/>
          <w:lang w:val="en-GB"/>
        </w:rPr>
        <w:t xml:space="preserve"> See I.i.28-34.</w:t>
      </w:r>
    </w:p>
    <w:p w:rsidR="00151A72" w:rsidRDefault="00151A72"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B86094"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B86094">
        <w:rPr>
          <w:rFonts w:ascii="Perpetua" w:hAnsi="Perpetua" w:cs="Adobe Devanagari"/>
          <w:b/>
          <w:spacing w:val="-3"/>
          <w:sz w:val="26"/>
          <w:szCs w:val="26"/>
          <w:lang w:val="en-GB"/>
        </w:rPr>
        <w:t xml:space="preserve">Passionate love which demands a unity more complete, more self-sufficient than human life permits; the self-absorption of the lover; </w:t>
      </w:r>
      <w:r w:rsidRPr="000A45A5">
        <w:rPr>
          <w:rFonts w:ascii="Perpetua" w:hAnsi="Perpetua" w:cs="Adobe Devanagari"/>
          <w:b/>
          <w:spacing w:val="-3"/>
          <w:sz w:val="26"/>
          <w:szCs w:val="26"/>
          <w:lang w:val="en-GB"/>
        </w:rPr>
        <w:t>narcissistic suicidal aggression</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A43A7F" w:rsidRPr="00645B34" w:rsidRDefault="00A43A7F" w:rsidP="00A43A7F">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Often in medieval romance, celebrated love was distinct from, and dramatically clashed with, the imperatives of dynastic marriage. Adulterous love could be seen to offer a kind of personal salvation</w:t>
      </w:r>
      <w:r w:rsidR="00ED57AD">
        <w:rPr>
          <w:rFonts w:ascii="Perpetua" w:hAnsi="Perpetua" w:cs="Adobe Devanagari"/>
          <w:spacing w:val="-3"/>
          <w:sz w:val="26"/>
          <w:szCs w:val="26"/>
          <w:lang w:val="en-GB"/>
        </w:rPr>
        <w:t xml:space="preserve"> to those who embark upon it, provided they remain faithful to each other and observe courtesy in all things,</w:t>
      </w:r>
      <w:r>
        <w:rPr>
          <w:rFonts w:ascii="Perpetua" w:hAnsi="Perpetua" w:cs="Adobe Devanagari"/>
          <w:spacing w:val="-3"/>
          <w:sz w:val="26"/>
          <w:szCs w:val="26"/>
          <w:lang w:val="en-GB"/>
        </w:rPr>
        <w:t xml:space="preserve"> and so</w:t>
      </w:r>
      <w:r w:rsidR="00ED57AD">
        <w:rPr>
          <w:rFonts w:ascii="Perpetua" w:hAnsi="Perpetua" w:cs="Adobe Devanagari"/>
          <w:spacing w:val="-3"/>
          <w:sz w:val="26"/>
          <w:szCs w:val="26"/>
          <w:lang w:val="en-GB"/>
        </w:rPr>
        <w:t xml:space="preserve"> it</w:t>
      </w:r>
      <w:r>
        <w:rPr>
          <w:rFonts w:ascii="Perpetua" w:hAnsi="Perpetua" w:cs="Adobe Devanagari"/>
          <w:spacing w:val="-3"/>
          <w:sz w:val="26"/>
          <w:szCs w:val="26"/>
          <w:lang w:val="en-GB"/>
        </w:rPr>
        <w:t xml:space="preserve"> was articulated in religious terms.</w:t>
      </w:r>
      <w:r w:rsidR="006C109B">
        <w:rPr>
          <w:rFonts w:ascii="Perpetua" w:hAnsi="Perpetua" w:cs="Adobe Devanagari"/>
          <w:spacing w:val="-3"/>
          <w:sz w:val="26"/>
          <w:szCs w:val="26"/>
          <w:lang w:val="en-GB"/>
        </w:rPr>
        <w:t xml:space="preserve"> In several plays Ford deals with enforced marriage where a spontaneous expression of adulterous love is forbidden.</w:t>
      </w:r>
      <w:r>
        <w:rPr>
          <w:rFonts w:ascii="Perpetua" w:hAnsi="Perpetua" w:cs="Adobe Devanagari"/>
          <w:spacing w:val="-3"/>
          <w:sz w:val="26"/>
          <w:szCs w:val="26"/>
          <w:lang w:val="en-GB"/>
        </w:rPr>
        <w:t xml:space="preserve"> The love between Giovanni and Annabella in </w:t>
      </w:r>
      <w:r>
        <w:rPr>
          <w:rFonts w:ascii="Perpetua" w:hAnsi="Perpetua" w:cs="Adobe Devanagari"/>
          <w:i/>
          <w:spacing w:val="-3"/>
          <w:sz w:val="26"/>
          <w:szCs w:val="26"/>
          <w:lang w:val="en-GB"/>
        </w:rPr>
        <w:t xml:space="preserve">’Tis Pity She’s </w:t>
      </w:r>
      <w:r w:rsidR="00453AB6">
        <w:rPr>
          <w:rFonts w:ascii="Perpetua" w:hAnsi="Perpetua" w:cs="Adobe Devanagari"/>
          <w:i/>
          <w:spacing w:val="-3"/>
          <w:sz w:val="26"/>
          <w:szCs w:val="26"/>
          <w:lang w:val="en-GB"/>
        </w:rPr>
        <w:t>a</w:t>
      </w:r>
      <w:r>
        <w:rPr>
          <w:rFonts w:ascii="Perpetua" w:hAnsi="Perpetua" w:cs="Adobe Devanagari"/>
          <w:i/>
          <w:spacing w:val="-3"/>
          <w:sz w:val="26"/>
          <w:szCs w:val="26"/>
          <w:lang w:val="en-GB"/>
        </w:rPr>
        <w:t xml:space="preserve"> Whore</w:t>
      </w:r>
      <w:r>
        <w:rPr>
          <w:rFonts w:ascii="Perpetua" w:hAnsi="Perpetua" w:cs="Adobe Devanagari"/>
          <w:spacing w:val="-3"/>
          <w:sz w:val="26"/>
          <w:szCs w:val="26"/>
          <w:lang w:val="en-GB"/>
        </w:rPr>
        <w:t xml:space="preserve"> not only transgresses marriage vows and rights, but the social prohibition and taboo against incest; yet it is similarly evoked in religious terms</w:t>
      </w:r>
      <w:r w:rsidR="00ED57AD">
        <w:rPr>
          <w:rFonts w:ascii="Perpetua" w:hAnsi="Perpetua" w:cs="Adobe Devanagari"/>
          <w:spacing w:val="-3"/>
          <w:sz w:val="26"/>
          <w:szCs w:val="26"/>
          <w:lang w:val="en-GB"/>
        </w:rPr>
        <w:t xml:space="preserve"> by the lovers, and ‘seems predicated not on libertinism but on chastity’</w:t>
      </w:r>
      <w:r>
        <w:rPr>
          <w:rFonts w:ascii="Perpetua" w:hAnsi="Perpetua" w:cs="Adobe Devanagari"/>
          <w:spacing w:val="-3"/>
          <w:sz w:val="26"/>
          <w:szCs w:val="26"/>
          <w:lang w:val="en-GB"/>
        </w:rPr>
        <w:t>.</w:t>
      </w:r>
      <w:r w:rsidR="00ED57AD">
        <w:rPr>
          <w:rStyle w:val="FootnoteReference"/>
          <w:rFonts w:ascii="Perpetua" w:hAnsi="Perpetua" w:cs="Adobe Devanagari"/>
          <w:spacing w:val="-3"/>
          <w:sz w:val="26"/>
          <w:szCs w:val="26"/>
          <w:lang w:val="en-GB"/>
        </w:rPr>
        <w:footnoteReference w:id="23"/>
      </w:r>
    </w:p>
    <w:p w:rsidR="00A43A7F" w:rsidRPr="00151A72" w:rsidRDefault="00A43A7F" w:rsidP="00A43A7F">
      <w:pPr>
        <w:tabs>
          <w:tab w:val="left" w:pos="-720"/>
          <w:tab w:val="left" w:pos="0"/>
        </w:tabs>
        <w:suppressAutoHyphens/>
        <w:snapToGrid/>
        <w:ind w:right="1134"/>
        <w:rPr>
          <w:rFonts w:ascii="Perpetua" w:hAnsi="Perpetua" w:cs="Adobe Devanagari"/>
          <w:spacing w:val="-3"/>
          <w:szCs w:val="24"/>
          <w:lang w:val="en-GB"/>
        </w:rPr>
      </w:pPr>
    </w:p>
    <w:p w:rsidR="00A43A7F" w:rsidRDefault="00A43A7F" w:rsidP="00A43A7F">
      <w:pPr>
        <w:tabs>
          <w:tab w:val="left" w:pos="-720"/>
          <w:tab w:val="left" w:pos="0"/>
        </w:tabs>
        <w:suppressAutoHyphens/>
        <w:snapToGrid/>
        <w:ind w:left="1134" w:right="1134"/>
        <w:rPr>
          <w:rFonts w:ascii="Perpetua" w:hAnsi="Perpetua" w:cs="Adobe Devanagari"/>
          <w:spacing w:val="-3"/>
          <w:sz w:val="26"/>
          <w:szCs w:val="26"/>
          <w:lang w:val="en-GB"/>
        </w:rPr>
      </w:pPr>
      <w:r>
        <w:rPr>
          <w:rFonts w:ascii="Perpetua" w:hAnsi="Perpetua" w:cs="Adobe Devanagari"/>
          <w:spacing w:val="-3"/>
          <w:szCs w:val="24"/>
          <w:lang w:val="en-GB"/>
        </w:rPr>
        <w:t xml:space="preserve">When [Giovanni] and Annabella confess their love, their exchange of vows is ceremonial; they kneel together, and the liturgical repetition of their language suggests a need not just to abandon the old religion but to construct a new one based on their love: [see I.ii.131-267; esp. 253-59]. They seem tentative and fearful, and they deal with those fears by codifying them. In swearing by their common mother they are evoking the very relationship that makes their love sinful. The loyalty they demand of each other is part of a shared recognition that they are both outlaws. Giovanni tells the Friar, ‘Your age o’errules you: had you </w:t>
      </w:r>
      <w:r>
        <w:rPr>
          <w:rFonts w:ascii="Perpetua" w:hAnsi="Perpetua" w:cs="Adobe Devanagari"/>
          <w:spacing w:val="-3"/>
          <w:szCs w:val="24"/>
          <w:lang w:val="en-GB"/>
        </w:rPr>
        <w:lastRenderedPageBreak/>
        <w:t>youth like mine, / You’d make her love your Heaven, and her divine’ [II.v.35-36]. Out of context this would sound conventional; but Giovanni in the most literal sense has made of his love a new religion.</w:t>
      </w:r>
      <w:r w:rsidRPr="006B4301">
        <w:rPr>
          <w:rStyle w:val="FootnoteReference"/>
          <w:rFonts w:ascii="Perpetua" w:hAnsi="Perpetua" w:cs="Adobe Devanagari"/>
          <w:spacing w:val="-3"/>
          <w:szCs w:val="24"/>
          <w:lang w:val="en-GB"/>
        </w:rPr>
        <w:footnoteReference w:id="24"/>
      </w:r>
    </w:p>
    <w:p w:rsidR="00A43A7F" w:rsidRPr="00151A72" w:rsidRDefault="00A43A7F" w:rsidP="00A43A7F">
      <w:pPr>
        <w:tabs>
          <w:tab w:val="left" w:pos="-720"/>
          <w:tab w:val="left" w:pos="0"/>
        </w:tabs>
        <w:suppressAutoHyphens/>
        <w:snapToGrid/>
        <w:ind w:left="1134" w:right="1134"/>
        <w:rPr>
          <w:rFonts w:ascii="Perpetua" w:hAnsi="Perpetua" w:cs="Adobe Devanagari"/>
          <w:spacing w:val="-3"/>
          <w:szCs w:val="24"/>
          <w:lang w:val="en-GB"/>
        </w:rPr>
      </w:pPr>
    </w:p>
    <w:p w:rsidR="00765F5A" w:rsidRDefault="00AA6EA7"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Towards the end of the play Giovanni and Annabella move apart; ‘as she reverts to piety, he becomes a Marlovian rebel imposing his imagination on the universe [V.v.11-14]’.</w:t>
      </w:r>
      <w:r>
        <w:rPr>
          <w:rStyle w:val="FootnoteReference"/>
          <w:rFonts w:ascii="Perpetua" w:hAnsi="Perpetua" w:cs="Adobe Devanagari"/>
          <w:spacing w:val="-3"/>
          <w:sz w:val="26"/>
          <w:szCs w:val="26"/>
          <w:lang w:val="en-GB"/>
        </w:rPr>
        <w:footnoteReference w:id="25"/>
      </w:r>
      <w:r w:rsidR="00A43A7F">
        <w:rPr>
          <w:rFonts w:ascii="Perpetua" w:hAnsi="Perpetua" w:cs="Adobe Devanagari"/>
          <w:spacing w:val="-3"/>
          <w:sz w:val="26"/>
          <w:szCs w:val="26"/>
          <w:lang w:val="en-GB"/>
        </w:rPr>
        <w:t xml:space="preserve"> </w:t>
      </w:r>
      <w:r w:rsidR="00A25E26">
        <w:rPr>
          <w:rFonts w:ascii="Perpetua" w:hAnsi="Perpetua" w:cs="Adobe Devanagari"/>
          <w:spacing w:val="-3"/>
          <w:sz w:val="26"/>
          <w:szCs w:val="26"/>
          <w:lang w:val="en-GB"/>
        </w:rPr>
        <w:t>Giovanni has been described as one of many characters in Renaissance drama ‘who try to reshape the world according to their own imaginations, as though their wills were the only reality that mattered’. Giovanni meets resistance directly ‘in the conflicting claims other characters exert’.</w:t>
      </w:r>
      <w:r w:rsidR="00AE0CF8">
        <w:rPr>
          <w:rStyle w:val="FootnoteReference"/>
          <w:rFonts w:ascii="Perpetua" w:hAnsi="Perpetua" w:cs="Adobe Devanagari"/>
          <w:spacing w:val="-3"/>
          <w:sz w:val="26"/>
          <w:szCs w:val="26"/>
          <w:lang w:val="en-GB"/>
        </w:rPr>
        <w:footnoteReference w:id="26"/>
      </w:r>
      <w:r w:rsidR="007A7E5C">
        <w:rPr>
          <w:rFonts w:ascii="Perpetua" w:hAnsi="Perpetua" w:cs="Adobe Devanagari"/>
          <w:spacing w:val="-3"/>
          <w:sz w:val="26"/>
          <w:szCs w:val="26"/>
          <w:lang w:val="en-GB"/>
        </w:rPr>
        <w:t xml:space="preserve"> It should not be assumed that Giovanni is merely idealist. ‘Speaking of their love, he veers between lyricism and innuendo: [See II.v.55-58]. The descent to schoolboy naughtiness reminds us that the consummation of their affair was accompanied by the coarse bawdry of the old nurse Putana: ‘and I say still, if a young wench feel the fit upon her, let her take anybody, father or brother, all is one’ [II.i.48-49].’</w:t>
      </w:r>
      <w:r w:rsidR="007A7E5C">
        <w:rPr>
          <w:rStyle w:val="FootnoteReference"/>
          <w:rFonts w:ascii="Perpetua" w:hAnsi="Perpetua" w:cs="Adobe Devanagari"/>
          <w:spacing w:val="-3"/>
          <w:sz w:val="26"/>
          <w:szCs w:val="26"/>
          <w:lang w:val="en-GB"/>
        </w:rPr>
        <w:footnoteReference w:id="27"/>
      </w:r>
      <w:r w:rsidR="003928C9">
        <w:rPr>
          <w:rFonts w:ascii="Perpetua" w:hAnsi="Perpetua" w:cs="Adobe Devanagari"/>
          <w:spacing w:val="-3"/>
          <w:sz w:val="26"/>
          <w:szCs w:val="26"/>
          <w:lang w:val="en-GB"/>
        </w:rPr>
        <w:t xml:space="preserve">  </w:t>
      </w:r>
    </w:p>
    <w:p w:rsidR="00765F5A" w:rsidRDefault="00765F5A"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Default="003928C9"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According to Katharine Eisaman Maus:</w:t>
      </w:r>
    </w:p>
    <w:p w:rsidR="003928C9" w:rsidRPr="00833A1F" w:rsidRDefault="003928C9" w:rsidP="00833A1F">
      <w:pPr>
        <w:tabs>
          <w:tab w:val="left" w:pos="-720"/>
          <w:tab w:val="left" w:pos="0"/>
        </w:tabs>
        <w:suppressAutoHyphens/>
        <w:snapToGrid/>
        <w:ind w:left="1134" w:right="1134"/>
        <w:rPr>
          <w:rFonts w:ascii="Perpetua" w:hAnsi="Perpetua" w:cs="Adobe Devanagari"/>
          <w:spacing w:val="-3"/>
          <w:szCs w:val="24"/>
          <w:lang w:val="en-GB"/>
        </w:rPr>
      </w:pPr>
    </w:p>
    <w:p w:rsidR="003928C9" w:rsidRPr="00833A1F" w:rsidRDefault="003928C9" w:rsidP="00833A1F">
      <w:pPr>
        <w:tabs>
          <w:tab w:val="left" w:pos="-720"/>
          <w:tab w:val="left" w:pos="0"/>
        </w:tabs>
        <w:suppressAutoHyphens/>
        <w:snapToGrid/>
        <w:ind w:left="1134" w:right="1134"/>
        <w:rPr>
          <w:rFonts w:ascii="Perpetua" w:hAnsi="Perpetua" w:cs="Adobe Devanagari"/>
          <w:spacing w:val="-3"/>
          <w:szCs w:val="24"/>
          <w:lang w:val="en-GB"/>
        </w:rPr>
      </w:pPr>
      <w:r w:rsidRPr="00833A1F">
        <w:rPr>
          <w:rFonts w:ascii="Perpetua" w:hAnsi="Perpetua" w:cs="Adobe Devanagari"/>
          <w:spacing w:val="-3"/>
          <w:szCs w:val="24"/>
          <w:lang w:val="en-GB"/>
        </w:rPr>
        <w:t>Ford models his hero-villain Giovanni on the Marlovian overreacher – particularly Doctor Faustus – in his contempt for rules, his combination of intellectual sophistication with sophomoric folly, his belief in ineluctable destiny, and above all his preference for earthly satisfactions over heavenly rewards.</w:t>
      </w:r>
      <w:r w:rsidRPr="00833A1F">
        <w:rPr>
          <w:rStyle w:val="FootnoteReference"/>
          <w:rFonts w:ascii="Perpetua" w:hAnsi="Perpetua" w:cs="Adobe Devanagari"/>
          <w:spacing w:val="-3"/>
          <w:szCs w:val="24"/>
          <w:lang w:val="en-GB"/>
        </w:rPr>
        <w:footnoteReference w:id="28"/>
      </w:r>
    </w:p>
    <w:p w:rsidR="00B86094" w:rsidRPr="00833A1F" w:rsidRDefault="00B86094" w:rsidP="00833A1F">
      <w:pPr>
        <w:tabs>
          <w:tab w:val="left" w:pos="-720"/>
          <w:tab w:val="left" w:pos="0"/>
        </w:tabs>
        <w:suppressAutoHyphens/>
        <w:snapToGrid/>
        <w:ind w:left="1134" w:right="1134"/>
        <w:rPr>
          <w:rFonts w:ascii="Perpetua" w:hAnsi="Perpetua" w:cs="Adobe Devanagari"/>
          <w:spacing w:val="-3"/>
          <w:szCs w:val="24"/>
          <w:lang w:val="en-GB"/>
        </w:rPr>
      </w:pPr>
    </w:p>
    <w:p w:rsidR="00B86094" w:rsidRP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B86094"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B86094">
        <w:rPr>
          <w:rFonts w:ascii="Perpetua" w:hAnsi="Perpetua" w:cs="Adobe Devanagari"/>
          <w:b/>
          <w:spacing w:val="-3"/>
          <w:sz w:val="26"/>
          <w:szCs w:val="26"/>
          <w:lang w:val="en-GB"/>
        </w:rPr>
        <w:t xml:space="preserve">Incest, which breaks the strongest of sexual taboos, as central to the play, along with sexual jealousy; </w:t>
      </w:r>
      <w:r w:rsidRPr="00025770">
        <w:rPr>
          <w:rFonts w:ascii="Perpetua" w:hAnsi="Perpetua" w:cs="Adobe Devanagari"/>
          <w:b/>
          <w:spacing w:val="-3"/>
          <w:sz w:val="26"/>
          <w:szCs w:val="26"/>
          <w:lang w:val="en-GB"/>
        </w:rPr>
        <w:t>the question of incest as a subject for tragedy that evokes pity, a tragic error calling for sustained, serious attention</w:t>
      </w:r>
    </w:p>
    <w:p w:rsidR="00B86094" w:rsidRPr="006D0D5D" w:rsidRDefault="00B86094" w:rsidP="006D0D5D">
      <w:pPr>
        <w:tabs>
          <w:tab w:val="left" w:pos="-720"/>
          <w:tab w:val="left" w:pos="0"/>
        </w:tabs>
        <w:suppressAutoHyphens/>
        <w:snapToGrid/>
        <w:spacing w:line="276" w:lineRule="auto"/>
        <w:rPr>
          <w:rFonts w:ascii="Perpetua" w:hAnsi="Perpetua" w:cs="Adobe Devanagari"/>
          <w:spacing w:val="-3"/>
          <w:sz w:val="26"/>
          <w:szCs w:val="26"/>
          <w:lang w:val="en-GB"/>
        </w:rPr>
      </w:pPr>
    </w:p>
    <w:p w:rsidR="00ED57AD" w:rsidRDefault="006D0D5D"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sz w:val="26"/>
          <w:szCs w:val="26"/>
          <w:lang w:val="en-GB"/>
        </w:rPr>
        <w:t xml:space="preserve">In </w:t>
      </w:r>
      <w:r w:rsidRPr="006D0D5D">
        <w:rPr>
          <w:rFonts w:ascii="Perpetua" w:hAnsi="Perpetua"/>
          <w:sz w:val="26"/>
          <w:szCs w:val="26"/>
          <w:lang w:val="en-GB"/>
        </w:rPr>
        <w:t>the</w:t>
      </w:r>
      <w:r>
        <w:rPr>
          <w:rFonts w:ascii="Perpetua" w:hAnsi="Perpetua"/>
          <w:sz w:val="26"/>
          <w:szCs w:val="26"/>
          <w:lang w:val="en-GB"/>
        </w:rPr>
        <w:t xml:space="preserve"> medieval </w:t>
      </w:r>
      <w:r w:rsidRPr="006D0D5D">
        <w:rPr>
          <w:rFonts w:ascii="Perpetua" w:hAnsi="Perpetua"/>
          <w:sz w:val="26"/>
          <w:szCs w:val="26"/>
          <w:lang w:val="en-GB"/>
        </w:rPr>
        <w:t>Vulgate Cycle,</w:t>
      </w:r>
      <w:r>
        <w:rPr>
          <w:rFonts w:ascii="Perpetua" w:hAnsi="Perpetua"/>
          <w:sz w:val="26"/>
          <w:szCs w:val="26"/>
          <w:lang w:val="en-GB"/>
        </w:rPr>
        <w:t xml:space="preserve"> which</w:t>
      </w:r>
      <w:r w:rsidRPr="006D0D5D">
        <w:rPr>
          <w:rFonts w:ascii="Perpetua" w:hAnsi="Perpetua"/>
          <w:sz w:val="26"/>
          <w:szCs w:val="26"/>
          <w:lang w:val="en-GB"/>
        </w:rPr>
        <w:t xml:space="preserve"> covered the whole history of the </w:t>
      </w:r>
      <w:r>
        <w:rPr>
          <w:rFonts w:ascii="Perpetua" w:hAnsi="Perpetua"/>
          <w:sz w:val="26"/>
          <w:szCs w:val="26"/>
          <w:lang w:val="en-GB"/>
        </w:rPr>
        <w:t xml:space="preserve">Fellowship of the Knights of the </w:t>
      </w:r>
      <w:r w:rsidRPr="006D0D5D">
        <w:rPr>
          <w:rFonts w:ascii="Perpetua" w:hAnsi="Perpetua"/>
          <w:sz w:val="26"/>
          <w:szCs w:val="26"/>
          <w:lang w:val="en-GB"/>
        </w:rPr>
        <w:t>Round Table from the pre-history of the Grail down to Arthur’s death in battle against Mordred, the fall of the Round Table</w:t>
      </w:r>
      <w:r>
        <w:rPr>
          <w:rFonts w:ascii="Perpetua" w:hAnsi="Perpetua"/>
          <w:sz w:val="26"/>
          <w:szCs w:val="26"/>
          <w:lang w:val="en-GB"/>
        </w:rPr>
        <w:t xml:space="preserve"> Fellowship</w:t>
      </w:r>
      <w:r w:rsidRPr="006D0D5D">
        <w:rPr>
          <w:rFonts w:ascii="Perpetua" w:hAnsi="Perpetua"/>
          <w:sz w:val="26"/>
          <w:szCs w:val="26"/>
          <w:lang w:val="en-GB"/>
        </w:rPr>
        <w:t xml:space="preserve"> is brought about as divine retribution for sexual sin –</w:t>
      </w:r>
      <w:r>
        <w:rPr>
          <w:rFonts w:ascii="Perpetua" w:hAnsi="Perpetua"/>
          <w:sz w:val="26"/>
          <w:szCs w:val="26"/>
          <w:lang w:val="en-GB"/>
        </w:rPr>
        <w:t xml:space="preserve"> </w:t>
      </w:r>
      <w:r w:rsidRPr="006D0D5D">
        <w:rPr>
          <w:rFonts w:ascii="Perpetua" w:hAnsi="Perpetua"/>
          <w:sz w:val="26"/>
          <w:szCs w:val="26"/>
          <w:lang w:val="en-GB"/>
        </w:rPr>
        <w:t>Lancelot’s adultery with Guenivere</w:t>
      </w:r>
      <w:r>
        <w:rPr>
          <w:rFonts w:ascii="Perpetua" w:hAnsi="Perpetua"/>
          <w:sz w:val="26"/>
          <w:szCs w:val="26"/>
          <w:lang w:val="en-GB"/>
        </w:rPr>
        <w:t xml:space="preserve">, of course, though this is also ambivalently celebrated, and </w:t>
      </w:r>
      <w:r w:rsidRPr="006D0D5D">
        <w:rPr>
          <w:rFonts w:ascii="Perpetua" w:hAnsi="Perpetua"/>
          <w:sz w:val="26"/>
          <w:szCs w:val="26"/>
          <w:lang w:val="en-GB"/>
        </w:rPr>
        <w:t>Arthur’s inces</w:t>
      </w:r>
      <w:r>
        <w:rPr>
          <w:rFonts w:ascii="Perpetua" w:hAnsi="Perpetua"/>
          <w:sz w:val="26"/>
          <w:szCs w:val="26"/>
          <w:lang w:val="en-GB"/>
        </w:rPr>
        <w:t>t with his sister Morgan le Fay, which is very far from being an object of even ambiguous romantic celebration. In the Renaissance however, n</w:t>
      </w:r>
      <w:r w:rsidR="00A43A7F">
        <w:rPr>
          <w:rFonts w:ascii="Perpetua" w:hAnsi="Perpetua" w:cs="Adobe Devanagari"/>
          <w:spacing w:val="-3"/>
          <w:sz w:val="26"/>
          <w:szCs w:val="26"/>
          <w:lang w:val="en-GB"/>
        </w:rPr>
        <w:t xml:space="preserve">ot only in </w:t>
      </w:r>
      <w:r w:rsidR="00A43A7F">
        <w:rPr>
          <w:rFonts w:ascii="Perpetua" w:hAnsi="Perpetua" w:cs="Adobe Devanagari"/>
          <w:i/>
          <w:spacing w:val="-3"/>
          <w:sz w:val="26"/>
          <w:szCs w:val="26"/>
          <w:lang w:val="en-GB"/>
        </w:rPr>
        <w:t>’Tis Pity</w:t>
      </w:r>
      <w:r w:rsidR="00A43A7F">
        <w:rPr>
          <w:rFonts w:ascii="Perpetua" w:hAnsi="Perpetua" w:cs="Adobe Devanagari"/>
          <w:spacing w:val="-3"/>
          <w:sz w:val="26"/>
          <w:szCs w:val="26"/>
          <w:lang w:val="en-GB"/>
        </w:rPr>
        <w:t>, but in other drama of the period, ‘incest is a vehicle for the expression of illicit desire, a challenge to the fundamental conventions of society’.</w:t>
      </w:r>
      <w:r w:rsidR="00A43A7F">
        <w:rPr>
          <w:rStyle w:val="FootnoteReference"/>
          <w:rFonts w:ascii="Perpetua" w:hAnsi="Perpetua" w:cs="Adobe Devanagari"/>
          <w:spacing w:val="-3"/>
          <w:sz w:val="26"/>
          <w:szCs w:val="26"/>
          <w:lang w:val="en-GB"/>
        </w:rPr>
        <w:footnoteReference w:id="29"/>
      </w:r>
      <w:r w:rsidR="00A43A7F">
        <w:rPr>
          <w:rFonts w:ascii="Perpetua" w:hAnsi="Perpetua" w:cs="Adobe Devanagari"/>
          <w:spacing w:val="-3"/>
          <w:sz w:val="26"/>
          <w:szCs w:val="26"/>
          <w:lang w:val="en-GB"/>
        </w:rPr>
        <w:t xml:space="preserve"> </w:t>
      </w:r>
      <w:r w:rsidR="00833A1F">
        <w:rPr>
          <w:rFonts w:ascii="Perpetua" w:hAnsi="Perpetua" w:cs="Adobe Devanagari"/>
          <w:spacing w:val="-3"/>
          <w:sz w:val="26"/>
          <w:szCs w:val="26"/>
          <w:lang w:val="en-GB"/>
        </w:rPr>
        <w:t>However</w:t>
      </w:r>
      <w:r w:rsidR="00ED57AD">
        <w:rPr>
          <w:rFonts w:ascii="Perpetua" w:hAnsi="Perpetua" w:cs="Adobe Devanagari"/>
          <w:spacing w:val="-3"/>
          <w:sz w:val="26"/>
          <w:szCs w:val="26"/>
          <w:lang w:val="en-GB"/>
        </w:rPr>
        <w:t>,</w:t>
      </w:r>
      <w:r w:rsidR="00833A1F">
        <w:rPr>
          <w:rFonts w:ascii="Perpetua" w:hAnsi="Perpetua" w:cs="Adobe Devanagari"/>
          <w:spacing w:val="-3"/>
          <w:sz w:val="26"/>
          <w:szCs w:val="26"/>
          <w:lang w:val="en-GB"/>
        </w:rPr>
        <w:t xml:space="preserve"> </w:t>
      </w:r>
    </w:p>
    <w:p w:rsidR="00ED57AD" w:rsidRPr="00ED57AD" w:rsidRDefault="00ED57AD" w:rsidP="00A25E26">
      <w:pPr>
        <w:tabs>
          <w:tab w:val="left" w:pos="-720"/>
          <w:tab w:val="left" w:pos="0"/>
        </w:tabs>
        <w:suppressAutoHyphens/>
        <w:snapToGrid/>
        <w:spacing w:line="276" w:lineRule="auto"/>
        <w:rPr>
          <w:rFonts w:ascii="Perpetua" w:hAnsi="Perpetua" w:cs="Adobe Devanagari"/>
          <w:spacing w:val="-3"/>
          <w:szCs w:val="24"/>
          <w:lang w:val="en-GB"/>
        </w:rPr>
      </w:pPr>
    </w:p>
    <w:p w:rsidR="006D0D5D" w:rsidRPr="00ED57AD" w:rsidRDefault="00833A1F" w:rsidP="00ED57AD">
      <w:pPr>
        <w:tabs>
          <w:tab w:val="left" w:pos="-720"/>
          <w:tab w:val="left" w:pos="0"/>
        </w:tabs>
        <w:suppressAutoHyphens/>
        <w:snapToGrid/>
        <w:ind w:left="1134" w:right="1134"/>
        <w:rPr>
          <w:rFonts w:ascii="Perpetua" w:hAnsi="Perpetua" w:cs="Adobe Devanagari"/>
          <w:spacing w:val="-3"/>
          <w:szCs w:val="24"/>
          <w:lang w:val="en-GB"/>
        </w:rPr>
      </w:pPr>
      <w:r w:rsidRPr="00ED57AD">
        <w:rPr>
          <w:rFonts w:ascii="Perpetua" w:hAnsi="Perpetua" w:cs="Adobe Devanagari"/>
          <w:spacing w:val="-3"/>
          <w:szCs w:val="24"/>
          <w:lang w:val="en-GB"/>
        </w:rPr>
        <w:t xml:space="preserve">many dramatists, even while they stage incest, hold it at a considerable moral and emotional distance. By contrast, Ford, in a play about consensual sexual </w:t>
      </w:r>
      <w:r w:rsidRPr="00ED57AD">
        <w:rPr>
          <w:rFonts w:ascii="Perpetua" w:hAnsi="Perpetua" w:cs="Adobe Devanagari"/>
          <w:spacing w:val="-3"/>
          <w:szCs w:val="24"/>
          <w:lang w:val="en-GB"/>
        </w:rPr>
        <w:lastRenderedPageBreak/>
        <w:t>intercourse between a sister and a brother, resolutely avoids any such palliating or marginalizing factors and forces his audience to give the matter of incest sustained, serious attention.</w:t>
      </w:r>
      <w:r w:rsidR="00ED57AD">
        <w:rPr>
          <w:rStyle w:val="FootnoteReference"/>
          <w:rFonts w:ascii="Perpetua" w:hAnsi="Perpetua" w:cs="Adobe Devanagari"/>
          <w:spacing w:val="-3"/>
          <w:szCs w:val="24"/>
          <w:lang w:val="en-GB"/>
        </w:rPr>
        <w:footnoteReference w:id="30"/>
      </w:r>
    </w:p>
    <w:p w:rsidR="006D0D5D" w:rsidRDefault="006D0D5D"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071877" w:rsidRDefault="007A7E5C"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Giovanni’s attitude to Annabella’s marriage wavers and changes. He himself </w:t>
      </w:r>
      <w:r w:rsidR="00071877">
        <w:rPr>
          <w:rFonts w:ascii="Perpetua" w:hAnsi="Perpetua" w:cs="Adobe Devanagari"/>
          <w:spacing w:val="-3"/>
          <w:sz w:val="26"/>
          <w:szCs w:val="26"/>
          <w:lang w:val="en-GB"/>
        </w:rPr>
        <w:t xml:space="preserve">appears to </w:t>
      </w:r>
      <w:r>
        <w:rPr>
          <w:rFonts w:ascii="Perpetua" w:hAnsi="Perpetua" w:cs="Adobe Devanagari"/>
          <w:spacing w:val="-3"/>
          <w:sz w:val="26"/>
          <w:szCs w:val="26"/>
          <w:lang w:val="en-GB"/>
        </w:rPr>
        <w:t>suggest it as a practical measure, as soon as they have made love</w:t>
      </w:r>
      <w:r w:rsidR="00071877">
        <w:rPr>
          <w:rFonts w:ascii="Perpetua" w:hAnsi="Perpetua" w:cs="Adobe Devanagari"/>
          <w:spacing w:val="-3"/>
          <w:sz w:val="26"/>
          <w:szCs w:val="26"/>
          <w:lang w:val="en-GB"/>
        </w:rPr>
        <w:t xml:space="preserve">, unless he utters the prospect as a challenge to his sister’s faithfulness (II.i.21-27).  When the Friar proposes the idea, he rejects it (II.v.39-42). </w:t>
      </w:r>
    </w:p>
    <w:p w:rsidR="00071877" w:rsidRPr="00AA6EA7" w:rsidRDefault="00071877" w:rsidP="00AA6EA7">
      <w:pPr>
        <w:tabs>
          <w:tab w:val="left" w:pos="-720"/>
          <w:tab w:val="left" w:pos="0"/>
        </w:tabs>
        <w:suppressAutoHyphens/>
        <w:snapToGrid/>
        <w:ind w:left="1134" w:right="1134"/>
        <w:rPr>
          <w:rFonts w:ascii="Perpetua" w:hAnsi="Perpetua" w:cs="Adobe Devanagari"/>
          <w:spacing w:val="-3"/>
          <w:szCs w:val="24"/>
          <w:lang w:val="en-GB"/>
        </w:rPr>
      </w:pPr>
    </w:p>
    <w:p w:rsidR="00B86094" w:rsidRPr="00AA6EA7" w:rsidRDefault="00071877" w:rsidP="00AA6EA7">
      <w:pPr>
        <w:tabs>
          <w:tab w:val="left" w:pos="-720"/>
          <w:tab w:val="left" w:pos="0"/>
        </w:tabs>
        <w:suppressAutoHyphens/>
        <w:snapToGrid/>
        <w:ind w:left="1134" w:right="1134"/>
        <w:rPr>
          <w:rFonts w:ascii="Perpetua" w:hAnsi="Perpetua" w:cs="Adobe Devanagari"/>
          <w:spacing w:val="-3"/>
          <w:szCs w:val="24"/>
          <w:lang w:val="en-GB"/>
        </w:rPr>
      </w:pPr>
      <w:r w:rsidRPr="00AA6EA7">
        <w:rPr>
          <w:rFonts w:ascii="Perpetua" w:hAnsi="Perpetua" w:cs="Adobe Devanagari"/>
          <w:spacing w:val="-3"/>
          <w:szCs w:val="24"/>
          <w:lang w:val="en-GB"/>
        </w:rPr>
        <w:t>With painfully cynical jealousy he attributes Annabella’s repentance to the notion that Soranzo has been more interesting in bed [V.v.1-3]. It is a sign of Giovanni’s fundamental challenge to convention that he makes his sexual relations with Annabella sound innocent and her relations with her husband perverted.</w:t>
      </w:r>
    </w:p>
    <w:p w:rsidR="00071877" w:rsidRPr="00AA6EA7" w:rsidRDefault="00AA6EA7" w:rsidP="00AA6EA7">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ab/>
      </w:r>
      <w:r w:rsidR="00071877" w:rsidRPr="00AA6EA7">
        <w:rPr>
          <w:rFonts w:ascii="Perpetua" w:hAnsi="Perpetua" w:cs="Adobe Devanagari"/>
          <w:spacing w:val="-3"/>
          <w:szCs w:val="24"/>
          <w:lang w:val="en-GB"/>
        </w:rPr>
        <w:t>The instability of Giovanni’s language and his difficulty in finding a steady attitude to Annabella’s marriage reveal that his defiance of convention is cynical as well as romantic, and that his confidence in Annabella is not nearly so grea</w:t>
      </w:r>
      <w:r w:rsidRPr="00AA6EA7">
        <w:rPr>
          <w:rFonts w:ascii="Perpetua" w:hAnsi="Perpetua" w:cs="Adobe Devanagari"/>
          <w:spacing w:val="-3"/>
          <w:szCs w:val="24"/>
          <w:lang w:val="en-GB"/>
        </w:rPr>
        <w:t>t as his confidence in himself.</w:t>
      </w:r>
      <w:r>
        <w:rPr>
          <w:rStyle w:val="FootnoteReference"/>
          <w:rFonts w:ascii="Perpetua" w:hAnsi="Perpetua" w:cs="Adobe Devanagari"/>
          <w:spacing w:val="-3"/>
          <w:szCs w:val="24"/>
          <w:lang w:val="en-GB"/>
        </w:rPr>
        <w:footnoteReference w:id="31"/>
      </w:r>
    </w:p>
    <w:p w:rsidR="00B86094" w:rsidRPr="00AA6EA7" w:rsidRDefault="00B86094" w:rsidP="00AA6EA7">
      <w:pPr>
        <w:tabs>
          <w:tab w:val="left" w:pos="-720"/>
          <w:tab w:val="left" w:pos="0"/>
        </w:tabs>
        <w:suppressAutoHyphens/>
        <w:snapToGrid/>
        <w:ind w:left="1134" w:right="1134"/>
        <w:rPr>
          <w:rFonts w:ascii="Perpetua" w:hAnsi="Perpetua" w:cs="Adobe Devanagari"/>
          <w:spacing w:val="-3"/>
          <w:szCs w:val="24"/>
          <w:lang w:val="en-GB"/>
        </w:rPr>
      </w:pPr>
    </w:p>
    <w:p w:rsidR="00B86094" w:rsidRDefault="006D0D5D"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Despite these ambivalences, the play’s sympathy for the lovers is</w:t>
      </w:r>
      <w:r w:rsidR="00765F5A">
        <w:rPr>
          <w:rFonts w:ascii="Perpetua" w:hAnsi="Perpetua" w:cs="Adobe Devanagari"/>
          <w:spacing w:val="-3"/>
          <w:sz w:val="26"/>
          <w:szCs w:val="26"/>
          <w:lang w:val="en-GB"/>
        </w:rPr>
        <w:t xml:space="preserve"> arguably</w:t>
      </w:r>
      <w:r>
        <w:rPr>
          <w:rFonts w:ascii="Perpetua" w:hAnsi="Perpetua" w:cs="Adobe Devanagari"/>
          <w:spacing w:val="-3"/>
          <w:sz w:val="26"/>
          <w:szCs w:val="26"/>
          <w:lang w:val="en-GB"/>
        </w:rPr>
        <w:t xml:space="preserve"> increased by its sardonic depiction of the conventional society that defines them as criminals.</w:t>
      </w:r>
    </w:p>
    <w:p w:rsidR="006D0D5D" w:rsidRPr="00134D50" w:rsidRDefault="006D0D5D" w:rsidP="00134D50">
      <w:pPr>
        <w:tabs>
          <w:tab w:val="left" w:pos="-720"/>
          <w:tab w:val="left" w:pos="0"/>
        </w:tabs>
        <w:suppressAutoHyphens/>
        <w:snapToGrid/>
        <w:ind w:left="1134" w:right="1134"/>
        <w:rPr>
          <w:rFonts w:ascii="Perpetua" w:hAnsi="Perpetua" w:cs="Adobe Devanagari"/>
          <w:spacing w:val="-3"/>
          <w:szCs w:val="24"/>
          <w:lang w:val="en-GB"/>
        </w:rPr>
      </w:pPr>
    </w:p>
    <w:p w:rsidR="006D0D5D" w:rsidRPr="00134D50" w:rsidRDefault="006D0D5D" w:rsidP="00134D50">
      <w:pPr>
        <w:tabs>
          <w:tab w:val="left" w:pos="-720"/>
          <w:tab w:val="left" w:pos="0"/>
        </w:tabs>
        <w:suppressAutoHyphens/>
        <w:snapToGrid/>
        <w:ind w:left="1134" w:right="1134"/>
        <w:rPr>
          <w:rFonts w:ascii="Perpetua" w:hAnsi="Perpetua" w:cs="Adobe Devanagari"/>
          <w:spacing w:val="-3"/>
          <w:szCs w:val="24"/>
          <w:lang w:val="en-GB"/>
        </w:rPr>
      </w:pPr>
      <w:r w:rsidRPr="00134D50">
        <w:rPr>
          <w:rFonts w:ascii="Perpetua" w:hAnsi="Perpetua" w:cs="Adobe Devanagari"/>
          <w:spacing w:val="-3"/>
          <w:szCs w:val="24"/>
          <w:lang w:val="en-GB"/>
        </w:rPr>
        <w:t>Annabella’s marriage is cobbled up with cynical haste; her husband is mainly concerned with the outrage to his own male ego, and has himself been guilty of sexual misconduct of a more ordinary kind; and the chief authority figure is a Cardinal whose principal actions are to pardon murder and to seize the estate of the lovers’ family for the Church. The Friar, the most serious and well-meaning spokesman for convention, is curiously negative. His religion is one of fear and prohibition; his first words are ‘Dispute no more’ [I.i.</w:t>
      </w:r>
      <w:r w:rsidR="00134D50" w:rsidRPr="00134D50">
        <w:rPr>
          <w:rFonts w:ascii="Perpetua" w:hAnsi="Perpetua" w:cs="Adobe Devanagari"/>
          <w:spacing w:val="-3"/>
          <w:szCs w:val="24"/>
          <w:lang w:val="en-GB"/>
        </w:rPr>
        <w:t>1]. As the action approaches its final crisis he flees the city.</w:t>
      </w:r>
      <w:r w:rsidR="00134D50" w:rsidRPr="00134D50">
        <w:rPr>
          <w:rStyle w:val="FootnoteReference"/>
          <w:rFonts w:ascii="Perpetua" w:hAnsi="Perpetua" w:cs="Adobe Devanagari"/>
          <w:spacing w:val="-3"/>
          <w:szCs w:val="24"/>
          <w:lang w:val="en-GB"/>
        </w:rPr>
        <w:footnoteReference w:id="32"/>
      </w:r>
    </w:p>
    <w:p w:rsidR="006D0D5D" w:rsidRPr="00134D50" w:rsidRDefault="006D0D5D" w:rsidP="00134D50">
      <w:pPr>
        <w:tabs>
          <w:tab w:val="left" w:pos="-720"/>
          <w:tab w:val="left" w:pos="0"/>
        </w:tabs>
        <w:suppressAutoHyphens/>
        <w:snapToGrid/>
        <w:ind w:left="1134" w:right="1134"/>
        <w:rPr>
          <w:rFonts w:ascii="Perpetua" w:hAnsi="Perpetua" w:cs="Adobe Devanagari"/>
          <w:spacing w:val="-3"/>
          <w:szCs w:val="24"/>
          <w:lang w:val="en-GB"/>
        </w:rPr>
      </w:pPr>
    </w:p>
    <w:p w:rsidR="00134D50" w:rsidRDefault="00025770"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In the twentieth and twenty-first centuries, there have been few productions of Ford’s plays. Criticism of Ford has elaborated the main lines of discussion laid down in the nineteenth century:</w:t>
      </w:r>
    </w:p>
    <w:p w:rsidR="00025770" w:rsidRPr="006F1241" w:rsidRDefault="00025770" w:rsidP="006F1241">
      <w:pPr>
        <w:tabs>
          <w:tab w:val="left" w:pos="-720"/>
          <w:tab w:val="left" w:pos="0"/>
        </w:tabs>
        <w:suppressAutoHyphens/>
        <w:snapToGrid/>
        <w:ind w:left="1134" w:right="1134"/>
        <w:rPr>
          <w:rFonts w:ascii="Perpetua" w:hAnsi="Perpetua" w:cs="Adobe Devanagari"/>
          <w:spacing w:val="-3"/>
          <w:szCs w:val="24"/>
          <w:lang w:val="en-GB"/>
        </w:rPr>
      </w:pPr>
    </w:p>
    <w:p w:rsidR="00025770" w:rsidRPr="006F1241" w:rsidRDefault="00025770" w:rsidP="006F1241">
      <w:pPr>
        <w:tabs>
          <w:tab w:val="left" w:pos="-720"/>
          <w:tab w:val="left" w:pos="0"/>
        </w:tabs>
        <w:suppressAutoHyphens/>
        <w:snapToGrid/>
        <w:ind w:left="1134" w:right="1134"/>
        <w:rPr>
          <w:rFonts w:ascii="Perpetua" w:hAnsi="Perpetua" w:cs="Adobe Devanagari"/>
          <w:spacing w:val="-3"/>
          <w:szCs w:val="24"/>
          <w:lang w:val="en-GB"/>
        </w:rPr>
      </w:pPr>
      <w:r w:rsidRPr="006F1241">
        <w:rPr>
          <w:rFonts w:ascii="Perpetua" w:hAnsi="Perpetua" w:cs="Adobe Devanagari"/>
          <w:spacing w:val="-3"/>
          <w:szCs w:val="24"/>
          <w:lang w:val="en-GB"/>
        </w:rPr>
        <w:t>The attack on Ford’s moral position – the moral position of a man whose most famous play treats incest sympathetically – has become part of a larger dismissal: of ‘the Decadence’ of the last years of the dramatic period. Here, Ford is associated with Beaumont and Fletcher and accused of a calculated attempt to arouse a sophisticated and blasé</w:t>
      </w:r>
      <w:r w:rsidR="006F1241" w:rsidRPr="006F1241">
        <w:rPr>
          <w:rFonts w:ascii="Perpetua" w:hAnsi="Perpetua" w:cs="Adobe Devanagari"/>
          <w:spacing w:val="-3"/>
          <w:szCs w:val="24"/>
          <w:lang w:val="en-GB"/>
        </w:rPr>
        <w:t xml:space="preserve"> audience by recourse to sensational incidents and prurient suggestion. Further, it is a cliché of historical criticism that the late Jacobean and Caroline age had lost its moral bearings and Ford suffers from the general </w:t>
      </w:r>
      <w:r w:rsidR="006F1241" w:rsidRPr="006F1241">
        <w:rPr>
          <w:rFonts w:ascii="Perpetua" w:hAnsi="Perpetua" w:cs="Adobe Devanagari"/>
          <w:i/>
          <w:spacing w:val="-3"/>
          <w:szCs w:val="24"/>
          <w:lang w:val="en-GB"/>
        </w:rPr>
        <w:t>malaise</w:t>
      </w:r>
      <w:r w:rsidR="006F1241" w:rsidRPr="006F1241">
        <w:rPr>
          <w:rFonts w:ascii="Perpetua" w:hAnsi="Perpetua" w:cs="Adobe Devanagari"/>
          <w:spacing w:val="-3"/>
          <w:szCs w:val="24"/>
          <w:lang w:val="en-GB"/>
        </w:rPr>
        <w:t>.</w:t>
      </w:r>
      <w:r w:rsidR="006F1241" w:rsidRPr="006F1241">
        <w:rPr>
          <w:rStyle w:val="FootnoteReference"/>
          <w:rFonts w:ascii="Perpetua" w:hAnsi="Perpetua" w:cs="Adobe Devanagari"/>
          <w:spacing w:val="-3"/>
          <w:szCs w:val="24"/>
          <w:lang w:val="en-GB"/>
        </w:rPr>
        <w:footnoteReference w:id="33"/>
      </w:r>
    </w:p>
    <w:p w:rsidR="006D0D5D" w:rsidRDefault="006D0D5D"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765F5A" w:rsidRDefault="00765F5A"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But how sympathetically treated is the incest? Annabella’s misfortune is surely inclined to evoke </w:t>
      </w:r>
      <w:r>
        <w:rPr>
          <w:rFonts w:ascii="Perpetua" w:hAnsi="Perpetua" w:cs="Adobe Devanagari"/>
          <w:spacing w:val="-3"/>
          <w:sz w:val="26"/>
          <w:szCs w:val="26"/>
          <w:lang w:val="en-GB"/>
        </w:rPr>
        <w:lastRenderedPageBreak/>
        <w:t>pity in an audience:</w:t>
      </w:r>
    </w:p>
    <w:p w:rsidR="00765F5A" w:rsidRPr="00765F5A" w:rsidRDefault="00765F5A" w:rsidP="00765F5A">
      <w:pPr>
        <w:tabs>
          <w:tab w:val="left" w:pos="-720"/>
          <w:tab w:val="left" w:pos="0"/>
        </w:tabs>
        <w:suppressAutoHyphens/>
        <w:snapToGrid/>
        <w:ind w:left="1134" w:right="1134"/>
        <w:rPr>
          <w:rFonts w:ascii="Perpetua" w:hAnsi="Perpetua" w:cs="Adobe Devanagari"/>
          <w:spacing w:val="-3"/>
          <w:szCs w:val="24"/>
          <w:lang w:val="en-GB"/>
        </w:rPr>
      </w:pPr>
    </w:p>
    <w:p w:rsidR="00765F5A" w:rsidRPr="00765F5A" w:rsidRDefault="00765F5A" w:rsidP="00765F5A">
      <w:pPr>
        <w:tabs>
          <w:tab w:val="left" w:pos="-720"/>
          <w:tab w:val="left" w:pos="0"/>
        </w:tabs>
        <w:suppressAutoHyphens/>
        <w:snapToGrid/>
        <w:ind w:left="1134" w:right="1134"/>
        <w:rPr>
          <w:rFonts w:ascii="Perpetua" w:hAnsi="Perpetua" w:cs="Adobe Devanagari"/>
          <w:spacing w:val="-3"/>
          <w:szCs w:val="24"/>
          <w:lang w:val="en-GB"/>
        </w:rPr>
      </w:pPr>
      <w:r w:rsidRPr="00765F5A">
        <w:rPr>
          <w:rFonts w:ascii="Perpetua" w:hAnsi="Perpetua" w:cs="Adobe Devanagari"/>
          <w:spacing w:val="-3"/>
          <w:szCs w:val="24"/>
          <w:lang w:val="en-GB"/>
        </w:rPr>
        <w:t>Annabella, as is only proper for a young, wellborn Renaissance woman, has had relatively little acquaintance with men outside her family and is inclined, as she has been taught, to admire and take direction from her male kin. Her sheltered existence makes her more, not less, susceptible to her brother.</w:t>
      </w:r>
      <w:r w:rsidRPr="00765F5A">
        <w:rPr>
          <w:rStyle w:val="FootnoteReference"/>
          <w:rFonts w:ascii="Perpetua" w:hAnsi="Perpetua" w:cs="Adobe Devanagari"/>
          <w:spacing w:val="-3"/>
          <w:szCs w:val="24"/>
          <w:lang w:val="en-GB"/>
        </w:rPr>
        <w:footnoteReference w:id="34"/>
      </w:r>
    </w:p>
    <w:p w:rsidR="00765F5A" w:rsidRDefault="00765F5A"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765F5A" w:rsidRPr="00EF2256" w:rsidRDefault="00EF2256"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Meanwhile, ‘in a play full of significant borrowings and echoes, it is no accident that Giovanni’s courtship of Annabella replays the scene from </w:t>
      </w:r>
      <w:r>
        <w:rPr>
          <w:rFonts w:ascii="Perpetua" w:hAnsi="Perpetua" w:cs="Adobe Devanagari"/>
          <w:i/>
          <w:spacing w:val="-3"/>
          <w:sz w:val="26"/>
          <w:szCs w:val="26"/>
          <w:lang w:val="en-GB"/>
        </w:rPr>
        <w:t>Richard III</w:t>
      </w:r>
      <w:r>
        <w:rPr>
          <w:rFonts w:ascii="Perpetua" w:hAnsi="Perpetua" w:cs="Adobe Devanagari"/>
          <w:spacing w:val="-3"/>
          <w:sz w:val="26"/>
          <w:szCs w:val="26"/>
          <w:lang w:val="en-GB"/>
        </w:rPr>
        <w:t xml:space="preserve"> (1.2) in which Richard manipulates and bullies Lady Anne, whose husband and father-in-law Richard has just killed, into marrying him’.</w:t>
      </w:r>
      <w:r>
        <w:rPr>
          <w:rStyle w:val="FootnoteReference"/>
          <w:rFonts w:ascii="Perpetua" w:hAnsi="Perpetua" w:cs="Adobe Devanagari"/>
          <w:spacing w:val="-3"/>
          <w:sz w:val="26"/>
          <w:szCs w:val="26"/>
          <w:lang w:val="en-GB"/>
        </w:rPr>
        <w:footnoteReference w:id="35"/>
      </w:r>
    </w:p>
    <w:p w:rsidR="006F1241" w:rsidRDefault="006F1241"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B86094"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B86094">
        <w:rPr>
          <w:rFonts w:ascii="Perpetua" w:hAnsi="Perpetua" w:cs="Adobe Devanagari"/>
          <w:b/>
          <w:spacing w:val="-3"/>
          <w:sz w:val="26"/>
          <w:szCs w:val="26"/>
          <w:lang w:val="en-GB"/>
        </w:rPr>
        <w:t xml:space="preserve">The charismatic transgressive protagonist; the overreaching of intellectual pride justifying incest; </w:t>
      </w:r>
      <w:r w:rsidRPr="006F1241">
        <w:rPr>
          <w:rFonts w:ascii="Perpetua" w:hAnsi="Perpetua" w:cs="Adobe Devanagari"/>
          <w:b/>
          <w:spacing w:val="-3"/>
          <w:sz w:val="26"/>
          <w:szCs w:val="26"/>
          <w:lang w:val="en-GB"/>
        </w:rPr>
        <w:t>the avenger</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Default="00AA6EA7"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w:t>
      </w:r>
      <w:r w:rsidRPr="00AA6EA7">
        <w:rPr>
          <w:rFonts w:ascii="Perpetua" w:hAnsi="Perpetua" w:cs="Adobe Devanagari"/>
          <w:spacing w:val="-3"/>
          <w:sz w:val="26"/>
          <w:szCs w:val="26"/>
          <w:lang w:val="en-GB"/>
        </w:rPr>
        <w:t>Giovanni, we are told, is a brilliant student, a young man with an inquiring mind; for him incest and religious freethinking go together.</w:t>
      </w:r>
      <w:r>
        <w:rPr>
          <w:rFonts w:ascii="Perpetua" w:hAnsi="Perpetua" w:cs="Adobe Devanagari"/>
          <w:spacing w:val="-3"/>
          <w:sz w:val="26"/>
          <w:szCs w:val="26"/>
          <w:lang w:val="en-GB"/>
        </w:rPr>
        <w:t>’</w:t>
      </w:r>
      <w:r w:rsidRPr="00AA6EA7">
        <w:rPr>
          <w:rStyle w:val="FootnoteReference"/>
          <w:rFonts w:ascii="Perpetua" w:hAnsi="Perpetua" w:cs="Adobe Devanagari"/>
          <w:spacing w:val="-3"/>
          <w:sz w:val="26"/>
          <w:szCs w:val="26"/>
          <w:lang w:val="en-GB"/>
        </w:rPr>
        <w:footnoteReference w:id="36"/>
      </w:r>
      <w:r w:rsidR="006F1241">
        <w:rPr>
          <w:rFonts w:ascii="Perpetua" w:hAnsi="Perpetua" w:cs="Adobe Devanagari"/>
          <w:spacing w:val="-3"/>
          <w:sz w:val="26"/>
          <w:szCs w:val="26"/>
          <w:lang w:val="en-GB"/>
        </w:rPr>
        <w:t xml:space="preserve"> </w:t>
      </w:r>
    </w:p>
    <w:p w:rsidR="004C7DB3" w:rsidRPr="000515D7" w:rsidRDefault="004C7DB3" w:rsidP="000515D7">
      <w:pPr>
        <w:tabs>
          <w:tab w:val="left" w:pos="-720"/>
          <w:tab w:val="left" w:pos="0"/>
        </w:tabs>
        <w:suppressAutoHyphens/>
        <w:snapToGrid/>
        <w:ind w:left="1134" w:right="1134"/>
        <w:rPr>
          <w:rFonts w:ascii="Perpetua" w:hAnsi="Perpetua" w:cs="Adobe Devanagari"/>
          <w:spacing w:val="-3"/>
          <w:szCs w:val="24"/>
          <w:lang w:val="en-GB"/>
        </w:rPr>
      </w:pPr>
    </w:p>
    <w:p w:rsidR="004C7DB3" w:rsidRPr="000515D7" w:rsidRDefault="004C7DB3" w:rsidP="000515D7">
      <w:pPr>
        <w:tabs>
          <w:tab w:val="left" w:pos="-720"/>
          <w:tab w:val="left" w:pos="0"/>
        </w:tabs>
        <w:suppressAutoHyphens/>
        <w:snapToGrid/>
        <w:ind w:left="1134" w:right="1134"/>
        <w:rPr>
          <w:rFonts w:ascii="Perpetua" w:hAnsi="Perpetua" w:cs="Adobe Devanagari"/>
          <w:spacing w:val="-3"/>
          <w:szCs w:val="24"/>
          <w:lang w:val="en-GB"/>
        </w:rPr>
      </w:pPr>
      <w:r w:rsidRPr="000515D7">
        <w:rPr>
          <w:rFonts w:ascii="Perpetua" w:hAnsi="Perpetua" w:cs="Adobe Devanagari"/>
          <w:spacing w:val="-3"/>
          <w:szCs w:val="24"/>
          <w:lang w:val="en-GB"/>
        </w:rPr>
        <w:t>In his last interview with Annabella he begins by denying a traditional Heaven or Hell, but tells her, ‘Go thou, white in thy soul, to fill a throne / Of innocence and sanctity in Heaven’ [V.v.64-65]. The incongruity disappears if we see this not as the Friar’s heaven but one of Giovanni’s own imagining, in which incestuous love has made Annabella a saint.</w:t>
      </w:r>
      <w:r w:rsidR="000515D7">
        <w:rPr>
          <w:rStyle w:val="FootnoteReference"/>
          <w:rFonts w:ascii="Perpetua" w:hAnsi="Perpetua" w:cs="Adobe Devanagari"/>
          <w:spacing w:val="-3"/>
          <w:szCs w:val="24"/>
          <w:lang w:val="en-GB"/>
        </w:rPr>
        <w:footnoteReference w:id="37"/>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944448" w:rsidRDefault="00134D50"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As Giovanni uses Annabella for his last grand gesture, she resists: ‘Brother, unkind, unkind’ (V.v.93). ‘He hardly seems to notice her resistance. Ford shows the excitement of Giovanni’s attempt to construct an original morality, but he also shows the human cost.’</w:t>
      </w:r>
      <w:r>
        <w:rPr>
          <w:rStyle w:val="FootnoteReference"/>
          <w:rFonts w:ascii="Perpetua" w:hAnsi="Perpetua" w:cs="Adobe Devanagari"/>
          <w:spacing w:val="-3"/>
          <w:sz w:val="26"/>
          <w:szCs w:val="26"/>
          <w:lang w:val="en-GB"/>
        </w:rPr>
        <w:footnoteReference w:id="38"/>
      </w:r>
      <w:r w:rsidR="00944448">
        <w:rPr>
          <w:rFonts w:ascii="Perpetua" w:hAnsi="Perpetua" w:cs="Adobe Devanagari"/>
          <w:spacing w:val="-3"/>
          <w:sz w:val="26"/>
          <w:szCs w:val="26"/>
          <w:lang w:val="en-GB"/>
        </w:rPr>
        <w:t xml:space="preserve"> ‘Giovanni accuses Annabella most of all of a failure of reciprocity, as if, had she continued to sustain her part of the bargain, all would magically have been well. But the audience can see here, if it has not earlier, the extent to which Giovanni is in the grip of a delusion.’</w:t>
      </w:r>
      <w:r w:rsidR="00944448">
        <w:rPr>
          <w:rStyle w:val="FootnoteReference"/>
          <w:rFonts w:ascii="Perpetua" w:hAnsi="Perpetua" w:cs="Adobe Devanagari"/>
          <w:spacing w:val="-3"/>
          <w:sz w:val="26"/>
          <w:szCs w:val="26"/>
          <w:lang w:val="en-GB"/>
        </w:rPr>
        <w:footnoteReference w:id="39"/>
      </w:r>
      <w:r w:rsidR="00944448">
        <w:rPr>
          <w:rFonts w:ascii="Perpetua" w:hAnsi="Perpetua" w:cs="Adobe Devanagari"/>
          <w:spacing w:val="-3"/>
          <w:sz w:val="26"/>
          <w:szCs w:val="26"/>
          <w:lang w:val="en-GB"/>
        </w:rPr>
        <w:t xml:space="preserve"> </w:t>
      </w:r>
      <w:r w:rsidR="00944448">
        <w:rPr>
          <w:rFonts w:ascii="Perpetua" w:hAnsi="Perpetua" w:cs="Adobe Devanagari"/>
          <w:spacing w:val="-3"/>
          <w:sz w:val="26"/>
          <w:szCs w:val="26"/>
          <w:lang w:val="en-GB"/>
        </w:rPr>
        <w:t>In so far as his killing of Annabella is not only to prevent her further moral demise through her marriage, but also to punish her ‘betrayal’, he is an avenger.</w:t>
      </w:r>
    </w:p>
    <w:p w:rsidR="00106813" w:rsidRPr="00106813" w:rsidRDefault="00106813" w:rsidP="00106813">
      <w:pPr>
        <w:tabs>
          <w:tab w:val="left" w:pos="-720"/>
          <w:tab w:val="left" w:pos="0"/>
        </w:tabs>
        <w:suppressAutoHyphens/>
        <w:snapToGrid/>
        <w:ind w:left="1134" w:right="1134"/>
        <w:rPr>
          <w:rFonts w:ascii="Perpetua" w:hAnsi="Perpetua" w:cs="Adobe Devanagari"/>
          <w:spacing w:val="-3"/>
          <w:szCs w:val="24"/>
          <w:lang w:val="en-GB"/>
        </w:rPr>
      </w:pPr>
    </w:p>
    <w:p w:rsidR="00106813" w:rsidRPr="00106813" w:rsidRDefault="00106813" w:rsidP="00106813">
      <w:pPr>
        <w:tabs>
          <w:tab w:val="left" w:pos="-720"/>
          <w:tab w:val="left" w:pos="0"/>
        </w:tabs>
        <w:suppressAutoHyphens/>
        <w:snapToGrid/>
        <w:ind w:left="1134" w:right="1134"/>
        <w:rPr>
          <w:rFonts w:ascii="Perpetua" w:hAnsi="Perpetua" w:cs="Adobe Devanagari"/>
          <w:spacing w:val="-3"/>
          <w:szCs w:val="24"/>
          <w:lang w:val="en-GB"/>
        </w:rPr>
      </w:pPr>
      <w:r w:rsidRPr="00106813">
        <w:rPr>
          <w:rFonts w:ascii="Perpetua" w:hAnsi="Perpetua" w:cs="Adobe Devanagari"/>
          <w:spacing w:val="-3"/>
          <w:szCs w:val="24"/>
          <w:lang w:val="en-GB"/>
        </w:rPr>
        <w:t xml:space="preserve">Just as the lovers’ apparently unexceptionable desire for a mirror image leads inexorably, in </w:t>
      </w:r>
      <w:r w:rsidRPr="00106813">
        <w:rPr>
          <w:rFonts w:ascii="Perpetua" w:hAnsi="Perpetua" w:cs="Adobe Devanagari"/>
          <w:i/>
          <w:spacing w:val="-3"/>
          <w:szCs w:val="24"/>
          <w:lang w:val="en-GB"/>
        </w:rPr>
        <w:t>’Tis Pity She’s a Whore</w:t>
      </w:r>
      <w:r w:rsidRPr="00106813">
        <w:rPr>
          <w:rFonts w:ascii="Perpetua" w:hAnsi="Perpetua" w:cs="Adobe Devanagari"/>
          <w:spacing w:val="-3"/>
          <w:szCs w:val="24"/>
          <w:lang w:val="en-GB"/>
        </w:rPr>
        <w:t>, to incestuous passion, so the revenger’s impulse to justice likewise leads, by small and logical steps, to nauseatingly violent forms of self-assertion.</w:t>
      </w:r>
      <w:r>
        <w:rPr>
          <w:rStyle w:val="FootnoteReference"/>
          <w:rFonts w:ascii="Perpetua" w:hAnsi="Perpetua" w:cs="Adobe Devanagari"/>
          <w:spacing w:val="-3"/>
          <w:szCs w:val="24"/>
          <w:lang w:val="en-GB"/>
        </w:rPr>
        <w:footnoteReference w:id="40"/>
      </w:r>
    </w:p>
    <w:p w:rsidR="00B86094" w:rsidRPr="00106813" w:rsidRDefault="00B86094" w:rsidP="00106813">
      <w:pPr>
        <w:tabs>
          <w:tab w:val="left" w:pos="-720"/>
          <w:tab w:val="left" w:pos="0"/>
        </w:tabs>
        <w:suppressAutoHyphens/>
        <w:snapToGrid/>
        <w:ind w:left="1134" w:right="1134"/>
        <w:rPr>
          <w:rFonts w:ascii="Perpetua" w:hAnsi="Perpetua" w:cs="Adobe Devanagari"/>
          <w:spacing w:val="-3"/>
          <w:szCs w:val="24"/>
          <w:lang w:val="en-GB"/>
        </w:rPr>
      </w:pPr>
    </w:p>
    <w:p w:rsidR="00134D50" w:rsidRPr="00B86094" w:rsidRDefault="00134D50"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6F1241"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6F1241">
        <w:rPr>
          <w:rFonts w:ascii="Perpetua" w:hAnsi="Perpetua" w:cs="Adobe Devanagari"/>
          <w:b/>
          <w:spacing w:val="-3"/>
          <w:sz w:val="26"/>
          <w:szCs w:val="26"/>
          <w:lang w:val="en-GB"/>
        </w:rPr>
        <w:lastRenderedPageBreak/>
        <w:t xml:space="preserve">Psychological analysis of personality in character, e.g. love-melancholy or heroical love turning to burning lust and madness, as described by Robert Burton in </w:t>
      </w:r>
      <w:r w:rsidRPr="006F1241">
        <w:rPr>
          <w:rFonts w:ascii="Perpetua" w:hAnsi="Perpetua" w:cs="Adobe Devanagari"/>
          <w:b/>
          <w:i/>
          <w:spacing w:val="-3"/>
          <w:sz w:val="26"/>
          <w:szCs w:val="26"/>
          <w:lang w:val="en-GB"/>
        </w:rPr>
        <w:t>The Anatomy of Melancholy</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DA76D4" w:rsidRDefault="006F1241" w:rsidP="00DA76D4">
      <w:pPr>
        <w:tabs>
          <w:tab w:val="left" w:pos="-720"/>
          <w:tab w:val="left" w:pos="0"/>
        </w:tabs>
        <w:suppressAutoHyphens/>
        <w:snapToGrid/>
        <w:spacing w:line="276" w:lineRule="auto"/>
        <w:rPr>
          <w:rFonts w:ascii="Perpetua" w:hAnsi="Perpetua"/>
          <w:sz w:val="26"/>
          <w:szCs w:val="26"/>
          <w:lang w:val="en-GB"/>
        </w:rPr>
      </w:pPr>
      <w:r>
        <w:rPr>
          <w:rFonts w:ascii="Perpetua" w:hAnsi="Perpetua" w:cs="Adobe Devanagari"/>
          <w:spacing w:val="-3"/>
          <w:sz w:val="26"/>
          <w:szCs w:val="26"/>
          <w:lang w:val="en-GB"/>
        </w:rPr>
        <w:t xml:space="preserve">For two plays – </w:t>
      </w:r>
      <w:r>
        <w:rPr>
          <w:rFonts w:ascii="Perpetua" w:hAnsi="Perpetua" w:cs="Adobe Devanagari"/>
          <w:i/>
          <w:spacing w:val="-3"/>
          <w:sz w:val="26"/>
          <w:szCs w:val="26"/>
          <w:lang w:val="en-GB"/>
        </w:rPr>
        <w:t>’Tis Pity</w:t>
      </w:r>
      <w:r>
        <w:rPr>
          <w:rFonts w:ascii="Perpetua" w:hAnsi="Perpetua" w:cs="Adobe Devanagari"/>
          <w:spacing w:val="-3"/>
          <w:sz w:val="26"/>
          <w:szCs w:val="26"/>
          <w:lang w:val="en-GB"/>
        </w:rPr>
        <w:t xml:space="preserve"> and </w:t>
      </w:r>
      <w:r>
        <w:rPr>
          <w:rFonts w:ascii="Perpetua" w:hAnsi="Perpetua" w:cs="Adobe Devanagari"/>
          <w:i/>
          <w:spacing w:val="-3"/>
          <w:sz w:val="26"/>
          <w:szCs w:val="26"/>
          <w:lang w:val="en-GB"/>
        </w:rPr>
        <w:t>The Lover’s Melancholy</w:t>
      </w:r>
      <w:r>
        <w:rPr>
          <w:rFonts w:ascii="Perpetua" w:hAnsi="Perpetua" w:cs="Adobe Devanagari"/>
          <w:spacing w:val="-3"/>
          <w:sz w:val="26"/>
          <w:szCs w:val="26"/>
          <w:lang w:val="en-GB"/>
        </w:rPr>
        <w:t xml:space="preserve"> – Ford borrowed extensively from</w:t>
      </w:r>
      <w:r w:rsidR="00DA76D4">
        <w:rPr>
          <w:rFonts w:ascii="Perpetua" w:hAnsi="Perpetua" w:cs="Adobe Devanagari"/>
          <w:spacing w:val="-3"/>
          <w:sz w:val="26"/>
          <w:szCs w:val="26"/>
          <w:lang w:val="en-GB"/>
        </w:rPr>
        <w:t xml:space="preserve"> the medical treatise of Robert Burton, </w:t>
      </w:r>
      <w:r w:rsidR="00DA76D4">
        <w:rPr>
          <w:rFonts w:ascii="Perpetua" w:hAnsi="Perpetua" w:cs="Adobe Devanagari"/>
          <w:i/>
          <w:spacing w:val="-3"/>
          <w:sz w:val="26"/>
          <w:szCs w:val="26"/>
          <w:lang w:val="en-GB"/>
        </w:rPr>
        <w:t>The Anatomy of Melancholy</w:t>
      </w:r>
      <w:r w:rsidR="00DA76D4">
        <w:rPr>
          <w:rFonts w:ascii="Perpetua" w:hAnsi="Perpetua" w:cs="Adobe Devanagari"/>
          <w:spacing w:val="-3"/>
          <w:sz w:val="26"/>
          <w:szCs w:val="26"/>
          <w:lang w:val="en-GB"/>
        </w:rPr>
        <w:t>.</w:t>
      </w:r>
      <w:r>
        <w:rPr>
          <w:rFonts w:ascii="Perpetua" w:hAnsi="Perpetua" w:cs="Adobe Devanagari"/>
          <w:spacing w:val="-3"/>
          <w:sz w:val="26"/>
          <w:szCs w:val="26"/>
          <w:lang w:val="en-GB"/>
        </w:rPr>
        <w:t xml:space="preserve"> </w:t>
      </w:r>
      <w:r w:rsidR="00DA76D4" w:rsidRPr="00DA76D4">
        <w:rPr>
          <w:rFonts w:ascii="Perpetua" w:hAnsi="Perpetua"/>
          <w:sz w:val="26"/>
          <w:szCs w:val="26"/>
          <w:lang w:val="en-GB"/>
        </w:rPr>
        <w:t>A</w:t>
      </w:r>
      <w:r w:rsidR="00DA76D4">
        <w:rPr>
          <w:rFonts w:ascii="Perpetua" w:hAnsi="Perpetua"/>
          <w:sz w:val="26"/>
          <w:szCs w:val="26"/>
          <w:lang w:val="en-GB"/>
        </w:rPr>
        <w:t xml:space="preserve">ccording to Karl Josef Höltgen, this is a </w:t>
      </w:r>
      <w:r w:rsidR="00DA76D4" w:rsidRPr="00DA76D4">
        <w:rPr>
          <w:rFonts w:ascii="Perpetua" w:hAnsi="Perpetua"/>
          <w:sz w:val="26"/>
          <w:szCs w:val="26"/>
          <w:lang w:val="en-GB"/>
        </w:rPr>
        <w:t>systematic exposition and logical analysis of melancholy</w:t>
      </w:r>
      <w:r w:rsidR="00DA76D4">
        <w:rPr>
          <w:rFonts w:ascii="Perpetua" w:hAnsi="Perpetua"/>
          <w:sz w:val="26"/>
          <w:szCs w:val="26"/>
          <w:lang w:val="en-GB"/>
        </w:rPr>
        <w:t xml:space="preserve">, ‘the </w:t>
      </w:r>
      <w:r w:rsidR="00DA76D4" w:rsidRPr="00DA76D4">
        <w:rPr>
          <w:rFonts w:ascii="Perpetua" w:hAnsi="Perpetua"/>
          <w:sz w:val="26"/>
          <w:szCs w:val="26"/>
          <w:lang w:val="en-GB"/>
        </w:rPr>
        <w:t xml:space="preserve">complex syndrome which included black choler (or bilis astra), one of the four humours or bodily fluids mentioned in the </w:t>
      </w:r>
      <w:r w:rsidR="00DA76D4" w:rsidRPr="00DA76D4">
        <w:rPr>
          <w:rFonts w:ascii="Perpetua" w:hAnsi="Perpetua"/>
          <w:i/>
          <w:sz w:val="26"/>
          <w:szCs w:val="26"/>
          <w:lang w:val="en-GB"/>
        </w:rPr>
        <w:t>Corpus Hippocraticum</w:t>
      </w:r>
      <w:r w:rsidR="00DA76D4" w:rsidRPr="00DA76D4">
        <w:rPr>
          <w:rFonts w:ascii="Perpetua" w:hAnsi="Perpetua"/>
          <w:sz w:val="26"/>
          <w:szCs w:val="26"/>
          <w:lang w:val="en-GB"/>
        </w:rPr>
        <w:t>, also the “normal” complexion or temperament of melancholy, and countless forms of disease attributed to an excess of black bile</w:t>
      </w:r>
      <w:r w:rsidR="00DA76D4">
        <w:rPr>
          <w:rFonts w:ascii="Perpetua" w:hAnsi="Perpetua"/>
          <w:sz w:val="26"/>
          <w:szCs w:val="26"/>
          <w:lang w:val="en-GB"/>
        </w:rPr>
        <w:t>’</w:t>
      </w:r>
      <w:r w:rsidR="00DA76D4" w:rsidRPr="00DA76D4">
        <w:rPr>
          <w:rFonts w:ascii="Perpetua" w:hAnsi="Perpetua"/>
          <w:sz w:val="26"/>
          <w:szCs w:val="26"/>
          <w:lang w:val="en-GB"/>
        </w:rPr>
        <w:t>.</w:t>
      </w:r>
      <w:r w:rsidR="00DA76D4">
        <w:rPr>
          <w:rFonts w:ascii="Perpetua" w:hAnsi="Perpetua"/>
          <w:sz w:val="26"/>
          <w:szCs w:val="26"/>
          <w:lang w:val="en-GB"/>
        </w:rPr>
        <w:t xml:space="preserve"> But it is also</w:t>
      </w:r>
      <w:r w:rsidR="00DA76D4" w:rsidRPr="00DA76D4">
        <w:rPr>
          <w:rFonts w:ascii="Perpetua" w:hAnsi="Perpetua"/>
          <w:sz w:val="26"/>
          <w:szCs w:val="26"/>
          <w:lang w:val="en-GB"/>
        </w:rPr>
        <w:t xml:space="preserve"> </w:t>
      </w:r>
      <w:r w:rsidR="00DA76D4">
        <w:rPr>
          <w:rFonts w:ascii="Perpetua" w:hAnsi="Perpetua"/>
          <w:sz w:val="26"/>
          <w:szCs w:val="26"/>
          <w:lang w:val="en-GB"/>
        </w:rPr>
        <w:t>‘</w:t>
      </w:r>
      <w:r w:rsidR="00DA76D4" w:rsidRPr="00DA76D4">
        <w:rPr>
          <w:rFonts w:ascii="Perpetua" w:hAnsi="Perpetua"/>
          <w:sz w:val="26"/>
          <w:szCs w:val="26"/>
          <w:lang w:val="en-GB"/>
        </w:rPr>
        <w:t>the most entertaining treatise on melancholy ever written</w:t>
      </w:r>
      <w:r w:rsidR="00DA76D4">
        <w:rPr>
          <w:rFonts w:ascii="Perpetua" w:hAnsi="Perpetua"/>
          <w:sz w:val="26"/>
          <w:szCs w:val="26"/>
          <w:lang w:val="en-GB"/>
        </w:rPr>
        <w:t>’, ‘</w:t>
      </w:r>
      <w:r w:rsidR="00DA76D4" w:rsidRPr="00DA76D4">
        <w:rPr>
          <w:rFonts w:ascii="Perpetua" w:hAnsi="Perpetua"/>
          <w:sz w:val="26"/>
          <w:szCs w:val="26"/>
          <w:lang w:val="en-GB"/>
        </w:rPr>
        <w:t>a compendium of classical and Renaissance learning, a treasury of quotations, extended self-revelation on the part of the author, a dialogue with the reader, a sermon on vanity, a treatise on consolation, medical and priestly advice in the event of adversity and suffering, and an attempt at self-healing through the act of writing</w:t>
      </w:r>
      <w:r w:rsidR="00DA76D4">
        <w:rPr>
          <w:rFonts w:ascii="Perpetua" w:hAnsi="Perpetua"/>
          <w:sz w:val="26"/>
          <w:szCs w:val="26"/>
          <w:lang w:val="en-GB"/>
        </w:rPr>
        <w:t>’</w:t>
      </w:r>
      <w:r w:rsidR="00DA76D4" w:rsidRPr="00DA76D4">
        <w:rPr>
          <w:rFonts w:ascii="Perpetua" w:hAnsi="Perpetua"/>
          <w:sz w:val="26"/>
          <w:szCs w:val="26"/>
          <w:lang w:val="en-GB"/>
        </w:rPr>
        <w:t>.</w:t>
      </w:r>
      <w:r w:rsidR="00DA76D4" w:rsidRPr="00DA76D4">
        <w:rPr>
          <w:rStyle w:val="FootnoteReference"/>
          <w:rFonts w:ascii="Perpetua" w:hAnsi="Perpetua"/>
          <w:sz w:val="26"/>
          <w:szCs w:val="26"/>
          <w:lang w:val="en-GB"/>
        </w:rPr>
        <w:footnoteReference w:id="41"/>
      </w:r>
      <w:r w:rsidR="00DA76D4">
        <w:rPr>
          <w:rFonts w:ascii="Perpetua" w:hAnsi="Perpetua"/>
          <w:sz w:val="26"/>
          <w:szCs w:val="26"/>
          <w:lang w:val="en-GB"/>
        </w:rPr>
        <w:t xml:space="preserve"> It also impressed itself greatly upon the imagination of John Ford, who was himself described as melancholy by William Hemminge:</w:t>
      </w:r>
    </w:p>
    <w:p w:rsidR="00DA76D4" w:rsidRPr="00106813" w:rsidRDefault="00DA76D4" w:rsidP="00106813">
      <w:pPr>
        <w:tabs>
          <w:tab w:val="left" w:pos="-720"/>
          <w:tab w:val="left" w:pos="0"/>
        </w:tabs>
        <w:suppressAutoHyphens/>
        <w:snapToGrid/>
        <w:rPr>
          <w:rFonts w:ascii="Perpetua" w:hAnsi="Perpetua"/>
          <w:szCs w:val="24"/>
          <w:lang w:val="en-GB"/>
        </w:rPr>
      </w:pPr>
    </w:p>
    <w:p w:rsidR="00FA42D5" w:rsidRPr="00106813" w:rsidRDefault="00FA42D5" w:rsidP="00106813">
      <w:pPr>
        <w:ind w:left="1134" w:right="1134"/>
        <w:rPr>
          <w:rFonts w:ascii="Perpetua" w:hAnsi="Perpetua"/>
          <w:szCs w:val="24"/>
          <w:lang w:val="en-GB"/>
        </w:rPr>
      </w:pPr>
      <w:r w:rsidRPr="00106813">
        <w:rPr>
          <w:rFonts w:ascii="Perpetua" w:hAnsi="Perpetua"/>
          <w:szCs w:val="24"/>
          <w:lang w:val="en-GB"/>
        </w:rPr>
        <w:t>Deep in a dump Jack Ford alone was got</w:t>
      </w:r>
    </w:p>
    <w:p w:rsidR="00DA76D4" w:rsidRPr="00106813" w:rsidRDefault="00FA42D5" w:rsidP="00106813">
      <w:pPr>
        <w:ind w:left="1134" w:right="1134"/>
        <w:rPr>
          <w:rFonts w:ascii="Perpetua" w:hAnsi="Perpetua"/>
          <w:szCs w:val="24"/>
          <w:lang w:val="en-GB"/>
        </w:rPr>
      </w:pPr>
      <w:r w:rsidRPr="00106813">
        <w:rPr>
          <w:rFonts w:ascii="Perpetua" w:hAnsi="Perpetua"/>
          <w:szCs w:val="24"/>
          <w:lang w:val="en-GB"/>
        </w:rPr>
        <w:t>With folded arms and melancholy hat</w:t>
      </w:r>
      <w:r w:rsidR="00DA76D4" w:rsidRPr="00106813">
        <w:rPr>
          <w:rFonts w:ascii="Perpetua" w:hAnsi="Perpetua"/>
          <w:szCs w:val="24"/>
          <w:lang w:val="en-GB"/>
        </w:rPr>
        <w:t>.</w:t>
      </w:r>
      <w:r w:rsidR="00DA76D4" w:rsidRPr="00106813">
        <w:rPr>
          <w:rStyle w:val="FootnoteReference"/>
          <w:rFonts w:ascii="Perpetua" w:hAnsi="Perpetua"/>
          <w:szCs w:val="24"/>
          <w:lang w:val="en-GB"/>
        </w:rPr>
        <w:footnoteReference w:id="42"/>
      </w:r>
    </w:p>
    <w:p w:rsidR="00B86094" w:rsidRPr="00106813" w:rsidRDefault="00B86094" w:rsidP="00106813">
      <w:pPr>
        <w:tabs>
          <w:tab w:val="left" w:pos="-720"/>
          <w:tab w:val="left" w:pos="0"/>
        </w:tabs>
        <w:suppressAutoHyphens/>
        <w:snapToGrid/>
        <w:rPr>
          <w:rFonts w:ascii="Perpetua" w:hAnsi="Perpetua" w:cs="Adobe Devanagari"/>
          <w:spacing w:val="-3"/>
          <w:szCs w:val="24"/>
          <w:lang w:val="en-GB"/>
        </w:rPr>
      </w:pPr>
    </w:p>
    <w:p w:rsidR="00C61188" w:rsidRPr="00C61188" w:rsidRDefault="00C61188" w:rsidP="00DA76D4">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However, these lines arguably ‘tell us nothing about the man or h</w:t>
      </w:r>
      <w:r w:rsidR="00477733">
        <w:rPr>
          <w:rFonts w:ascii="Perpetua" w:hAnsi="Perpetua" w:cs="Adobe Devanagari"/>
          <w:spacing w:val="-3"/>
          <w:sz w:val="26"/>
          <w:szCs w:val="26"/>
          <w:lang w:val="en-GB"/>
        </w:rPr>
        <w:t xml:space="preserve">is hat, but give a conventional </w:t>
      </w:r>
      <w:r>
        <w:rPr>
          <w:rFonts w:ascii="Perpetua" w:hAnsi="Perpetua" w:cs="Adobe Devanagari"/>
          <w:spacing w:val="-3"/>
          <w:sz w:val="26"/>
          <w:szCs w:val="26"/>
          <w:lang w:val="en-GB"/>
        </w:rPr>
        <w:t xml:space="preserve">portrait of the melancholy man in allusion to Ford’s authorship of </w:t>
      </w:r>
      <w:r>
        <w:rPr>
          <w:rFonts w:ascii="Perpetua" w:hAnsi="Perpetua" w:cs="Adobe Devanagari"/>
          <w:i/>
          <w:spacing w:val="-3"/>
          <w:sz w:val="26"/>
          <w:szCs w:val="26"/>
          <w:lang w:val="en-GB"/>
        </w:rPr>
        <w:t>The Lover’s Melancholy</w:t>
      </w:r>
      <w:r>
        <w:rPr>
          <w:rFonts w:ascii="Perpetua" w:hAnsi="Perpetua" w:cs="Adobe Devanagari"/>
          <w:spacing w:val="-3"/>
          <w:sz w:val="26"/>
          <w:szCs w:val="26"/>
          <w:lang w:val="en-GB"/>
        </w:rPr>
        <w:t>’.</w:t>
      </w:r>
      <w:r>
        <w:rPr>
          <w:rStyle w:val="FootnoteReference"/>
          <w:rFonts w:ascii="Perpetua" w:hAnsi="Perpetua" w:cs="Adobe Devanagari"/>
          <w:spacing w:val="-3"/>
          <w:sz w:val="26"/>
          <w:szCs w:val="26"/>
          <w:lang w:val="en-GB"/>
        </w:rPr>
        <w:footnoteReference w:id="43"/>
      </w:r>
    </w:p>
    <w:p w:rsidR="00C61188" w:rsidRDefault="00C61188" w:rsidP="00DA76D4">
      <w:pPr>
        <w:tabs>
          <w:tab w:val="left" w:pos="-720"/>
          <w:tab w:val="left" w:pos="0"/>
        </w:tabs>
        <w:suppressAutoHyphens/>
        <w:snapToGrid/>
        <w:spacing w:line="276" w:lineRule="auto"/>
        <w:rPr>
          <w:rFonts w:ascii="Perpetua" w:hAnsi="Perpetua" w:cs="Adobe Devanagari"/>
          <w:spacing w:val="-3"/>
          <w:sz w:val="26"/>
          <w:szCs w:val="26"/>
          <w:lang w:val="en-GB"/>
        </w:rPr>
      </w:pPr>
    </w:p>
    <w:p w:rsidR="00477733" w:rsidRPr="00DA76D4" w:rsidRDefault="00477733" w:rsidP="00DA76D4">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025770"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025770">
        <w:rPr>
          <w:rFonts w:ascii="Perpetua" w:hAnsi="Perpetua"/>
          <w:b/>
          <w:spacing w:val="-3"/>
          <w:sz w:val="26"/>
          <w:szCs w:val="26"/>
        </w:rPr>
        <w:t>Inwardness and subjectivity that are simultaneously bodily, psychological and spiritual; Giovanni’s dismemberment of Annabella to ‘possess her heart’; the idea of extraction of moral and psychological knowledge from within the human body; sadism, symbolism, and ritual; the concretization of figures of speech (language)</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EF2256" w:rsidRDefault="00EF2256"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the scene of </w:t>
      </w:r>
      <w:r>
        <w:rPr>
          <w:rFonts w:ascii="Perpetua" w:hAnsi="Perpetua" w:cs="Adobe Devanagari"/>
          <w:spacing w:val="-3"/>
          <w:sz w:val="26"/>
          <w:szCs w:val="26"/>
          <w:lang w:val="en-GB"/>
        </w:rPr>
        <w:t>Giovanni’s courtship of Annabella</w:t>
      </w:r>
      <w:r>
        <w:rPr>
          <w:rFonts w:ascii="Perpetua" w:hAnsi="Perpetua" w:cs="Adobe Devanagari"/>
          <w:spacing w:val="-3"/>
          <w:sz w:val="26"/>
          <w:szCs w:val="26"/>
          <w:lang w:val="en-GB"/>
        </w:rPr>
        <w:t xml:space="preserve"> in Act I, which</w:t>
      </w:r>
      <w:r>
        <w:rPr>
          <w:rFonts w:ascii="Perpetua" w:hAnsi="Perpetua" w:cs="Adobe Devanagari"/>
          <w:spacing w:val="-3"/>
          <w:sz w:val="26"/>
          <w:szCs w:val="26"/>
          <w:lang w:val="en-GB"/>
        </w:rPr>
        <w:t xml:space="preserve"> replays </w:t>
      </w:r>
      <w:r>
        <w:rPr>
          <w:rFonts w:ascii="Perpetua" w:hAnsi="Perpetua" w:cs="Adobe Devanagari"/>
          <w:spacing w:val="-3"/>
          <w:sz w:val="26"/>
          <w:szCs w:val="26"/>
          <w:lang w:val="en-GB"/>
        </w:rPr>
        <w:t>a</w:t>
      </w:r>
      <w:r>
        <w:rPr>
          <w:rFonts w:ascii="Perpetua" w:hAnsi="Perpetua" w:cs="Adobe Devanagari"/>
          <w:spacing w:val="-3"/>
          <w:sz w:val="26"/>
          <w:szCs w:val="26"/>
          <w:lang w:val="en-GB"/>
        </w:rPr>
        <w:t xml:space="preserve"> scene from </w:t>
      </w:r>
      <w:r>
        <w:rPr>
          <w:rFonts w:ascii="Perpetua" w:hAnsi="Perpetua" w:cs="Adobe Devanagari"/>
          <w:i/>
          <w:spacing w:val="-3"/>
          <w:sz w:val="26"/>
          <w:szCs w:val="26"/>
          <w:lang w:val="en-GB"/>
        </w:rPr>
        <w:t>Richard III</w:t>
      </w:r>
      <w:r>
        <w:rPr>
          <w:rFonts w:ascii="Perpetua" w:hAnsi="Perpetua" w:cs="Adobe Devanagari"/>
          <w:spacing w:val="-3"/>
          <w:sz w:val="26"/>
          <w:szCs w:val="26"/>
          <w:lang w:val="en-GB"/>
        </w:rPr>
        <w:t>, Giovanni offers a dagger to Annabella and his breast for her to cut open, dissect, and retrieve ‘A heart in which is writ the truth I speak’ (I.ii.2011). In reverse, this is of course echoed and literalised by Annabella’s own evisceration at the hands of her brother-lover in the last act of the play.</w:t>
      </w:r>
    </w:p>
    <w:p w:rsidR="003C6AA4" w:rsidRPr="000515D7" w:rsidRDefault="003C6AA4" w:rsidP="003C6AA4">
      <w:pPr>
        <w:tabs>
          <w:tab w:val="left" w:pos="-720"/>
          <w:tab w:val="left" w:pos="0"/>
        </w:tabs>
        <w:suppressAutoHyphens/>
        <w:snapToGrid/>
        <w:ind w:left="1134" w:right="1134"/>
        <w:rPr>
          <w:rFonts w:ascii="Perpetua" w:hAnsi="Perpetua" w:cs="Adobe Devanagari"/>
          <w:spacing w:val="-3"/>
          <w:szCs w:val="24"/>
          <w:lang w:val="en-GB"/>
        </w:rPr>
      </w:pPr>
    </w:p>
    <w:p w:rsidR="003C6AA4" w:rsidRDefault="003C6AA4" w:rsidP="003C6AA4">
      <w:pPr>
        <w:tabs>
          <w:tab w:val="left" w:pos="-720"/>
          <w:tab w:val="left" w:pos="0"/>
        </w:tabs>
        <w:suppressAutoHyphens/>
        <w:snapToGrid/>
        <w:ind w:left="1134" w:right="1134"/>
        <w:rPr>
          <w:rFonts w:ascii="Perpetua" w:hAnsi="Perpetua" w:cs="Adobe Devanagari"/>
          <w:spacing w:val="-3"/>
          <w:sz w:val="26"/>
          <w:szCs w:val="26"/>
          <w:lang w:val="en-GB"/>
        </w:rPr>
      </w:pPr>
      <w:r>
        <w:rPr>
          <w:rFonts w:ascii="Perpetua" w:hAnsi="Perpetua" w:cs="Adobe Devanagari"/>
          <w:spacing w:val="-3"/>
          <w:szCs w:val="24"/>
          <w:lang w:val="en-GB"/>
        </w:rPr>
        <w:t>[Giovanni’s]</w:t>
      </w:r>
      <w:r w:rsidRPr="000515D7">
        <w:rPr>
          <w:rFonts w:ascii="Perpetua" w:hAnsi="Perpetua" w:cs="Adobe Devanagari"/>
          <w:spacing w:val="-3"/>
          <w:szCs w:val="24"/>
          <w:lang w:val="en-GB"/>
        </w:rPr>
        <w:t xml:space="preserve"> final gesture is to kill Annabella and appear at the feast with her heart impaled on his dagger. It is an assertion of his power not just over her but </w:t>
      </w:r>
      <w:r w:rsidRPr="000515D7">
        <w:rPr>
          <w:rFonts w:ascii="Perpetua" w:hAnsi="Perpetua" w:cs="Adobe Devanagari"/>
          <w:spacing w:val="-3"/>
          <w:szCs w:val="24"/>
          <w:lang w:val="en-GB"/>
        </w:rPr>
        <w:lastRenderedPageBreak/>
        <w:t xml:space="preserve">over his whole world: ‘The glory of my deed / Darkened the mid-day sun, made </w:t>
      </w:r>
      <w:r>
        <w:rPr>
          <w:rFonts w:ascii="Perpetua" w:hAnsi="Perpetua" w:cs="Adobe Devanagari"/>
          <w:spacing w:val="-3"/>
          <w:szCs w:val="24"/>
          <w:lang w:val="en-GB"/>
        </w:rPr>
        <w:t>noon as night’ [V.vi.21-22].</w:t>
      </w:r>
      <w:r>
        <w:rPr>
          <w:rStyle w:val="FootnoteReference"/>
          <w:rFonts w:ascii="Perpetua" w:hAnsi="Perpetua" w:cs="Adobe Devanagari"/>
          <w:spacing w:val="-3"/>
          <w:szCs w:val="24"/>
          <w:lang w:val="en-GB"/>
        </w:rPr>
        <w:footnoteReference w:id="44"/>
      </w:r>
    </w:p>
    <w:p w:rsidR="003C6AA4" w:rsidRDefault="003C6AA4" w:rsidP="003C6AA4">
      <w:pPr>
        <w:tabs>
          <w:tab w:val="left" w:pos="-720"/>
          <w:tab w:val="left" w:pos="0"/>
        </w:tabs>
        <w:suppressAutoHyphens/>
        <w:snapToGrid/>
        <w:ind w:left="1134" w:right="1134"/>
        <w:rPr>
          <w:rFonts w:ascii="Perpetua" w:hAnsi="Perpetua" w:cs="Adobe Devanagari"/>
          <w:spacing w:val="-3"/>
          <w:sz w:val="26"/>
          <w:szCs w:val="26"/>
          <w:lang w:val="en-GB"/>
        </w:rPr>
      </w:pPr>
    </w:p>
    <w:p w:rsidR="00B86094" w:rsidRDefault="00453AB6"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According to Michael Neill, there was in early modern England ‘a pervasive anxiety about the maddening opacity of the human body, which in certain tragedies erupts in shockingly literal</w:t>
      </w:r>
      <w:r w:rsidR="003C6AA4">
        <w:rPr>
          <w:rFonts w:ascii="Perpetua" w:hAnsi="Perpetua" w:cs="Adobe Devanagari"/>
          <w:spacing w:val="-3"/>
          <w:sz w:val="26"/>
          <w:szCs w:val="26"/>
          <w:lang w:val="en-GB"/>
        </w:rPr>
        <w:t xml:space="preserve"> </w:t>
      </w:r>
      <w:r>
        <w:rPr>
          <w:rFonts w:ascii="Perpetua" w:hAnsi="Perpetua" w:cs="Adobe Devanagari"/>
          <w:spacing w:val="-3"/>
          <w:sz w:val="26"/>
          <w:szCs w:val="26"/>
          <w:lang w:val="en-GB"/>
        </w:rPr>
        <w:t>displays of anatomical violence’.</w:t>
      </w:r>
      <w:r>
        <w:rPr>
          <w:rStyle w:val="FootnoteReference"/>
          <w:rFonts w:ascii="Perpetua" w:hAnsi="Perpetua" w:cs="Adobe Devanagari"/>
          <w:spacing w:val="-3"/>
          <w:sz w:val="26"/>
          <w:szCs w:val="26"/>
          <w:lang w:val="en-GB"/>
        </w:rPr>
        <w:footnoteReference w:id="45"/>
      </w:r>
    </w:p>
    <w:p w:rsidR="00453AB6" w:rsidRDefault="00453AB6" w:rsidP="00453AB6">
      <w:pPr>
        <w:tabs>
          <w:tab w:val="left" w:pos="-720"/>
          <w:tab w:val="left" w:pos="0"/>
        </w:tabs>
        <w:suppressAutoHyphens/>
        <w:snapToGrid/>
        <w:ind w:left="1134" w:right="1134"/>
        <w:rPr>
          <w:rFonts w:ascii="Perpetua" w:hAnsi="Perpetua" w:cs="Adobe Devanagari"/>
          <w:spacing w:val="-3"/>
          <w:szCs w:val="24"/>
          <w:lang w:val="en-GB"/>
        </w:rPr>
      </w:pPr>
    </w:p>
    <w:p w:rsidR="00453AB6" w:rsidRPr="00453AB6" w:rsidRDefault="00453AB6" w:rsidP="00453AB6">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 xml:space="preserve">Thus when, at the end of Ford’s </w:t>
      </w:r>
      <w:r>
        <w:rPr>
          <w:rFonts w:ascii="Perpetua" w:hAnsi="Perpetua" w:cs="Adobe Devanagari"/>
          <w:i/>
          <w:spacing w:val="-3"/>
          <w:szCs w:val="24"/>
          <w:lang w:val="en-GB"/>
        </w:rPr>
        <w:t>’Tis Pity She’s a Whore</w:t>
      </w:r>
      <w:r w:rsidR="003C6AA4">
        <w:rPr>
          <w:rFonts w:ascii="Perpetua" w:hAnsi="Perpetua" w:cs="Adobe Devanagari"/>
          <w:spacing w:val="-3"/>
          <w:szCs w:val="24"/>
          <w:lang w:val="en-GB"/>
        </w:rPr>
        <w:t xml:space="preserve"> Giovanni enters like some deranged anatomist to display his sister-lover’s impaled heart, the extraordinary discharge of tension […] is produced not merely by his literalization of one of the play’s most obsessive image patterns, but by the abrupt making visible of a whole set of submerged associations between tragic and anatomical performance. Addressing the assembled banqueters, Giovanni forces their horrified gaze upon Annabella’s eviscerated heart [V.vi.26-35]. His triumphant display makes literal the play’s recurrent figuration of the body as a container of emotional secrets waiting to be ‘ripped open’.</w:t>
      </w:r>
      <w:r w:rsidR="008E6C71">
        <w:rPr>
          <w:rStyle w:val="FootnoteReference"/>
          <w:rFonts w:ascii="Perpetua" w:hAnsi="Perpetua" w:cs="Adobe Devanagari"/>
          <w:spacing w:val="-3"/>
          <w:szCs w:val="24"/>
          <w:lang w:val="en-GB"/>
        </w:rPr>
        <w:footnoteReference w:id="46"/>
      </w:r>
    </w:p>
    <w:p w:rsidR="00453AB6" w:rsidRPr="003C6AA4" w:rsidRDefault="00453AB6" w:rsidP="00453AB6">
      <w:pPr>
        <w:tabs>
          <w:tab w:val="left" w:pos="-720"/>
          <w:tab w:val="left" w:pos="0"/>
        </w:tabs>
        <w:suppressAutoHyphens/>
        <w:snapToGrid/>
        <w:ind w:left="1134" w:right="1134"/>
        <w:rPr>
          <w:rFonts w:ascii="Perpetua" w:hAnsi="Perpetua" w:cs="Adobe Devanagari"/>
          <w:spacing w:val="-3"/>
          <w:szCs w:val="24"/>
          <w:lang w:val="en-GB"/>
        </w:rPr>
      </w:pPr>
    </w:p>
    <w:p w:rsidR="00453AB6" w:rsidRDefault="008E6C71" w:rsidP="00113185">
      <w:pPr>
        <w:tabs>
          <w:tab w:val="left" w:pos="-720"/>
          <w:tab w:val="left" w:pos="0"/>
        </w:tabs>
        <w:suppressAutoHyphens/>
        <w:snapToGrid/>
        <w:spacing w:line="276" w:lineRule="auto"/>
        <w:ind w:right="1134"/>
        <w:rPr>
          <w:rFonts w:ascii="Perpetua" w:hAnsi="Perpetua" w:cs="Adobe Devanagari"/>
          <w:spacing w:val="-3"/>
          <w:sz w:val="26"/>
          <w:szCs w:val="26"/>
          <w:lang w:val="en-GB"/>
        </w:rPr>
      </w:pPr>
      <w:r>
        <w:rPr>
          <w:rFonts w:ascii="Perpetua" w:hAnsi="Perpetua"/>
          <w:spacing w:val="-3"/>
          <w:sz w:val="26"/>
          <w:szCs w:val="26"/>
        </w:rPr>
        <w:t>‘Giovanni’s display, at once frantic and boastful, of his sister’s impaled heart gives hallucinatory life to the recurrent imagery of the human heart as the repository of tormenting secrets.’</w:t>
      </w:r>
      <w:r>
        <w:rPr>
          <w:rStyle w:val="FootnoteReference"/>
          <w:rFonts w:ascii="Perpetua" w:hAnsi="Perpetua"/>
          <w:spacing w:val="-3"/>
          <w:sz w:val="26"/>
          <w:szCs w:val="26"/>
        </w:rPr>
        <w:footnoteReference w:id="47"/>
      </w:r>
      <w:r>
        <w:rPr>
          <w:rFonts w:ascii="Perpetua" w:hAnsi="Perpetua"/>
          <w:spacing w:val="-3"/>
          <w:sz w:val="26"/>
          <w:szCs w:val="26"/>
        </w:rPr>
        <w:t xml:space="preserve"> </w:t>
      </w:r>
      <w:r w:rsidR="00113185">
        <w:rPr>
          <w:rFonts w:ascii="Perpetua" w:hAnsi="Perpetua"/>
          <w:spacing w:val="-3"/>
          <w:sz w:val="26"/>
          <w:szCs w:val="26"/>
        </w:rPr>
        <w:t>Among others, Jonathan</w:t>
      </w:r>
      <w:r w:rsidR="00113185" w:rsidRPr="006F6ED2">
        <w:rPr>
          <w:rFonts w:ascii="Perpetua" w:hAnsi="Perpetua"/>
          <w:spacing w:val="-3"/>
          <w:sz w:val="26"/>
          <w:szCs w:val="26"/>
        </w:rPr>
        <w:t xml:space="preserve"> Sawday has </w:t>
      </w:r>
      <w:r w:rsidR="00113185">
        <w:rPr>
          <w:rFonts w:ascii="Perpetua" w:hAnsi="Perpetua"/>
          <w:spacing w:val="-3"/>
          <w:sz w:val="26"/>
          <w:szCs w:val="26"/>
        </w:rPr>
        <w:t>recognized that</w:t>
      </w:r>
      <w:r w:rsidR="00113185" w:rsidRPr="006F6ED2">
        <w:rPr>
          <w:rFonts w:ascii="Perpetua" w:hAnsi="Perpetua"/>
          <w:spacing w:val="-3"/>
          <w:sz w:val="26"/>
          <w:szCs w:val="26"/>
        </w:rPr>
        <w:t xml:space="preserve"> there is considerable reference in</w:t>
      </w:r>
      <w:r w:rsidR="00113185">
        <w:rPr>
          <w:rFonts w:ascii="Perpetua" w:hAnsi="Perpetua"/>
          <w:spacing w:val="-3"/>
          <w:sz w:val="26"/>
          <w:szCs w:val="26"/>
        </w:rPr>
        <w:t xml:space="preserve"> early modern</w:t>
      </w:r>
      <w:r w:rsidR="00113185" w:rsidRPr="006F6ED2">
        <w:rPr>
          <w:rFonts w:ascii="Perpetua" w:hAnsi="Perpetua"/>
          <w:spacing w:val="-3"/>
          <w:sz w:val="26"/>
          <w:szCs w:val="26"/>
        </w:rPr>
        <w:t xml:space="preserve"> literature to the extraction of moral and psychological knowledge from within the human</w:t>
      </w:r>
      <w:r w:rsidR="00113185">
        <w:rPr>
          <w:rFonts w:ascii="Perpetua" w:hAnsi="Perpetua"/>
          <w:spacing w:val="-3"/>
          <w:sz w:val="26"/>
          <w:szCs w:val="26"/>
        </w:rPr>
        <w:t xml:space="preserve"> body by a kind of</w:t>
      </w:r>
      <w:r w:rsidR="00113185" w:rsidRPr="006F6ED2">
        <w:rPr>
          <w:rFonts w:ascii="Perpetua" w:hAnsi="Perpetua"/>
          <w:spacing w:val="-3"/>
          <w:sz w:val="26"/>
          <w:szCs w:val="26"/>
        </w:rPr>
        <w:t xml:space="preserve"> an</w:t>
      </w:r>
      <w:r w:rsidR="00113185">
        <w:rPr>
          <w:rFonts w:ascii="Perpetua" w:hAnsi="Perpetua"/>
          <w:spacing w:val="-3"/>
          <w:sz w:val="26"/>
          <w:szCs w:val="26"/>
        </w:rPr>
        <w:t>atomy or dissection.</w:t>
      </w:r>
      <w:r w:rsidR="00113185">
        <w:rPr>
          <w:rStyle w:val="FootnoteReference"/>
          <w:rFonts w:ascii="Perpetua" w:hAnsi="Perpetua"/>
          <w:spacing w:val="-3"/>
          <w:sz w:val="26"/>
          <w:szCs w:val="26"/>
        </w:rPr>
        <w:footnoteReference w:id="48"/>
      </w:r>
      <w:r w:rsidR="00113185">
        <w:rPr>
          <w:rFonts w:ascii="Perpetua" w:hAnsi="Perpetua"/>
          <w:spacing w:val="-3"/>
          <w:sz w:val="26"/>
          <w:szCs w:val="26"/>
        </w:rPr>
        <w:t xml:space="preserve"> The rise of anatomy to a position of cultural prominence and influence during the sixteenth and seventeenth centuries may have contributed to the </w:t>
      </w:r>
      <w:r w:rsidR="00113185" w:rsidRPr="006F6ED2">
        <w:rPr>
          <w:rFonts w:ascii="Perpetua" w:hAnsi="Perpetua"/>
          <w:spacing w:val="-3"/>
          <w:sz w:val="26"/>
          <w:szCs w:val="26"/>
        </w:rPr>
        <w:t>widely acknowledged phenomenon in early modern English literature</w:t>
      </w:r>
      <w:r w:rsidR="00113185">
        <w:rPr>
          <w:rFonts w:ascii="Perpetua" w:hAnsi="Perpetua"/>
          <w:spacing w:val="-3"/>
          <w:sz w:val="26"/>
          <w:szCs w:val="26"/>
        </w:rPr>
        <w:t xml:space="preserve"> in whi</w:t>
      </w:r>
      <w:r w:rsidR="00113185" w:rsidRPr="006F6ED2">
        <w:rPr>
          <w:rFonts w:ascii="Perpetua" w:hAnsi="Perpetua"/>
          <w:spacing w:val="-3"/>
          <w:sz w:val="26"/>
          <w:szCs w:val="26"/>
        </w:rPr>
        <w:t>ch mental experiences</w:t>
      </w:r>
      <w:r w:rsidR="00113185">
        <w:rPr>
          <w:rFonts w:ascii="Perpetua" w:hAnsi="Perpetua"/>
          <w:spacing w:val="-3"/>
          <w:sz w:val="26"/>
          <w:szCs w:val="26"/>
        </w:rPr>
        <w:t xml:space="preserve"> or moral phenomena are expressed</w:t>
      </w:r>
      <w:r w:rsidR="00113185" w:rsidRPr="006F6ED2">
        <w:rPr>
          <w:rFonts w:ascii="Perpetua" w:hAnsi="Perpetua"/>
          <w:spacing w:val="-3"/>
          <w:sz w:val="26"/>
          <w:szCs w:val="26"/>
        </w:rPr>
        <w:t xml:space="preserve"> using the language of the body</w:t>
      </w:r>
      <w:r w:rsidR="00113185">
        <w:rPr>
          <w:rFonts w:ascii="Perpetua" w:hAnsi="Perpetua"/>
          <w:spacing w:val="-3"/>
          <w:sz w:val="26"/>
          <w:szCs w:val="26"/>
        </w:rPr>
        <w:t xml:space="preserve">. Inwardness and subjectivity are described as simultaneously bodily, psychological and spiritual, and so </w:t>
      </w:r>
      <w:r w:rsidR="00113185" w:rsidRPr="008224FE">
        <w:rPr>
          <w:rFonts w:ascii="Perpetua" w:hAnsi="Perpetua"/>
          <w:spacing w:val="-3"/>
          <w:sz w:val="26"/>
          <w:szCs w:val="26"/>
        </w:rPr>
        <w:t xml:space="preserve">moral or psychological knowledge </w:t>
      </w:r>
      <w:r w:rsidR="00113185">
        <w:rPr>
          <w:rFonts w:ascii="Perpetua" w:hAnsi="Perpetua"/>
          <w:spacing w:val="-3"/>
          <w:sz w:val="26"/>
          <w:szCs w:val="26"/>
        </w:rPr>
        <w:t>can seemingly be</w:t>
      </w:r>
      <w:r w:rsidR="00113185" w:rsidRPr="008224FE">
        <w:rPr>
          <w:rFonts w:ascii="Perpetua" w:hAnsi="Perpetua"/>
          <w:spacing w:val="-3"/>
          <w:sz w:val="26"/>
          <w:szCs w:val="26"/>
        </w:rPr>
        <w:t xml:space="preserve"> extracted from within the body of another person</w:t>
      </w:r>
      <w:r w:rsidR="00113185">
        <w:rPr>
          <w:rFonts w:ascii="Perpetua" w:hAnsi="Perpetua"/>
          <w:spacing w:val="-3"/>
          <w:sz w:val="26"/>
          <w:szCs w:val="26"/>
        </w:rPr>
        <w:t xml:space="preserve"> by dismemberment.</w:t>
      </w:r>
    </w:p>
    <w:p w:rsidR="00453AB6" w:rsidRDefault="00453AB6" w:rsidP="00113185">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106813"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106813">
        <w:rPr>
          <w:rFonts w:ascii="Perpetua" w:hAnsi="Perpetua" w:cs="Adobe Devanagari"/>
          <w:b/>
          <w:spacing w:val="-3"/>
          <w:sz w:val="26"/>
          <w:szCs w:val="26"/>
          <w:lang w:val="en-GB"/>
        </w:rPr>
        <w:t>The notion of lust as a foul infection which must be cleansed by tears and grace</w:t>
      </w:r>
      <w:r w:rsidR="00106813">
        <w:rPr>
          <w:rFonts w:ascii="Perpetua" w:hAnsi="Perpetua" w:cs="Adobe Devanagari"/>
          <w:b/>
          <w:spacing w:val="-3"/>
          <w:sz w:val="26"/>
          <w:szCs w:val="26"/>
          <w:lang w:val="en-GB"/>
        </w:rPr>
        <w:t>; and</w:t>
      </w:r>
    </w:p>
    <w:p w:rsidR="00B86094" w:rsidRPr="00B86094"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B86094">
        <w:rPr>
          <w:rFonts w:ascii="Perpetua" w:hAnsi="Perpetua"/>
          <w:b/>
          <w:spacing w:val="-3"/>
          <w:sz w:val="26"/>
          <w:szCs w:val="26"/>
        </w:rPr>
        <w:t>The notion of (controlling or being controlled by) fate or temperament; stoical fortitude; Calvinist theological doctrine of predestination</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453AB6" w:rsidRDefault="00D964BC" w:rsidP="00453AB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When the play opens, </w:t>
      </w:r>
      <w:r w:rsidR="00106813">
        <w:rPr>
          <w:rFonts w:ascii="Perpetua" w:hAnsi="Perpetua" w:cs="Adobe Devanagari"/>
          <w:spacing w:val="-3"/>
          <w:sz w:val="26"/>
          <w:szCs w:val="26"/>
          <w:lang w:val="en-GB"/>
        </w:rPr>
        <w:t xml:space="preserve">Giovanni’s </w:t>
      </w:r>
      <w:r>
        <w:rPr>
          <w:rFonts w:ascii="Perpetua" w:hAnsi="Perpetua" w:cs="Adobe Devanagari"/>
          <w:spacing w:val="-3"/>
          <w:sz w:val="26"/>
          <w:szCs w:val="26"/>
          <w:lang w:val="en-GB"/>
        </w:rPr>
        <w:t>affectionate mento</w:t>
      </w:r>
      <w:r w:rsidR="00106813">
        <w:rPr>
          <w:rFonts w:ascii="Perpetua" w:hAnsi="Perpetua" w:cs="Adobe Devanagari"/>
          <w:spacing w:val="-3"/>
          <w:sz w:val="26"/>
          <w:szCs w:val="26"/>
          <w:lang w:val="en-GB"/>
        </w:rPr>
        <w:t>r, the friar Bonaventura</w:t>
      </w:r>
      <w:r>
        <w:rPr>
          <w:rFonts w:ascii="Perpetua" w:hAnsi="Perpetua" w:cs="Adobe Devanagari"/>
          <w:spacing w:val="-3"/>
          <w:sz w:val="26"/>
          <w:szCs w:val="26"/>
          <w:lang w:val="en-GB"/>
        </w:rPr>
        <w:t xml:space="preserve">, is profoundly dismayed by his tutee’s confession of erotic love for his sister. He offers worldly, sensible advice about looking elsewhere to Giovanni, whose love he characterises as lust upon which death waits. As with other disturbed rituals in the play, this confession has failed to lead to repentance, </w:t>
      </w:r>
      <w:r>
        <w:rPr>
          <w:rFonts w:ascii="Perpetua" w:hAnsi="Perpetua" w:cs="Adobe Devanagari"/>
          <w:spacing w:val="-3"/>
          <w:sz w:val="26"/>
          <w:szCs w:val="26"/>
          <w:lang w:val="en-GB"/>
        </w:rPr>
        <w:lastRenderedPageBreak/>
        <w:t xml:space="preserve">contrition and the receipt of grace. </w:t>
      </w:r>
      <w:r w:rsidR="00453AB6">
        <w:rPr>
          <w:rFonts w:ascii="Perpetua" w:hAnsi="Perpetua" w:cs="Adobe Devanagari"/>
          <w:spacing w:val="-3"/>
          <w:sz w:val="26"/>
          <w:szCs w:val="26"/>
          <w:lang w:val="en-GB"/>
        </w:rPr>
        <w:t>‘From the beginning [Giovanni] has seen himself marked out for a special destiny: ‘’tis not, I know, / My lust, but ’tis my fate that leads me on’ [I.ii.158-59].’</w:t>
      </w:r>
      <w:r w:rsidR="00453AB6">
        <w:rPr>
          <w:rStyle w:val="FootnoteReference"/>
          <w:rFonts w:ascii="Perpetua" w:hAnsi="Perpetua" w:cs="Adobe Devanagari"/>
          <w:spacing w:val="-3"/>
          <w:sz w:val="26"/>
          <w:szCs w:val="26"/>
          <w:lang w:val="en-GB"/>
        </w:rPr>
        <w:footnoteReference w:id="49"/>
      </w:r>
      <w:r w:rsidR="00453AB6">
        <w:rPr>
          <w:rFonts w:ascii="Perpetua" w:hAnsi="Perpetua" w:cs="Adobe Devanagari"/>
          <w:spacing w:val="-3"/>
          <w:sz w:val="26"/>
          <w:szCs w:val="26"/>
          <w:lang w:val="en-GB"/>
        </w:rPr>
        <w:t xml:space="preserve"> Giovanni at once accepts his fate</w:t>
      </w:r>
      <w:r w:rsidR="00944448">
        <w:rPr>
          <w:rFonts w:ascii="Perpetua" w:hAnsi="Perpetua" w:cs="Adobe Devanagari"/>
          <w:spacing w:val="-3"/>
          <w:sz w:val="26"/>
          <w:szCs w:val="26"/>
          <w:lang w:val="en-GB"/>
        </w:rPr>
        <w:t>, his special election,</w:t>
      </w:r>
      <w:r w:rsidR="00453AB6">
        <w:rPr>
          <w:rFonts w:ascii="Perpetua" w:hAnsi="Perpetua" w:cs="Adobe Devanagari"/>
          <w:spacing w:val="-3"/>
          <w:sz w:val="26"/>
          <w:szCs w:val="26"/>
          <w:lang w:val="en-GB"/>
        </w:rPr>
        <w:t xml:space="preserve"> and makes that acceptance an act of his own defiant will.</w:t>
      </w:r>
      <w:r w:rsidR="00944448">
        <w:rPr>
          <w:rFonts w:ascii="Perpetua" w:hAnsi="Perpetua" w:cs="Adobe Devanagari"/>
          <w:spacing w:val="-3"/>
          <w:sz w:val="26"/>
          <w:szCs w:val="26"/>
          <w:lang w:val="en-GB"/>
        </w:rPr>
        <w:t xml:space="preserve"> Whereas in the early scenes, ‘he attempts to minimize his own culpability by claiming to be the plaything of a mysterious destiny’, by the end of the play, ‘close to madness, he no longer sees himself as fate’s victim but as its master’.</w:t>
      </w:r>
      <w:r w:rsidR="00944448">
        <w:rPr>
          <w:rStyle w:val="FootnoteReference"/>
          <w:rFonts w:ascii="Perpetua" w:hAnsi="Perpetua" w:cs="Adobe Devanagari"/>
          <w:spacing w:val="-3"/>
          <w:sz w:val="26"/>
          <w:szCs w:val="26"/>
          <w:lang w:val="en-GB"/>
        </w:rPr>
        <w:footnoteReference w:id="50"/>
      </w:r>
      <w:r w:rsidR="00944448">
        <w:rPr>
          <w:rFonts w:ascii="Perpetua" w:hAnsi="Perpetua" w:cs="Adobe Devanagari"/>
          <w:spacing w:val="-3"/>
          <w:sz w:val="26"/>
          <w:szCs w:val="26"/>
          <w:lang w:val="en-GB"/>
        </w:rPr>
        <w:t xml:space="preserve"> See V.v.11-12 &amp; V.vi.71.</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D964BC"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D964BC">
        <w:rPr>
          <w:rFonts w:ascii="Perpetua" w:hAnsi="Perpetua"/>
          <w:b/>
          <w:spacing w:val="-3"/>
          <w:sz w:val="26"/>
          <w:szCs w:val="26"/>
        </w:rPr>
        <w:t>The city of Parma and social corruption; ritual and ceremony; public and private; intimacy and treachery</w:t>
      </w:r>
    </w:p>
    <w:p w:rsid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Default="00833A1F" w:rsidP="00A25E2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According to Katharine Eisaman Maus, the ‘sharply observed urban world of Ford’s Parma, Italy</w:t>
      </w:r>
      <w:r w:rsidR="00D964BC">
        <w:rPr>
          <w:rFonts w:ascii="Perpetua" w:hAnsi="Perpetua" w:cs="Adobe Devanagari"/>
          <w:spacing w:val="-3"/>
          <w:sz w:val="26"/>
          <w:szCs w:val="26"/>
          <w:lang w:val="en-GB"/>
        </w:rPr>
        <w:t xml:space="preserve">, </w:t>
      </w:r>
      <w:r>
        <w:rPr>
          <w:rFonts w:ascii="Perpetua" w:hAnsi="Perpetua" w:cs="Adobe Devanagari"/>
          <w:spacing w:val="-3"/>
          <w:sz w:val="26"/>
          <w:szCs w:val="26"/>
          <w:lang w:val="en-GB"/>
        </w:rPr>
        <w:t>owes much to Middleton’s caustic city satires’.</w:t>
      </w:r>
      <w:r>
        <w:rPr>
          <w:rStyle w:val="FootnoteReference"/>
          <w:rFonts w:ascii="Perpetua" w:hAnsi="Perpetua" w:cs="Adobe Devanagari"/>
          <w:spacing w:val="-3"/>
          <w:sz w:val="26"/>
          <w:szCs w:val="26"/>
          <w:lang w:val="en-GB"/>
        </w:rPr>
        <w:footnoteReference w:id="51"/>
      </w:r>
      <w:r w:rsidR="000A45A5">
        <w:rPr>
          <w:rFonts w:ascii="Perpetua" w:hAnsi="Perpetua" w:cs="Adobe Devanagari"/>
          <w:spacing w:val="-3"/>
          <w:sz w:val="26"/>
          <w:szCs w:val="26"/>
          <w:lang w:val="en-GB"/>
        </w:rPr>
        <w:t xml:space="preserve"> </w:t>
      </w:r>
      <w:r w:rsidR="0008738B">
        <w:rPr>
          <w:rFonts w:ascii="Perpetua" w:hAnsi="Perpetua"/>
          <w:spacing w:val="-3"/>
          <w:sz w:val="26"/>
          <w:szCs w:val="26"/>
        </w:rPr>
        <w:t>The social world is a treacherous environment shot through with ‘grudge-bearing, selfishness, hypocrisy, and out-right deception’.</w:t>
      </w:r>
      <w:r w:rsidR="0008738B">
        <w:rPr>
          <w:rStyle w:val="FootnoteReference"/>
          <w:rFonts w:ascii="Perpetua" w:hAnsi="Perpetua"/>
          <w:spacing w:val="-3"/>
          <w:sz w:val="26"/>
          <w:szCs w:val="26"/>
        </w:rPr>
        <w:footnoteReference w:id="52"/>
      </w:r>
      <w:r w:rsidR="0008738B">
        <w:rPr>
          <w:rFonts w:ascii="Perpetua" w:hAnsi="Perpetua"/>
          <w:spacing w:val="-3"/>
          <w:sz w:val="26"/>
          <w:szCs w:val="26"/>
        </w:rPr>
        <w:t xml:space="preserve"> </w:t>
      </w:r>
      <w:r w:rsidR="000A45A5">
        <w:rPr>
          <w:rFonts w:ascii="Perpetua" w:hAnsi="Perpetua"/>
          <w:spacing w:val="-3"/>
          <w:sz w:val="26"/>
          <w:szCs w:val="26"/>
        </w:rPr>
        <w:t>Rituals designed to bring into alignment private feeling and its social acknowledgement are profoundly disturbed in this society.</w:t>
      </w:r>
    </w:p>
    <w:p w:rsidR="00B86094" w:rsidRPr="00B86094" w:rsidRDefault="00B86094" w:rsidP="00A25E26">
      <w:pPr>
        <w:tabs>
          <w:tab w:val="left" w:pos="-720"/>
          <w:tab w:val="left" w:pos="0"/>
        </w:tabs>
        <w:suppressAutoHyphens/>
        <w:snapToGrid/>
        <w:spacing w:line="276" w:lineRule="auto"/>
        <w:rPr>
          <w:rFonts w:ascii="Perpetua" w:hAnsi="Perpetua" w:cs="Adobe Devanagari"/>
          <w:spacing w:val="-3"/>
          <w:sz w:val="26"/>
          <w:szCs w:val="26"/>
          <w:lang w:val="en-GB"/>
        </w:rPr>
      </w:pPr>
    </w:p>
    <w:p w:rsidR="00B86094" w:rsidRPr="00703855" w:rsidRDefault="00B86094" w:rsidP="00A25E26">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703855">
        <w:rPr>
          <w:rFonts w:ascii="Perpetua" w:hAnsi="Perpetua" w:cs="Adobe Devanagari"/>
          <w:b/>
          <w:spacing w:val="-3"/>
          <w:sz w:val="26"/>
          <w:szCs w:val="26"/>
          <w:lang w:val="en-GB"/>
        </w:rPr>
        <w:t>Divergent critical evaluation of Ford’s plays</w:t>
      </w:r>
    </w:p>
    <w:p w:rsidR="00BE01B6" w:rsidRDefault="00BE01B6" w:rsidP="00A25E26">
      <w:pPr>
        <w:tabs>
          <w:tab w:val="left" w:pos="-720"/>
          <w:tab w:val="left" w:pos="0"/>
        </w:tabs>
        <w:suppressAutoHyphens/>
        <w:spacing w:line="276" w:lineRule="auto"/>
        <w:rPr>
          <w:rFonts w:ascii="Perpetua" w:hAnsi="Perpetua" w:cs="Adobe Devanagari"/>
          <w:spacing w:val="-3"/>
          <w:sz w:val="26"/>
          <w:szCs w:val="26"/>
          <w:lang w:val="en-GB"/>
        </w:rPr>
      </w:pPr>
    </w:p>
    <w:p w:rsidR="00703855" w:rsidRPr="00703855" w:rsidRDefault="00703855" w:rsidP="00703855">
      <w:pPr>
        <w:tabs>
          <w:tab w:val="left" w:pos="-720"/>
          <w:tab w:val="left" w:pos="0"/>
        </w:tabs>
        <w:suppressAutoHyphens/>
        <w:ind w:left="1134" w:right="1134"/>
        <w:rPr>
          <w:rFonts w:ascii="Perpetua" w:hAnsi="Perpetua" w:cs="Adobe Devanagari"/>
          <w:spacing w:val="-3"/>
          <w:szCs w:val="24"/>
          <w:lang w:val="en-GB"/>
        </w:rPr>
      </w:pPr>
      <w:r w:rsidRPr="00703855">
        <w:rPr>
          <w:rFonts w:ascii="Perpetua" w:hAnsi="Perpetua" w:cs="Adobe Devanagari"/>
          <w:spacing w:val="-3"/>
          <w:szCs w:val="24"/>
          <w:lang w:val="en-GB"/>
        </w:rPr>
        <w:t>[Ford’s] plays still arouse judgements ranging from outrageous praise to wholesale dismissal: he is considered the last major tragic writer of the period and a true successor to Shakespeare; or the real villain of the piece in Jacobean tragedy and an irresponsible decadent.</w:t>
      </w:r>
      <w:r>
        <w:rPr>
          <w:rStyle w:val="FootnoteReference"/>
          <w:rFonts w:ascii="Perpetua" w:hAnsi="Perpetua" w:cs="Adobe Devanagari"/>
          <w:spacing w:val="-3"/>
          <w:szCs w:val="24"/>
          <w:lang w:val="en-GB"/>
        </w:rPr>
        <w:footnoteReference w:id="53"/>
      </w:r>
    </w:p>
    <w:p w:rsidR="00703855" w:rsidRDefault="00703855" w:rsidP="00A25E26">
      <w:pPr>
        <w:tabs>
          <w:tab w:val="left" w:pos="-720"/>
          <w:tab w:val="left" w:pos="0"/>
        </w:tabs>
        <w:suppressAutoHyphens/>
        <w:spacing w:line="276" w:lineRule="auto"/>
        <w:rPr>
          <w:rFonts w:ascii="Perpetua" w:hAnsi="Perpetua" w:cs="Adobe Devanagari"/>
          <w:spacing w:val="-3"/>
          <w:sz w:val="26"/>
          <w:szCs w:val="26"/>
          <w:lang w:val="en-GB"/>
        </w:rPr>
      </w:pPr>
    </w:p>
    <w:p w:rsidR="00703855" w:rsidRPr="00A15811" w:rsidRDefault="00703855" w:rsidP="00A25E26">
      <w:pPr>
        <w:tabs>
          <w:tab w:val="left" w:pos="-720"/>
          <w:tab w:val="left" w:pos="0"/>
        </w:tabs>
        <w:suppressAutoHyphens/>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His plays have been highly evaluated for the profundity of their insight into mind and emotions or </w:t>
      </w:r>
      <w:r w:rsidR="00025770">
        <w:rPr>
          <w:rFonts w:ascii="Perpetua" w:hAnsi="Perpetua" w:cs="Adobe Devanagari"/>
          <w:spacing w:val="-3"/>
          <w:sz w:val="26"/>
          <w:szCs w:val="26"/>
          <w:lang w:val="en-GB"/>
        </w:rPr>
        <w:t>charged with immorality and pointlessness. His style has been praised as suitably chaste and restrained for when he searches out the darkest issues of emotion, or it has been described as artificially elaborate.</w:t>
      </w:r>
    </w:p>
    <w:sectPr w:rsidR="00703855" w:rsidRPr="00A1581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8C9" w:rsidRDefault="003928C9" w:rsidP="00D43544">
      <w:r>
        <w:separator/>
      </w:r>
    </w:p>
  </w:endnote>
  <w:endnote w:type="continuationSeparator" w:id="0">
    <w:p w:rsidR="003928C9" w:rsidRDefault="003928C9" w:rsidP="00D43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Perpetua">
    <w:altName w:val="Georgia"/>
    <w:panose1 w:val="02020502060401020303"/>
    <w:charset w:val="00"/>
    <w:family w:val="roman"/>
    <w:pitch w:val="variable"/>
    <w:sig w:usb0="00000003" w:usb1="00000000" w:usb2="00000000" w:usb3="00000000" w:csb0="00000001" w:csb1="00000000"/>
  </w:font>
  <w:font w:name="Adobe Devanagari">
    <w:altName w:val="Mangal"/>
    <w:panose1 w:val="00000000000000000000"/>
    <w:charset w:val="00"/>
    <w:family w:val="roman"/>
    <w:notTrueType/>
    <w:pitch w:val="variable"/>
    <w:sig w:usb0="00000003"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195809"/>
      <w:docPartObj>
        <w:docPartGallery w:val="Page Numbers (Bottom of Page)"/>
        <w:docPartUnique/>
      </w:docPartObj>
    </w:sdtPr>
    <w:sdtEndPr>
      <w:rPr>
        <w:noProof/>
      </w:rPr>
    </w:sdtEndPr>
    <w:sdtContent>
      <w:p w:rsidR="003928C9" w:rsidRDefault="003928C9">
        <w:pPr>
          <w:pStyle w:val="Footer"/>
          <w:jc w:val="center"/>
        </w:pPr>
        <w:r>
          <w:fldChar w:fldCharType="begin"/>
        </w:r>
        <w:r>
          <w:instrText xml:space="preserve"> PAGE   \* MERGEFORMAT </w:instrText>
        </w:r>
        <w:r>
          <w:fldChar w:fldCharType="separate"/>
        </w:r>
        <w:r w:rsidR="00477733">
          <w:rPr>
            <w:noProof/>
          </w:rPr>
          <w:t>14</w:t>
        </w:r>
        <w:r>
          <w:rPr>
            <w:noProof/>
          </w:rPr>
          <w:fldChar w:fldCharType="end"/>
        </w:r>
      </w:p>
    </w:sdtContent>
  </w:sdt>
  <w:p w:rsidR="003928C9" w:rsidRDefault="003928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8C9" w:rsidRDefault="003928C9" w:rsidP="00D43544">
      <w:r>
        <w:separator/>
      </w:r>
    </w:p>
  </w:footnote>
  <w:footnote w:type="continuationSeparator" w:id="0">
    <w:p w:rsidR="003928C9" w:rsidRDefault="003928C9" w:rsidP="00D43544">
      <w:r>
        <w:continuationSeparator/>
      </w:r>
    </w:p>
  </w:footnote>
  <w:footnote w:id="1">
    <w:p w:rsidR="003928C9" w:rsidRPr="006B1B5C" w:rsidRDefault="003928C9">
      <w:pPr>
        <w:pStyle w:val="FootnoteText"/>
        <w:rPr>
          <w:rFonts w:ascii="Perpetua" w:hAnsi="Perpetua"/>
          <w:lang w:val="en-GB"/>
        </w:rPr>
      </w:pPr>
      <w:r w:rsidRPr="006B1B5C">
        <w:rPr>
          <w:rStyle w:val="FootnoteReference"/>
          <w:rFonts w:ascii="Perpetua" w:hAnsi="Perpetua"/>
        </w:rPr>
        <w:footnoteRef/>
      </w:r>
      <w:r w:rsidRPr="006B1B5C">
        <w:rPr>
          <w:rFonts w:ascii="Perpetua" w:hAnsi="Perpetua"/>
        </w:rPr>
        <w:t xml:space="preserve"> </w:t>
      </w:r>
      <w:r>
        <w:rPr>
          <w:rFonts w:ascii="Perpetua" w:hAnsi="Perpetua"/>
        </w:rPr>
        <w:t xml:space="preserve">Clifford Leech, </w:t>
      </w:r>
      <w:r>
        <w:rPr>
          <w:rFonts w:ascii="Perpetua" w:hAnsi="Perpetua"/>
          <w:i/>
        </w:rPr>
        <w:t>John Ford and the Drama of his Time</w:t>
      </w:r>
      <w:r>
        <w:rPr>
          <w:rFonts w:ascii="Perpetua" w:hAnsi="Perpetua"/>
        </w:rPr>
        <w:t xml:space="preserve"> (London: Chatto &amp; Windus, 1957), p. 49, n. 1.</w:t>
      </w:r>
    </w:p>
  </w:footnote>
  <w:footnote w:id="2">
    <w:p w:rsidR="003928C9" w:rsidRPr="0095517C" w:rsidRDefault="003928C9" w:rsidP="00BE7EF6">
      <w:pPr>
        <w:pStyle w:val="FootnoteText"/>
        <w:rPr>
          <w:rFonts w:ascii="Perpetua" w:hAnsi="Perpetua"/>
          <w:lang w:val="en-GB"/>
        </w:rPr>
      </w:pPr>
      <w:r w:rsidRPr="0095517C">
        <w:rPr>
          <w:rStyle w:val="FootnoteReference"/>
          <w:rFonts w:ascii="Perpetua" w:hAnsi="Perpetua"/>
        </w:rPr>
        <w:footnoteRef/>
      </w:r>
      <w:r w:rsidRPr="0095517C">
        <w:rPr>
          <w:rFonts w:ascii="Perpetua" w:hAnsi="Perpetua"/>
        </w:rPr>
        <w:t xml:space="preserve"> </w:t>
      </w:r>
      <w:r>
        <w:rPr>
          <w:rFonts w:ascii="Perpetua" w:hAnsi="Perpetua"/>
        </w:rPr>
        <w:t xml:space="preserve">Alexander Leggatt, </w:t>
      </w:r>
      <w:r>
        <w:rPr>
          <w:rFonts w:ascii="Perpetua" w:hAnsi="Perpetua"/>
          <w:i/>
        </w:rPr>
        <w:t>English Drama: Shakespeare to the Restoration, 1590-1660</w:t>
      </w:r>
      <w:r>
        <w:rPr>
          <w:rFonts w:ascii="Perpetua" w:hAnsi="Perpetua"/>
        </w:rPr>
        <w:t>, Longman Literature in English Series (London: Longman, 1988), p. 226.</w:t>
      </w:r>
    </w:p>
  </w:footnote>
  <w:footnote w:id="3">
    <w:p w:rsidR="003928C9" w:rsidRPr="00BE7EF6" w:rsidRDefault="003928C9">
      <w:pPr>
        <w:pStyle w:val="FootnoteText"/>
        <w:rPr>
          <w:rFonts w:ascii="Perpetua" w:hAnsi="Perpetua"/>
          <w:lang w:val="en-GB"/>
        </w:rPr>
      </w:pPr>
      <w:r w:rsidRPr="00BE7EF6">
        <w:rPr>
          <w:rStyle w:val="FootnoteReference"/>
          <w:rFonts w:ascii="Perpetua" w:hAnsi="Perpetua"/>
        </w:rPr>
        <w:footnoteRef/>
      </w:r>
      <w:r w:rsidRPr="00BE7EF6">
        <w:rPr>
          <w:rFonts w:ascii="Perpetua" w:hAnsi="Perpetua"/>
        </w:rPr>
        <w:t xml:space="preserve"> </w:t>
      </w:r>
      <w:r>
        <w:rPr>
          <w:rFonts w:ascii="Perpetua" w:hAnsi="Perpetua"/>
        </w:rPr>
        <w:t>Leggatt, p. 226.</w:t>
      </w:r>
    </w:p>
  </w:footnote>
  <w:footnote w:id="4">
    <w:p w:rsidR="003928C9" w:rsidRPr="00D40384" w:rsidRDefault="003928C9" w:rsidP="003126BB">
      <w:pPr>
        <w:pStyle w:val="FootnoteText"/>
        <w:rPr>
          <w:rFonts w:ascii="Perpetua" w:hAnsi="Perpetua"/>
          <w:lang w:val="en-GB"/>
        </w:rPr>
      </w:pPr>
      <w:r w:rsidRPr="00D40384">
        <w:rPr>
          <w:rStyle w:val="FootnoteReference"/>
          <w:rFonts w:ascii="Perpetua" w:hAnsi="Perpetua"/>
        </w:rPr>
        <w:footnoteRef/>
      </w:r>
      <w:r w:rsidRPr="00D40384">
        <w:rPr>
          <w:rFonts w:ascii="Perpetua" w:hAnsi="Perpetua"/>
        </w:rPr>
        <w:t xml:space="preserve"> </w:t>
      </w:r>
      <w:r>
        <w:rPr>
          <w:rFonts w:ascii="Perpetua" w:hAnsi="Perpetua"/>
        </w:rPr>
        <w:t>Leggatt, pp. 226-27.</w:t>
      </w:r>
    </w:p>
  </w:footnote>
  <w:footnote w:id="5">
    <w:p w:rsidR="004E5A18" w:rsidRPr="004E5A18" w:rsidRDefault="004E5A18">
      <w:pPr>
        <w:pStyle w:val="FootnoteText"/>
        <w:rPr>
          <w:rFonts w:ascii="Perpetua" w:hAnsi="Perpetua"/>
          <w:lang w:val="en-GB"/>
        </w:rPr>
      </w:pPr>
      <w:r w:rsidRPr="004E5A18">
        <w:rPr>
          <w:rStyle w:val="FootnoteReference"/>
          <w:rFonts w:ascii="Perpetua" w:hAnsi="Perpetua"/>
        </w:rPr>
        <w:footnoteRef/>
      </w:r>
      <w:r w:rsidRPr="004E5A18">
        <w:rPr>
          <w:rFonts w:ascii="Perpetua" w:hAnsi="Perpetua"/>
        </w:rPr>
        <w:t xml:space="preserve"> </w:t>
      </w:r>
      <w:r w:rsidRPr="00610F51">
        <w:rPr>
          <w:rFonts w:ascii="Perpetua" w:hAnsi="Perpetua" w:cs="Mongolian Baiti"/>
          <w:i/>
        </w:rPr>
        <w:t>English Renaissance Drama: A Norton Anthology</w:t>
      </w:r>
      <w:r w:rsidRPr="00610F51">
        <w:rPr>
          <w:rFonts w:ascii="Perpetua" w:hAnsi="Perpetua" w:cs="Mongolian Baiti"/>
        </w:rPr>
        <w:t>, ed. by David Bevington and others (New York and London: W.W. Norton, 2002),</w:t>
      </w:r>
      <w:r>
        <w:rPr>
          <w:rFonts w:ascii="Perpetua" w:hAnsi="Perpetua" w:cs="Mongolian Baiti"/>
        </w:rPr>
        <w:t xml:space="preserve"> p. 190</w:t>
      </w:r>
      <w:r>
        <w:rPr>
          <w:rFonts w:ascii="Perpetua" w:hAnsi="Perpetua" w:cs="Mongolian Baiti"/>
        </w:rPr>
        <w:t>8</w:t>
      </w:r>
      <w:r>
        <w:rPr>
          <w:rFonts w:ascii="Perpetua" w:hAnsi="Perpetua" w:cs="Mongolian Baiti"/>
        </w:rPr>
        <w:t>.</w:t>
      </w:r>
    </w:p>
  </w:footnote>
  <w:footnote w:id="6">
    <w:p w:rsidR="00833A1F" w:rsidRPr="005A2D3D" w:rsidRDefault="00833A1F" w:rsidP="00833A1F">
      <w:pPr>
        <w:pStyle w:val="FootnoteText"/>
        <w:rPr>
          <w:rFonts w:ascii="Perpetua" w:hAnsi="Perpetua"/>
          <w:lang w:val="en-GB"/>
        </w:rPr>
      </w:pPr>
      <w:r w:rsidRPr="005A2D3D">
        <w:rPr>
          <w:rStyle w:val="FootnoteReference"/>
          <w:rFonts w:ascii="Perpetua" w:hAnsi="Perpetua"/>
        </w:rPr>
        <w:footnoteRef/>
      </w:r>
      <w:r w:rsidRPr="005A2D3D">
        <w:rPr>
          <w:rFonts w:ascii="Perpetua" w:hAnsi="Perpetua"/>
        </w:rPr>
        <w:t xml:space="preserve"> </w:t>
      </w:r>
      <w:r>
        <w:rPr>
          <w:rFonts w:ascii="Perpetua" w:hAnsi="Perpetua"/>
        </w:rPr>
        <w:t xml:space="preserve">See Dorothy M. Farr, </w:t>
      </w:r>
      <w:r>
        <w:rPr>
          <w:rFonts w:ascii="Perpetua" w:hAnsi="Perpetua"/>
          <w:i/>
        </w:rPr>
        <w:t>John Ford and the Caroline Theatre</w:t>
      </w:r>
      <w:r>
        <w:rPr>
          <w:rFonts w:ascii="Perpetua" w:hAnsi="Perpetua"/>
        </w:rPr>
        <w:t xml:space="preserve"> (London and Basingstoke: Macmillan, 1979), Ch. 3 ‘The Revenge Motive in </w:t>
      </w:r>
      <w:r>
        <w:rPr>
          <w:rFonts w:ascii="Perpetua" w:hAnsi="Perpetua"/>
          <w:i/>
        </w:rPr>
        <w:t>’Tis Pity She’s a Whore</w:t>
      </w:r>
      <w:r>
        <w:rPr>
          <w:rFonts w:ascii="Perpetua" w:hAnsi="Perpetua"/>
        </w:rPr>
        <w:t>: a Play for the Phoenix Theatre’, pp. 36-57.</w:t>
      </w:r>
    </w:p>
  </w:footnote>
  <w:footnote w:id="7">
    <w:p w:rsidR="003928C9" w:rsidRPr="008215C7" w:rsidRDefault="003928C9">
      <w:pPr>
        <w:pStyle w:val="FootnoteText"/>
        <w:rPr>
          <w:rFonts w:ascii="Perpetua" w:hAnsi="Perpetua"/>
          <w:lang w:val="en-GB"/>
        </w:rPr>
      </w:pPr>
      <w:r w:rsidRPr="008215C7">
        <w:rPr>
          <w:rStyle w:val="FootnoteReference"/>
          <w:rFonts w:ascii="Perpetua" w:hAnsi="Perpetua"/>
        </w:rPr>
        <w:footnoteRef/>
      </w:r>
      <w:r w:rsidRPr="008215C7">
        <w:rPr>
          <w:rFonts w:ascii="Perpetua" w:hAnsi="Perpetua"/>
        </w:rPr>
        <w:t xml:space="preserve"> </w:t>
      </w:r>
      <w:r>
        <w:rPr>
          <w:rFonts w:ascii="Perpetua" w:hAnsi="Perpetua"/>
        </w:rPr>
        <w:t xml:space="preserve">Michael Neill, </w:t>
      </w:r>
      <w:r>
        <w:rPr>
          <w:rFonts w:ascii="Perpetua" w:hAnsi="Perpetua"/>
          <w:i/>
        </w:rPr>
        <w:t>Issues of Death: Mortality and Identity in English Renaissance Tragedy</w:t>
      </w:r>
      <w:r>
        <w:rPr>
          <w:rFonts w:ascii="Perpetua" w:hAnsi="Perpetua"/>
        </w:rPr>
        <w:t xml:space="preserve"> (Oxford: Clarendon Press, 1997; repr. 2001), p. 134.</w:t>
      </w:r>
    </w:p>
  </w:footnote>
  <w:footnote w:id="8">
    <w:p w:rsidR="003928C9" w:rsidRPr="00590EFF" w:rsidRDefault="003928C9">
      <w:pPr>
        <w:pStyle w:val="FootnoteText"/>
        <w:rPr>
          <w:rFonts w:ascii="Perpetua" w:hAnsi="Perpetua"/>
          <w:lang w:val="en-GB"/>
        </w:rPr>
      </w:pPr>
      <w:r w:rsidRPr="00590EFF">
        <w:rPr>
          <w:rStyle w:val="FootnoteReference"/>
          <w:rFonts w:ascii="Perpetua" w:hAnsi="Perpetua"/>
        </w:rPr>
        <w:footnoteRef/>
      </w:r>
      <w:r w:rsidRPr="00590EFF">
        <w:rPr>
          <w:rFonts w:ascii="Perpetua" w:hAnsi="Perpetua"/>
        </w:rPr>
        <w:t xml:space="preserve"> </w:t>
      </w:r>
      <w:r>
        <w:rPr>
          <w:rFonts w:ascii="Perpetua" w:hAnsi="Perpetua"/>
        </w:rPr>
        <w:t>Neill, p. 134.</w:t>
      </w:r>
    </w:p>
  </w:footnote>
  <w:footnote w:id="9">
    <w:p w:rsidR="003928C9" w:rsidRPr="00E07C23" w:rsidRDefault="003928C9" w:rsidP="00E07C23">
      <w:pPr>
        <w:pStyle w:val="FootnoteText"/>
        <w:rPr>
          <w:rFonts w:ascii="Perpetua" w:hAnsi="Perpetua"/>
        </w:rPr>
      </w:pPr>
      <w:r w:rsidRPr="00E07C23">
        <w:rPr>
          <w:rStyle w:val="FootnoteReference"/>
          <w:rFonts w:ascii="Perpetua" w:hAnsi="Perpetua"/>
        </w:rPr>
        <w:footnoteRef/>
      </w:r>
      <w:r w:rsidRPr="00E07C23">
        <w:rPr>
          <w:rFonts w:ascii="Perpetua" w:hAnsi="Perpetua"/>
        </w:rPr>
        <w:t xml:space="preserve"> The woodcut appears in a </w:t>
      </w:r>
      <w:r w:rsidRPr="00E07C23">
        <w:rPr>
          <w:rFonts w:ascii="Perpetua" w:hAnsi="Perpetua"/>
          <w:spacing w:val="-3"/>
        </w:rPr>
        <w:t xml:space="preserve">commentary on Mondino’s </w:t>
      </w:r>
      <w:r w:rsidRPr="00E07C23">
        <w:rPr>
          <w:rFonts w:ascii="Perpetua" w:hAnsi="Perpetua"/>
          <w:i/>
          <w:spacing w:val="-3"/>
        </w:rPr>
        <w:t>Anothomia</w:t>
      </w:r>
      <w:r w:rsidRPr="00E07C23">
        <w:rPr>
          <w:rFonts w:ascii="Perpetua" w:hAnsi="Perpetua"/>
          <w:spacing w:val="-3"/>
        </w:rPr>
        <w:t xml:space="preserve"> entitled </w:t>
      </w:r>
      <w:r w:rsidRPr="00E07C23">
        <w:rPr>
          <w:rFonts w:ascii="Perpetua" w:hAnsi="Perpetua"/>
          <w:i/>
          <w:spacing w:val="-3"/>
        </w:rPr>
        <w:t>Fasciculo de medicina</w:t>
      </w:r>
      <w:r w:rsidRPr="00E07C23">
        <w:rPr>
          <w:rFonts w:ascii="Perpetua" w:hAnsi="Perpetua"/>
          <w:spacing w:val="-3"/>
        </w:rPr>
        <w:t xml:space="preserve">, published in 1493, and attributed to Johannes Ketham </w:t>
      </w:r>
      <w:r w:rsidRPr="00E07C23">
        <w:rPr>
          <w:rFonts w:ascii="Perpetua" w:hAnsi="Perpetua"/>
        </w:rPr>
        <w:t>(Venice: Giovanni and Gregorio de Gregori, 1493).</w:t>
      </w:r>
    </w:p>
  </w:footnote>
  <w:footnote w:id="10">
    <w:p w:rsidR="003928C9" w:rsidRPr="00E07C23" w:rsidRDefault="003928C9" w:rsidP="00E07C23">
      <w:pPr>
        <w:pStyle w:val="FootnoteText"/>
        <w:rPr>
          <w:rFonts w:ascii="Perpetua" w:hAnsi="Perpetua"/>
        </w:rPr>
      </w:pPr>
      <w:r w:rsidRPr="00E07C23">
        <w:rPr>
          <w:rStyle w:val="FootnoteReference"/>
          <w:rFonts w:ascii="Perpetua" w:hAnsi="Perpetua"/>
        </w:rPr>
        <w:footnoteRef/>
      </w:r>
      <w:r w:rsidRPr="00E07C23">
        <w:rPr>
          <w:rFonts w:ascii="Perpetua" w:hAnsi="Perpetua"/>
        </w:rPr>
        <w:t xml:space="preserve"> Andrea Carlino, </w:t>
      </w:r>
      <w:r w:rsidRPr="00E07C23">
        <w:rPr>
          <w:rFonts w:ascii="Perpetua" w:hAnsi="Perpetua"/>
          <w:i/>
          <w:iCs/>
        </w:rPr>
        <w:t>Paper Bodies: A Catalogue of Anatomical Fugitive Sheets 1538-1687</w:t>
      </w:r>
      <w:r w:rsidRPr="00E07C23">
        <w:rPr>
          <w:rFonts w:ascii="Perpetua" w:hAnsi="Perpetua"/>
        </w:rPr>
        <w:t xml:space="preserve">, trans. by Noga Arikha, </w:t>
      </w:r>
      <w:r w:rsidRPr="00E07C23">
        <w:rPr>
          <w:rFonts w:ascii="Perpetua" w:hAnsi="Perpetua"/>
          <w:i/>
          <w:iCs/>
        </w:rPr>
        <w:t>Medical History</w:t>
      </w:r>
      <w:r w:rsidRPr="00E07C23">
        <w:rPr>
          <w:rFonts w:ascii="Perpetua" w:hAnsi="Perpetua"/>
        </w:rPr>
        <w:t>, Supplement No. 19 (London: Wellcome Institute for the History of Medicine, 1999), p. 86.</w:t>
      </w:r>
    </w:p>
  </w:footnote>
  <w:footnote w:id="11">
    <w:p w:rsidR="003928C9" w:rsidRPr="00E07C23" w:rsidRDefault="003928C9" w:rsidP="00E07C23">
      <w:pPr>
        <w:pStyle w:val="FootnoteText"/>
        <w:rPr>
          <w:rFonts w:ascii="Perpetua" w:hAnsi="Perpetua"/>
        </w:rPr>
      </w:pPr>
      <w:r w:rsidRPr="00E07C23">
        <w:rPr>
          <w:rStyle w:val="FootnoteReference"/>
          <w:rFonts w:ascii="Perpetua" w:hAnsi="Perpetua"/>
        </w:rPr>
        <w:footnoteRef/>
      </w:r>
      <w:r w:rsidRPr="00E07C23">
        <w:rPr>
          <w:rFonts w:ascii="Perpetua" w:hAnsi="Perpetua"/>
        </w:rPr>
        <w:t xml:space="preserve"> </w:t>
      </w:r>
      <w:r>
        <w:rPr>
          <w:rFonts w:ascii="Perpetua" w:hAnsi="Perpetua"/>
        </w:rPr>
        <w:t xml:space="preserve">Andrea </w:t>
      </w:r>
      <w:r w:rsidRPr="00E07C23">
        <w:rPr>
          <w:rFonts w:ascii="Perpetua" w:hAnsi="Perpetua"/>
        </w:rPr>
        <w:t xml:space="preserve">Carlino, </w:t>
      </w:r>
      <w:r w:rsidRPr="00E07C23">
        <w:rPr>
          <w:rFonts w:ascii="Perpetua" w:hAnsi="Perpetua"/>
          <w:i/>
          <w:iCs/>
        </w:rPr>
        <w:t>Books of the Body</w:t>
      </w:r>
      <w:r>
        <w:rPr>
          <w:rFonts w:ascii="Perpetua" w:hAnsi="Perpetua"/>
          <w:i/>
          <w:iCs/>
        </w:rPr>
        <w:t>: Anatomical Ritual and Renaissance Learning</w:t>
      </w:r>
      <w:r w:rsidRPr="00E07C23">
        <w:rPr>
          <w:rFonts w:ascii="Perpetua" w:hAnsi="Perpetua"/>
        </w:rPr>
        <w:t>,</w:t>
      </w:r>
      <w:r>
        <w:rPr>
          <w:rFonts w:ascii="Perpetua" w:hAnsi="Perpetua"/>
        </w:rPr>
        <w:t xml:space="preserve"> trans. John Tedeschi and Anne C. Tedeschi (Chicago and London: University of Chicago Press, 1999),</w:t>
      </w:r>
      <w:r w:rsidRPr="00E07C23">
        <w:rPr>
          <w:rFonts w:ascii="Perpetua" w:hAnsi="Perpetua"/>
        </w:rPr>
        <w:t xml:space="preserve"> p. 2.</w:t>
      </w:r>
    </w:p>
  </w:footnote>
  <w:footnote w:id="12">
    <w:p w:rsidR="003928C9" w:rsidRPr="00E07C23" w:rsidRDefault="003928C9" w:rsidP="00E07C23">
      <w:pPr>
        <w:pStyle w:val="FootnoteText"/>
        <w:rPr>
          <w:rFonts w:ascii="Perpetua" w:hAnsi="Perpetua"/>
        </w:rPr>
      </w:pPr>
      <w:r w:rsidRPr="00E07C23">
        <w:rPr>
          <w:rStyle w:val="FootnoteReference"/>
          <w:rFonts w:ascii="Perpetua" w:hAnsi="Perpetua"/>
        </w:rPr>
        <w:footnoteRef/>
      </w:r>
      <w:r w:rsidRPr="00E07C23">
        <w:rPr>
          <w:rFonts w:ascii="Perpetua" w:hAnsi="Perpetua"/>
        </w:rPr>
        <w:t xml:space="preserve"> Cynthia Klestinec, </w:t>
      </w:r>
      <w:r w:rsidRPr="00E07C23">
        <w:rPr>
          <w:rFonts w:ascii="Perpetua" w:hAnsi="Perpetua"/>
          <w:i/>
        </w:rPr>
        <w:t>Theaters of Anatomy: Students, Teachers, and Traditions of Dissection in Renaissance Venice</w:t>
      </w:r>
      <w:r w:rsidRPr="00E07C23">
        <w:rPr>
          <w:rFonts w:ascii="Perpetua" w:hAnsi="Perpetua"/>
        </w:rPr>
        <w:t xml:space="preserve"> (Baltimore, MD: Johns Hopkins University Press, 2011), p. 11.</w:t>
      </w:r>
    </w:p>
  </w:footnote>
  <w:footnote w:id="13">
    <w:p w:rsidR="003928C9" w:rsidRPr="00E07C23" w:rsidRDefault="003928C9" w:rsidP="00E07C23">
      <w:pPr>
        <w:pStyle w:val="FootnoteText"/>
        <w:rPr>
          <w:rFonts w:ascii="Perpetua" w:hAnsi="Perpetua"/>
        </w:rPr>
      </w:pPr>
      <w:r w:rsidRPr="00E07C23">
        <w:rPr>
          <w:rStyle w:val="FootnoteReference"/>
          <w:rFonts w:ascii="Perpetua" w:hAnsi="Perpetua"/>
        </w:rPr>
        <w:footnoteRef/>
      </w:r>
      <w:r w:rsidRPr="00E07C23">
        <w:rPr>
          <w:rFonts w:ascii="Perpetua" w:hAnsi="Perpetua"/>
        </w:rPr>
        <w:t xml:space="preserve"> An anatomical dissection by Pieter Pauw in the Leiden anatomy theatre, inscribed ‘I.D. Gheyn inv. Andr. Stoc. scul.’ Engraved by Andries Stock after a drawing by Jacques de Gheyn II, 1615. Plate to Pauw, </w:t>
      </w:r>
      <w:r w:rsidRPr="00E07C23">
        <w:rPr>
          <w:rFonts w:ascii="Perpetua" w:hAnsi="Perpetua"/>
          <w:i/>
        </w:rPr>
        <w:t>Succenturiantus anatomicus continens commentaria in Hippocratem de capitis vulneribus</w:t>
      </w:r>
      <w:r w:rsidRPr="00E07C23">
        <w:rPr>
          <w:rFonts w:ascii="Perpetua" w:hAnsi="Perpetua"/>
        </w:rPr>
        <w:t xml:space="preserve"> (Leiden, 1616).</w:t>
      </w:r>
    </w:p>
  </w:footnote>
  <w:footnote w:id="14">
    <w:p w:rsidR="003928C9" w:rsidRPr="0040648B" w:rsidRDefault="003928C9" w:rsidP="0040648B">
      <w:pPr>
        <w:pStyle w:val="FootnoteText"/>
        <w:rPr>
          <w:rFonts w:ascii="Perpetua" w:hAnsi="Perpetua"/>
        </w:rPr>
      </w:pPr>
      <w:r w:rsidRPr="0040648B">
        <w:rPr>
          <w:rStyle w:val="FootnoteReference"/>
          <w:rFonts w:ascii="Perpetua" w:hAnsi="Perpetua"/>
        </w:rPr>
        <w:footnoteRef/>
      </w:r>
      <w:r w:rsidRPr="0040648B">
        <w:rPr>
          <w:rFonts w:ascii="Perpetua" w:hAnsi="Perpetua"/>
        </w:rPr>
        <w:t xml:space="preserve"> </w:t>
      </w:r>
      <w:r>
        <w:rPr>
          <w:rFonts w:ascii="Perpetua" w:hAnsi="Perpetua"/>
        </w:rPr>
        <w:t xml:space="preserve">William </w:t>
      </w:r>
      <w:r w:rsidRPr="0040648B">
        <w:rPr>
          <w:rFonts w:ascii="Perpetua" w:hAnsi="Perpetua"/>
        </w:rPr>
        <w:t xml:space="preserve">Heckscher, </w:t>
      </w:r>
      <w:r w:rsidRPr="0040648B">
        <w:rPr>
          <w:rFonts w:ascii="Perpetua" w:hAnsi="Perpetua"/>
          <w:i/>
          <w:iCs/>
        </w:rPr>
        <w:t>Rembrandt’s Anatomy of Dr. Nicolaas Tulp</w:t>
      </w:r>
      <w:r>
        <w:rPr>
          <w:rFonts w:ascii="Perpetua" w:hAnsi="Perpetua"/>
          <w:i/>
          <w:iCs/>
        </w:rPr>
        <w:t>: An Iconological Study</w:t>
      </w:r>
      <w:r>
        <w:rPr>
          <w:rFonts w:ascii="Perpetua" w:hAnsi="Perpetua"/>
        </w:rPr>
        <w:t xml:space="preserve"> (New York: New York University Press, 1958),</w:t>
      </w:r>
      <w:r w:rsidRPr="0040648B">
        <w:rPr>
          <w:rFonts w:ascii="Perpetua" w:hAnsi="Perpetua"/>
        </w:rPr>
        <w:t xml:space="preserve"> pp. 32, 98.</w:t>
      </w:r>
    </w:p>
  </w:footnote>
  <w:footnote w:id="15">
    <w:p w:rsidR="003928C9" w:rsidRPr="00023FB2" w:rsidRDefault="003928C9" w:rsidP="00023FB2">
      <w:pPr>
        <w:pStyle w:val="FootnoteText"/>
        <w:rPr>
          <w:rFonts w:ascii="Perpetua" w:hAnsi="Perpetua"/>
        </w:rPr>
      </w:pPr>
      <w:r w:rsidRPr="00023FB2">
        <w:rPr>
          <w:rStyle w:val="FootnoteReference"/>
          <w:rFonts w:ascii="Perpetua" w:hAnsi="Perpetua"/>
        </w:rPr>
        <w:footnoteRef/>
      </w:r>
      <w:r w:rsidRPr="00023FB2">
        <w:rPr>
          <w:rFonts w:ascii="Perpetua" w:hAnsi="Perpetua"/>
        </w:rPr>
        <w:t xml:space="preserve"> Heckscher, </w:t>
      </w:r>
      <w:r w:rsidRPr="00023FB2">
        <w:rPr>
          <w:rFonts w:ascii="Perpetua" w:hAnsi="Perpetua"/>
          <w:i/>
          <w:iCs/>
        </w:rPr>
        <w:t>Rembrandt’s Anatomy of Dr. Nicolaas Tulp</w:t>
      </w:r>
      <w:r w:rsidRPr="00023FB2">
        <w:rPr>
          <w:rFonts w:ascii="Perpetua" w:hAnsi="Perpetua"/>
        </w:rPr>
        <w:t xml:space="preserve">, p. 98. Heckscher adds: ‘Other skeletons hold banners proclaiming traditional death warnings: PVLVIS ET UMBRA SUMUS. NOSCE TE IPSUM. MORS ULTIMA LINEA RERUM, etc. A reclining putto with skull and hourglass presides over the whole’. He also claims: ‘There is evidence that the displays in the </w:t>
      </w:r>
      <w:r w:rsidRPr="00023FB2">
        <w:rPr>
          <w:rFonts w:ascii="Perpetua" w:hAnsi="Perpetua"/>
          <w:i/>
          <w:iCs/>
        </w:rPr>
        <w:t>theatra anatomica</w:t>
      </w:r>
      <w:r w:rsidRPr="00023FB2">
        <w:rPr>
          <w:rFonts w:ascii="Perpetua" w:hAnsi="Perpetua"/>
        </w:rPr>
        <w:t xml:space="preserve"> when these were used as museums were not intended for medical instruction; serious osteology was taught in Leiden in the auditorium medicum in the University Building.’ (p. 98) The implication is that the theatre is designed as a spectacular lesson in mortality and redemption.</w:t>
      </w:r>
    </w:p>
  </w:footnote>
  <w:footnote w:id="16">
    <w:p w:rsidR="00477733" w:rsidRPr="00095CC3" w:rsidRDefault="00477733" w:rsidP="00477733">
      <w:pPr>
        <w:pStyle w:val="FootnoteText"/>
        <w:rPr>
          <w:rFonts w:ascii="Perpetua" w:hAnsi="Perpetua"/>
        </w:rPr>
      </w:pPr>
      <w:r w:rsidRPr="00095CC3">
        <w:rPr>
          <w:rStyle w:val="FootnoteReference"/>
          <w:rFonts w:ascii="Perpetua" w:hAnsi="Perpetua"/>
        </w:rPr>
        <w:footnoteRef/>
      </w:r>
      <w:r w:rsidRPr="00095CC3">
        <w:rPr>
          <w:rFonts w:ascii="Perpetua" w:hAnsi="Perpetua"/>
        </w:rPr>
        <w:t xml:space="preserve"> </w:t>
      </w:r>
      <w:r>
        <w:rPr>
          <w:rFonts w:ascii="Perpetua" w:hAnsi="Perpetua"/>
        </w:rPr>
        <w:t>University of Glasgow MS Hunter 364. The artist was probably Nicholas Hilliard.</w:t>
      </w:r>
    </w:p>
  </w:footnote>
  <w:footnote w:id="17">
    <w:p w:rsidR="00477733" w:rsidRPr="00735B4C" w:rsidRDefault="00477733" w:rsidP="00477733">
      <w:pPr>
        <w:pStyle w:val="FootnoteText"/>
        <w:rPr>
          <w:rFonts w:ascii="Perpetua" w:hAnsi="Perpetua"/>
        </w:rPr>
      </w:pPr>
      <w:r w:rsidRPr="00735B4C">
        <w:rPr>
          <w:rStyle w:val="FootnoteReference"/>
          <w:rFonts w:ascii="Perpetua" w:hAnsi="Perpetua"/>
        </w:rPr>
        <w:footnoteRef/>
      </w:r>
      <w:r w:rsidRPr="00735B4C">
        <w:rPr>
          <w:rFonts w:ascii="Perpetua" w:hAnsi="Perpetua"/>
        </w:rPr>
        <w:t xml:space="preserve"> </w:t>
      </w:r>
      <w:r>
        <w:rPr>
          <w:rFonts w:ascii="Perpetua" w:hAnsi="Perpetua"/>
        </w:rPr>
        <w:t>Records of the Worshipful Company of Barber-Surgeons, B/1/1-5 (Minute Books of the Court, 1551-1650).</w:t>
      </w:r>
    </w:p>
  </w:footnote>
  <w:footnote w:id="18">
    <w:p w:rsidR="00477733" w:rsidRPr="00023FB2" w:rsidRDefault="00477733" w:rsidP="00477733">
      <w:pPr>
        <w:pStyle w:val="FootnoteText"/>
        <w:rPr>
          <w:rFonts w:ascii="Perpetua" w:hAnsi="Perpetua"/>
        </w:rPr>
      </w:pPr>
      <w:r w:rsidRPr="00023FB2">
        <w:rPr>
          <w:rStyle w:val="FootnoteReference"/>
          <w:rFonts w:ascii="Perpetua" w:hAnsi="Perpetua"/>
        </w:rPr>
        <w:footnoteRef/>
      </w:r>
      <w:r w:rsidRPr="00023FB2">
        <w:rPr>
          <w:rFonts w:ascii="Perpetua" w:hAnsi="Perpetua"/>
        </w:rPr>
        <w:t xml:space="preserve"> Museum of London Archaeology Service (MoLAS), </w:t>
      </w:r>
      <w:r w:rsidRPr="00023FB2">
        <w:rPr>
          <w:rFonts w:ascii="Perpetua" w:hAnsi="Perpetua"/>
          <w:i/>
          <w:iCs/>
        </w:rPr>
        <w:t>Barber-Surgeons’ Hall Garden, Monkwell Square, London EC2 . . . An Archaeological Research Evaluation</w:t>
      </w:r>
      <w:r w:rsidRPr="00023FB2">
        <w:rPr>
          <w:rFonts w:ascii="Perpetua" w:hAnsi="Perpetua"/>
        </w:rPr>
        <w:t xml:space="preserve"> (London: Museu</w:t>
      </w:r>
      <w:r>
        <w:rPr>
          <w:rFonts w:ascii="Perpetua" w:hAnsi="Perpetua"/>
        </w:rPr>
        <w:t>m of London, 1998).</w:t>
      </w:r>
    </w:p>
  </w:footnote>
  <w:footnote w:id="19">
    <w:p w:rsidR="003928C9" w:rsidRPr="00DC7C07" w:rsidRDefault="003928C9">
      <w:pPr>
        <w:pStyle w:val="FootnoteText"/>
        <w:rPr>
          <w:rFonts w:ascii="Perpetua" w:hAnsi="Perpetua"/>
          <w:lang w:val="en-GB"/>
        </w:rPr>
      </w:pPr>
      <w:r w:rsidRPr="00DC7C07">
        <w:rPr>
          <w:rStyle w:val="FootnoteReference"/>
          <w:rFonts w:ascii="Perpetua" w:hAnsi="Perpetua"/>
        </w:rPr>
        <w:footnoteRef/>
      </w:r>
      <w:r w:rsidRPr="00DC7C07">
        <w:rPr>
          <w:rFonts w:ascii="Perpetua" w:hAnsi="Perpetua"/>
        </w:rPr>
        <w:t xml:space="preserve"> </w:t>
      </w:r>
      <w:r>
        <w:rPr>
          <w:rFonts w:ascii="Perpetua" w:hAnsi="Perpetua"/>
        </w:rPr>
        <w:t xml:space="preserve">John Ford, </w:t>
      </w:r>
      <w:r>
        <w:rPr>
          <w:rFonts w:ascii="Perpetua" w:hAnsi="Perpetua"/>
          <w:i/>
        </w:rPr>
        <w:t>Three Plays: ’Tis Pity She’s a Whore, The Broken Heart, Perkin Warbeck</w:t>
      </w:r>
      <w:r>
        <w:rPr>
          <w:rFonts w:ascii="Perpetua" w:hAnsi="Perpetua"/>
        </w:rPr>
        <w:t>, ed. with an Introduction and Commentary by Keith Sturgess, Penguin Classics series (London: Penguin, 1985), p. 9.</w:t>
      </w:r>
    </w:p>
  </w:footnote>
  <w:footnote w:id="20">
    <w:p w:rsidR="003928C9" w:rsidRPr="005A2D3D" w:rsidRDefault="003928C9">
      <w:pPr>
        <w:pStyle w:val="FootnoteText"/>
        <w:rPr>
          <w:rFonts w:ascii="Perpetua" w:hAnsi="Perpetua"/>
          <w:lang w:val="en-GB"/>
        </w:rPr>
      </w:pPr>
      <w:r w:rsidRPr="00C61188">
        <w:rPr>
          <w:rStyle w:val="FootnoteReference"/>
          <w:rFonts w:ascii="Perpetua" w:hAnsi="Perpetua"/>
        </w:rPr>
        <w:footnoteRef/>
      </w:r>
      <w:r w:rsidRPr="00C61188">
        <w:rPr>
          <w:rFonts w:ascii="Perpetua" w:hAnsi="Perpetua"/>
        </w:rPr>
        <w:t xml:space="preserve"> </w:t>
      </w:r>
      <w:r>
        <w:rPr>
          <w:rFonts w:ascii="Perpetua" w:hAnsi="Perpetua"/>
        </w:rPr>
        <w:t xml:space="preserve">John Ford, </w:t>
      </w:r>
      <w:r>
        <w:rPr>
          <w:rFonts w:ascii="Perpetua" w:hAnsi="Perpetua"/>
          <w:i/>
        </w:rPr>
        <w:t>’Tis Pity She’s a Whore</w:t>
      </w:r>
      <w:r>
        <w:rPr>
          <w:rFonts w:ascii="Perpetua" w:hAnsi="Perpetua"/>
        </w:rPr>
        <w:t xml:space="preserve">, ed. by Derek Roper, The Revels Plays series (London: Methuen, 1975), p. xix. Roper quotes from P.J. Finkelpearl, </w:t>
      </w:r>
      <w:r>
        <w:rPr>
          <w:rFonts w:ascii="Perpetua" w:hAnsi="Perpetua"/>
          <w:i/>
        </w:rPr>
        <w:t>John Marston of the Middle Temple</w:t>
      </w:r>
      <w:r>
        <w:rPr>
          <w:rFonts w:ascii="Perpetua" w:hAnsi="Perpetua"/>
        </w:rPr>
        <w:t xml:space="preserve"> (Cambridge, Mass., 1969), p. 126.</w:t>
      </w:r>
    </w:p>
  </w:footnote>
  <w:footnote w:id="21">
    <w:p w:rsidR="003928C9" w:rsidRPr="006C109B" w:rsidRDefault="003928C9">
      <w:pPr>
        <w:pStyle w:val="FootnoteText"/>
        <w:rPr>
          <w:rFonts w:ascii="Perpetua" w:hAnsi="Perpetua"/>
          <w:lang w:val="en-GB"/>
        </w:rPr>
      </w:pPr>
      <w:r w:rsidRPr="006C109B">
        <w:rPr>
          <w:rStyle w:val="FootnoteReference"/>
          <w:rFonts w:ascii="Perpetua" w:hAnsi="Perpetua"/>
        </w:rPr>
        <w:footnoteRef/>
      </w:r>
      <w:r w:rsidRPr="006C109B">
        <w:rPr>
          <w:rFonts w:ascii="Perpetua" w:hAnsi="Perpetua"/>
        </w:rPr>
        <w:t xml:space="preserve"> </w:t>
      </w:r>
      <w:r>
        <w:rPr>
          <w:rFonts w:ascii="Perpetua" w:hAnsi="Perpetua"/>
        </w:rPr>
        <w:t xml:space="preserve">Ford, </w:t>
      </w:r>
      <w:r>
        <w:rPr>
          <w:rFonts w:ascii="Perpetua" w:hAnsi="Perpetua"/>
          <w:i/>
        </w:rPr>
        <w:t>Three Plays</w:t>
      </w:r>
      <w:r>
        <w:rPr>
          <w:rFonts w:ascii="Perpetua" w:hAnsi="Perpetua"/>
        </w:rPr>
        <w:t>, p. 16.</w:t>
      </w:r>
    </w:p>
  </w:footnote>
  <w:footnote w:id="22">
    <w:p w:rsidR="00765F5A" w:rsidRPr="00765F5A" w:rsidRDefault="00765F5A">
      <w:pPr>
        <w:pStyle w:val="FootnoteText"/>
        <w:rPr>
          <w:rFonts w:ascii="Perpetua" w:hAnsi="Perpetua"/>
          <w:lang w:val="en-GB"/>
        </w:rPr>
      </w:pPr>
      <w:r w:rsidRPr="00765F5A">
        <w:rPr>
          <w:rStyle w:val="FootnoteReference"/>
          <w:rFonts w:ascii="Perpetua" w:hAnsi="Perpetua"/>
        </w:rPr>
        <w:footnoteRef/>
      </w:r>
      <w:r w:rsidRPr="00765F5A">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190</w:t>
      </w:r>
      <w:r>
        <w:rPr>
          <w:rFonts w:ascii="Perpetua" w:hAnsi="Perpetua" w:cs="Mongolian Baiti"/>
        </w:rPr>
        <w:t>6</w:t>
      </w:r>
      <w:r>
        <w:rPr>
          <w:rFonts w:ascii="Perpetua" w:hAnsi="Perpetua" w:cs="Mongolian Baiti"/>
        </w:rPr>
        <w:t>.</w:t>
      </w:r>
    </w:p>
  </w:footnote>
  <w:footnote w:id="23">
    <w:p w:rsidR="00ED57AD" w:rsidRPr="00ED57AD" w:rsidRDefault="00ED57AD">
      <w:pPr>
        <w:pStyle w:val="FootnoteText"/>
        <w:rPr>
          <w:rFonts w:ascii="Perpetua" w:hAnsi="Perpetua"/>
          <w:lang w:val="en-GB"/>
        </w:rPr>
      </w:pPr>
      <w:r w:rsidRPr="00ED57AD">
        <w:rPr>
          <w:rStyle w:val="FootnoteReference"/>
          <w:rFonts w:ascii="Perpetua" w:hAnsi="Perpetua"/>
        </w:rPr>
        <w:footnoteRef/>
      </w:r>
      <w:r w:rsidRPr="00ED57AD">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w:t>
      </w:r>
      <w:r>
        <w:rPr>
          <w:rFonts w:ascii="Perpetua" w:hAnsi="Perpetua" w:cs="Mongolian Baiti"/>
        </w:rPr>
        <w:t xml:space="preserve"> 1905.</w:t>
      </w:r>
    </w:p>
  </w:footnote>
  <w:footnote w:id="24">
    <w:p w:rsidR="003928C9" w:rsidRPr="00E07C23" w:rsidRDefault="003928C9" w:rsidP="00A43A7F">
      <w:pPr>
        <w:pStyle w:val="FootnoteText"/>
        <w:rPr>
          <w:rFonts w:ascii="Perpetua" w:hAnsi="Perpetua"/>
          <w:lang w:val="en-GB"/>
        </w:rPr>
      </w:pPr>
      <w:r w:rsidRPr="00E07C23">
        <w:rPr>
          <w:rStyle w:val="FootnoteReference"/>
          <w:rFonts w:ascii="Perpetua" w:hAnsi="Perpetua"/>
        </w:rPr>
        <w:footnoteRef/>
      </w:r>
      <w:r w:rsidRPr="00E07C23">
        <w:rPr>
          <w:rFonts w:ascii="Perpetua" w:hAnsi="Perpetua"/>
        </w:rPr>
        <w:t xml:space="preserve"> Leggatt, p. 227.</w:t>
      </w:r>
    </w:p>
  </w:footnote>
  <w:footnote w:id="25">
    <w:p w:rsidR="003928C9" w:rsidRPr="00AA6EA7" w:rsidRDefault="003928C9">
      <w:pPr>
        <w:pStyle w:val="FootnoteText"/>
        <w:rPr>
          <w:rFonts w:ascii="Perpetua" w:hAnsi="Perpetua"/>
          <w:lang w:val="en-GB"/>
        </w:rPr>
      </w:pPr>
      <w:r w:rsidRPr="00AA6EA7">
        <w:rPr>
          <w:rStyle w:val="FootnoteReference"/>
          <w:rFonts w:ascii="Perpetua" w:hAnsi="Perpetua"/>
        </w:rPr>
        <w:footnoteRef/>
      </w:r>
      <w:r w:rsidRPr="00AA6EA7">
        <w:rPr>
          <w:rFonts w:ascii="Perpetua" w:hAnsi="Perpetua"/>
        </w:rPr>
        <w:t xml:space="preserve"> </w:t>
      </w:r>
      <w:r>
        <w:rPr>
          <w:rFonts w:ascii="Perpetua" w:hAnsi="Perpetua"/>
        </w:rPr>
        <w:t>Leggatt, p. 228.</w:t>
      </w:r>
    </w:p>
  </w:footnote>
  <w:footnote w:id="26">
    <w:p w:rsidR="003928C9" w:rsidRPr="00AE0CF8" w:rsidRDefault="003928C9">
      <w:pPr>
        <w:pStyle w:val="FootnoteText"/>
        <w:rPr>
          <w:rFonts w:ascii="Perpetua" w:hAnsi="Perpetua"/>
          <w:lang w:val="en-GB"/>
        </w:rPr>
      </w:pPr>
      <w:r w:rsidRPr="00AE0CF8">
        <w:rPr>
          <w:rStyle w:val="FootnoteReference"/>
          <w:rFonts w:ascii="Perpetua" w:hAnsi="Perpetua"/>
        </w:rPr>
        <w:footnoteRef/>
      </w:r>
      <w:r w:rsidRPr="00AE0CF8">
        <w:rPr>
          <w:rFonts w:ascii="Perpetua" w:hAnsi="Perpetua"/>
        </w:rPr>
        <w:t xml:space="preserve"> </w:t>
      </w:r>
      <w:r>
        <w:rPr>
          <w:rFonts w:ascii="Perpetua" w:hAnsi="Perpetua"/>
        </w:rPr>
        <w:t>Leggatt, p. 19.</w:t>
      </w:r>
    </w:p>
  </w:footnote>
  <w:footnote w:id="27">
    <w:p w:rsidR="003928C9" w:rsidRPr="007A7E5C" w:rsidRDefault="003928C9">
      <w:pPr>
        <w:pStyle w:val="FootnoteText"/>
        <w:rPr>
          <w:rFonts w:ascii="Perpetua" w:hAnsi="Perpetua"/>
          <w:lang w:val="en-GB"/>
        </w:rPr>
      </w:pPr>
      <w:r w:rsidRPr="007A7E5C">
        <w:rPr>
          <w:rStyle w:val="FootnoteReference"/>
          <w:rFonts w:ascii="Perpetua" w:hAnsi="Perpetua"/>
        </w:rPr>
        <w:footnoteRef/>
      </w:r>
      <w:r w:rsidRPr="007A7E5C">
        <w:rPr>
          <w:rFonts w:ascii="Perpetua" w:hAnsi="Perpetua"/>
        </w:rPr>
        <w:t xml:space="preserve"> </w:t>
      </w:r>
      <w:r>
        <w:rPr>
          <w:rFonts w:ascii="Perpetua" w:hAnsi="Perpetua"/>
        </w:rPr>
        <w:t>Leggatt, p. 228.</w:t>
      </w:r>
    </w:p>
  </w:footnote>
  <w:footnote w:id="28">
    <w:p w:rsidR="003928C9" w:rsidRPr="003928C9" w:rsidRDefault="003928C9">
      <w:pPr>
        <w:pStyle w:val="FootnoteText"/>
        <w:rPr>
          <w:rFonts w:ascii="Perpetua" w:hAnsi="Perpetua"/>
          <w:lang w:val="en-GB"/>
        </w:rPr>
      </w:pPr>
      <w:r w:rsidRPr="003928C9">
        <w:rPr>
          <w:rStyle w:val="FootnoteReference"/>
          <w:rFonts w:ascii="Perpetua" w:hAnsi="Perpetua"/>
        </w:rPr>
        <w:footnoteRef/>
      </w:r>
      <w:r w:rsidRPr="003928C9">
        <w:rPr>
          <w:rFonts w:ascii="Perpetua" w:hAnsi="Perpetua"/>
        </w:rPr>
        <w:t xml:space="preserve"> </w:t>
      </w:r>
      <w:r w:rsidR="00833A1F" w:rsidRPr="00610F51">
        <w:rPr>
          <w:rFonts w:ascii="Perpetua" w:hAnsi="Perpetua" w:cs="Mongolian Baiti"/>
          <w:i/>
        </w:rPr>
        <w:t>English Renaissance Drama</w:t>
      </w:r>
      <w:r w:rsidR="00833A1F" w:rsidRPr="00610F51">
        <w:rPr>
          <w:rFonts w:ascii="Perpetua" w:hAnsi="Perpetua" w:cs="Mongolian Baiti"/>
        </w:rPr>
        <w:t>,</w:t>
      </w:r>
      <w:r w:rsidR="00833A1F">
        <w:rPr>
          <w:rFonts w:ascii="Perpetua" w:hAnsi="Perpetua" w:cs="Mongolian Baiti"/>
        </w:rPr>
        <w:t xml:space="preserve"> p.</w:t>
      </w:r>
      <w:r w:rsidR="00833A1F">
        <w:rPr>
          <w:rFonts w:ascii="Perpetua" w:hAnsi="Perpetua" w:cs="Mongolian Baiti"/>
        </w:rPr>
        <w:t xml:space="preserve"> 1905.</w:t>
      </w:r>
    </w:p>
  </w:footnote>
  <w:footnote w:id="29">
    <w:p w:rsidR="003928C9" w:rsidRPr="00645B34" w:rsidRDefault="003928C9" w:rsidP="00A43A7F">
      <w:pPr>
        <w:pStyle w:val="FootnoteText"/>
        <w:rPr>
          <w:rFonts w:ascii="Perpetua" w:hAnsi="Perpetua"/>
          <w:lang w:val="en-GB"/>
        </w:rPr>
      </w:pPr>
      <w:r w:rsidRPr="00645B34">
        <w:rPr>
          <w:rStyle w:val="FootnoteReference"/>
          <w:rFonts w:ascii="Perpetua" w:hAnsi="Perpetua"/>
        </w:rPr>
        <w:footnoteRef/>
      </w:r>
      <w:r w:rsidRPr="00645B34">
        <w:rPr>
          <w:rFonts w:ascii="Perpetua" w:hAnsi="Perpetua"/>
        </w:rPr>
        <w:t xml:space="preserve"> </w:t>
      </w:r>
      <w:r>
        <w:rPr>
          <w:rFonts w:ascii="Perpetua" w:hAnsi="Perpetua"/>
        </w:rPr>
        <w:t>Leggatt, p. 229.</w:t>
      </w:r>
    </w:p>
  </w:footnote>
  <w:footnote w:id="30">
    <w:p w:rsidR="00ED57AD" w:rsidRPr="00ED57AD" w:rsidRDefault="00ED57AD">
      <w:pPr>
        <w:pStyle w:val="FootnoteText"/>
        <w:rPr>
          <w:rFonts w:ascii="Perpetua" w:hAnsi="Perpetua"/>
          <w:lang w:val="en-GB"/>
        </w:rPr>
      </w:pPr>
      <w:r w:rsidRPr="00ED57AD">
        <w:rPr>
          <w:rStyle w:val="FootnoteReference"/>
          <w:rFonts w:ascii="Perpetua" w:hAnsi="Perpetua"/>
        </w:rPr>
        <w:footnoteRef/>
      </w:r>
      <w:r w:rsidRPr="00ED57AD">
        <w:rPr>
          <w:rFonts w:ascii="Perpetua" w:hAnsi="Perpetua"/>
        </w:rPr>
        <w:t xml:space="preserve"> </w:t>
      </w:r>
      <w:r w:rsidRPr="00610F51">
        <w:rPr>
          <w:rFonts w:ascii="Perpetua" w:hAnsi="Perpetua" w:cs="Mongolian Baiti"/>
          <w:i/>
        </w:rPr>
        <w:t>English Renaissance Drama</w:t>
      </w:r>
      <w:r>
        <w:rPr>
          <w:rFonts w:ascii="Perpetua" w:hAnsi="Perpetua" w:cs="Mongolian Baiti"/>
        </w:rPr>
        <w:t>, p. 1905.</w:t>
      </w:r>
    </w:p>
  </w:footnote>
  <w:footnote w:id="31">
    <w:p w:rsidR="003928C9" w:rsidRPr="00AA6EA7" w:rsidRDefault="003928C9">
      <w:pPr>
        <w:pStyle w:val="FootnoteText"/>
        <w:rPr>
          <w:rFonts w:ascii="Perpetua" w:hAnsi="Perpetua"/>
          <w:lang w:val="en-GB"/>
        </w:rPr>
      </w:pPr>
      <w:r w:rsidRPr="00AA6EA7">
        <w:rPr>
          <w:rStyle w:val="FootnoteReference"/>
          <w:rFonts w:ascii="Perpetua" w:hAnsi="Perpetua"/>
        </w:rPr>
        <w:footnoteRef/>
      </w:r>
      <w:r w:rsidRPr="00AA6EA7">
        <w:rPr>
          <w:rFonts w:ascii="Perpetua" w:hAnsi="Perpetua"/>
        </w:rPr>
        <w:t xml:space="preserve"> </w:t>
      </w:r>
      <w:r>
        <w:rPr>
          <w:rFonts w:ascii="Perpetua" w:hAnsi="Perpetua"/>
        </w:rPr>
        <w:t>Leggatt, p. 228.</w:t>
      </w:r>
    </w:p>
  </w:footnote>
  <w:footnote w:id="32">
    <w:p w:rsidR="003928C9" w:rsidRPr="00134D50" w:rsidRDefault="003928C9">
      <w:pPr>
        <w:pStyle w:val="FootnoteText"/>
        <w:rPr>
          <w:rFonts w:ascii="Perpetua" w:hAnsi="Perpetua"/>
          <w:lang w:val="en-GB"/>
        </w:rPr>
      </w:pPr>
      <w:r w:rsidRPr="00134D50">
        <w:rPr>
          <w:rStyle w:val="FootnoteReference"/>
          <w:rFonts w:ascii="Perpetua" w:hAnsi="Perpetua"/>
        </w:rPr>
        <w:footnoteRef/>
      </w:r>
      <w:r w:rsidRPr="00134D50">
        <w:rPr>
          <w:rFonts w:ascii="Perpetua" w:hAnsi="Perpetua"/>
        </w:rPr>
        <w:t xml:space="preserve"> </w:t>
      </w:r>
      <w:r>
        <w:rPr>
          <w:rFonts w:ascii="Perpetua" w:hAnsi="Perpetua"/>
        </w:rPr>
        <w:t>Leggatt, p. 229.</w:t>
      </w:r>
    </w:p>
  </w:footnote>
  <w:footnote w:id="33">
    <w:p w:rsidR="003928C9" w:rsidRPr="006F1241" w:rsidRDefault="003928C9">
      <w:pPr>
        <w:pStyle w:val="FootnoteText"/>
        <w:rPr>
          <w:rFonts w:ascii="Perpetua" w:hAnsi="Perpetua"/>
          <w:lang w:val="en-GB"/>
        </w:rPr>
      </w:pPr>
      <w:r w:rsidRPr="006F1241">
        <w:rPr>
          <w:rStyle w:val="FootnoteReference"/>
          <w:rFonts w:ascii="Perpetua" w:hAnsi="Perpetua"/>
        </w:rPr>
        <w:footnoteRef/>
      </w:r>
      <w:r w:rsidRPr="006F1241">
        <w:rPr>
          <w:rFonts w:ascii="Perpetua" w:hAnsi="Perpetua"/>
        </w:rPr>
        <w:t xml:space="preserve"> </w:t>
      </w:r>
      <w:r>
        <w:rPr>
          <w:rFonts w:ascii="Perpetua" w:hAnsi="Perpetua"/>
        </w:rPr>
        <w:t xml:space="preserve">Ford, </w:t>
      </w:r>
      <w:r>
        <w:rPr>
          <w:rFonts w:ascii="Perpetua" w:hAnsi="Perpetua"/>
          <w:i/>
        </w:rPr>
        <w:t>Three Plays</w:t>
      </w:r>
      <w:r>
        <w:rPr>
          <w:rFonts w:ascii="Perpetua" w:hAnsi="Perpetua"/>
        </w:rPr>
        <w:t>, p. 14.</w:t>
      </w:r>
    </w:p>
  </w:footnote>
  <w:footnote w:id="34">
    <w:p w:rsidR="00765F5A" w:rsidRPr="00765F5A" w:rsidRDefault="00765F5A">
      <w:pPr>
        <w:pStyle w:val="FootnoteText"/>
        <w:rPr>
          <w:rFonts w:ascii="Perpetua" w:hAnsi="Perpetua"/>
          <w:lang w:val="en-GB"/>
        </w:rPr>
      </w:pPr>
      <w:r w:rsidRPr="00765F5A">
        <w:rPr>
          <w:rStyle w:val="FootnoteReference"/>
          <w:rFonts w:ascii="Perpetua" w:hAnsi="Perpetua"/>
        </w:rPr>
        <w:footnoteRef/>
      </w:r>
      <w:r w:rsidRPr="00765F5A">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190</w:t>
      </w:r>
      <w:r>
        <w:rPr>
          <w:rFonts w:ascii="Perpetua" w:hAnsi="Perpetua" w:cs="Mongolian Baiti"/>
        </w:rPr>
        <w:t>6</w:t>
      </w:r>
      <w:r>
        <w:rPr>
          <w:rFonts w:ascii="Perpetua" w:hAnsi="Perpetua" w:cs="Mongolian Baiti"/>
        </w:rPr>
        <w:t>.</w:t>
      </w:r>
    </w:p>
  </w:footnote>
  <w:footnote w:id="35">
    <w:p w:rsidR="00EF2256" w:rsidRPr="00EF2256" w:rsidRDefault="00EF2256">
      <w:pPr>
        <w:pStyle w:val="FootnoteText"/>
        <w:rPr>
          <w:rFonts w:ascii="Perpetua" w:hAnsi="Perpetua"/>
          <w:lang w:val="en-GB"/>
        </w:rPr>
      </w:pPr>
      <w:r w:rsidRPr="00EF2256">
        <w:rPr>
          <w:rStyle w:val="FootnoteReference"/>
          <w:rFonts w:ascii="Perpetua" w:hAnsi="Perpetua"/>
        </w:rPr>
        <w:footnoteRef/>
      </w:r>
      <w:r w:rsidRPr="00EF2256">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1906.</w:t>
      </w:r>
    </w:p>
  </w:footnote>
  <w:footnote w:id="36">
    <w:p w:rsidR="003928C9" w:rsidRPr="00D40384" w:rsidRDefault="003928C9" w:rsidP="00AA6EA7">
      <w:pPr>
        <w:pStyle w:val="FootnoteText"/>
        <w:rPr>
          <w:rFonts w:ascii="Perpetua" w:hAnsi="Perpetua"/>
          <w:lang w:val="en-GB"/>
        </w:rPr>
      </w:pPr>
      <w:r w:rsidRPr="00D40384">
        <w:rPr>
          <w:rStyle w:val="FootnoteReference"/>
          <w:rFonts w:ascii="Perpetua" w:hAnsi="Perpetua"/>
        </w:rPr>
        <w:footnoteRef/>
      </w:r>
      <w:r w:rsidRPr="00D40384">
        <w:rPr>
          <w:rFonts w:ascii="Perpetua" w:hAnsi="Perpetua"/>
        </w:rPr>
        <w:t xml:space="preserve"> </w:t>
      </w:r>
      <w:r>
        <w:rPr>
          <w:rFonts w:ascii="Perpetua" w:hAnsi="Perpetua"/>
        </w:rPr>
        <w:t>Leggatt, p. 227.</w:t>
      </w:r>
    </w:p>
  </w:footnote>
  <w:footnote w:id="37">
    <w:p w:rsidR="003928C9" w:rsidRPr="000515D7" w:rsidRDefault="003928C9">
      <w:pPr>
        <w:pStyle w:val="FootnoteText"/>
        <w:rPr>
          <w:rFonts w:ascii="Perpetua" w:hAnsi="Perpetua"/>
          <w:lang w:val="en-GB"/>
        </w:rPr>
      </w:pPr>
      <w:r w:rsidRPr="000515D7">
        <w:rPr>
          <w:rStyle w:val="FootnoteReference"/>
          <w:rFonts w:ascii="Perpetua" w:hAnsi="Perpetua"/>
        </w:rPr>
        <w:footnoteRef/>
      </w:r>
      <w:r w:rsidRPr="000515D7">
        <w:rPr>
          <w:rFonts w:ascii="Perpetua" w:hAnsi="Perpetua"/>
        </w:rPr>
        <w:t xml:space="preserve"> </w:t>
      </w:r>
      <w:r>
        <w:rPr>
          <w:rFonts w:ascii="Perpetua" w:hAnsi="Perpetua"/>
        </w:rPr>
        <w:t>Leggatt, p. 229.</w:t>
      </w:r>
    </w:p>
  </w:footnote>
  <w:footnote w:id="38">
    <w:p w:rsidR="003928C9" w:rsidRPr="00134D50" w:rsidRDefault="003928C9">
      <w:pPr>
        <w:pStyle w:val="FootnoteText"/>
        <w:rPr>
          <w:rFonts w:ascii="Perpetua" w:hAnsi="Perpetua"/>
          <w:lang w:val="en-GB"/>
        </w:rPr>
      </w:pPr>
      <w:r w:rsidRPr="00134D50">
        <w:rPr>
          <w:rStyle w:val="FootnoteReference"/>
          <w:rFonts w:ascii="Perpetua" w:hAnsi="Perpetua"/>
        </w:rPr>
        <w:footnoteRef/>
      </w:r>
      <w:r w:rsidRPr="00134D50">
        <w:rPr>
          <w:rFonts w:ascii="Perpetua" w:hAnsi="Perpetua"/>
        </w:rPr>
        <w:t xml:space="preserve"> </w:t>
      </w:r>
      <w:r>
        <w:rPr>
          <w:rFonts w:ascii="Perpetua" w:hAnsi="Perpetua"/>
        </w:rPr>
        <w:t>Leggatt, pp. 229-30.</w:t>
      </w:r>
    </w:p>
  </w:footnote>
  <w:footnote w:id="39">
    <w:p w:rsidR="00944448" w:rsidRPr="00944448" w:rsidRDefault="00944448">
      <w:pPr>
        <w:pStyle w:val="FootnoteText"/>
        <w:rPr>
          <w:rFonts w:ascii="Perpetua" w:hAnsi="Perpetua"/>
          <w:lang w:val="en-GB"/>
        </w:rPr>
      </w:pPr>
      <w:r w:rsidRPr="00944448">
        <w:rPr>
          <w:rStyle w:val="FootnoteReference"/>
          <w:rFonts w:ascii="Perpetua" w:hAnsi="Perpetua"/>
        </w:rPr>
        <w:footnoteRef/>
      </w:r>
      <w:r w:rsidRPr="00944448">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190</w:t>
      </w:r>
      <w:r>
        <w:rPr>
          <w:rFonts w:ascii="Perpetua" w:hAnsi="Perpetua" w:cs="Mongolian Baiti"/>
        </w:rPr>
        <w:t>8</w:t>
      </w:r>
      <w:r>
        <w:rPr>
          <w:rFonts w:ascii="Perpetua" w:hAnsi="Perpetua" w:cs="Mongolian Baiti"/>
        </w:rPr>
        <w:t>.</w:t>
      </w:r>
    </w:p>
  </w:footnote>
  <w:footnote w:id="40">
    <w:p w:rsidR="00106813" w:rsidRPr="00106813" w:rsidRDefault="00106813">
      <w:pPr>
        <w:pStyle w:val="FootnoteText"/>
        <w:rPr>
          <w:rFonts w:ascii="Perpetua" w:hAnsi="Perpetua"/>
          <w:lang w:val="en-GB"/>
        </w:rPr>
      </w:pPr>
      <w:r w:rsidRPr="00106813">
        <w:rPr>
          <w:rStyle w:val="FootnoteReference"/>
          <w:rFonts w:ascii="Perpetua" w:hAnsi="Perpetua"/>
        </w:rPr>
        <w:footnoteRef/>
      </w:r>
      <w:r w:rsidRPr="00106813">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19</w:t>
      </w:r>
      <w:r>
        <w:rPr>
          <w:rFonts w:ascii="Perpetua" w:hAnsi="Perpetua" w:cs="Mongolian Baiti"/>
        </w:rPr>
        <w:t>1</w:t>
      </w:r>
      <w:r>
        <w:rPr>
          <w:rFonts w:ascii="Perpetua" w:hAnsi="Perpetua" w:cs="Mongolian Baiti"/>
        </w:rPr>
        <w:t>0.</w:t>
      </w:r>
    </w:p>
  </w:footnote>
  <w:footnote w:id="41">
    <w:p w:rsidR="003928C9" w:rsidRPr="00DA76D4" w:rsidRDefault="003928C9" w:rsidP="00DA76D4">
      <w:pPr>
        <w:pStyle w:val="FootnoteText"/>
        <w:rPr>
          <w:rFonts w:ascii="Perpetua" w:hAnsi="Perpetua"/>
        </w:rPr>
      </w:pPr>
      <w:r w:rsidRPr="00DA76D4">
        <w:rPr>
          <w:rStyle w:val="FootnoteReference"/>
          <w:rFonts w:ascii="Perpetua" w:hAnsi="Perpetua"/>
        </w:rPr>
        <w:footnoteRef/>
      </w:r>
      <w:r w:rsidRPr="00DA76D4">
        <w:rPr>
          <w:rFonts w:ascii="Perpetua" w:hAnsi="Perpetua"/>
        </w:rPr>
        <w:t xml:space="preserve"> Karl Josef Höltgen, </w:t>
      </w:r>
      <w:r w:rsidRPr="00DA76D4">
        <w:rPr>
          <w:rFonts w:ascii="Perpetua" w:hAnsi="Perpetua"/>
          <w:i/>
        </w:rPr>
        <w:t>Literary Art and Scientific Method in Robert Burton’s ‘Anatomy of Melancholy’</w:t>
      </w:r>
      <w:r w:rsidRPr="00DA76D4">
        <w:rPr>
          <w:rFonts w:ascii="Perpetua" w:hAnsi="Perpetua"/>
        </w:rPr>
        <w:t>, Explorations in Renaissance Culture series, Vol. XVI (Lafayette, LA: University of Southwestern Louisiana, 1990), p. 2.</w:t>
      </w:r>
    </w:p>
  </w:footnote>
  <w:footnote w:id="42">
    <w:p w:rsidR="003928C9" w:rsidRPr="00FA42D5" w:rsidRDefault="003928C9" w:rsidP="00DA76D4">
      <w:pPr>
        <w:pStyle w:val="FootnoteText"/>
        <w:rPr>
          <w:rFonts w:ascii="Perpetua" w:hAnsi="Perpetua"/>
        </w:rPr>
      </w:pPr>
      <w:r w:rsidRPr="00FA42D5">
        <w:rPr>
          <w:rStyle w:val="FootnoteReference"/>
          <w:rFonts w:ascii="Perpetua" w:hAnsi="Perpetua"/>
        </w:rPr>
        <w:footnoteRef/>
      </w:r>
      <w:r w:rsidRPr="00FA42D5">
        <w:rPr>
          <w:rFonts w:ascii="Perpetua" w:hAnsi="Perpetua"/>
        </w:rPr>
        <w:t xml:space="preserve"> </w:t>
      </w:r>
      <w:r>
        <w:rPr>
          <w:rFonts w:ascii="Perpetua" w:hAnsi="Perpetua"/>
        </w:rPr>
        <w:t xml:space="preserve">William Hemminge, </w:t>
      </w:r>
      <w:r>
        <w:rPr>
          <w:rFonts w:ascii="Perpetua" w:hAnsi="Perpetua"/>
          <w:i/>
        </w:rPr>
        <w:t>An Elegy on Randolph’s Finger</w:t>
      </w:r>
      <w:r>
        <w:rPr>
          <w:rFonts w:ascii="Perpetua" w:hAnsi="Perpetua"/>
        </w:rPr>
        <w:t xml:space="preserve">, cited in Ford, </w:t>
      </w:r>
      <w:r>
        <w:rPr>
          <w:rFonts w:ascii="Perpetua" w:hAnsi="Perpetua"/>
          <w:i/>
        </w:rPr>
        <w:t>Three Plays</w:t>
      </w:r>
      <w:r>
        <w:rPr>
          <w:rFonts w:ascii="Perpetua" w:hAnsi="Perpetua"/>
        </w:rPr>
        <w:t>, p. 9.</w:t>
      </w:r>
    </w:p>
  </w:footnote>
  <w:footnote w:id="43">
    <w:p w:rsidR="003928C9" w:rsidRPr="00C61188" w:rsidRDefault="003928C9">
      <w:pPr>
        <w:pStyle w:val="FootnoteText"/>
        <w:rPr>
          <w:rFonts w:ascii="Perpetua" w:hAnsi="Perpetua"/>
          <w:lang w:val="en-GB"/>
        </w:rPr>
      </w:pPr>
      <w:r w:rsidRPr="00C61188">
        <w:rPr>
          <w:rStyle w:val="FootnoteReference"/>
          <w:rFonts w:ascii="Perpetua" w:hAnsi="Perpetua"/>
        </w:rPr>
        <w:footnoteRef/>
      </w:r>
      <w:r w:rsidRPr="00C61188">
        <w:rPr>
          <w:rFonts w:ascii="Perpetua" w:hAnsi="Perpetua"/>
        </w:rPr>
        <w:t xml:space="preserve"> </w:t>
      </w:r>
      <w:r>
        <w:rPr>
          <w:rFonts w:ascii="Perpetua" w:hAnsi="Perpetua"/>
        </w:rPr>
        <w:t xml:space="preserve">Ford, </w:t>
      </w:r>
      <w:r>
        <w:rPr>
          <w:rFonts w:ascii="Perpetua" w:hAnsi="Perpetua"/>
          <w:i/>
        </w:rPr>
        <w:t>’Tis Pity She’s a Whore</w:t>
      </w:r>
      <w:r>
        <w:rPr>
          <w:rFonts w:ascii="Perpetua" w:hAnsi="Perpetua"/>
        </w:rPr>
        <w:t>, ed. by Roper, p. xx.</w:t>
      </w:r>
    </w:p>
  </w:footnote>
  <w:footnote w:id="44">
    <w:p w:rsidR="003928C9" w:rsidRPr="000515D7" w:rsidRDefault="003928C9" w:rsidP="003C6AA4">
      <w:pPr>
        <w:pStyle w:val="FootnoteText"/>
        <w:rPr>
          <w:rFonts w:ascii="Perpetua" w:hAnsi="Perpetua"/>
          <w:lang w:val="en-GB"/>
        </w:rPr>
      </w:pPr>
      <w:r w:rsidRPr="000515D7">
        <w:rPr>
          <w:rStyle w:val="FootnoteReference"/>
          <w:rFonts w:ascii="Perpetua" w:hAnsi="Perpetua"/>
        </w:rPr>
        <w:footnoteRef/>
      </w:r>
      <w:r w:rsidRPr="000515D7">
        <w:rPr>
          <w:rFonts w:ascii="Perpetua" w:hAnsi="Perpetua"/>
        </w:rPr>
        <w:t xml:space="preserve"> </w:t>
      </w:r>
      <w:r>
        <w:rPr>
          <w:rFonts w:ascii="Perpetua" w:hAnsi="Perpetua"/>
        </w:rPr>
        <w:t>Leggatt, p. 229.</w:t>
      </w:r>
    </w:p>
  </w:footnote>
  <w:footnote w:id="45">
    <w:p w:rsidR="003928C9" w:rsidRPr="00453AB6" w:rsidRDefault="003928C9">
      <w:pPr>
        <w:pStyle w:val="FootnoteText"/>
        <w:rPr>
          <w:rFonts w:ascii="Perpetua" w:hAnsi="Perpetua"/>
          <w:lang w:val="en-GB"/>
        </w:rPr>
      </w:pPr>
      <w:r w:rsidRPr="00453AB6">
        <w:rPr>
          <w:rStyle w:val="FootnoteReference"/>
          <w:rFonts w:ascii="Perpetua" w:hAnsi="Perpetua"/>
        </w:rPr>
        <w:footnoteRef/>
      </w:r>
      <w:r w:rsidRPr="00453AB6">
        <w:rPr>
          <w:rFonts w:ascii="Perpetua" w:hAnsi="Perpetua"/>
        </w:rPr>
        <w:t xml:space="preserve"> </w:t>
      </w:r>
      <w:r>
        <w:rPr>
          <w:rFonts w:ascii="Perpetua" w:hAnsi="Perpetua"/>
        </w:rPr>
        <w:t>Neill, p. 135.</w:t>
      </w:r>
    </w:p>
  </w:footnote>
  <w:footnote w:id="46">
    <w:p w:rsidR="003928C9" w:rsidRPr="003C6AA4" w:rsidRDefault="003928C9" w:rsidP="008E6C71">
      <w:pPr>
        <w:pStyle w:val="FootnoteText"/>
        <w:rPr>
          <w:rFonts w:ascii="Perpetua" w:hAnsi="Perpetua"/>
          <w:lang w:val="en-GB"/>
        </w:rPr>
      </w:pPr>
      <w:r w:rsidRPr="003C6AA4">
        <w:rPr>
          <w:rStyle w:val="FootnoteReference"/>
          <w:rFonts w:ascii="Perpetua" w:hAnsi="Perpetua"/>
        </w:rPr>
        <w:footnoteRef/>
      </w:r>
      <w:r w:rsidRPr="003C6AA4">
        <w:rPr>
          <w:rFonts w:ascii="Perpetua" w:hAnsi="Perpetua"/>
        </w:rPr>
        <w:t xml:space="preserve"> </w:t>
      </w:r>
      <w:r>
        <w:rPr>
          <w:rFonts w:ascii="Perpetua" w:hAnsi="Perpetua"/>
        </w:rPr>
        <w:t>Neill, pp. 135-36.</w:t>
      </w:r>
    </w:p>
  </w:footnote>
  <w:footnote w:id="47">
    <w:p w:rsidR="003928C9" w:rsidRPr="008E6C71" w:rsidRDefault="003928C9">
      <w:pPr>
        <w:pStyle w:val="FootnoteText"/>
        <w:rPr>
          <w:rFonts w:ascii="Perpetua" w:hAnsi="Perpetua"/>
          <w:lang w:val="en-GB"/>
        </w:rPr>
      </w:pPr>
      <w:r w:rsidRPr="008E6C71">
        <w:rPr>
          <w:rStyle w:val="FootnoteReference"/>
          <w:rFonts w:ascii="Perpetua" w:hAnsi="Perpetua"/>
        </w:rPr>
        <w:footnoteRef/>
      </w:r>
      <w:r w:rsidRPr="008E6C71">
        <w:rPr>
          <w:rFonts w:ascii="Perpetua" w:hAnsi="Perpetua"/>
        </w:rPr>
        <w:t xml:space="preserve"> </w:t>
      </w:r>
      <w:r>
        <w:rPr>
          <w:rFonts w:ascii="Perpetua" w:hAnsi="Perpetua"/>
        </w:rPr>
        <w:t>Neill, p. 373.</w:t>
      </w:r>
    </w:p>
  </w:footnote>
  <w:footnote w:id="48">
    <w:p w:rsidR="003928C9" w:rsidRPr="00113185" w:rsidRDefault="003928C9" w:rsidP="00113185">
      <w:pPr>
        <w:pStyle w:val="FootnoteText"/>
      </w:pPr>
      <w:r w:rsidRPr="00113185">
        <w:rPr>
          <w:rStyle w:val="FootnoteReference"/>
          <w:rFonts w:ascii="Perpetua" w:hAnsi="Perpetua"/>
        </w:rPr>
        <w:footnoteRef/>
      </w:r>
      <w:r w:rsidRPr="00113185">
        <w:rPr>
          <w:rFonts w:ascii="Perpetua" w:hAnsi="Perpetua"/>
        </w:rPr>
        <w:t xml:space="preserve"> </w:t>
      </w:r>
      <w:r w:rsidRPr="00113185">
        <w:rPr>
          <w:rFonts w:ascii="Perpetua" w:hAnsi="Perpetua"/>
          <w:spacing w:val="-3"/>
        </w:rPr>
        <w:t xml:space="preserve">Jonathan Sawday, </w:t>
      </w:r>
      <w:r w:rsidRPr="00113185">
        <w:rPr>
          <w:rFonts w:ascii="Perpetua" w:hAnsi="Perpetua"/>
          <w:i/>
          <w:iCs/>
          <w:spacing w:val="-3"/>
        </w:rPr>
        <w:t>The Body Emblazoned: Dissection and the Human Body in Renaissance Culture</w:t>
      </w:r>
      <w:r w:rsidRPr="00113185">
        <w:rPr>
          <w:rFonts w:ascii="Perpetua" w:hAnsi="Perpetua"/>
          <w:spacing w:val="-3"/>
        </w:rPr>
        <w:t xml:space="preserve"> (London: Routledge, 1995).</w:t>
      </w:r>
    </w:p>
  </w:footnote>
  <w:footnote w:id="49">
    <w:p w:rsidR="003928C9" w:rsidRPr="004C7DB3" w:rsidRDefault="003928C9" w:rsidP="00453AB6">
      <w:pPr>
        <w:pStyle w:val="FootnoteText"/>
        <w:rPr>
          <w:rFonts w:ascii="Perpetua" w:hAnsi="Perpetua"/>
          <w:lang w:val="en-GB"/>
        </w:rPr>
      </w:pPr>
      <w:r w:rsidRPr="004C7DB3">
        <w:rPr>
          <w:rStyle w:val="FootnoteReference"/>
          <w:rFonts w:ascii="Perpetua" w:hAnsi="Perpetua"/>
        </w:rPr>
        <w:footnoteRef/>
      </w:r>
      <w:r w:rsidRPr="004C7DB3">
        <w:rPr>
          <w:rFonts w:ascii="Perpetua" w:hAnsi="Perpetua"/>
        </w:rPr>
        <w:t xml:space="preserve"> </w:t>
      </w:r>
      <w:r>
        <w:rPr>
          <w:rFonts w:ascii="Perpetua" w:hAnsi="Perpetua"/>
        </w:rPr>
        <w:t>Leggatt, p. 228.</w:t>
      </w:r>
    </w:p>
  </w:footnote>
  <w:footnote w:id="50">
    <w:p w:rsidR="00944448" w:rsidRPr="00944448" w:rsidRDefault="00944448">
      <w:pPr>
        <w:pStyle w:val="FootnoteText"/>
        <w:rPr>
          <w:rFonts w:ascii="Perpetua" w:hAnsi="Perpetua"/>
          <w:lang w:val="en-GB"/>
        </w:rPr>
      </w:pPr>
      <w:r w:rsidRPr="00944448">
        <w:rPr>
          <w:rStyle w:val="FootnoteReference"/>
          <w:rFonts w:ascii="Perpetua" w:hAnsi="Perpetua"/>
        </w:rPr>
        <w:footnoteRef/>
      </w:r>
      <w:r w:rsidRPr="00944448">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190</w:t>
      </w:r>
      <w:r>
        <w:rPr>
          <w:rFonts w:ascii="Perpetua" w:hAnsi="Perpetua" w:cs="Mongolian Baiti"/>
        </w:rPr>
        <w:t>7</w:t>
      </w:r>
      <w:r>
        <w:rPr>
          <w:rFonts w:ascii="Perpetua" w:hAnsi="Perpetua" w:cs="Mongolian Baiti"/>
        </w:rPr>
        <w:t>.</w:t>
      </w:r>
    </w:p>
  </w:footnote>
  <w:footnote w:id="51">
    <w:p w:rsidR="00833A1F" w:rsidRPr="00833A1F" w:rsidRDefault="00833A1F">
      <w:pPr>
        <w:pStyle w:val="FootnoteText"/>
        <w:rPr>
          <w:rFonts w:ascii="Perpetua" w:hAnsi="Perpetua"/>
          <w:lang w:val="en-GB"/>
        </w:rPr>
      </w:pPr>
      <w:r w:rsidRPr="00833A1F">
        <w:rPr>
          <w:rStyle w:val="FootnoteReference"/>
          <w:rFonts w:ascii="Perpetua" w:hAnsi="Perpetua"/>
        </w:rPr>
        <w:footnoteRef/>
      </w:r>
      <w:r w:rsidRPr="00833A1F">
        <w:rPr>
          <w:rFonts w:ascii="Perpetua" w:hAnsi="Perpetua"/>
        </w:rPr>
        <w:t xml:space="preserve"> </w:t>
      </w:r>
      <w:r>
        <w:rPr>
          <w:rFonts w:ascii="Perpetua" w:hAnsi="Perpetua"/>
          <w:i/>
        </w:rPr>
        <w:t>English Renaissance Drama</w:t>
      </w:r>
      <w:r>
        <w:rPr>
          <w:rFonts w:ascii="Perpetua" w:hAnsi="Perpetua"/>
        </w:rPr>
        <w:t>, p. 1905.</w:t>
      </w:r>
    </w:p>
  </w:footnote>
  <w:footnote w:id="52">
    <w:p w:rsidR="0008738B" w:rsidRPr="00111388" w:rsidRDefault="0008738B" w:rsidP="0008738B">
      <w:pPr>
        <w:pStyle w:val="FootnoteText"/>
        <w:rPr>
          <w:rFonts w:ascii="Perpetua" w:hAnsi="Perpetua"/>
          <w:lang w:val="en-GB"/>
        </w:rPr>
      </w:pPr>
      <w:r w:rsidRPr="002366D2">
        <w:rPr>
          <w:rStyle w:val="FootnoteReference"/>
          <w:rFonts w:ascii="Perpetua" w:hAnsi="Perpetua"/>
        </w:rPr>
        <w:footnoteRef/>
      </w:r>
      <w:r w:rsidRPr="002366D2">
        <w:rPr>
          <w:rFonts w:ascii="Perpetua" w:hAnsi="Perpetua"/>
        </w:rPr>
        <w:t xml:space="preserve"> </w:t>
      </w:r>
      <w:r w:rsidRPr="00610F51">
        <w:rPr>
          <w:rFonts w:ascii="Perpetua" w:hAnsi="Perpetua" w:cs="Mongolian Baiti"/>
          <w:i/>
        </w:rPr>
        <w:t>English Renaissance Drama</w:t>
      </w:r>
      <w:r>
        <w:rPr>
          <w:rFonts w:ascii="Perpetua" w:hAnsi="Perpetua" w:cs="Mongolian Baiti"/>
        </w:rPr>
        <w:t>, p. 1908.</w:t>
      </w:r>
    </w:p>
  </w:footnote>
  <w:footnote w:id="53">
    <w:p w:rsidR="003928C9" w:rsidRPr="00703855" w:rsidRDefault="003928C9">
      <w:pPr>
        <w:pStyle w:val="FootnoteText"/>
        <w:rPr>
          <w:rFonts w:ascii="Perpetua" w:hAnsi="Perpetua"/>
          <w:lang w:val="en-GB"/>
        </w:rPr>
      </w:pPr>
      <w:bookmarkStart w:id="0" w:name="_GoBack"/>
      <w:bookmarkEnd w:id="0"/>
      <w:r w:rsidRPr="00703855">
        <w:rPr>
          <w:rStyle w:val="FootnoteReference"/>
          <w:rFonts w:ascii="Perpetua" w:hAnsi="Perpetua"/>
        </w:rPr>
        <w:footnoteRef/>
      </w:r>
      <w:r w:rsidRPr="00703855">
        <w:rPr>
          <w:rFonts w:ascii="Perpetua" w:hAnsi="Perpetua"/>
        </w:rPr>
        <w:t xml:space="preserve"> </w:t>
      </w:r>
      <w:r>
        <w:rPr>
          <w:rFonts w:ascii="Perpetua" w:hAnsi="Perpetua"/>
        </w:rPr>
        <w:t xml:space="preserve">Ford, </w:t>
      </w:r>
      <w:r>
        <w:rPr>
          <w:rFonts w:ascii="Perpetua" w:hAnsi="Perpetua"/>
          <w:i/>
        </w:rPr>
        <w:t>Three Plays</w:t>
      </w:r>
      <w:r>
        <w:rPr>
          <w:rFonts w:ascii="Perpetua" w:hAnsi="Perpetua"/>
        </w:rPr>
        <w:t>, p. 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050D9A"/>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076809"/>
    <w:multiLevelType w:val="hybridMultilevel"/>
    <w:tmpl w:val="0C9651A8"/>
    <w:lvl w:ilvl="0" w:tplc="E9F0441C">
      <w:start w:val="1"/>
      <w:numFmt w:val="low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7145DD"/>
    <w:multiLevelType w:val="hybridMultilevel"/>
    <w:tmpl w:val="60028DE4"/>
    <w:lvl w:ilvl="0" w:tplc="FFE20FFA">
      <w:start w:val="1"/>
      <w:numFmt w:val="lowerRoman"/>
      <w:lvlText w:val="(%1)"/>
      <w:lvlJc w:val="left"/>
      <w:pPr>
        <w:ind w:left="1080" w:hanging="720"/>
      </w:pPr>
      <w:rPr>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2890B05"/>
    <w:multiLevelType w:val="hybridMultilevel"/>
    <w:tmpl w:val="B89E2486"/>
    <w:lvl w:ilvl="0" w:tplc="72908030">
      <w:start w:val="1"/>
      <w:numFmt w:val="lowerRoman"/>
      <w:lvlText w:val="(%1)"/>
      <w:lvlJc w:val="left"/>
      <w:pPr>
        <w:ind w:left="720" w:hanging="360"/>
      </w:pPr>
      <w:rPr>
        <w:rFonts w:hint="default"/>
        <w:sz w:val="26"/>
        <w:szCs w:val="26"/>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EE2D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1A9567D"/>
    <w:multiLevelType w:val="hybridMultilevel"/>
    <w:tmpl w:val="2298A56A"/>
    <w:lvl w:ilvl="0" w:tplc="3F5CFDB6">
      <w:start w:val="1"/>
      <w:numFmt w:val="low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C9525A"/>
    <w:multiLevelType w:val="hybridMultilevel"/>
    <w:tmpl w:val="8702DB54"/>
    <w:lvl w:ilvl="0" w:tplc="04090011">
      <w:start w:val="1"/>
      <w:numFmt w:val="decimal"/>
      <w:lvlText w:val="%1)"/>
      <w:lvlJc w:val="left"/>
      <w:pPr>
        <w:tabs>
          <w:tab w:val="num" w:pos="900"/>
        </w:tabs>
        <w:ind w:left="900" w:hanging="360"/>
      </w:pPr>
    </w:lvl>
    <w:lvl w:ilvl="1" w:tplc="04090017">
      <w:start w:val="1"/>
      <w:numFmt w:val="lowerLetter"/>
      <w:lvlText w:val="%2)"/>
      <w:lvlJc w:val="left"/>
      <w:pPr>
        <w:tabs>
          <w:tab w:val="num" w:pos="1440"/>
        </w:tabs>
        <w:ind w:left="1440" w:hanging="360"/>
      </w:pPr>
    </w:lvl>
    <w:lvl w:ilvl="2" w:tplc="0409001B">
      <w:start w:val="1"/>
      <w:numFmt w:val="lowerRoman"/>
      <w:lvlText w:val="%3."/>
      <w:lvlJc w:val="right"/>
      <w:pPr>
        <w:tabs>
          <w:tab w:val="num" w:pos="2340"/>
        </w:tabs>
        <w:ind w:left="2340" w:hanging="360"/>
      </w:pPr>
    </w:lvl>
    <w:lvl w:ilvl="3" w:tplc="04090009">
      <w:start w:val="1"/>
      <w:numFmt w:val="bullet"/>
      <w:lvlText w:val=""/>
      <w:lvlJc w:val="left"/>
      <w:pPr>
        <w:tabs>
          <w:tab w:val="num" w:pos="2880"/>
        </w:tabs>
        <w:ind w:left="2880" w:hanging="360"/>
      </w:pPr>
      <w:rPr>
        <w:rFonts w:ascii="Wingdings" w:hAnsi="Wingdings" w:hint="default"/>
      </w:rPr>
    </w:lvl>
    <w:lvl w:ilvl="4" w:tplc="0409001B">
      <w:start w:val="1"/>
      <w:numFmt w:val="lowerRoman"/>
      <w:lvlText w:val="%5."/>
      <w:lvlJc w:val="righ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EEC33D6"/>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3E"/>
    <w:rsid w:val="00023FB2"/>
    <w:rsid w:val="00025770"/>
    <w:rsid w:val="00030B3D"/>
    <w:rsid w:val="00040BAB"/>
    <w:rsid w:val="00040C92"/>
    <w:rsid w:val="00041D72"/>
    <w:rsid w:val="000515D7"/>
    <w:rsid w:val="00051EC0"/>
    <w:rsid w:val="000642EE"/>
    <w:rsid w:val="00071877"/>
    <w:rsid w:val="00081373"/>
    <w:rsid w:val="000847E1"/>
    <w:rsid w:val="0008738B"/>
    <w:rsid w:val="000A45A5"/>
    <w:rsid w:val="000C3735"/>
    <w:rsid w:val="000C39A4"/>
    <w:rsid w:val="000C7C45"/>
    <w:rsid w:val="000E0152"/>
    <w:rsid w:val="0010516D"/>
    <w:rsid w:val="00106813"/>
    <w:rsid w:val="00111388"/>
    <w:rsid w:val="00111997"/>
    <w:rsid w:val="00113185"/>
    <w:rsid w:val="00116C00"/>
    <w:rsid w:val="00121AB5"/>
    <w:rsid w:val="0013098B"/>
    <w:rsid w:val="00134D50"/>
    <w:rsid w:val="001408B8"/>
    <w:rsid w:val="00144577"/>
    <w:rsid w:val="00151A72"/>
    <w:rsid w:val="00164B7E"/>
    <w:rsid w:val="00164C2D"/>
    <w:rsid w:val="001872DF"/>
    <w:rsid w:val="001968C7"/>
    <w:rsid w:val="001A6631"/>
    <w:rsid w:val="001C1459"/>
    <w:rsid w:val="001E6693"/>
    <w:rsid w:val="001F1BC6"/>
    <w:rsid w:val="00205DCF"/>
    <w:rsid w:val="0021043B"/>
    <w:rsid w:val="002366D2"/>
    <w:rsid w:val="00252392"/>
    <w:rsid w:val="0028126C"/>
    <w:rsid w:val="00290B52"/>
    <w:rsid w:val="002C29BB"/>
    <w:rsid w:val="002C35AF"/>
    <w:rsid w:val="002F11F3"/>
    <w:rsid w:val="003024D7"/>
    <w:rsid w:val="00304638"/>
    <w:rsid w:val="003126BB"/>
    <w:rsid w:val="0032766D"/>
    <w:rsid w:val="003402FC"/>
    <w:rsid w:val="00344AFF"/>
    <w:rsid w:val="00350D22"/>
    <w:rsid w:val="003617A9"/>
    <w:rsid w:val="00362515"/>
    <w:rsid w:val="00376BC9"/>
    <w:rsid w:val="003928C9"/>
    <w:rsid w:val="003B6478"/>
    <w:rsid w:val="003C135A"/>
    <w:rsid w:val="003C6AA4"/>
    <w:rsid w:val="003D4F00"/>
    <w:rsid w:val="003F05EF"/>
    <w:rsid w:val="0040648B"/>
    <w:rsid w:val="004136C2"/>
    <w:rsid w:val="00414F3E"/>
    <w:rsid w:val="004173B8"/>
    <w:rsid w:val="00441B1E"/>
    <w:rsid w:val="00446541"/>
    <w:rsid w:val="0044769B"/>
    <w:rsid w:val="00453AB6"/>
    <w:rsid w:val="0045595A"/>
    <w:rsid w:val="0046333F"/>
    <w:rsid w:val="00473053"/>
    <w:rsid w:val="00473977"/>
    <w:rsid w:val="00477733"/>
    <w:rsid w:val="00493805"/>
    <w:rsid w:val="004A5E54"/>
    <w:rsid w:val="004B1B88"/>
    <w:rsid w:val="004C2FE2"/>
    <w:rsid w:val="004C4735"/>
    <w:rsid w:val="004C49DF"/>
    <w:rsid w:val="004C7DB3"/>
    <w:rsid w:val="004E5A18"/>
    <w:rsid w:val="004F2690"/>
    <w:rsid w:val="004F4A38"/>
    <w:rsid w:val="004F7204"/>
    <w:rsid w:val="005158D7"/>
    <w:rsid w:val="00523F23"/>
    <w:rsid w:val="00532181"/>
    <w:rsid w:val="005436BA"/>
    <w:rsid w:val="00554387"/>
    <w:rsid w:val="00560F3B"/>
    <w:rsid w:val="00582163"/>
    <w:rsid w:val="00584894"/>
    <w:rsid w:val="005879BB"/>
    <w:rsid w:val="00590EFF"/>
    <w:rsid w:val="005A2AC8"/>
    <w:rsid w:val="005A2D3D"/>
    <w:rsid w:val="005C2D87"/>
    <w:rsid w:val="005C45C5"/>
    <w:rsid w:val="005C4889"/>
    <w:rsid w:val="005C5D15"/>
    <w:rsid w:val="005D3B8D"/>
    <w:rsid w:val="005D4EDE"/>
    <w:rsid w:val="005E1F56"/>
    <w:rsid w:val="005F2E54"/>
    <w:rsid w:val="005F2E84"/>
    <w:rsid w:val="00610F51"/>
    <w:rsid w:val="00645B34"/>
    <w:rsid w:val="00666D12"/>
    <w:rsid w:val="00691381"/>
    <w:rsid w:val="00691C90"/>
    <w:rsid w:val="006A6615"/>
    <w:rsid w:val="006B1B5C"/>
    <w:rsid w:val="006B4301"/>
    <w:rsid w:val="006C109B"/>
    <w:rsid w:val="006C50AC"/>
    <w:rsid w:val="006C74E5"/>
    <w:rsid w:val="006D0422"/>
    <w:rsid w:val="006D0D5D"/>
    <w:rsid w:val="006D61D6"/>
    <w:rsid w:val="006D776F"/>
    <w:rsid w:val="006D79FE"/>
    <w:rsid w:val="006E036B"/>
    <w:rsid w:val="006F1241"/>
    <w:rsid w:val="006F6EC3"/>
    <w:rsid w:val="007021CD"/>
    <w:rsid w:val="00703855"/>
    <w:rsid w:val="007049EC"/>
    <w:rsid w:val="00714D7D"/>
    <w:rsid w:val="00720971"/>
    <w:rsid w:val="007322A0"/>
    <w:rsid w:val="00734FB6"/>
    <w:rsid w:val="007535B9"/>
    <w:rsid w:val="00765F5A"/>
    <w:rsid w:val="007805D1"/>
    <w:rsid w:val="00793735"/>
    <w:rsid w:val="007A71B6"/>
    <w:rsid w:val="007A7E5C"/>
    <w:rsid w:val="007D4D3A"/>
    <w:rsid w:val="007F0165"/>
    <w:rsid w:val="007F55A1"/>
    <w:rsid w:val="007F7AE8"/>
    <w:rsid w:val="00802380"/>
    <w:rsid w:val="008024E3"/>
    <w:rsid w:val="008215C7"/>
    <w:rsid w:val="00833A1F"/>
    <w:rsid w:val="00836460"/>
    <w:rsid w:val="00841815"/>
    <w:rsid w:val="008516A6"/>
    <w:rsid w:val="008669B7"/>
    <w:rsid w:val="008722CA"/>
    <w:rsid w:val="00877EE7"/>
    <w:rsid w:val="0088197F"/>
    <w:rsid w:val="008A5D66"/>
    <w:rsid w:val="008C657F"/>
    <w:rsid w:val="008C6A53"/>
    <w:rsid w:val="008E3AF5"/>
    <w:rsid w:val="008E6C71"/>
    <w:rsid w:val="00906BFF"/>
    <w:rsid w:val="00910738"/>
    <w:rsid w:val="00914B9D"/>
    <w:rsid w:val="00944448"/>
    <w:rsid w:val="00944C95"/>
    <w:rsid w:val="00954975"/>
    <w:rsid w:val="0095517C"/>
    <w:rsid w:val="00966AC3"/>
    <w:rsid w:val="0098071C"/>
    <w:rsid w:val="009836DA"/>
    <w:rsid w:val="009852E5"/>
    <w:rsid w:val="00993612"/>
    <w:rsid w:val="00994F06"/>
    <w:rsid w:val="009B2FD6"/>
    <w:rsid w:val="009B6E78"/>
    <w:rsid w:val="009C13D6"/>
    <w:rsid w:val="009D341E"/>
    <w:rsid w:val="009D535F"/>
    <w:rsid w:val="009E3AC5"/>
    <w:rsid w:val="00A07491"/>
    <w:rsid w:val="00A15811"/>
    <w:rsid w:val="00A2579B"/>
    <w:rsid w:val="00A25E26"/>
    <w:rsid w:val="00A260DC"/>
    <w:rsid w:val="00A27DE6"/>
    <w:rsid w:val="00A362FD"/>
    <w:rsid w:val="00A40E7A"/>
    <w:rsid w:val="00A43A7F"/>
    <w:rsid w:val="00A86E9D"/>
    <w:rsid w:val="00AA6EA7"/>
    <w:rsid w:val="00AC229C"/>
    <w:rsid w:val="00AC284E"/>
    <w:rsid w:val="00AC77E2"/>
    <w:rsid w:val="00AD3349"/>
    <w:rsid w:val="00AD6341"/>
    <w:rsid w:val="00AD6D8F"/>
    <w:rsid w:val="00AE0CF8"/>
    <w:rsid w:val="00AE18DB"/>
    <w:rsid w:val="00AE1D54"/>
    <w:rsid w:val="00AE78D2"/>
    <w:rsid w:val="00AF7A26"/>
    <w:rsid w:val="00B0571D"/>
    <w:rsid w:val="00B06EAC"/>
    <w:rsid w:val="00B12A0E"/>
    <w:rsid w:val="00B21AC5"/>
    <w:rsid w:val="00B257F5"/>
    <w:rsid w:val="00B329B9"/>
    <w:rsid w:val="00B44211"/>
    <w:rsid w:val="00B52DCC"/>
    <w:rsid w:val="00B5600D"/>
    <w:rsid w:val="00B62A6C"/>
    <w:rsid w:val="00B86094"/>
    <w:rsid w:val="00B95530"/>
    <w:rsid w:val="00B97227"/>
    <w:rsid w:val="00BC097F"/>
    <w:rsid w:val="00BC5A98"/>
    <w:rsid w:val="00BC6066"/>
    <w:rsid w:val="00BD1E80"/>
    <w:rsid w:val="00BE01B6"/>
    <w:rsid w:val="00BE59DB"/>
    <w:rsid w:val="00BE7EF6"/>
    <w:rsid w:val="00C05512"/>
    <w:rsid w:val="00C069DE"/>
    <w:rsid w:val="00C06C54"/>
    <w:rsid w:val="00C61188"/>
    <w:rsid w:val="00C8335C"/>
    <w:rsid w:val="00C84CD8"/>
    <w:rsid w:val="00C85927"/>
    <w:rsid w:val="00CC1AB1"/>
    <w:rsid w:val="00CE79C9"/>
    <w:rsid w:val="00D005EF"/>
    <w:rsid w:val="00D115A0"/>
    <w:rsid w:val="00D1349C"/>
    <w:rsid w:val="00D2518B"/>
    <w:rsid w:val="00D3519C"/>
    <w:rsid w:val="00D35D48"/>
    <w:rsid w:val="00D40384"/>
    <w:rsid w:val="00D4208B"/>
    <w:rsid w:val="00D43544"/>
    <w:rsid w:val="00D51ACD"/>
    <w:rsid w:val="00D57CBA"/>
    <w:rsid w:val="00D645B1"/>
    <w:rsid w:val="00D6676D"/>
    <w:rsid w:val="00D71475"/>
    <w:rsid w:val="00D91365"/>
    <w:rsid w:val="00D922AA"/>
    <w:rsid w:val="00D964BC"/>
    <w:rsid w:val="00DA76D4"/>
    <w:rsid w:val="00DC03A6"/>
    <w:rsid w:val="00DC7C07"/>
    <w:rsid w:val="00DD0341"/>
    <w:rsid w:val="00DD39D7"/>
    <w:rsid w:val="00DE5BFA"/>
    <w:rsid w:val="00DF3DDD"/>
    <w:rsid w:val="00DF6B54"/>
    <w:rsid w:val="00E02306"/>
    <w:rsid w:val="00E03895"/>
    <w:rsid w:val="00E04007"/>
    <w:rsid w:val="00E07C23"/>
    <w:rsid w:val="00E108DF"/>
    <w:rsid w:val="00E3133E"/>
    <w:rsid w:val="00E47B6F"/>
    <w:rsid w:val="00E54AE8"/>
    <w:rsid w:val="00E554FB"/>
    <w:rsid w:val="00E676A5"/>
    <w:rsid w:val="00E77A5E"/>
    <w:rsid w:val="00E8595D"/>
    <w:rsid w:val="00E87001"/>
    <w:rsid w:val="00E87372"/>
    <w:rsid w:val="00EC0069"/>
    <w:rsid w:val="00ED57AD"/>
    <w:rsid w:val="00ED7794"/>
    <w:rsid w:val="00EF2256"/>
    <w:rsid w:val="00EF5BD5"/>
    <w:rsid w:val="00F035B4"/>
    <w:rsid w:val="00F2015D"/>
    <w:rsid w:val="00F63273"/>
    <w:rsid w:val="00F87CCA"/>
    <w:rsid w:val="00F96A8C"/>
    <w:rsid w:val="00FA42D5"/>
    <w:rsid w:val="00FB2656"/>
    <w:rsid w:val="00FB5C62"/>
    <w:rsid w:val="00FC76B9"/>
    <w:rsid w:val="00FE029B"/>
    <w:rsid w:val="00FF5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A9896-20C0-4C02-8E7F-286C5C342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F3E"/>
    <w:pPr>
      <w:widowControl w:val="0"/>
      <w:snapToGrid w:val="0"/>
      <w:spacing w:after="0" w:line="240" w:lineRule="auto"/>
    </w:pPr>
    <w:rPr>
      <w:rFonts w:ascii="Courier" w:eastAsia="Times New Roman" w:hAnsi="Courier" w:cs="Times New Roman"/>
      <w:sz w:val="24"/>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F3E"/>
    <w:pPr>
      <w:ind w:left="720"/>
      <w:contextualSpacing/>
    </w:pPr>
  </w:style>
  <w:style w:type="paragraph" w:styleId="FootnoteText">
    <w:name w:val="footnote text"/>
    <w:basedOn w:val="Normal"/>
    <w:link w:val="FootnoteTextChar"/>
    <w:unhideWhenUsed/>
    <w:rsid w:val="00D43544"/>
    <w:rPr>
      <w:sz w:val="20"/>
    </w:rPr>
  </w:style>
  <w:style w:type="character" w:customStyle="1" w:styleId="FootnoteTextChar">
    <w:name w:val="Footnote Text Char"/>
    <w:basedOn w:val="DefaultParagraphFont"/>
    <w:link w:val="FootnoteText"/>
    <w:rsid w:val="00D43544"/>
    <w:rPr>
      <w:rFonts w:ascii="Courier" w:eastAsia="Times New Roman" w:hAnsi="Courier" w:cs="Times New Roman"/>
      <w:sz w:val="20"/>
      <w:szCs w:val="20"/>
      <w:lang w:val="en-US"/>
    </w:rPr>
  </w:style>
  <w:style w:type="character" w:styleId="FootnoteReference">
    <w:name w:val="footnote reference"/>
    <w:basedOn w:val="DefaultParagraphFont"/>
    <w:unhideWhenUsed/>
    <w:rsid w:val="00D43544"/>
    <w:rPr>
      <w:vertAlign w:val="superscript"/>
    </w:rPr>
  </w:style>
  <w:style w:type="paragraph" w:styleId="Header">
    <w:name w:val="header"/>
    <w:basedOn w:val="Normal"/>
    <w:link w:val="HeaderChar"/>
    <w:uiPriority w:val="99"/>
    <w:unhideWhenUsed/>
    <w:rsid w:val="007F0165"/>
    <w:pPr>
      <w:tabs>
        <w:tab w:val="center" w:pos="4513"/>
        <w:tab w:val="right" w:pos="9026"/>
      </w:tabs>
    </w:pPr>
  </w:style>
  <w:style w:type="character" w:customStyle="1" w:styleId="HeaderChar">
    <w:name w:val="Header Char"/>
    <w:basedOn w:val="DefaultParagraphFont"/>
    <w:link w:val="Header"/>
    <w:uiPriority w:val="99"/>
    <w:rsid w:val="007F0165"/>
    <w:rPr>
      <w:rFonts w:ascii="Courier" w:eastAsia="Times New Roman" w:hAnsi="Courier" w:cs="Times New Roman"/>
      <w:sz w:val="24"/>
      <w:szCs w:val="20"/>
      <w:lang w:val="en-US"/>
    </w:rPr>
  </w:style>
  <w:style w:type="paragraph" w:styleId="Footer">
    <w:name w:val="footer"/>
    <w:basedOn w:val="Normal"/>
    <w:link w:val="FooterChar"/>
    <w:uiPriority w:val="99"/>
    <w:unhideWhenUsed/>
    <w:rsid w:val="007F0165"/>
    <w:pPr>
      <w:tabs>
        <w:tab w:val="center" w:pos="4513"/>
        <w:tab w:val="right" w:pos="9026"/>
      </w:tabs>
    </w:pPr>
  </w:style>
  <w:style w:type="character" w:customStyle="1" w:styleId="FooterChar">
    <w:name w:val="Footer Char"/>
    <w:basedOn w:val="DefaultParagraphFont"/>
    <w:link w:val="Footer"/>
    <w:uiPriority w:val="99"/>
    <w:rsid w:val="007F0165"/>
    <w:rPr>
      <w:rFonts w:ascii="Courier" w:eastAsia="Times New Roman" w:hAnsi="Courier" w:cs="Times New Roman"/>
      <w:sz w:val="24"/>
      <w:szCs w:val="20"/>
      <w:lang w:val="en-US"/>
    </w:rPr>
  </w:style>
  <w:style w:type="paragraph" w:styleId="EndnoteText">
    <w:name w:val="endnote text"/>
    <w:basedOn w:val="Normal"/>
    <w:link w:val="EndnoteTextChar"/>
    <w:rsid w:val="00DE5BFA"/>
    <w:pPr>
      <w:widowControl/>
      <w:overflowPunct w:val="0"/>
      <w:autoSpaceDE w:val="0"/>
      <w:autoSpaceDN w:val="0"/>
      <w:adjustRightInd w:val="0"/>
      <w:snapToGrid/>
      <w:textAlignment w:val="baseline"/>
    </w:pPr>
    <w:rPr>
      <w:rFonts w:ascii="Courier New" w:eastAsia="BatangChe" w:hAnsi="Courier New" w:cs="Courier New"/>
      <w:szCs w:val="24"/>
    </w:rPr>
  </w:style>
  <w:style w:type="character" w:customStyle="1" w:styleId="EndnoteTextChar">
    <w:name w:val="Endnote Text Char"/>
    <w:basedOn w:val="DefaultParagraphFont"/>
    <w:link w:val="EndnoteText"/>
    <w:uiPriority w:val="99"/>
    <w:rsid w:val="00DE5BFA"/>
    <w:rPr>
      <w:rFonts w:ascii="Courier New" w:eastAsia="BatangChe" w:hAnsi="Courier New" w:cs="Courier New"/>
      <w:sz w:val="24"/>
      <w:szCs w:val="24"/>
      <w:lang w:val="en-US"/>
    </w:rPr>
  </w:style>
  <w:style w:type="character" w:styleId="EndnoteReference">
    <w:name w:val="endnote reference"/>
    <w:basedOn w:val="DefaultParagraphFont"/>
    <w:rsid w:val="00DE5BFA"/>
    <w:rPr>
      <w:rFonts w:ascii="BatangChe" w:eastAsia="BatangChe" w:hAnsi="BatangChe" w:cs="BatangChe"/>
      <w:vertAlign w:val="superscript"/>
    </w:rPr>
  </w:style>
  <w:style w:type="paragraph" w:styleId="NormalWeb">
    <w:name w:val="Normal (Web)"/>
    <w:basedOn w:val="Normal"/>
    <w:uiPriority w:val="99"/>
    <w:semiHidden/>
    <w:unhideWhenUsed/>
    <w:rsid w:val="00E47B6F"/>
    <w:pPr>
      <w:widowControl/>
      <w:snapToGrid/>
      <w:spacing w:before="100" w:beforeAutospacing="1" w:after="100" w:afterAutospacing="1"/>
    </w:pPr>
    <w:rPr>
      <w:rFonts w:ascii="Times New Roman" w:hAnsi="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96612">
      <w:bodyDiv w:val="1"/>
      <w:marLeft w:val="0"/>
      <w:marRight w:val="0"/>
      <w:marTop w:val="0"/>
      <w:marBottom w:val="0"/>
      <w:divBdr>
        <w:top w:val="none" w:sz="0" w:space="0" w:color="auto"/>
        <w:left w:val="none" w:sz="0" w:space="0" w:color="auto"/>
        <w:bottom w:val="none" w:sz="0" w:space="0" w:color="auto"/>
        <w:right w:val="none" w:sz="0" w:space="0" w:color="auto"/>
      </w:divBdr>
    </w:div>
    <w:div w:id="133414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BD202-7FF2-4AF9-80EF-235947E81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14</Pages>
  <Words>5104</Words>
  <Characters>29099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Mitchell</dc:creator>
  <cp:keywords/>
  <dc:description/>
  <cp:lastModifiedBy>Peter Mitchell</cp:lastModifiedBy>
  <cp:revision>30</cp:revision>
  <dcterms:created xsi:type="dcterms:W3CDTF">2019-05-26T15:23:00Z</dcterms:created>
  <dcterms:modified xsi:type="dcterms:W3CDTF">2019-05-27T21:26:00Z</dcterms:modified>
</cp:coreProperties>
</file>