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4088C" w:rsidR="00D4088C" w:rsidP="6CFE66D5" w:rsidRDefault="00D4088C" w14:paraId="5E6C3B50" w14:textId="55850D31">
      <w:pPr>
        <w:spacing w:before="0" w:beforeAutospacing="off" w:after="160" w:afterAutospacing="off" w:line="276" w:lineRule="auto"/>
        <w:jc w:val="center"/>
      </w:pPr>
      <w:r w:rsidRPr="6CFE66D5" w:rsidR="34402E41">
        <w:rPr>
          <w:rFonts w:ascii="Aptos" w:hAnsi="Aptos" w:eastAsia="Aptos" w:cs="Aptos"/>
          <w:noProof w:val="0"/>
          <w:sz w:val="40"/>
          <w:szCs w:val="40"/>
          <w:lang w:val="en-GB"/>
        </w:rPr>
        <w:t>LCHS003 INTRODUCTION TO HEALTH AND SOCIAL CARE.</w:t>
      </w:r>
    </w:p>
    <w:p w:rsidRPr="00D4088C" w:rsidR="00D4088C" w:rsidP="6CFE66D5" w:rsidRDefault="00D4088C" w14:paraId="29E80635" w14:textId="477CC709">
      <w:pPr>
        <w:spacing w:before="0" w:beforeAutospacing="off" w:after="160" w:afterAutospacing="off" w:line="276" w:lineRule="auto"/>
        <w:jc w:val="center"/>
      </w:pPr>
      <w:r w:rsidRPr="6CFE66D5" w:rsidR="34402E41">
        <w:rPr>
          <w:rFonts w:ascii="Aptos" w:hAnsi="Aptos" w:eastAsia="Aptos" w:cs="Aptos"/>
          <w:noProof w:val="0"/>
          <w:sz w:val="40"/>
          <w:szCs w:val="40"/>
          <w:lang w:val="en-GB"/>
        </w:rPr>
        <w:t>PORTFOLIO-TWO TASKS (POSTER AND REPORT).</w:t>
      </w:r>
    </w:p>
    <w:p w:rsidRPr="00D4088C" w:rsidR="00D4088C" w:rsidP="6CFE66D5" w:rsidRDefault="00D4088C" w14:paraId="05652CAF" w14:textId="096AA0D4">
      <w:pPr>
        <w:spacing w:before="0" w:beforeAutospacing="off" w:after="160" w:afterAutospacing="off" w:line="276" w:lineRule="auto"/>
        <w:jc w:val="center"/>
      </w:pPr>
      <w:r w:rsidRPr="6CFE66D5" w:rsidR="34402E41">
        <w:rPr>
          <w:rFonts w:ascii="Aptos" w:hAnsi="Aptos" w:eastAsia="Aptos" w:cs="Aptos"/>
          <w:noProof w:val="0"/>
          <w:sz w:val="40"/>
          <w:szCs w:val="40"/>
          <w:lang w:val="en-GB"/>
        </w:rPr>
        <w:t>STUDENT ID: 2512316.</w:t>
      </w:r>
    </w:p>
    <w:p w:rsidRPr="00D4088C" w:rsidR="00D4088C" w:rsidP="6CFE66D5" w:rsidRDefault="00D4088C" w14:paraId="462C6737" w14:textId="40EDC3A6">
      <w:pPr>
        <w:spacing w:before="0" w:beforeAutospacing="off" w:after="160" w:afterAutospacing="off" w:line="276" w:lineRule="auto"/>
        <w:jc w:val="center"/>
      </w:pPr>
      <w:r w:rsidRPr="6CFE66D5" w:rsidR="34402E41">
        <w:rPr>
          <w:rFonts w:ascii="Aptos" w:hAnsi="Aptos" w:eastAsia="Aptos" w:cs="Aptos"/>
          <w:noProof w:val="0"/>
          <w:sz w:val="40"/>
          <w:szCs w:val="40"/>
          <w:lang w:val="en-GB"/>
        </w:rPr>
        <w:t>STUDENT NAME: NATASHA FERNCOMBE.</w:t>
      </w:r>
    </w:p>
    <w:p w:rsidRPr="00D4088C" w:rsidR="00D4088C" w:rsidP="6CFE66D5" w:rsidRDefault="00D4088C" w14:paraId="2A020ADA" w14:textId="205E99DE">
      <w:pPr>
        <w:spacing w:before="0" w:beforeAutospacing="off" w:after="160" w:afterAutospacing="off" w:line="276" w:lineRule="auto"/>
        <w:jc w:val="center"/>
      </w:pPr>
      <w:r w:rsidRPr="6CFE66D5" w:rsidR="34402E41">
        <w:rPr>
          <w:rFonts w:ascii="Aptos" w:hAnsi="Aptos" w:eastAsia="Aptos" w:cs="Aptos"/>
          <w:noProof w:val="0"/>
          <w:sz w:val="40"/>
          <w:szCs w:val="40"/>
          <w:lang w:val="en-GB"/>
        </w:rPr>
        <w:t>LECTURERS NAME: DANIEL HARUNA.</w:t>
      </w:r>
    </w:p>
    <w:p w:rsidRPr="00D4088C" w:rsidR="00D4088C" w:rsidP="6CFE66D5" w:rsidRDefault="00D4088C" w14:paraId="586FE6AE" w14:textId="36572E84">
      <w:pPr>
        <w:spacing w:line="278" w:lineRule="auto"/>
        <w:jc w:val="center"/>
        <w:rPr>
          <w:b w:val="1"/>
          <w:bCs w:val="1"/>
        </w:rPr>
      </w:pPr>
    </w:p>
    <w:p w:rsidRPr="00D4088C" w:rsidR="00D4088C" w:rsidP="6CFE66D5" w:rsidRDefault="00D4088C" w14:paraId="1152AB1C" w14:textId="0D8FA91D">
      <w:pPr>
        <w:spacing w:line="278" w:lineRule="auto"/>
        <w:jc w:val="center"/>
        <w:rPr>
          <w:b w:val="1"/>
          <w:bCs w:val="1"/>
        </w:rPr>
      </w:pPr>
    </w:p>
    <w:p w:rsidRPr="00D4088C" w:rsidR="00D4088C" w:rsidP="6CFE66D5" w:rsidRDefault="00D4088C" w14:paraId="53475016" w14:textId="64A733F3">
      <w:pPr>
        <w:spacing w:line="278" w:lineRule="auto"/>
        <w:jc w:val="center"/>
        <w:rPr>
          <w:b w:val="1"/>
          <w:bCs w:val="1"/>
        </w:rPr>
      </w:pPr>
    </w:p>
    <w:p w:rsidRPr="00D4088C" w:rsidR="00D4088C" w:rsidP="6CFE66D5" w:rsidRDefault="00D4088C" w14:paraId="65373AD9" w14:textId="2F7D6CF5">
      <w:pPr>
        <w:spacing w:line="278" w:lineRule="auto"/>
        <w:jc w:val="center"/>
        <w:rPr>
          <w:b w:val="1"/>
          <w:bCs w:val="1"/>
        </w:rPr>
      </w:pPr>
    </w:p>
    <w:p w:rsidRPr="00D4088C" w:rsidR="00D4088C" w:rsidP="6CFE66D5" w:rsidRDefault="00D4088C" w14:paraId="792E5364" w14:textId="16E8C681">
      <w:pPr>
        <w:spacing w:line="278" w:lineRule="auto"/>
        <w:jc w:val="center"/>
        <w:rPr>
          <w:b w:val="1"/>
          <w:bCs w:val="1"/>
        </w:rPr>
      </w:pPr>
    </w:p>
    <w:p w:rsidRPr="00D4088C" w:rsidR="00D4088C" w:rsidP="6CFE66D5" w:rsidRDefault="00D4088C" w14:paraId="7C7FDA41" w14:textId="68D3F99E">
      <w:pPr>
        <w:spacing w:line="278" w:lineRule="auto"/>
        <w:jc w:val="center"/>
        <w:rPr>
          <w:b w:val="1"/>
          <w:bCs w:val="1"/>
        </w:rPr>
      </w:pPr>
    </w:p>
    <w:p w:rsidRPr="00D4088C" w:rsidR="00D4088C" w:rsidP="6CFE66D5" w:rsidRDefault="00D4088C" w14:paraId="286B331C" w14:textId="186E94A8">
      <w:pPr>
        <w:spacing w:line="278" w:lineRule="auto"/>
        <w:jc w:val="center"/>
        <w:rPr>
          <w:b w:val="1"/>
          <w:bCs w:val="1"/>
        </w:rPr>
      </w:pPr>
    </w:p>
    <w:p w:rsidRPr="00D4088C" w:rsidR="00D4088C" w:rsidP="6CFE66D5" w:rsidRDefault="00D4088C" w14:paraId="4B7879D1" w14:textId="3FBC914E">
      <w:pPr>
        <w:spacing w:line="278" w:lineRule="auto"/>
        <w:jc w:val="center"/>
        <w:rPr>
          <w:b w:val="1"/>
          <w:bCs w:val="1"/>
        </w:rPr>
      </w:pPr>
    </w:p>
    <w:p w:rsidRPr="00D4088C" w:rsidR="00D4088C" w:rsidP="6CFE66D5" w:rsidRDefault="00D4088C" w14:paraId="5F4985F1" w14:textId="44E2E73C">
      <w:pPr>
        <w:spacing w:line="278" w:lineRule="auto"/>
        <w:jc w:val="center"/>
        <w:rPr>
          <w:b w:val="1"/>
          <w:bCs w:val="1"/>
        </w:rPr>
      </w:pPr>
    </w:p>
    <w:p w:rsidRPr="00D4088C" w:rsidR="00D4088C" w:rsidP="6CFE66D5" w:rsidRDefault="00D4088C" w14:paraId="105D2E24" w14:textId="233D1D17">
      <w:pPr>
        <w:spacing w:line="278" w:lineRule="auto"/>
        <w:jc w:val="center"/>
        <w:rPr>
          <w:b w:val="1"/>
          <w:bCs w:val="1"/>
        </w:rPr>
      </w:pPr>
    </w:p>
    <w:p w:rsidRPr="00D4088C" w:rsidR="00D4088C" w:rsidP="6CFE66D5" w:rsidRDefault="00D4088C" w14:paraId="67BC6D48" w14:textId="71AEA640">
      <w:pPr>
        <w:spacing w:line="278" w:lineRule="auto"/>
        <w:jc w:val="center"/>
        <w:rPr>
          <w:b w:val="1"/>
          <w:bCs w:val="1"/>
        </w:rPr>
      </w:pPr>
    </w:p>
    <w:p w:rsidRPr="00D4088C" w:rsidR="00D4088C" w:rsidP="6CFE66D5" w:rsidRDefault="00D4088C" w14:paraId="19852DA1" w14:textId="7BAE74CC">
      <w:pPr>
        <w:spacing w:line="278" w:lineRule="auto"/>
        <w:jc w:val="center"/>
        <w:rPr>
          <w:b w:val="1"/>
          <w:bCs w:val="1"/>
        </w:rPr>
      </w:pPr>
    </w:p>
    <w:p w:rsidRPr="00D4088C" w:rsidR="00D4088C" w:rsidP="6CFE66D5" w:rsidRDefault="00D4088C" w14:paraId="06E74C9E" w14:textId="379ABDC5">
      <w:pPr>
        <w:spacing w:line="278" w:lineRule="auto"/>
        <w:jc w:val="center"/>
        <w:rPr>
          <w:b w:val="1"/>
          <w:bCs w:val="1"/>
        </w:rPr>
      </w:pPr>
    </w:p>
    <w:p w:rsidRPr="00D4088C" w:rsidR="00D4088C" w:rsidP="6CFE66D5" w:rsidRDefault="00D4088C" w14:paraId="0F53A20D" w14:textId="765C8C71">
      <w:pPr>
        <w:spacing w:line="278" w:lineRule="auto"/>
        <w:jc w:val="center"/>
        <w:rPr>
          <w:b w:val="1"/>
          <w:bCs w:val="1"/>
        </w:rPr>
      </w:pPr>
    </w:p>
    <w:p w:rsidRPr="00D4088C" w:rsidR="00D4088C" w:rsidP="6CFE66D5" w:rsidRDefault="00D4088C" w14:paraId="60443484" w14:textId="4E7D6612">
      <w:pPr>
        <w:spacing w:line="278" w:lineRule="auto"/>
        <w:jc w:val="center"/>
        <w:rPr>
          <w:b w:val="1"/>
          <w:bCs w:val="1"/>
        </w:rPr>
      </w:pPr>
    </w:p>
    <w:p w:rsidRPr="00D4088C" w:rsidR="00D4088C" w:rsidP="6CFE66D5" w:rsidRDefault="00D4088C" w14:paraId="60A750A8" w14:textId="48896520">
      <w:pPr>
        <w:spacing w:line="278" w:lineRule="auto"/>
        <w:jc w:val="center"/>
        <w:rPr>
          <w:b w:val="1"/>
          <w:bCs w:val="1"/>
        </w:rPr>
      </w:pPr>
    </w:p>
    <w:p w:rsidRPr="00D4088C" w:rsidR="00D4088C" w:rsidP="6CFE66D5" w:rsidRDefault="00D4088C" w14:paraId="41157B1F" w14:textId="40EAA99A">
      <w:pPr>
        <w:spacing w:line="278" w:lineRule="auto"/>
        <w:jc w:val="center"/>
        <w:rPr>
          <w:b w:val="1"/>
          <w:bCs w:val="1"/>
        </w:rPr>
      </w:pPr>
    </w:p>
    <w:p w:rsidRPr="00D4088C" w:rsidR="00D4088C" w:rsidP="6CFE66D5" w:rsidRDefault="00D4088C" w14:paraId="1E1D3E34" w14:textId="47378752">
      <w:pPr>
        <w:spacing w:line="278" w:lineRule="auto"/>
        <w:jc w:val="center"/>
        <w:rPr>
          <w:b w:val="1"/>
          <w:bCs w:val="1"/>
        </w:rPr>
      </w:pPr>
    </w:p>
    <w:p w:rsidRPr="00D4088C" w:rsidR="00D4088C" w:rsidP="6CFE66D5" w:rsidRDefault="00D4088C" w14:paraId="61C8BC39" w14:textId="3DAC33DF">
      <w:pPr>
        <w:spacing w:line="278" w:lineRule="auto"/>
        <w:jc w:val="center"/>
        <w:rPr>
          <w:b w:val="1"/>
          <w:bCs w:val="1"/>
        </w:rPr>
      </w:pPr>
    </w:p>
    <w:p w:rsidRPr="00D4088C" w:rsidR="00D4088C" w:rsidP="6CFE66D5" w:rsidRDefault="00D4088C" w14:paraId="77721EF4" w14:textId="556BAE9A">
      <w:pPr>
        <w:spacing w:line="278" w:lineRule="auto"/>
        <w:jc w:val="center"/>
        <w:rPr>
          <w:b w:val="1"/>
          <w:bCs w:val="1"/>
        </w:rPr>
      </w:pPr>
    </w:p>
    <w:p w:rsidRPr="00D4088C" w:rsidR="00D4088C" w:rsidP="6CFE66D5" w:rsidRDefault="00D4088C" w14:paraId="4B8D0EB3" w14:textId="3E9F2F04">
      <w:pPr>
        <w:spacing w:line="278" w:lineRule="auto"/>
        <w:jc w:val="center"/>
        <w:rPr>
          <w:b w:val="1"/>
          <w:bCs w:val="1"/>
        </w:rPr>
      </w:pPr>
    </w:p>
    <w:p w:rsidRPr="00D4088C" w:rsidR="00D4088C" w:rsidP="6CFE66D5" w:rsidRDefault="00D4088C" w14:paraId="5E42D3C1" w14:textId="4205981F">
      <w:pPr>
        <w:spacing w:line="278" w:lineRule="auto"/>
        <w:jc w:val="center"/>
        <w:rPr>
          <w:b w:val="1"/>
          <w:bCs w:val="1"/>
        </w:rPr>
      </w:pPr>
    </w:p>
    <w:p w:rsidRPr="00D4088C" w:rsidR="00D4088C" w:rsidP="6CFE66D5" w:rsidRDefault="00D4088C" w14:paraId="0402B0ED" w14:textId="68E6A9B2">
      <w:pPr>
        <w:spacing w:line="278" w:lineRule="auto"/>
        <w:jc w:val="center"/>
        <w:rPr>
          <w:b w:val="1"/>
          <w:bCs w:val="1"/>
        </w:rPr>
      </w:pPr>
    </w:p>
    <w:p w:rsidRPr="00D4088C" w:rsidR="00D4088C" w:rsidP="6CFE66D5" w:rsidRDefault="00D4088C" w14:paraId="6060CA25" w14:textId="021D539D">
      <w:pPr>
        <w:pStyle w:val="Normal"/>
        <w:spacing w:line="278" w:lineRule="auto"/>
        <w:jc w:val="center"/>
      </w:pPr>
      <w:r w:rsidR="2F4F3E82">
        <w:drawing>
          <wp:anchor distT="0" distB="0" distL="114300" distR="114300" simplePos="0" relativeHeight="251658240" behindDoc="0" locked="0" layoutInCell="1" allowOverlap="1" wp14:anchorId="62A9B383" wp14:editId="52756438">
            <wp:simplePos x="0" y="0"/>
            <wp:positionH relativeFrom="column">
              <wp:align>left</wp:align>
            </wp:positionH>
            <wp:positionV relativeFrom="paragraph">
              <wp:posOffset>0</wp:posOffset>
            </wp:positionV>
            <wp:extent cx="6778145" cy="4978757"/>
            <wp:effectExtent l="133350" t="133350" r="156210" b="165100"/>
            <wp:wrapSquare wrapText="bothSides"/>
            <wp:docPr id="653433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2338634" name="Picture 432338634"/>
                    <pic:cNvPicPr/>
                  </pic:nvPicPr>
                  <pic:blipFill>
                    <a:blip xmlns:r="http://schemas.openxmlformats.org/officeDocument/2006/relationships" r:embed="rId359919983">
                      <a:extLst>
                        <a:ext uri="{28A0092B-C50C-407E-A947-70E740481C1C}">
                          <a14:useLocalDpi xmlns:a14="http://schemas.microsoft.com/office/drawing/2010/main"/>
                        </a:ext>
                      </a:extLst>
                    </a:blip>
                    <a:srcRect/>
                    <a:stretch>
                      <a:fillRect/>
                    </a:stretch>
                  </pic:blipFill>
                  <pic:spPr>
                    <a:xfrm>
                      <a:off x="0" y="0"/>
                      <a:ext cx="6778145" cy="49787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Pr="00D4088C" w:rsidR="00D4088C" w:rsidP="6CFE66D5" w:rsidRDefault="00D4088C" w14:paraId="0EE149E1" w14:textId="3839F861">
      <w:pPr>
        <w:spacing w:line="278" w:lineRule="auto"/>
        <w:jc w:val="center"/>
        <w:rPr>
          <w:b w:val="1"/>
          <w:bCs w:val="1"/>
        </w:rPr>
      </w:pPr>
    </w:p>
    <w:p w:rsidRPr="00D4088C" w:rsidR="00D4088C" w:rsidP="6CFE66D5" w:rsidRDefault="00D4088C" w14:paraId="01DA351C" w14:textId="3E6BE667">
      <w:pPr>
        <w:spacing w:line="278" w:lineRule="auto"/>
        <w:jc w:val="center"/>
        <w:rPr>
          <w:b w:val="1"/>
          <w:bCs w:val="1"/>
        </w:rPr>
      </w:pPr>
    </w:p>
    <w:p w:rsidRPr="00D4088C" w:rsidR="00D4088C" w:rsidP="6CFE66D5" w:rsidRDefault="00D4088C" w14:paraId="666E2240" w14:textId="435CFCF8">
      <w:pPr>
        <w:spacing w:line="278" w:lineRule="auto"/>
        <w:jc w:val="center"/>
        <w:rPr>
          <w:b w:val="1"/>
          <w:bCs w:val="1"/>
        </w:rPr>
      </w:pPr>
    </w:p>
    <w:p w:rsidRPr="00D4088C" w:rsidR="00D4088C" w:rsidP="6CFE66D5" w:rsidRDefault="00D4088C" w14:paraId="5C3E4883" w14:textId="586DE1B4">
      <w:pPr>
        <w:pStyle w:val="Normal"/>
        <w:spacing w:line="278" w:lineRule="auto"/>
        <w:jc w:val="center"/>
        <w:rPr>
          <w:b w:val="1"/>
          <w:bCs w:val="1"/>
        </w:rPr>
      </w:pPr>
    </w:p>
    <w:p w:rsidRPr="00D4088C" w:rsidR="00D4088C" w:rsidP="6CFE66D5" w:rsidRDefault="00D4088C" w14:paraId="112F9FC1" w14:textId="26D09520">
      <w:pPr>
        <w:pStyle w:val="Normal"/>
        <w:spacing w:line="278" w:lineRule="auto"/>
        <w:jc w:val="center"/>
        <w:rPr>
          <w:b w:val="1"/>
          <w:bCs w:val="1"/>
        </w:rPr>
      </w:pPr>
      <w:r w:rsidRPr="6CFE66D5" w:rsidR="0B7599B8">
        <w:rPr>
          <w:b w:val="1"/>
          <w:bCs w:val="1"/>
        </w:rPr>
        <w:t>Task 2</w:t>
      </w:r>
    </w:p>
    <w:p w:rsidR="00D4088C" w:rsidP="1F139F89" w:rsidRDefault="00D4088C" w14:paraId="622CCF3D" w14:textId="5C98649C">
      <w:pPr>
        <w:spacing w:line="278" w:lineRule="auto"/>
        <w:jc w:val="center"/>
      </w:pPr>
      <w:r w:rsidRPr="6CFE66D5" w:rsidR="4109A4F8">
        <w:rPr>
          <w:b w:val="1"/>
          <w:bCs w:val="1"/>
        </w:rPr>
        <w:t xml:space="preserve">Ambulance </w:t>
      </w:r>
      <w:r w:rsidRPr="6CFE66D5" w:rsidR="4109A4F8">
        <w:rPr>
          <w:b w:val="1"/>
          <w:bCs w:val="1"/>
        </w:rPr>
        <w:t>services</w:t>
      </w:r>
    </w:p>
    <w:p w:rsidR="6CFE66D5" w:rsidP="6CFE66D5" w:rsidRDefault="6CFE66D5" w14:paraId="1EDF41B7" w14:textId="48791C4F">
      <w:pPr>
        <w:spacing w:line="360" w:lineRule="auto"/>
        <w:jc w:val="left"/>
        <w:rPr>
          <w:rFonts w:ascii="Arial" w:hAnsi="Arial" w:eastAsia="Arial" w:cs="Arial"/>
          <w:sz w:val="22"/>
          <w:szCs w:val="22"/>
        </w:rPr>
      </w:pPr>
    </w:p>
    <w:p w:rsidR="00D4088C" w:rsidP="6CFE66D5" w:rsidRDefault="00D4088C" w14:paraId="213DCD7D" w14:textId="3B4639A7">
      <w:pPr>
        <w:spacing w:line="360" w:lineRule="auto"/>
        <w:jc w:val="left"/>
        <w:rPr>
          <w:rFonts w:ascii="Arial" w:hAnsi="Arial" w:eastAsia="Arial" w:cs="Arial"/>
          <w:sz w:val="22"/>
          <w:szCs w:val="22"/>
        </w:rPr>
      </w:pPr>
      <w:r w:rsidRPr="6CFE66D5" w:rsidR="4109A4F8">
        <w:rPr>
          <w:rFonts w:ascii="Arial" w:hAnsi="Arial" w:eastAsia="Arial" w:cs="Arial"/>
          <w:sz w:val="22"/>
          <w:szCs w:val="22"/>
        </w:rPr>
        <w:t>Ambulance</w:t>
      </w:r>
      <w:r w:rsidRPr="6CFE66D5" w:rsidR="4109A4F8">
        <w:rPr>
          <w:rFonts w:ascii="Arial" w:hAnsi="Arial" w:eastAsia="Arial" w:cs="Arial"/>
          <w:sz w:val="22"/>
          <w:szCs w:val="22"/>
        </w:rPr>
        <w:t xml:space="preserve"> services are a basic element of emergency care provision in the United Kingdom.</w:t>
      </w:r>
      <w:r w:rsidRPr="6CFE66D5" w:rsidR="4109A4F8">
        <w:rPr>
          <w:rFonts w:ascii="Arial" w:hAnsi="Arial" w:eastAsia="Arial" w:cs="Arial"/>
          <w:sz w:val="22"/>
          <w:szCs w:val="22"/>
        </w:rPr>
        <w:t xml:space="preserve"> </w:t>
      </w:r>
      <w:r w:rsidRPr="6CFE66D5" w:rsidR="4109A4F8">
        <w:rPr>
          <w:rFonts w:ascii="Arial" w:hAnsi="Arial" w:eastAsia="Arial" w:cs="Arial"/>
          <w:sz w:val="22"/>
          <w:szCs w:val="22"/>
        </w:rPr>
        <w:t xml:space="preserve">Traditionally, the ambulance service </w:t>
      </w:r>
      <w:r w:rsidRPr="6CFE66D5" w:rsidR="4109A4F8">
        <w:rPr>
          <w:rFonts w:ascii="Arial" w:hAnsi="Arial" w:eastAsia="Arial" w:cs="Arial"/>
          <w:sz w:val="22"/>
          <w:szCs w:val="22"/>
        </w:rPr>
        <w:t>emerged</w:t>
      </w:r>
      <w:r w:rsidRPr="6CFE66D5" w:rsidR="4109A4F8">
        <w:rPr>
          <w:rFonts w:ascii="Arial" w:hAnsi="Arial" w:eastAsia="Arial" w:cs="Arial"/>
          <w:sz w:val="22"/>
          <w:szCs w:val="22"/>
        </w:rPr>
        <w:t xml:space="preserve"> out of the voluntary transport services aimed at transporting injured people to hospitals, especially in times of war conflicts and factories. In 1948, ambulances became part of a national network with the formation of </w:t>
      </w:r>
      <w:r w:rsidRPr="6CFE66D5" w:rsidR="217BD85B">
        <w:rPr>
          <w:rFonts w:ascii="Arial" w:hAnsi="Arial" w:eastAsia="Arial" w:cs="Arial"/>
          <w:sz w:val="22"/>
          <w:szCs w:val="22"/>
        </w:rPr>
        <w:t xml:space="preserve">the </w:t>
      </w:r>
      <w:r w:rsidRPr="6CFE66D5" w:rsidR="4109A4F8">
        <w:rPr>
          <w:rFonts w:ascii="Arial" w:hAnsi="Arial" w:eastAsia="Arial" w:cs="Arial"/>
          <w:sz w:val="22"/>
          <w:szCs w:val="22"/>
        </w:rPr>
        <w:t xml:space="preserve">National Health Service (NHS). The work of ambulance employees shifted over the years, </w:t>
      </w:r>
      <w:r w:rsidRPr="6CFE66D5" w:rsidR="217BD85B">
        <w:rPr>
          <w:rFonts w:ascii="Arial" w:hAnsi="Arial" w:eastAsia="Arial" w:cs="Arial"/>
          <w:sz w:val="22"/>
          <w:szCs w:val="22"/>
        </w:rPr>
        <w:t>from delivering patients</w:t>
      </w:r>
      <w:r w:rsidRPr="6CFE66D5" w:rsidR="4109A4F8">
        <w:rPr>
          <w:rFonts w:ascii="Arial" w:hAnsi="Arial" w:eastAsia="Arial" w:cs="Arial"/>
          <w:sz w:val="22"/>
          <w:szCs w:val="22"/>
        </w:rPr>
        <w:t xml:space="preserve"> to the hospital to </w:t>
      </w:r>
      <w:r w:rsidRPr="6CFE66D5" w:rsidR="49DD1EE1">
        <w:rPr>
          <w:rFonts w:ascii="Arial" w:hAnsi="Arial" w:eastAsia="Arial" w:cs="Arial"/>
          <w:sz w:val="22"/>
          <w:szCs w:val="22"/>
        </w:rPr>
        <w:t>providing</w:t>
      </w:r>
      <w:r w:rsidRPr="6CFE66D5" w:rsidR="4109A4F8">
        <w:rPr>
          <w:rFonts w:ascii="Arial" w:hAnsi="Arial" w:eastAsia="Arial" w:cs="Arial"/>
          <w:sz w:val="22"/>
          <w:szCs w:val="22"/>
        </w:rPr>
        <w:t xml:space="preserve"> pre-hospital clinical services. The commercialisation of paramedic </w:t>
      </w:r>
      <w:r w:rsidRPr="6CFE66D5" w:rsidR="217BD85B">
        <w:rPr>
          <w:rFonts w:ascii="Arial" w:hAnsi="Arial" w:eastAsia="Arial" w:cs="Arial"/>
          <w:sz w:val="22"/>
          <w:szCs w:val="22"/>
        </w:rPr>
        <w:t xml:space="preserve">services </w:t>
      </w:r>
      <w:r w:rsidRPr="6CFE66D5" w:rsidR="4109A4F8">
        <w:rPr>
          <w:rFonts w:ascii="Arial" w:hAnsi="Arial" w:eastAsia="Arial" w:cs="Arial"/>
          <w:sz w:val="22"/>
          <w:szCs w:val="22"/>
        </w:rPr>
        <w:t xml:space="preserve">and </w:t>
      </w:r>
      <w:r w:rsidRPr="6CFE66D5" w:rsidR="217BD85B">
        <w:rPr>
          <w:rFonts w:ascii="Arial" w:hAnsi="Arial" w:eastAsia="Arial" w:cs="Arial"/>
          <w:sz w:val="22"/>
          <w:szCs w:val="22"/>
        </w:rPr>
        <w:t xml:space="preserve">an </w:t>
      </w:r>
      <w:r w:rsidRPr="6CFE66D5" w:rsidR="4109A4F8">
        <w:rPr>
          <w:rFonts w:ascii="Arial" w:hAnsi="Arial" w:eastAsia="Arial" w:cs="Arial"/>
          <w:sz w:val="22"/>
          <w:szCs w:val="22"/>
        </w:rPr>
        <w:t xml:space="preserve">increase in clinical training made ambulances highly mobile treatment </w:t>
      </w:r>
      <w:r w:rsidRPr="6CFE66D5" w:rsidR="217BD85B">
        <w:rPr>
          <w:rFonts w:ascii="Arial" w:hAnsi="Arial" w:eastAsia="Arial" w:cs="Arial"/>
          <w:sz w:val="22"/>
          <w:szCs w:val="22"/>
        </w:rPr>
        <w:t>units</w:t>
      </w:r>
      <w:r w:rsidRPr="6CFE66D5" w:rsidR="4109A4F8">
        <w:rPr>
          <w:rFonts w:ascii="Arial" w:hAnsi="Arial" w:eastAsia="Arial" w:cs="Arial"/>
          <w:sz w:val="22"/>
          <w:szCs w:val="22"/>
        </w:rPr>
        <w:t>, which could provide life-saving care before hospital admission.</w:t>
      </w:r>
    </w:p>
    <w:p w:rsidR="00D4088C" w:rsidP="6CFE66D5" w:rsidRDefault="00D4088C" w14:paraId="4DCF757F" w14:textId="58E884E0">
      <w:pPr>
        <w:spacing w:line="360" w:lineRule="auto"/>
        <w:rPr>
          <w:rFonts w:ascii="Arial" w:hAnsi="Arial" w:eastAsia="Arial" w:cs="Arial"/>
          <w:sz w:val="22"/>
          <w:szCs w:val="22"/>
        </w:rPr>
      </w:pPr>
      <w:r w:rsidRPr="6CFE66D5" w:rsidR="4109A4F8">
        <w:rPr>
          <w:rFonts w:ascii="Arial" w:hAnsi="Arial" w:eastAsia="Arial" w:cs="Arial"/>
          <w:sz w:val="22"/>
          <w:szCs w:val="22"/>
        </w:rPr>
        <w:t>The population shift and the increasing chronic disease have also had moderately important</w:t>
      </w:r>
      <w:r w:rsidRPr="6CFE66D5" w:rsidR="4109A4F8">
        <w:rPr>
          <w:rFonts w:ascii="Arial" w:hAnsi="Arial" w:eastAsia="Arial" w:cs="Arial"/>
          <w:sz w:val="22"/>
          <w:szCs w:val="22"/>
        </w:rPr>
        <w:t xml:space="preserve"> impacts on service development. The issue of population ageing has escalated the level of </w:t>
      </w:r>
      <w:r w:rsidRPr="6CFE66D5" w:rsidR="4109A4F8">
        <w:rPr>
          <w:rFonts w:ascii="Arial" w:hAnsi="Arial" w:eastAsia="Arial" w:cs="Arial"/>
          <w:sz w:val="22"/>
          <w:szCs w:val="22"/>
        </w:rPr>
        <w:t>emergency calls</w:t>
      </w:r>
      <w:r w:rsidRPr="6CFE66D5" w:rsidR="217BD85B">
        <w:rPr>
          <w:rFonts w:ascii="Arial" w:hAnsi="Arial" w:eastAsia="Arial" w:cs="Arial"/>
          <w:sz w:val="22"/>
          <w:szCs w:val="22"/>
        </w:rPr>
        <w:t>,</w:t>
      </w:r>
      <w:r w:rsidRPr="6CFE66D5" w:rsidR="4109A4F8">
        <w:rPr>
          <w:rFonts w:ascii="Arial" w:hAnsi="Arial" w:eastAsia="Arial" w:cs="Arial"/>
          <w:sz w:val="22"/>
          <w:szCs w:val="22"/>
        </w:rPr>
        <w:t xml:space="preserve"> especially </w:t>
      </w:r>
      <w:r w:rsidRPr="6CFE66D5" w:rsidR="49DD1EE1">
        <w:rPr>
          <w:rFonts w:ascii="Arial" w:hAnsi="Arial" w:eastAsia="Arial" w:cs="Arial"/>
          <w:sz w:val="22"/>
          <w:szCs w:val="22"/>
        </w:rPr>
        <w:t>for</w:t>
      </w:r>
      <w:r w:rsidRPr="6CFE66D5" w:rsidR="4109A4F8">
        <w:rPr>
          <w:rFonts w:ascii="Arial" w:hAnsi="Arial" w:eastAsia="Arial" w:cs="Arial"/>
          <w:sz w:val="22"/>
          <w:szCs w:val="22"/>
        </w:rPr>
        <w:t xml:space="preserve"> individuals who have intricate health and social care requirements. There is </w:t>
      </w:r>
      <w:r w:rsidRPr="6CFE66D5" w:rsidR="4109A4F8">
        <w:rPr>
          <w:rFonts w:ascii="Arial" w:hAnsi="Arial" w:eastAsia="Arial" w:cs="Arial"/>
          <w:sz w:val="22"/>
          <w:szCs w:val="22"/>
        </w:rPr>
        <w:t>an indication</w:t>
      </w:r>
      <w:r w:rsidRPr="6CFE66D5" w:rsidR="4109A4F8">
        <w:rPr>
          <w:rFonts w:ascii="Arial" w:hAnsi="Arial" w:eastAsia="Arial" w:cs="Arial"/>
          <w:sz w:val="22"/>
          <w:szCs w:val="22"/>
        </w:rPr>
        <w:t xml:space="preserve"> that unattended care in older age groups drives the poor health outcome and increased dependency on emergency care (Spiers et al., 2025). As a result, ambulance service coverage has expanded to include a wide variety of medical conditions such as cardiac events, respiratory </w:t>
      </w:r>
      <w:r w:rsidRPr="6CFE66D5" w:rsidR="4109A4F8">
        <w:rPr>
          <w:rFonts w:ascii="Arial" w:hAnsi="Arial" w:eastAsia="Arial" w:cs="Arial"/>
          <w:sz w:val="22"/>
          <w:szCs w:val="22"/>
        </w:rPr>
        <w:t>crises</w:t>
      </w:r>
      <w:r w:rsidRPr="6CFE66D5" w:rsidR="4109A4F8">
        <w:rPr>
          <w:rFonts w:ascii="Arial" w:hAnsi="Arial" w:eastAsia="Arial" w:cs="Arial"/>
          <w:sz w:val="22"/>
          <w:szCs w:val="22"/>
        </w:rPr>
        <w:t xml:space="preserve"> and acute complications of long-term disease.</w:t>
      </w:r>
    </w:p>
    <w:p w:rsidR="00D4088C" w:rsidP="6CFE66D5" w:rsidRDefault="00D4088C" w14:paraId="3F484D48" w14:textId="61E7D9F9">
      <w:pPr>
        <w:spacing w:line="360" w:lineRule="auto"/>
        <w:rPr>
          <w:rFonts w:ascii="Arial" w:hAnsi="Arial" w:eastAsia="Arial" w:cs="Arial"/>
          <w:sz w:val="22"/>
          <w:szCs w:val="22"/>
        </w:rPr>
      </w:pPr>
      <w:r w:rsidRPr="6CFE66D5" w:rsidR="0B7599B8">
        <w:rPr>
          <w:rFonts w:ascii="Arial" w:hAnsi="Arial" w:eastAsia="Arial" w:cs="Arial"/>
          <w:sz w:val="22"/>
          <w:szCs w:val="22"/>
        </w:rPr>
        <w:t xml:space="preserve">Modern ambulance services are conducted within a very clinical setup. Paramedics are involved in quick assessment, administration of medication, </w:t>
      </w:r>
      <w:r w:rsidRPr="6CFE66D5" w:rsidR="0B7599B8">
        <w:rPr>
          <w:rFonts w:ascii="Arial" w:hAnsi="Arial" w:eastAsia="Arial" w:cs="Arial"/>
          <w:sz w:val="22"/>
          <w:szCs w:val="22"/>
        </w:rPr>
        <w:t>resuscitation</w:t>
      </w:r>
      <w:r w:rsidRPr="6CFE66D5" w:rsidR="0B7599B8">
        <w:rPr>
          <w:rFonts w:ascii="Arial" w:hAnsi="Arial" w:eastAsia="Arial" w:cs="Arial"/>
          <w:sz w:val="22"/>
          <w:szCs w:val="22"/>
        </w:rPr>
        <w:t xml:space="preserve"> and design of proper care courses. The contemporary practi</w:t>
      </w:r>
      <w:r w:rsidRPr="6CFE66D5" w:rsidR="3D14382C">
        <w:rPr>
          <w:rFonts w:ascii="Arial" w:hAnsi="Arial" w:eastAsia="Arial" w:cs="Arial"/>
          <w:sz w:val="22"/>
          <w:szCs w:val="22"/>
        </w:rPr>
        <w:t>c</w:t>
      </w:r>
      <w:r w:rsidRPr="6CFE66D5" w:rsidR="0B7599B8">
        <w:rPr>
          <w:rFonts w:ascii="Arial" w:hAnsi="Arial" w:eastAsia="Arial" w:cs="Arial"/>
          <w:sz w:val="22"/>
          <w:szCs w:val="22"/>
        </w:rPr>
        <w:t>e is more readily including the see and treat and hear and treat models wherein the patients are examined and managed at the scene or transferred to other</w:t>
      </w:r>
      <w:r w:rsidRPr="6CFE66D5" w:rsidR="0B7599B8">
        <w:rPr>
          <w:rFonts w:ascii="Arial" w:hAnsi="Arial" w:eastAsia="Arial" w:cs="Arial"/>
          <w:sz w:val="22"/>
          <w:szCs w:val="22"/>
        </w:rPr>
        <w:t xml:space="preserve"> services in the community without hospital transfer. </w:t>
      </w:r>
      <w:r w:rsidRPr="6CFE66D5" w:rsidR="0B7599B8">
        <w:rPr>
          <w:rFonts w:ascii="Arial" w:hAnsi="Arial" w:eastAsia="Arial" w:cs="Arial"/>
          <w:sz w:val="22"/>
          <w:szCs w:val="22"/>
        </w:rPr>
        <w:t xml:space="preserve">The purpose of this model is to offload the emergency departments and increase the efficiency of the systems. Nevertheless, increased expenses in terms of health and social care systems are still known to pose financial pressure on emergency provision (Jones et al., 2025). The constraint of a budget has an influence on staffing, fleet </w:t>
      </w:r>
      <w:r w:rsidRPr="6CFE66D5" w:rsidR="0B7599B8">
        <w:rPr>
          <w:rFonts w:ascii="Arial" w:hAnsi="Arial" w:eastAsia="Arial" w:cs="Arial"/>
          <w:sz w:val="22"/>
          <w:szCs w:val="22"/>
        </w:rPr>
        <w:t>capacity</w:t>
      </w:r>
      <w:r w:rsidRPr="6CFE66D5" w:rsidR="0B7599B8">
        <w:rPr>
          <w:rFonts w:ascii="Arial" w:hAnsi="Arial" w:eastAsia="Arial" w:cs="Arial"/>
          <w:sz w:val="22"/>
          <w:szCs w:val="22"/>
        </w:rPr>
        <w:t xml:space="preserve"> and responses.</w:t>
      </w:r>
    </w:p>
    <w:p w:rsidR="00D4088C" w:rsidP="6CFE66D5" w:rsidRDefault="00D4088C" w14:paraId="7ABADBBC" w14:textId="74CA929A">
      <w:pPr>
        <w:spacing w:line="360" w:lineRule="auto"/>
        <w:rPr>
          <w:rFonts w:ascii="Arial" w:hAnsi="Arial" w:eastAsia="Arial" w:cs="Arial"/>
          <w:sz w:val="22"/>
          <w:szCs w:val="22"/>
        </w:rPr>
      </w:pPr>
      <w:r w:rsidRPr="6CFE66D5" w:rsidR="0B7599B8">
        <w:rPr>
          <w:rFonts w:ascii="Arial" w:hAnsi="Arial" w:eastAsia="Arial" w:cs="Arial"/>
          <w:sz w:val="22"/>
          <w:szCs w:val="22"/>
        </w:rPr>
        <w:t xml:space="preserve">There should still be integration of the ambulance services with hospitals and community care providers. Following the mechanisms of formal partnership </w:t>
      </w:r>
      <w:r w:rsidRPr="6CFE66D5" w:rsidR="51205485">
        <w:rPr>
          <w:rFonts w:ascii="Arial" w:hAnsi="Arial" w:eastAsia="Arial" w:cs="Arial"/>
          <w:sz w:val="22"/>
          <w:szCs w:val="22"/>
        </w:rPr>
        <w:t>has</w:t>
      </w:r>
      <w:r w:rsidRPr="6CFE66D5" w:rsidR="0B7599B8">
        <w:rPr>
          <w:rFonts w:ascii="Arial" w:hAnsi="Arial" w:eastAsia="Arial" w:cs="Arial"/>
          <w:sz w:val="22"/>
          <w:szCs w:val="22"/>
        </w:rPr>
        <w:t xml:space="preserve"> been defined </w:t>
      </w:r>
      <w:r w:rsidRPr="6CFE66D5" w:rsidR="4A838491">
        <w:rPr>
          <w:rFonts w:ascii="Arial" w:hAnsi="Arial" w:eastAsia="Arial" w:cs="Arial"/>
          <w:sz w:val="22"/>
          <w:szCs w:val="22"/>
        </w:rPr>
        <w:t>to</w:t>
      </w:r>
      <w:r w:rsidRPr="6CFE66D5" w:rsidR="0B7599B8">
        <w:rPr>
          <w:rFonts w:ascii="Arial" w:hAnsi="Arial" w:eastAsia="Arial" w:cs="Arial"/>
          <w:sz w:val="22"/>
          <w:szCs w:val="22"/>
        </w:rPr>
        <w:t xml:space="preserve"> coordinate service delivery and enhance coordination across sectors (Girth et al., 2026). However, structural fragmentation </w:t>
      </w:r>
      <w:r w:rsidRPr="6CFE66D5" w:rsidR="0B7599B8">
        <w:rPr>
          <w:rFonts w:ascii="Arial" w:hAnsi="Arial" w:eastAsia="Arial" w:cs="Arial"/>
          <w:sz w:val="22"/>
          <w:szCs w:val="22"/>
        </w:rPr>
        <w:t>remains</w:t>
      </w:r>
      <w:r w:rsidRPr="6CFE66D5" w:rsidR="0B7599B8">
        <w:rPr>
          <w:rFonts w:ascii="Arial" w:hAnsi="Arial" w:eastAsia="Arial" w:cs="Arial"/>
          <w:sz w:val="22"/>
          <w:szCs w:val="22"/>
        </w:rPr>
        <w:t xml:space="preserve"> </w:t>
      </w:r>
      <w:r w:rsidRPr="6CFE66D5" w:rsidR="0B7599B8">
        <w:rPr>
          <w:rFonts w:ascii="Arial" w:hAnsi="Arial" w:eastAsia="Arial" w:cs="Arial"/>
          <w:sz w:val="22"/>
          <w:szCs w:val="22"/>
        </w:rPr>
        <w:t>an impediment</w:t>
      </w:r>
      <w:r w:rsidRPr="6CFE66D5" w:rsidR="0B7599B8">
        <w:rPr>
          <w:rFonts w:ascii="Arial" w:hAnsi="Arial" w:eastAsia="Arial" w:cs="Arial"/>
          <w:sz w:val="22"/>
          <w:szCs w:val="22"/>
        </w:rPr>
        <w:t xml:space="preserve"> to a smooth patient handover and information transfer (Matos et al., 2025). New emergencies are often affected because at times there is a huge queue in the ambulance due to delayed admission in hospital.</w:t>
      </w:r>
    </w:p>
    <w:p w:rsidR="00D4088C" w:rsidP="6CFE66D5" w:rsidRDefault="00D4088C" w14:paraId="48950B2E" w14:textId="4C6C9041">
      <w:pPr>
        <w:spacing w:line="360" w:lineRule="auto"/>
        <w:rPr>
          <w:rFonts w:ascii="Arial" w:hAnsi="Arial" w:eastAsia="Arial" w:cs="Arial"/>
          <w:sz w:val="22"/>
          <w:szCs w:val="22"/>
        </w:rPr>
      </w:pPr>
      <w:r w:rsidRPr="6CFE66D5" w:rsidR="0B7599B8">
        <w:rPr>
          <w:rFonts w:ascii="Arial" w:hAnsi="Arial" w:eastAsia="Arial" w:cs="Arial"/>
          <w:sz w:val="22"/>
          <w:szCs w:val="22"/>
        </w:rPr>
        <w:t xml:space="preserve">The control of quality and safety of emergency services is the </w:t>
      </w:r>
      <w:r w:rsidRPr="6CFE66D5" w:rsidR="0B7599B8">
        <w:rPr>
          <w:rFonts w:ascii="Arial" w:hAnsi="Arial" w:eastAsia="Arial" w:cs="Arial"/>
          <w:sz w:val="22"/>
          <w:szCs w:val="22"/>
        </w:rPr>
        <w:t>objective</w:t>
      </w:r>
      <w:r w:rsidRPr="6CFE66D5" w:rsidR="0B7599B8">
        <w:rPr>
          <w:rFonts w:ascii="Arial" w:hAnsi="Arial" w:eastAsia="Arial" w:cs="Arial"/>
          <w:sz w:val="22"/>
          <w:szCs w:val="22"/>
        </w:rPr>
        <w:t xml:space="preserve"> of regulatory oversight. Nevertheless, there is evidence that can prove the inconsistency in the success of regulatory implementation, which implies that inspection frameworks might not </w:t>
      </w:r>
      <w:r w:rsidRPr="6CFE66D5" w:rsidR="0B7599B8">
        <w:rPr>
          <w:rFonts w:ascii="Arial" w:hAnsi="Arial" w:eastAsia="Arial" w:cs="Arial"/>
          <w:sz w:val="22"/>
          <w:szCs w:val="22"/>
        </w:rPr>
        <w:t>eliminate</w:t>
      </w:r>
      <w:r w:rsidRPr="6CFE66D5" w:rsidR="0B7599B8">
        <w:rPr>
          <w:rFonts w:ascii="Arial" w:hAnsi="Arial" w:eastAsia="Arial" w:cs="Arial"/>
          <w:sz w:val="22"/>
          <w:szCs w:val="22"/>
        </w:rPr>
        <w:t xml:space="preserve"> systemic pressures on the capacity (Fenney et al., 2025). Moreover, the times of full-scale public health </w:t>
      </w:r>
      <w:r w:rsidRPr="6CFE66D5" w:rsidR="3D14382C">
        <w:rPr>
          <w:rFonts w:ascii="Arial" w:hAnsi="Arial" w:eastAsia="Arial" w:cs="Arial"/>
          <w:sz w:val="22"/>
          <w:szCs w:val="22"/>
        </w:rPr>
        <w:t>crises</w:t>
      </w:r>
      <w:r w:rsidRPr="6CFE66D5" w:rsidR="0B7599B8">
        <w:rPr>
          <w:rFonts w:ascii="Arial" w:hAnsi="Arial" w:eastAsia="Arial" w:cs="Arial"/>
          <w:sz w:val="22"/>
          <w:szCs w:val="22"/>
        </w:rPr>
        <w:t xml:space="preserve"> have increased the demand, as well as disrupted and aggravated the workforce. It has been shown that the COVID-19 pandemic had a significant impact on the mental health and </w:t>
      </w:r>
      <w:r w:rsidRPr="6CFE66D5" w:rsidR="3D14382C">
        <w:rPr>
          <w:rFonts w:ascii="Arial" w:hAnsi="Arial" w:eastAsia="Arial" w:cs="Arial"/>
          <w:sz w:val="22"/>
          <w:szCs w:val="22"/>
        </w:rPr>
        <w:t>well-being</w:t>
      </w:r>
      <w:r w:rsidRPr="6CFE66D5" w:rsidR="0B7599B8">
        <w:rPr>
          <w:rFonts w:ascii="Arial" w:hAnsi="Arial" w:eastAsia="Arial" w:cs="Arial"/>
          <w:sz w:val="22"/>
          <w:szCs w:val="22"/>
        </w:rPr>
        <w:t xml:space="preserve"> of older adults and posed them with greater emergency vulnerability (</w:t>
      </w:r>
      <w:r w:rsidRPr="6CFE66D5" w:rsidR="0B7599B8">
        <w:rPr>
          <w:rFonts w:ascii="Arial" w:hAnsi="Arial" w:eastAsia="Arial" w:cs="Arial"/>
          <w:sz w:val="22"/>
          <w:szCs w:val="22"/>
        </w:rPr>
        <w:t>Zaninotto</w:t>
      </w:r>
      <w:r w:rsidRPr="6CFE66D5" w:rsidR="0B7599B8">
        <w:rPr>
          <w:rFonts w:ascii="Arial" w:hAnsi="Arial" w:eastAsia="Arial" w:cs="Arial"/>
          <w:sz w:val="22"/>
          <w:szCs w:val="22"/>
        </w:rPr>
        <w:t xml:space="preserve"> et al., 2022).</w:t>
      </w:r>
    </w:p>
    <w:p w:rsidR="00D4088C" w:rsidP="6CFE66D5" w:rsidRDefault="00D4088C" w14:paraId="34994955" w14:textId="3BC7B72C">
      <w:pPr>
        <w:spacing w:line="360" w:lineRule="auto"/>
        <w:rPr>
          <w:rFonts w:ascii="Arial" w:hAnsi="Arial" w:eastAsia="Arial" w:cs="Arial"/>
          <w:sz w:val="22"/>
          <w:szCs w:val="22"/>
        </w:rPr>
      </w:pPr>
      <w:r w:rsidRPr="6CFE66D5" w:rsidR="0B7599B8">
        <w:rPr>
          <w:rFonts w:ascii="Arial" w:hAnsi="Arial" w:eastAsia="Arial" w:cs="Arial"/>
          <w:sz w:val="22"/>
          <w:szCs w:val="22"/>
        </w:rPr>
        <w:t xml:space="preserve">Quality of life markedly improves thanks to </w:t>
      </w:r>
      <w:r w:rsidRPr="6CFE66D5" w:rsidR="3D14382C">
        <w:rPr>
          <w:rFonts w:ascii="Arial" w:hAnsi="Arial" w:eastAsia="Arial" w:cs="Arial"/>
          <w:sz w:val="22"/>
          <w:szCs w:val="22"/>
        </w:rPr>
        <w:t xml:space="preserve">the </w:t>
      </w:r>
      <w:r w:rsidRPr="6CFE66D5" w:rsidR="0B7599B8">
        <w:rPr>
          <w:rFonts w:ascii="Arial" w:hAnsi="Arial" w:eastAsia="Arial" w:cs="Arial"/>
          <w:sz w:val="22"/>
          <w:szCs w:val="22"/>
        </w:rPr>
        <w:t xml:space="preserve">intensive response of ambulance services, which may help </w:t>
      </w:r>
      <w:r w:rsidRPr="6CFE66D5" w:rsidR="0B7599B8">
        <w:rPr>
          <w:rFonts w:ascii="Arial" w:hAnsi="Arial" w:eastAsia="Arial" w:cs="Arial"/>
          <w:sz w:val="22"/>
          <w:szCs w:val="22"/>
        </w:rPr>
        <w:t>establish</w:t>
      </w:r>
      <w:r w:rsidRPr="6CFE66D5" w:rsidR="0B7599B8">
        <w:rPr>
          <w:rFonts w:ascii="Arial" w:hAnsi="Arial" w:eastAsia="Arial" w:cs="Arial"/>
          <w:sz w:val="22"/>
          <w:szCs w:val="22"/>
        </w:rPr>
        <w:t xml:space="preserve"> a clinical intervention and referral to the right methods of care. Early intervention minimises the risk of death and avoids </w:t>
      </w:r>
      <w:r w:rsidRPr="6CFE66D5" w:rsidR="3D14382C">
        <w:rPr>
          <w:rFonts w:ascii="Arial" w:hAnsi="Arial" w:eastAsia="Arial" w:cs="Arial"/>
          <w:sz w:val="22"/>
          <w:szCs w:val="22"/>
        </w:rPr>
        <w:t>long-term</w:t>
      </w:r>
      <w:r w:rsidRPr="6CFE66D5" w:rsidR="0B7599B8">
        <w:rPr>
          <w:rFonts w:ascii="Arial" w:hAnsi="Arial" w:eastAsia="Arial" w:cs="Arial"/>
          <w:sz w:val="22"/>
          <w:szCs w:val="22"/>
        </w:rPr>
        <w:t xml:space="preserve"> disability. Also, available emergency responses give psychological assurance and social trust in the health systems. </w:t>
      </w:r>
      <w:r w:rsidRPr="6CFE66D5" w:rsidR="0B7599B8">
        <w:rPr>
          <w:rFonts w:ascii="Arial" w:hAnsi="Arial" w:eastAsia="Arial" w:cs="Arial"/>
          <w:sz w:val="22"/>
          <w:szCs w:val="22"/>
        </w:rPr>
        <w:t>In spite of</w:t>
      </w:r>
      <w:r w:rsidRPr="6CFE66D5" w:rsidR="0B7599B8">
        <w:rPr>
          <w:rFonts w:ascii="Arial" w:hAnsi="Arial" w:eastAsia="Arial" w:cs="Arial"/>
          <w:sz w:val="22"/>
          <w:szCs w:val="22"/>
        </w:rPr>
        <w:t xml:space="preserve"> these strengths, there </w:t>
      </w:r>
      <w:r w:rsidRPr="6CFE66D5" w:rsidR="3D14382C">
        <w:rPr>
          <w:rFonts w:ascii="Arial" w:hAnsi="Arial" w:eastAsia="Arial" w:cs="Arial"/>
          <w:sz w:val="22"/>
          <w:szCs w:val="22"/>
        </w:rPr>
        <w:t>is</w:t>
      </w:r>
      <w:r w:rsidRPr="6CFE66D5" w:rsidR="0B7599B8">
        <w:rPr>
          <w:rFonts w:ascii="Arial" w:hAnsi="Arial" w:eastAsia="Arial" w:cs="Arial"/>
          <w:sz w:val="22"/>
          <w:szCs w:val="22"/>
        </w:rPr>
        <w:t xml:space="preserve"> better integration, financial and workforce stability in the long-term sustainability. The growing demand can lead to the undermining of service effectiveness and equal emergency care access without structural reform.</w:t>
      </w:r>
    </w:p>
    <w:p w:rsidR="00D4088C" w:rsidRDefault="00D4088C" w14:paraId="38BB500C" w14:textId="77777777">
      <w:pPr>
        <w:spacing w:line="278" w:lineRule="auto"/>
        <w:jc w:val="left"/>
      </w:pPr>
      <w:r>
        <w:br w:type="page"/>
      </w:r>
    </w:p>
    <w:p w:rsidR="00847237" w:rsidP="00D4088C" w:rsidRDefault="00D4088C" w14:paraId="2BAFDDEF" w14:textId="06B7E301">
      <w:pPr>
        <w:pStyle w:val="Heading1"/>
      </w:pPr>
      <w:bookmarkStart w:name="_Toc1430139756" w:id="1690976829"/>
      <w:r w:rsidR="0B7599B8">
        <w:rPr/>
        <w:t>References</w:t>
      </w:r>
      <w:bookmarkEnd w:id="1690976829"/>
      <w:r w:rsidR="0B7599B8">
        <w:rPr/>
        <w:t xml:space="preserve"> </w:t>
      </w:r>
    </w:p>
    <w:p w:rsidR="00D4088C" w:rsidP="00D4088C" w:rsidRDefault="00D4088C" w14:paraId="590829ED" w14:textId="77777777">
      <w:pPr>
        <w:ind w:left="720" w:hanging="720"/>
      </w:pPr>
      <w:r w:rsidRPr="009B7511">
        <w:t>Fenney, D., Baylis, A., Robertson, R. and Walshe, K., 2025. Evidence on what works in regulating health and social care.</w:t>
      </w:r>
    </w:p>
    <w:p w:rsidR="00D4088C" w:rsidP="00D4088C" w:rsidRDefault="00D4088C" w14:paraId="293D5106" w14:textId="044FFBC0">
      <w:pPr>
        <w:ind w:left="720" w:hanging="720"/>
      </w:pPr>
      <w:r w:rsidRPr="009B7511">
        <w:t>Girth, A.M., Smith, R.A., Bunger, A.C., Chuang, E., Lancaster, K.E., Phillips, R.J., Gadel, F., Millisor, J. and McClellan, J., 2026. The Use of Formal Partnership Agreements to Align Service Delivery Across Health and Social Service Systems. </w:t>
      </w:r>
      <w:r w:rsidRPr="009B7511">
        <w:rPr>
          <w:i/>
          <w:iCs/>
        </w:rPr>
        <w:t xml:space="preserve">Human Service </w:t>
      </w:r>
      <w:r w:rsidR="00F117C9">
        <w:rPr>
          <w:i/>
          <w:iCs/>
        </w:rPr>
        <w:t>Organisations</w:t>
      </w:r>
      <w:r w:rsidRPr="009B7511">
        <w:rPr>
          <w:i/>
          <w:iCs/>
        </w:rPr>
        <w:t>: Management, Leadership &amp; Governance</w:t>
      </w:r>
      <w:r w:rsidRPr="009B7511">
        <w:t>, (just-accepted).</w:t>
      </w:r>
    </w:p>
    <w:p w:rsidRPr="009B7511" w:rsidR="00D4088C" w:rsidP="00D4088C" w:rsidRDefault="00D4088C" w14:paraId="305A2A8C" w14:textId="77777777">
      <w:pPr>
        <w:ind w:left="720" w:hanging="720"/>
        <w:rPr>
          <w:lang w:val="en-US"/>
        </w:rPr>
      </w:pPr>
      <w:r w:rsidRPr="009B7511">
        <w:rPr>
          <w:lang w:val="en-US"/>
        </w:rPr>
        <w:t>Jones, K.C., Weatherly, H., Birch, S., Castelli, A., Chalkley, M., Dargan, A., Findlay, D., Gao, M., Hinde, S., Markham, S., Smith, D. and Teo, H. (2025). Unit Costs of Health and Social Care 2024 Manual - Kent Academic Repository. </w:t>
      </w:r>
      <w:r w:rsidRPr="009B7511">
        <w:rPr>
          <w:i/>
          <w:iCs/>
          <w:lang w:val="en-US"/>
        </w:rPr>
        <w:t>Kent.ac.uk</w:t>
      </w:r>
      <w:r w:rsidRPr="003F749D">
        <w:rPr>
          <w:lang w:val="en-US"/>
        </w:rPr>
        <w:t xml:space="preserve"> </w:t>
      </w:r>
      <w:r w:rsidRPr="009B7511">
        <w:rPr>
          <w:lang w:val="en-US"/>
        </w:rPr>
        <w:t>doi:</w:t>
      </w:r>
      <w:r w:rsidRPr="003F749D">
        <w:rPr>
          <w:lang w:val="en-US"/>
        </w:rPr>
        <w:t xml:space="preserve"> </w:t>
      </w:r>
      <w:hyperlink w:history="1" r:id="rId4">
        <w:r w:rsidRPr="009B7511">
          <w:rPr>
            <w:rStyle w:val="Hyperlink"/>
            <w:lang w:val="en-US"/>
          </w:rPr>
          <w:t>https://kar.kent.ac.uk/109563/1/The%20unit%20costs%20of%20health%20and%20social%20care%202024%20%28for%20publication%29_Amended%2012%20October%202025.pdf</w:t>
        </w:r>
      </w:hyperlink>
      <w:r>
        <w:rPr>
          <w:lang w:val="en-US"/>
        </w:rPr>
        <w:t xml:space="preserve"> </w:t>
      </w:r>
    </w:p>
    <w:p w:rsidR="00D4088C" w:rsidP="00D4088C" w:rsidRDefault="00D4088C" w14:paraId="0E1F0EC2" w14:textId="179CF9A1">
      <w:pPr>
        <w:ind w:left="720" w:hanging="720"/>
      </w:pPr>
      <w:r w:rsidRPr="009B7511">
        <w:t>Lynch, B., Ryan, A.A., O’Neill, M. and Penney, S., 2022. The factors that influence care home residents’ and families’ engagement with decision-making about their care and support: an integrative review of the literature. </w:t>
      </w:r>
      <w:r w:rsidRPr="009B7511">
        <w:rPr>
          <w:i/>
          <w:iCs/>
        </w:rPr>
        <w:t xml:space="preserve">BMC </w:t>
      </w:r>
      <w:r w:rsidR="00F117C9">
        <w:rPr>
          <w:i/>
          <w:iCs/>
        </w:rPr>
        <w:t>Geriatrics</w:t>
      </w:r>
      <w:r w:rsidRPr="009B7511">
        <w:t>, </w:t>
      </w:r>
      <w:r w:rsidRPr="009B7511">
        <w:rPr>
          <w:i/>
          <w:iCs/>
        </w:rPr>
        <w:t>22</w:t>
      </w:r>
      <w:r w:rsidRPr="009B7511">
        <w:t>(1), p.873.</w:t>
      </w:r>
    </w:p>
    <w:p w:rsidR="00D4088C" w:rsidP="00D4088C" w:rsidRDefault="00D4088C" w14:paraId="5885F068" w14:textId="77777777">
      <w:pPr>
        <w:ind w:left="720" w:hanging="720"/>
      </w:pPr>
      <w:r w:rsidRPr="00D4088C">
        <w:rPr>
          <w:lang w:val="en-US"/>
        </w:rPr>
        <w:t xml:space="preserve">Matos, R.C.D., Nascimento, G.D., Campos Fernandes, A. and Matos, C., 2025. </w:t>
      </w:r>
      <w:r w:rsidRPr="009B7511">
        <w:t>Health and Social Care Integration: Insights from International Implementation Cases. </w:t>
      </w:r>
      <w:r w:rsidRPr="009B7511">
        <w:rPr>
          <w:i/>
          <w:iCs/>
        </w:rPr>
        <w:t>Journal of Market Access &amp; Health Policy</w:t>
      </w:r>
      <w:r w:rsidRPr="009B7511">
        <w:t>, </w:t>
      </w:r>
      <w:r w:rsidRPr="009B7511">
        <w:rPr>
          <w:i/>
          <w:iCs/>
        </w:rPr>
        <w:t>13</w:t>
      </w:r>
      <w:r w:rsidRPr="009B7511">
        <w:t>(2), p.28.</w:t>
      </w:r>
    </w:p>
    <w:p w:rsidR="00D4088C" w:rsidP="00D4088C" w:rsidRDefault="00D4088C" w14:paraId="2564AE02" w14:textId="1358094A">
      <w:pPr>
        <w:ind w:left="720" w:hanging="720"/>
      </w:pPr>
      <w:r w:rsidRPr="009B7511">
        <w:t xml:space="preserve">Okatta, C.G., Ajayi, F.A. and Olawale, O., 2024. Enhancing </w:t>
      </w:r>
      <w:r w:rsidR="00F117C9">
        <w:t>organisational</w:t>
      </w:r>
      <w:r w:rsidRPr="009B7511">
        <w:t xml:space="preserve"> performance through diversity and inclusion initiatives: a meta-analysis. </w:t>
      </w:r>
      <w:r w:rsidRPr="009B7511">
        <w:rPr>
          <w:i/>
          <w:iCs/>
        </w:rPr>
        <w:t>International Journal of Applied Research in Social Sciences</w:t>
      </w:r>
      <w:r w:rsidRPr="009B7511">
        <w:t>, </w:t>
      </w:r>
      <w:r w:rsidRPr="009B7511">
        <w:rPr>
          <w:i/>
          <w:iCs/>
        </w:rPr>
        <w:t>6</w:t>
      </w:r>
      <w:r w:rsidRPr="009B7511">
        <w:t>(4), pp.734-758.</w:t>
      </w:r>
    </w:p>
    <w:p w:rsidRPr="009B7511" w:rsidR="00D4088C" w:rsidP="00D4088C" w:rsidRDefault="00D4088C" w14:paraId="22744F9B" w14:textId="77777777">
      <w:pPr>
        <w:ind w:left="720" w:hanging="720"/>
        <w:rPr>
          <w:lang w:val="en-US"/>
        </w:rPr>
      </w:pPr>
      <w:r w:rsidRPr="009B7511">
        <w:rPr>
          <w:lang w:val="en-US"/>
        </w:rPr>
        <w:t>Spelthorne, in (2019). </w:t>
      </w:r>
      <w:r w:rsidRPr="009B7511">
        <w:rPr>
          <w:i/>
          <w:iCs/>
          <w:lang w:val="en-US"/>
        </w:rPr>
        <w:t>Sonder Home Care</w:t>
      </w:r>
      <w:r w:rsidRPr="009B7511">
        <w:rPr>
          <w:lang w:val="en-US"/>
        </w:rPr>
        <w:t xml:space="preserve">. [online] Sonder Home Care. Available at: </w:t>
      </w:r>
      <w:hyperlink w:history="1" r:id="rId5">
        <w:r w:rsidRPr="009B7511">
          <w:rPr>
            <w:rStyle w:val="Hyperlink"/>
            <w:lang w:val="en-US"/>
          </w:rPr>
          <w:t>https://www.sonderhomecare.co.uk/?gad_source=1&amp;gad_campaignid=21920480090&amp;gbraid=0AAAAA-</w:t>
        </w:r>
      </w:hyperlink>
      <w:r>
        <w:rPr>
          <w:lang w:val="en-US"/>
        </w:rPr>
        <w:t xml:space="preserve"> </w:t>
      </w:r>
    </w:p>
    <w:p w:rsidR="00D4088C" w:rsidP="00D4088C" w:rsidRDefault="00D4088C" w14:paraId="631EAEB8" w14:textId="77777777">
      <w:pPr>
        <w:ind w:left="720" w:hanging="720"/>
      </w:pPr>
      <w:r w:rsidRPr="009B7511">
        <w:t>Spiers, G.F., Davies, L.E., Sinclair, D., Tan, M.M., Kingston, A. and Hanratty, B., 2025. Which unmet social care needs have the biggest impact on healthy ageing? An analysis of data from the English Longitudinal Study of Ageing. </w:t>
      </w:r>
      <w:r w:rsidRPr="009B7511">
        <w:rPr>
          <w:i/>
          <w:iCs/>
        </w:rPr>
        <w:t>BMJ open</w:t>
      </w:r>
      <w:r w:rsidRPr="009B7511">
        <w:t>, </w:t>
      </w:r>
      <w:r w:rsidRPr="009B7511">
        <w:rPr>
          <w:i/>
          <w:iCs/>
        </w:rPr>
        <w:t>15</w:t>
      </w:r>
      <w:r w:rsidRPr="009B7511">
        <w:t>(1), p.e084812.</w:t>
      </w:r>
    </w:p>
    <w:p w:rsidR="00D4088C" w:rsidP="00D4088C" w:rsidRDefault="00D4088C" w14:paraId="2B21B8A3" w14:textId="77777777">
      <w:pPr>
        <w:ind w:left="720" w:hanging="720"/>
      </w:pPr>
      <w:r w:rsidRPr="009B7511">
        <w:t>Wright, J. and Hamblin, K., 2023. Technology and adult social care in England. </w:t>
      </w:r>
      <w:r w:rsidRPr="009B7511">
        <w:rPr>
          <w:i/>
          <w:iCs/>
        </w:rPr>
        <w:t>Care Technologies for Ageing Societies: An International Comparison. Policy Press, Bristol, UK</w:t>
      </w:r>
      <w:r w:rsidRPr="009B7511">
        <w:t>, pp.18-48.</w:t>
      </w:r>
    </w:p>
    <w:p w:rsidR="00D4088C" w:rsidP="00D4088C" w:rsidRDefault="00D4088C" w14:paraId="47B51F5A" w14:textId="77777777">
      <w:pPr>
        <w:ind w:left="720" w:hanging="720"/>
      </w:pPr>
      <w:r w:rsidRPr="009B7511">
        <w:t>Zaninotto, P., Iob, E., Demakakos, P. and Steptoe, A., 2022. Immediate and longer-term changes in the mental health and well-being of older adults in England during the COVID-19 pandemic. </w:t>
      </w:r>
      <w:r w:rsidRPr="009B7511">
        <w:rPr>
          <w:i/>
          <w:iCs/>
        </w:rPr>
        <w:t>JAMA psychiatry</w:t>
      </w:r>
      <w:r w:rsidRPr="009B7511">
        <w:t>, </w:t>
      </w:r>
      <w:r w:rsidRPr="009B7511">
        <w:rPr>
          <w:i/>
          <w:iCs/>
        </w:rPr>
        <w:t>79</w:t>
      </w:r>
      <w:r w:rsidRPr="009B7511">
        <w:t>(2), pp.151-159.</w:t>
      </w:r>
    </w:p>
    <w:p w:rsidRPr="00D4088C" w:rsidR="00D4088C" w:rsidP="00D4088C" w:rsidRDefault="00D4088C" w14:paraId="015CD368" w14:textId="77777777"/>
    <w:sectPr w:rsidRPr="00D4088C" w:rsidR="00D4088C">
      <w:pgSz w:w="12240" w:h="15840" w:orient="portrait"/>
      <w:pgMar w:top="1440" w:right="1440" w:bottom="1440" w:left="1440" w:header="720" w:footer="720" w:gutter="0"/>
      <w:cols w:space="720"/>
      <w:docGrid w:linePitch="360"/>
      <w:headerReference w:type="default" r:id="R6a143afca18b4cea"/>
      <w:footerReference w:type="default" r:id="Rc9c954314ebd42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CFE66D5" w:rsidTr="6CFE66D5" w14:paraId="54CC1DFB">
      <w:trPr>
        <w:trHeight w:val="300"/>
      </w:trPr>
      <w:tc>
        <w:tcPr>
          <w:tcW w:w="3120" w:type="dxa"/>
          <w:tcMar/>
        </w:tcPr>
        <w:p w:rsidR="6CFE66D5" w:rsidP="6CFE66D5" w:rsidRDefault="6CFE66D5" w14:paraId="25258DCD" w14:textId="799FB830">
          <w:pPr>
            <w:pStyle w:val="Header"/>
            <w:bidi w:val="0"/>
            <w:ind w:left="-115"/>
            <w:jc w:val="left"/>
          </w:pPr>
        </w:p>
      </w:tc>
      <w:tc>
        <w:tcPr>
          <w:tcW w:w="3120" w:type="dxa"/>
          <w:tcMar/>
        </w:tcPr>
        <w:p w:rsidR="6CFE66D5" w:rsidP="6CFE66D5" w:rsidRDefault="6CFE66D5" w14:paraId="21CCA1D4" w14:textId="06254EF4">
          <w:pPr>
            <w:pStyle w:val="Header"/>
            <w:bidi w:val="0"/>
            <w:jc w:val="center"/>
          </w:pPr>
        </w:p>
      </w:tc>
      <w:tc>
        <w:tcPr>
          <w:tcW w:w="3120" w:type="dxa"/>
          <w:tcMar/>
        </w:tcPr>
        <w:p w:rsidR="6CFE66D5" w:rsidP="6CFE66D5" w:rsidRDefault="6CFE66D5" w14:paraId="666146D0" w14:textId="7759BD8B">
          <w:pPr>
            <w:pStyle w:val="Header"/>
            <w:bidi w:val="0"/>
            <w:ind w:right="-115"/>
            <w:jc w:val="right"/>
          </w:pPr>
        </w:p>
      </w:tc>
    </w:tr>
  </w:tbl>
  <w:p w:rsidR="6CFE66D5" w:rsidP="6CFE66D5" w:rsidRDefault="6CFE66D5" w14:paraId="14259D07" w14:textId="089785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CFE66D5" w:rsidTr="6CFE66D5" w14:paraId="05302538">
      <w:trPr>
        <w:trHeight w:val="300"/>
      </w:trPr>
      <w:tc>
        <w:tcPr>
          <w:tcW w:w="3120" w:type="dxa"/>
          <w:tcMar/>
        </w:tcPr>
        <w:p w:rsidR="6CFE66D5" w:rsidP="6CFE66D5" w:rsidRDefault="6CFE66D5" w14:paraId="1144ACF0" w14:textId="666DD88C">
          <w:pPr>
            <w:pStyle w:val="Header"/>
            <w:bidi w:val="0"/>
            <w:ind w:left="-115"/>
            <w:jc w:val="left"/>
          </w:pPr>
        </w:p>
      </w:tc>
      <w:tc>
        <w:tcPr>
          <w:tcW w:w="3120" w:type="dxa"/>
          <w:tcMar/>
        </w:tcPr>
        <w:p w:rsidR="6CFE66D5" w:rsidP="6CFE66D5" w:rsidRDefault="6CFE66D5" w14:paraId="319C95D5" w14:textId="02A3D212">
          <w:pPr>
            <w:pStyle w:val="Header"/>
            <w:bidi w:val="0"/>
            <w:jc w:val="center"/>
          </w:pPr>
        </w:p>
      </w:tc>
      <w:tc>
        <w:tcPr>
          <w:tcW w:w="3120" w:type="dxa"/>
          <w:tcMar/>
        </w:tcPr>
        <w:p w:rsidR="6CFE66D5" w:rsidP="6CFE66D5" w:rsidRDefault="6CFE66D5" w14:paraId="1DEF150B" w14:textId="78FFE4B6">
          <w:pPr>
            <w:pStyle w:val="Header"/>
            <w:bidi w:val="0"/>
            <w:ind w:right="-115"/>
            <w:jc w:val="right"/>
          </w:pPr>
        </w:p>
      </w:tc>
    </w:tr>
  </w:tbl>
  <w:p w:rsidR="6CFE66D5" w:rsidP="6CFE66D5" w:rsidRDefault="6CFE66D5" w14:paraId="7E939F24" w14:textId="2CAB51A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88C"/>
    <w:rsid w:val="000C3894"/>
    <w:rsid w:val="00303AF1"/>
    <w:rsid w:val="00377503"/>
    <w:rsid w:val="004B6EEC"/>
    <w:rsid w:val="00617883"/>
    <w:rsid w:val="006900B1"/>
    <w:rsid w:val="0069432E"/>
    <w:rsid w:val="00847237"/>
    <w:rsid w:val="008A7C56"/>
    <w:rsid w:val="00A7557D"/>
    <w:rsid w:val="00BA28A6"/>
    <w:rsid w:val="00D4088C"/>
    <w:rsid w:val="00E046EA"/>
    <w:rsid w:val="00EA3D17"/>
    <w:rsid w:val="00EF52B7"/>
    <w:rsid w:val="00F117C9"/>
    <w:rsid w:val="00FB5D93"/>
    <w:rsid w:val="02210EE1"/>
    <w:rsid w:val="0B7599B8"/>
    <w:rsid w:val="11883FE8"/>
    <w:rsid w:val="129335A3"/>
    <w:rsid w:val="1311DBB8"/>
    <w:rsid w:val="1473CCDA"/>
    <w:rsid w:val="1E7F5256"/>
    <w:rsid w:val="1EAB5EEE"/>
    <w:rsid w:val="1F139F89"/>
    <w:rsid w:val="217BD85B"/>
    <w:rsid w:val="29B08376"/>
    <w:rsid w:val="2D56769A"/>
    <w:rsid w:val="2F4F3E82"/>
    <w:rsid w:val="3204C183"/>
    <w:rsid w:val="34402E41"/>
    <w:rsid w:val="3A8155D1"/>
    <w:rsid w:val="3D14382C"/>
    <w:rsid w:val="3D54E104"/>
    <w:rsid w:val="4109A4F8"/>
    <w:rsid w:val="413F76B5"/>
    <w:rsid w:val="49DD1EE1"/>
    <w:rsid w:val="4A838491"/>
    <w:rsid w:val="51205485"/>
    <w:rsid w:val="5996B171"/>
    <w:rsid w:val="5E10ED3B"/>
    <w:rsid w:val="6CFE66D5"/>
    <w:rsid w:val="73515505"/>
    <w:rsid w:val="79D24D36"/>
    <w:rsid w:val="7ACE084C"/>
    <w:rsid w:val="7B5D3EEA"/>
    <w:rsid w:val="7E0A87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CDECA"/>
  <w15:chartTrackingRefBased/>
  <w15:docId w15:val="{18E059B3-954B-4272-848E-382BBC17E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17883"/>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617883"/>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semiHidden/>
    <w:unhideWhenUsed/>
    <w:qFormat/>
    <w:rsid w:val="00617883"/>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semiHidden/>
    <w:unhideWhenUsed/>
    <w:qFormat/>
    <w:rsid w:val="000C3894"/>
    <w:pPr>
      <w:keepNext/>
      <w:keepLines/>
      <w:spacing w:before="160" w:after="80"/>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semiHidden/>
    <w:unhideWhenUsed/>
    <w:qFormat/>
    <w:rsid w:val="00D4088C"/>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088C"/>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088C"/>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88C"/>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88C"/>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88C"/>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17883"/>
    <w:rPr>
      <w:rFonts w:ascii="Times New Roman" w:hAnsi="Times New Roman" w:eastAsiaTheme="majorEastAsia" w:cstheme="majorBidi"/>
      <w:b/>
      <w:color w:val="000000" w:themeColor="text1"/>
      <w:szCs w:val="40"/>
      <w:lang w:val="en-GB"/>
    </w:rPr>
  </w:style>
  <w:style w:type="character" w:styleId="Heading2Char" w:customStyle="1">
    <w:name w:val="Heading 2 Char"/>
    <w:basedOn w:val="DefaultParagraphFont"/>
    <w:link w:val="Heading2"/>
    <w:uiPriority w:val="9"/>
    <w:semiHidden/>
    <w:rsid w:val="00617883"/>
    <w:rPr>
      <w:rFonts w:ascii="Times New Roman" w:hAnsi="Times New Roman" w:eastAsiaTheme="majorEastAsia" w:cstheme="majorBidi"/>
      <w:b/>
      <w:i/>
      <w:color w:val="000000" w:themeColor="text1"/>
      <w:szCs w:val="32"/>
      <w:lang w:val="en-GB"/>
    </w:rPr>
  </w:style>
  <w:style w:type="character" w:styleId="Heading3Char" w:customStyle="1">
    <w:name w:val="Heading 3 Char"/>
    <w:basedOn w:val="DefaultParagraphFont"/>
    <w:link w:val="Heading3"/>
    <w:uiPriority w:val="9"/>
    <w:semiHidden/>
    <w:rsid w:val="000C3894"/>
    <w:rPr>
      <w:rFonts w:ascii="Times New Roman" w:hAnsi="Times New Roman" w:eastAsiaTheme="majorEastAsia" w:cstheme="majorBidi"/>
      <w:b/>
      <w:i/>
      <w:color w:val="000000" w:themeColor="text1"/>
      <w:szCs w:val="28"/>
      <w:u w:val="single"/>
      <w:lang w:val="en-GB"/>
    </w:rPr>
  </w:style>
  <w:style w:type="character" w:styleId="Heading4Char" w:customStyle="1">
    <w:name w:val="Heading 4 Char"/>
    <w:basedOn w:val="DefaultParagraphFont"/>
    <w:link w:val="Heading4"/>
    <w:uiPriority w:val="9"/>
    <w:semiHidden/>
    <w:rsid w:val="00D4088C"/>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D4088C"/>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D4088C"/>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D4088C"/>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D4088C"/>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D4088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4088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088C"/>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D4088C"/>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088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4088C"/>
    <w:pPr>
      <w:spacing w:before="160"/>
      <w:jc w:val="center"/>
    </w:pPr>
    <w:rPr>
      <w:i/>
      <w:iCs/>
      <w:color w:val="404040" w:themeColor="text1" w:themeTint="BF"/>
    </w:rPr>
  </w:style>
  <w:style w:type="character" w:styleId="QuoteChar" w:customStyle="1">
    <w:name w:val="Quote Char"/>
    <w:basedOn w:val="DefaultParagraphFont"/>
    <w:link w:val="Quote"/>
    <w:uiPriority w:val="29"/>
    <w:rsid w:val="00D4088C"/>
    <w:rPr>
      <w:rFonts w:ascii="Times New Roman" w:hAnsi="Times New Roman"/>
      <w:i/>
      <w:iCs/>
      <w:color w:val="404040" w:themeColor="text1" w:themeTint="BF"/>
      <w:lang w:val="en-GB"/>
    </w:rPr>
  </w:style>
  <w:style w:type="paragraph" w:styleId="ListParagraph">
    <w:name w:val="List Paragraph"/>
    <w:basedOn w:val="Normal"/>
    <w:uiPriority w:val="34"/>
    <w:qFormat/>
    <w:rsid w:val="00D4088C"/>
    <w:pPr>
      <w:ind w:left="720"/>
      <w:contextualSpacing/>
    </w:pPr>
  </w:style>
  <w:style w:type="character" w:styleId="IntenseEmphasis">
    <w:name w:val="Intense Emphasis"/>
    <w:basedOn w:val="DefaultParagraphFont"/>
    <w:uiPriority w:val="21"/>
    <w:qFormat/>
    <w:rsid w:val="00D4088C"/>
    <w:rPr>
      <w:i/>
      <w:iCs/>
      <w:color w:val="2F5496" w:themeColor="accent1" w:themeShade="BF"/>
    </w:rPr>
  </w:style>
  <w:style w:type="paragraph" w:styleId="IntenseQuote">
    <w:name w:val="Intense Quote"/>
    <w:basedOn w:val="Normal"/>
    <w:next w:val="Normal"/>
    <w:link w:val="IntenseQuoteChar"/>
    <w:uiPriority w:val="30"/>
    <w:qFormat/>
    <w:rsid w:val="00D4088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4088C"/>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D4088C"/>
    <w:rPr>
      <w:b/>
      <w:bCs/>
      <w:smallCaps/>
      <w:color w:val="2F5496" w:themeColor="accent1" w:themeShade="BF"/>
      <w:spacing w:val="5"/>
    </w:rPr>
  </w:style>
  <w:style w:type="character" w:styleId="Hyperlink">
    <w:name w:val="Hyperlink"/>
    <w:basedOn w:val="DefaultParagraphFont"/>
    <w:uiPriority w:val="99"/>
    <w:unhideWhenUsed/>
    <w:rsid w:val="00D4088C"/>
    <w:rPr>
      <w:color w:val="0563C1" w:themeColor="hyperlink"/>
      <w:u w:val="single"/>
    </w:rPr>
  </w:style>
  <w:style w:type="character" w:styleId="FollowedHyperlink">
    <w:name w:val="FollowedHyperlink"/>
    <w:basedOn w:val="DefaultParagraphFont"/>
    <w:uiPriority w:val="99"/>
    <w:semiHidden/>
    <w:unhideWhenUsed/>
    <w:rsid w:val="00D4088C"/>
    <w:rPr>
      <w:color w:val="954F72" w:themeColor="followedHyperlink"/>
      <w:u w:val="single"/>
    </w:rPr>
  </w:style>
  <w:style w:type="paragraph" w:styleId="Header">
    <w:uiPriority w:val="99"/>
    <w:name w:val="header"/>
    <w:basedOn w:val="Normal"/>
    <w:unhideWhenUsed/>
    <w:rsid w:val="6CFE66D5"/>
    <w:pPr>
      <w:tabs>
        <w:tab w:val="center" w:leader="none" w:pos="4680"/>
        <w:tab w:val="right" w:leader="none" w:pos="9360"/>
      </w:tabs>
      <w:spacing w:after="0"/>
    </w:pPr>
  </w:style>
  <w:style w:type="paragraph" w:styleId="Footer">
    <w:uiPriority w:val="99"/>
    <w:name w:val="footer"/>
    <w:basedOn w:val="Normal"/>
    <w:unhideWhenUsed/>
    <w:rsid w:val="6CFE66D5"/>
    <w:pPr>
      <w:tabs>
        <w:tab w:val="center" w:leader="none" w:pos="4680"/>
        <w:tab w:val="right" w:leader="none" w:pos="9360"/>
      </w:tabs>
      <w:spacing w:after="0"/>
    </w:pPr>
  </w:style>
  <w:style w:type="paragraph" w:styleId="TOC1">
    <w:uiPriority w:val="39"/>
    <w:name w:val="toc 1"/>
    <w:basedOn w:val="Normal"/>
    <w:next w:val="Normal"/>
    <w:unhideWhenUsed/>
    <w:rsid w:val="6CFE66D5"/>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s://www.sonderhomecare.co.uk/?gad_source=1&amp;gad_campaignid=21920480090&amp;gbraid=0AAAAA-" TargetMode="External" Id="rId5" /><Relationship Type="http://schemas.openxmlformats.org/officeDocument/2006/relationships/hyperlink" Target="https://kar.kent.ac.uk/109563/1/The%20unit%20costs%20of%20health%20and%20social%20care%202024%20%28for%20publication%29_Amended%2012%20October%202025.pdf" TargetMode="External" Id="rId4" /><Relationship Type="http://schemas.openxmlformats.org/officeDocument/2006/relationships/image" Target="/media/image.png" Id="rId359919983" /><Relationship Type="http://schemas.openxmlformats.org/officeDocument/2006/relationships/header" Target="header.xml" Id="R6a143afca18b4cea" /><Relationship Type="http://schemas.openxmlformats.org/officeDocument/2006/relationships/footer" Target="footer.xml" Id="Rc9c954314ebd426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haroon traders</dc:creator>
  <keywords/>
  <dc:description/>
  <lastModifiedBy>Natasha Ferncombe (2512316)</lastModifiedBy>
  <revision>6</revision>
  <dcterms:created xsi:type="dcterms:W3CDTF">2026-02-18T14:54:00.0000000Z</dcterms:created>
  <dcterms:modified xsi:type="dcterms:W3CDTF">2026-02-22T19:29:26.1294707Z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bc38b171-4c82-4009-b0f0-d5cb5c1a7670</vt:lpwstr>
  </property>
</Properties>
</file>