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9713A" w14:textId="1B80C6B0" w:rsidR="00A75BAE" w:rsidRPr="00E205CA" w:rsidRDefault="00EA7575" w:rsidP="00EA7575">
      <w:pPr>
        <w:jc w:val="center"/>
        <w:rPr>
          <w:rFonts w:ascii="Arial" w:hAnsi="Arial" w:cs="Arial"/>
          <w:lang w:val="en-US"/>
        </w:rPr>
      </w:pPr>
      <w:r w:rsidRPr="00E205CA">
        <w:rPr>
          <w:rFonts w:ascii="Arial" w:hAnsi="Arial" w:cs="Arial"/>
          <w:lang w:val="en-US"/>
        </w:rPr>
        <w:t xml:space="preserve">Consumer Rights Act 2015 </w:t>
      </w:r>
    </w:p>
    <w:p w14:paraId="365300E4" w14:textId="2955F216" w:rsidR="00EA7575" w:rsidRPr="00E205CA" w:rsidRDefault="00EA7575" w:rsidP="00EA7575">
      <w:pPr>
        <w:jc w:val="center"/>
        <w:rPr>
          <w:rFonts w:ascii="Arial" w:hAnsi="Arial" w:cs="Arial"/>
          <w:lang w:val="en-US"/>
        </w:rPr>
      </w:pPr>
    </w:p>
    <w:p w14:paraId="70D94A7E" w14:textId="77777777" w:rsidR="000B3EB2" w:rsidRPr="00E205CA" w:rsidRDefault="000B3EB2" w:rsidP="000B3EB2">
      <w:pPr>
        <w:spacing w:line="360" w:lineRule="auto"/>
        <w:rPr>
          <w:rFonts w:ascii="Arial" w:hAnsi="Arial" w:cs="Arial"/>
          <w:sz w:val="22"/>
          <w:szCs w:val="22"/>
        </w:rPr>
      </w:pPr>
    </w:p>
    <w:p w14:paraId="75062C45" w14:textId="5EF82611" w:rsidR="000B3EB2" w:rsidRPr="00E205CA" w:rsidRDefault="000B3EB2" w:rsidP="000B3EB2">
      <w:pPr>
        <w:spacing w:line="360" w:lineRule="auto"/>
        <w:rPr>
          <w:rFonts w:ascii="Arial" w:hAnsi="Arial" w:cs="Arial"/>
          <w:sz w:val="22"/>
          <w:szCs w:val="22"/>
        </w:rPr>
      </w:pPr>
      <w:r w:rsidRPr="00E205CA">
        <w:rPr>
          <w:rFonts w:ascii="Arial" w:hAnsi="Arial" w:cs="Arial"/>
          <w:sz w:val="22"/>
          <w:szCs w:val="22"/>
        </w:rPr>
        <w:t xml:space="preserve">Consumer Rights Act (2015) ensures customers and businesses have the understanding and the confidence covering contracts for goods, products, services not fit for a purpose, digital content and the law relating to unfair terms in the consumer contracts. For over a generation, the CRA (2015) has been labelled as the biggest overhaul of consumer rights, which has been designed to improve and update the consumer law and its main provisions. </w:t>
      </w:r>
    </w:p>
    <w:p w14:paraId="08DD52F9" w14:textId="77777777" w:rsidR="000B3EB2" w:rsidRPr="00E205CA" w:rsidRDefault="000B3EB2" w:rsidP="000B3EB2">
      <w:pPr>
        <w:spacing w:line="360" w:lineRule="auto"/>
        <w:rPr>
          <w:rFonts w:ascii="Arial" w:hAnsi="Arial" w:cs="Arial"/>
          <w:sz w:val="22"/>
          <w:szCs w:val="22"/>
        </w:rPr>
      </w:pPr>
      <w:r w:rsidRPr="00E205CA">
        <w:rPr>
          <w:rFonts w:ascii="Arial" w:hAnsi="Arial" w:cs="Arial"/>
          <w:sz w:val="22"/>
          <w:szCs w:val="22"/>
        </w:rPr>
        <w:t>(MGN Ltd, 2015) explains that with the change of consumer rights act in force by the 1st of October 2015, the act is a part of the Governments reform of the UK consumer landscape to allow customers to understand and access their key rights including the right to clear and concise information before a customer buys the right to get what the customer is paying for, the rights to goods and digital content being fit for the purpose ad services performed with reasonable care and skills, and the right that faults in what the customer buy will be put right free of charge or a refund or a replacement provided (Department of Business and Innovation &amp; Skills and Boles, 2015) (Consumer Rights Act, 2015).</w:t>
      </w:r>
    </w:p>
    <w:p w14:paraId="2DC4D055" w14:textId="77777777" w:rsidR="000B3EB2" w:rsidRPr="00E205CA" w:rsidRDefault="000B3EB2" w:rsidP="000B3EB2">
      <w:pPr>
        <w:spacing w:line="360" w:lineRule="auto"/>
        <w:rPr>
          <w:rFonts w:ascii="Arial" w:hAnsi="Arial" w:cs="Arial"/>
          <w:sz w:val="22"/>
          <w:szCs w:val="22"/>
        </w:rPr>
      </w:pPr>
      <w:r w:rsidRPr="00E205CA">
        <w:rPr>
          <w:rFonts w:ascii="Arial" w:hAnsi="Arial" w:cs="Arial"/>
          <w:sz w:val="22"/>
          <w:szCs w:val="22"/>
        </w:rPr>
        <w:t xml:space="preserve">(Bray and Kerry, 2015) the review suggests the CRA (2015) in the state of the law prior to its implementation has been described as “fragmented” and “complex”, throughout the years through the introduction of primary and secondary legislation; Supply of Goods Act(Implied Terms) Act 1973, The Unfair Contract Terms Act 1977(UCTA), Sales of Goods Act 1979 and Unfair Contract Terms 1982 and through case law, such as the key landmark case of Donoghue v Stevenson [1932] and Stevenson v Rogers [1999]. </w:t>
      </w:r>
    </w:p>
    <w:p w14:paraId="7279175B" w14:textId="77777777" w:rsidR="000B3EB2" w:rsidRPr="00E205CA" w:rsidRDefault="000B3EB2" w:rsidP="000B3EB2">
      <w:pPr>
        <w:spacing w:line="360" w:lineRule="auto"/>
        <w:rPr>
          <w:rFonts w:ascii="Arial" w:hAnsi="Arial" w:cs="Arial"/>
          <w:sz w:val="22"/>
          <w:szCs w:val="22"/>
        </w:rPr>
      </w:pPr>
    </w:p>
    <w:p w14:paraId="27CB183F" w14:textId="38150B1D" w:rsidR="00D16EDD" w:rsidRPr="00D16EDD" w:rsidRDefault="000B3EB2" w:rsidP="00D16EDD">
      <w:pPr>
        <w:spacing w:line="360" w:lineRule="auto"/>
        <w:rPr>
          <w:rFonts w:ascii="Arial" w:eastAsiaTheme="minorEastAsia" w:hAnsi="Arial" w:cs="Arial"/>
          <w:sz w:val="22"/>
          <w:szCs w:val="22"/>
        </w:rPr>
      </w:pPr>
      <w:r w:rsidRPr="00E205CA">
        <w:rPr>
          <w:rFonts w:ascii="Arial" w:hAnsi="Arial" w:cs="Arial"/>
          <w:sz w:val="22"/>
          <w:szCs w:val="22"/>
        </w:rPr>
        <w:t xml:space="preserve">The Consumer Rights Act (2015) follows several key aims, with a primary aim to increase and achieve “a simple coherent framework of consumer legislation by consolidating and simplifying existing law” (Law Commission and Scottish Law Commission, 2015). The act also extended to modernise the law regarding developments in the digital area with certain provisions such as specifying the consumer's cancellation rights for relevant contracts (The Consumer Contract, 2013). Furthermore, the act applies to all contracts between a trader and a consumer. (Consumer Rights Act 2015 s 2(2), and s 2(3)) a trader is defined as “a person acting for purposes relating to that person's trade, business, craft or profession, whether acting personally or through another person acting in the trader's name or on the trader's behalf” and consumer as “an individual acting for purposes that are wholly or mainly outside that individual's trade, business, craft or profession”. </w:t>
      </w:r>
      <w:r w:rsidR="00D16EDD" w:rsidRPr="00E205CA">
        <w:rPr>
          <w:rFonts w:ascii="Arial" w:hAnsi="Arial" w:cs="Arial"/>
          <w:sz w:val="22"/>
          <w:szCs w:val="22"/>
        </w:rPr>
        <w:t>Additionally, the act allowed small to medium-sized enterprises to challenge anti</w:t>
      </w:r>
      <w:r w:rsidR="00B70DCC" w:rsidRPr="00E205CA">
        <w:rPr>
          <w:rFonts w:ascii="Arial" w:hAnsi="Arial" w:cs="Arial"/>
          <w:sz w:val="22"/>
          <w:szCs w:val="22"/>
        </w:rPr>
        <w:t>-</w:t>
      </w:r>
      <w:r w:rsidR="00D16EDD" w:rsidRPr="00E205CA">
        <w:rPr>
          <w:rFonts w:ascii="Arial" w:hAnsi="Arial" w:cs="Arial"/>
          <w:sz w:val="22"/>
          <w:szCs w:val="22"/>
        </w:rPr>
        <w:t xml:space="preserve">competitiveness through the Competition Appeal </w:t>
      </w:r>
      <w:r w:rsidR="00B70DCC" w:rsidRPr="00E205CA">
        <w:rPr>
          <w:rFonts w:ascii="Arial" w:hAnsi="Arial" w:cs="Arial"/>
          <w:sz w:val="22"/>
          <w:szCs w:val="22"/>
        </w:rPr>
        <w:t>T</w:t>
      </w:r>
      <w:r w:rsidR="00D16EDD" w:rsidRPr="00E205CA">
        <w:rPr>
          <w:rFonts w:ascii="Arial" w:hAnsi="Arial" w:cs="Arial"/>
          <w:sz w:val="22"/>
          <w:szCs w:val="22"/>
        </w:rPr>
        <w:t>ribunal (CAT) and helped to merge power in relating to breaches of consumer law (</w:t>
      </w:r>
      <w:r w:rsidR="003B3E2A" w:rsidRPr="00E205CA">
        <w:rPr>
          <w:rFonts w:ascii="Arial" w:hAnsi="Arial" w:cs="Arial"/>
          <w:sz w:val="22"/>
          <w:szCs w:val="22"/>
        </w:rPr>
        <w:t xml:space="preserve">Department of Business and Innovation &amp; Skills </w:t>
      </w:r>
      <w:r w:rsidR="003B3E2A" w:rsidRPr="00E205CA">
        <w:rPr>
          <w:rFonts w:ascii="Arial" w:hAnsi="Arial" w:cs="Arial"/>
          <w:sz w:val="22"/>
          <w:szCs w:val="22"/>
        </w:rPr>
        <w:t xml:space="preserve">and Boles, </w:t>
      </w:r>
      <w:r w:rsidR="00D16EDD" w:rsidRPr="00E205CA">
        <w:rPr>
          <w:rFonts w:ascii="Arial" w:hAnsi="Arial" w:cs="Arial"/>
          <w:sz w:val="22"/>
          <w:szCs w:val="22"/>
        </w:rPr>
        <w:t xml:space="preserve">2015). </w:t>
      </w:r>
    </w:p>
    <w:p w14:paraId="33AB9F37" w14:textId="68732A6D" w:rsidR="00DE5045" w:rsidRPr="00E205CA" w:rsidRDefault="00DE5045" w:rsidP="00DE5045">
      <w:pPr>
        <w:shd w:val="clear" w:color="auto" w:fill="FFFFFF"/>
        <w:spacing w:line="360" w:lineRule="auto"/>
        <w:rPr>
          <w:rFonts w:ascii="Arial" w:hAnsi="Arial" w:cs="Arial"/>
          <w:sz w:val="22"/>
          <w:szCs w:val="22"/>
        </w:rPr>
      </w:pPr>
      <w:r w:rsidRPr="00E205CA">
        <w:rPr>
          <w:rFonts w:ascii="Arial" w:hAnsi="Arial" w:cs="Arial"/>
          <w:sz w:val="22"/>
          <w:szCs w:val="22"/>
        </w:rPr>
        <w:lastRenderedPageBreak/>
        <w:t xml:space="preserve">The CRA (2015) is split into three distinctive parts, part 1 applies and clarifies the standards consumers can expect from a trader when purchasing goods, services and digital content or services where there is an agreement whether the contract is oral or written or implied from the party’s conduct (CRA 2015, Part 1). Its previous legislation (Sale of Goods Act, 1979 and Supply of Goods Act, 1982) has not been repealed and applies to contracts for the sale of goods and the supply of services leaving the consumer aspect. The various legislations provided required to be met within specific standards such as satisfactory quality (SGA, 1979), match description (The Supply of Goods (Implied Terms) Act, 1973) and be fit for their purpose (SGA, 1979). With the Supply of Goods (Implied Terms) Act, 1973 </w:t>
      </w:r>
      <w:proofErr w:type="gramStart"/>
      <w:r w:rsidRPr="00E205CA">
        <w:rPr>
          <w:rFonts w:ascii="Arial" w:hAnsi="Arial" w:cs="Arial"/>
          <w:sz w:val="22"/>
          <w:szCs w:val="22"/>
        </w:rPr>
        <w:t>still remaining</w:t>
      </w:r>
      <w:proofErr w:type="gramEnd"/>
      <w:r w:rsidRPr="00E205CA">
        <w:rPr>
          <w:rFonts w:ascii="Arial" w:hAnsi="Arial" w:cs="Arial"/>
          <w:sz w:val="22"/>
          <w:szCs w:val="22"/>
        </w:rPr>
        <w:t xml:space="preserve"> as the basis for law in relation to the sale of goods, the terms have caused enormous confusion among consumers resulting in a great deal of cases such as the Harlington &amp; Leinster v Christopher Hull Fine Art [1991] case. </w:t>
      </w:r>
    </w:p>
    <w:p w14:paraId="252F7556" w14:textId="77777777" w:rsidR="00DE5045" w:rsidRPr="00E205CA" w:rsidRDefault="00DE5045" w:rsidP="00DE5045">
      <w:pPr>
        <w:shd w:val="clear" w:color="auto" w:fill="FFFFFF"/>
        <w:spacing w:line="360" w:lineRule="auto"/>
        <w:rPr>
          <w:rFonts w:ascii="Arial" w:hAnsi="Arial" w:cs="Arial"/>
          <w:sz w:val="22"/>
          <w:szCs w:val="22"/>
        </w:rPr>
      </w:pPr>
    </w:p>
    <w:p w14:paraId="5A07D63F" w14:textId="77777777" w:rsidR="00DE5045" w:rsidRPr="00E205CA" w:rsidRDefault="00DE5045" w:rsidP="00DE5045">
      <w:pPr>
        <w:shd w:val="clear" w:color="auto" w:fill="FFFFFF"/>
        <w:spacing w:line="360" w:lineRule="auto"/>
        <w:rPr>
          <w:rFonts w:ascii="Arial" w:hAnsi="Arial" w:cs="Arial"/>
          <w:sz w:val="22"/>
          <w:szCs w:val="22"/>
        </w:rPr>
      </w:pPr>
      <w:r w:rsidRPr="00E205CA">
        <w:rPr>
          <w:rFonts w:ascii="Arial" w:hAnsi="Arial" w:cs="Arial"/>
          <w:sz w:val="22"/>
          <w:szCs w:val="22"/>
        </w:rPr>
        <w:t xml:space="preserve">Part 1 contains five chapters that solely apply to goods, digital content, services and general and supplementary provisions. However, in chapter 3, digital content introduces a new consumer right and remedies in improvement to digital content as the primary legislations; Sale of Goods Act, 1979 and Supply of Goods Act, 1982 have lacked. </w:t>
      </w:r>
    </w:p>
    <w:p w14:paraId="626DC38E" w14:textId="065ACF80" w:rsidR="00DE5045" w:rsidRPr="00E205CA" w:rsidRDefault="00DE5045" w:rsidP="00DE5045">
      <w:pPr>
        <w:shd w:val="clear" w:color="auto" w:fill="FFFFFF"/>
        <w:spacing w:line="360" w:lineRule="auto"/>
        <w:rPr>
          <w:rFonts w:ascii="Arial" w:hAnsi="Arial" w:cs="Arial"/>
          <w:sz w:val="22"/>
          <w:szCs w:val="22"/>
        </w:rPr>
      </w:pPr>
      <w:r w:rsidRPr="00E205CA">
        <w:rPr>
          <w:rFonts w:ascii="Arial" w:hAnsi="Arial" w:cs="Arial"/>
          <w:sz w:val="22"/>
          <w:szCs w:val="22"/>
        </w:rPr>
        <w:t>By introducing a quality right concerning consumers, the historical yet traditional categories of goods (Harker</w:t>
      </w:r>
      <w:r w:rsidR="007E08A8" w:rsidRPr="00E205CA">
        <w:rPr>
          <w:rFonts w:ascii="Arial" w:hAnsi="Arial" w:cs="Arial"/>
          <w:i/>
          <w:iCs/>
          <w:sz w:val="22"/>
          <w:szCs w:val="22"/>
        </w:rPr>
        <w:t xml:space="preserve"> et al</w:t>
      </w:r>
      <w:r w:rsidR="007E08A8" w:rsidRPr="00E205CA">
        <w:rPr>
          <w:rFonts w:ascii="Arial" w:hAnsi="Arial" w:cs="Arial"/>
          <w:sz w:val="22"/>
          <w:szCs w:val="22"/>
        </w:rPr>
        <w:t>,</w:t>
      </w:r>
      <w:r w:rsidRPr="00E205CA">
        <w:rPr>
          <w:rFonts w:ascii="Arial" w:hAnsi="Arial" w:cs="Arial"/>
          <w:sz w:val="22"/>
          <w:szCs w:val="22"/>
        </w:rPr>
        <w:t xml:space="preserve"> 2008) (digital content usually licensed nor not sold) or services (where a mere requirement for digital content to be provided with reasonable skill and care does not protect consumers in the event of faulty digital products) has ushered the consumer law into a digital era by allowing consumers to require the trader to replace or repair the item within a given time and have the right to refund or a price reduction. However, (the Department of Business and Innovation &amp; Skills and Boles, 2015) states that consumers do not have an express right to reject digital content as the product itself cannot be returned in a meaningful sense. Chapter 4 clarified terms implied to contracts that are in relation to the supply or services to consumers, with significant providing information by or on behalf of the trader. (O’Brian,2015) supports that it allows services to be carried with reasonable time and price all under the form of statutory implied terms.</w:t>
      </w:r>
    </w:p>
    <w:p w14:paraId="0A0A54F6" w14:textId="77777777" w:rsidR="00BF7A0F" w:rsidRPr="00E205CA" w:rsidRDefault="00BF7A0F" w:rsidP="00DE5045">
      <w:pPr>
        <w:shd w:val="clear" w:color="auto" w:fill="FFFFFF"/>
        <w:spacing w:line="360" w:lineRule="auto"/>
        <w:rPr>
          <w:rFonts w:ascii="Arial" w:hAnsi="Arial" w:cs="Arial"/>
          <w:sz w:val="27"/>
          <w:szCs w:val="27"/>
        </w:rPr>
      </w:pPr>
    </w:p>
    <w:p w14:paraId="496E4454" w14:textId="77777777" w:rsidR="00BF7A0F" w:rsidRPr="00E205CA" w:rsidRDefault="00BF7A0F" w:rsidP="00BF7A0F">
      <w:pPr>
        <w:spacing w:line="360" w:lineRule="auto"/>
        <w:rPr>
          <w:rFonts w:ascii="Arial" w:hAnsi="Arial" w:cs="Arial"/>
          <w:sz w:val="22"/>
          <w:szCs w:val="22"/>
        </w:rPr>
      </w:pPr>
      <w:r w:rsidRPr="00E205CA">
        <w:rPr>
          <w:rFonts w:ascii="Arial" w:hAnsi="Arial" w:cs="Arial"/>
          <w:sz w:val="22"/>
          <w:szCs w:val="22"/>
        </w:rPr>
        <w:t xml:space="preserve">Part 2 of the Consumer rights Act (2015) covers unfair contract terms and provides a platform surrounding the terms (O’Brian, 2015). Previous legislations that have protected against unfair terms in consumer contracts were controlled by several legislations (Egan and Lockett, 1995) however, specifically the (Unfair Terms Act, 1977 and Unfair Terms in Consumer Contract Regulations, 1999) created a rather confusing term for customers. Although the UCAT, 1977 applies only to businesses and does not apply to consumer </w:t>
      </w:r>
      <w:r w:rsidRPr="00E205CA">
        <w:rPr>
          <w:rFonts w:ascii="Arial" w:hAnsi="Arial" w:cs="Arial"/>
          <w:sz w:val="22"/>
          <w:szCs w:val="22"/>
        </w:rPr>
        <w:lastRenderedPageBreak/>
        <w:t>contracts or consumer notices, the CRA, 2015 repeals and replaces the Unfair Terms in Consumer Contracts Regulations and replaces the Unfair Contract Terms Act in relation to consumer contracts.</w:t>
      </w:r>
    </w:p>
    <w:p w14:paraId="057216DC" w14:textId="77777777" w:rsidR="00BF7A0F" w:rsidRPr="00E205CA" w:rsidRDefault="00BF7A0F" w:rsidP="00BF7A0F">
      <w:pPr>
        <w:spacing w:line="360" w:lineRule="auto"/>
        <w:rPr>
          <w:rFonts w:ascii="Arial" w:hAnsi="Arial" w:cs="Arial"/>
          <w:sz w:val="22"/>
          <w:szCs w:val="22"/>
        </w:rPr>
      </w:pPr>
    </w:p>
    <w:p w14:paraId="264020AF" w14:textId="496A1345" w:rsidR="00BF7A0F" w:rsidRPr="00E205CA" w:rsidRDefault="00BF7A0F" w:rsidP="00BF7A0F">
      <w:pPr>
        <w:spacing w:line="360" w:lineRule="auto"/>
        <w:rPr>
          <w:rFonts w:ascii="Arial" w:hAnsi="Arial" w:cs="Arial"/>
          <w:sz w:val="22"/>
          <w:szCs w:val="22"/>
        </w:rPr>
      </w:pPr>
      <w:r w:rsidRPr="00E205CA">
        <w:rPr>
          <w:rFonts w:ascii="Arial" w:hAnsi="Arial" w:cs="Arial"/>
          <w:sz w:val="22"/>
          <w:szCs w:val="22"/>
        </w:rPr>
        <w:t>An overlapping term (CRA, 2015, 62(4)) defines a term is unfair if “contrary to the requirements of good faith, it causes a significant imbalance in the party's rights and obligations to the detriment of the consumer” similarly to the Unfair Contract Terms Act.</w:t>
      </w:r>
    </w:p>
    <w:p w14:paraId="047302AF" w14:textId="7A20904A" w:rsidR="00BF7A0F" w:rsidRPr="00E205CA" w:rsidRDefault="00BF7A0F" w:rsidP="00BF7A0F">
      <w:pPr>
        <w:spacing w:line="360" w:lineRule="auto"/>
        <w:rPr>
          <w:rFonts w:ascii="Arial" w:hAnsi="Arial" w:cs="Arial"/>
          <w:sz w:val="22"/>
          <w:szCs w:val="22"/>
        </w:rPr>
      </w:pPr>
      <w:r w:rsidRPr="00E205CA">
        <w:rPr>
          <w:rFonts w:ascii="Arial" w:hAnsi="Arial" w:cs="Arial"/>
          <w:sz w:val="22"/>
          <w:szCs w:val="22"/>
        </w:rPr>
        <w:t xml:space="preserve">However, there have been major changes to increase clear yet concise prominence and transparency largely showcasing the term to be “plain and intelligible language” (CRA, 2015, 64(3) adding major importance to the term, required to be “brought to the consumer's attention in such a way that an average customer would be aware of the term” (CRA, 2015, 64(4). </w:t>
      </w:r>
      <w:proofErr w:type="gramStart"/>
      <w:r w:rsidRPr="00E205CA">
        <w:rPr>
          <w:rFonts w:ascii="Arial" w:hAnsi="Arial" w:cs="Arial"/>
          <w:sz w:val="22"/>
          <w:szCs w:val="22"/>
        </w:rPr>
        <w:t>In particular, by</w:t>
      </w:r>
      <w:proofErr w:type="gramEnd"/>
      <w:r w:rsidRPr="00E205CA">
        <w:rPr>
          <w:rFonts w:ascii="Arial" w:hAnsi="Arial" w:cs="Arial"/>
          <w:sz w:val="22"/>
          <w:szCs w:val="22"/>
        </w:rPr>
        <w:t xml:space="preserve"> “removing anomalies and overlapping provisions in relation to consumer contracts” (Department of Business and Innovation &amp; Skills and Boles, 2015) the provisions apply a fairness test to both consumer contracts and notices, by making a clear circumstance when the price or the subject of the existing contract is excluded from fairness considerations. </w:t>
      </w:r>
      <w:proofErr w:type="gramStart"/>
      <w:r w:rsidRPr="00E205CA">
        <w:rPr>
          <w:rFonts w:ascii="Arial" w:hAnsi="Arial" w:cs="Arial"/>
          <w:sz w:val="22"/>
          <w:szCs w:val="22"/>
        </w:rPr>
        <w:t>In order for</w:t>
      </w:r>
      <w:proofErr w:type="gramEnd"/>
      <w:r w:rsidRPr="00E205CA">
        <w:rPr>
          <w:rFonts w:ascii="Arial" w:hAnsi="Arial" w:cs="Arial"/>
          <w:sz w:val="22"/>
          <w:szCs w:val="22"/>
        </w:rPr>
        <w:t xml:space="preserve"> terms to be as transparent and prominent need to avoid being considered unfair (CRA, 2015, c 15(62), 15(68)). </w:t>
      </w:r>
    </w:p>
    <w:p w14:paraId="4B3AAF71" w14:textId="77777777" w:rsidR="00BF7A0F" w:rsidRPr="00E205CA" w:rsidRDefault="00BF7A0F" w:rsidP="00BF7A0F">
      <w:pPr>
        <w:spacing w:line="360" w:lineRule="auto"/>
        <w:rPr>
          <w:rFonts w:ascii="Arial" w:hAnsi="Arial" w:cs="Arial"/>
          <w:sz w:val="22"/>
          <w:szCs w:val="22"/>
        </w:rPr>
      </w:pPr>
      <w:r w:rsidRPr="00E205CA">
        <w:rPr>
          <w:rFonts w:ascii="Arial" w:hAnsi="Arial" w:cs="Arial"/>
          <w:sz w:val="22"/>
          <w:szCs w:val="22"/>
        </w:rPr>
        <w:t xml:space="preserve">Although the recent legislation has increased simplicity in wording along with great further protection to consumers, (French, 2021) argues that with given simplicity in terms and plain and intelligible language, it wouldn’t necessarily result from the consumer being aware of it. </w:t>
      </w:r>
    </w:p>
    <w:p w14:paraId="256960E9" w14:textId="77777777" w:rsidR="00BF7A0F" w:rsidRPr="00E205CA" w:rsidRDefault="00BF7A0F" w:rsidP="00BF7A0F">
      <w:pPr>
        <w:spacing w:line="360" w:lineRule="auto"/>
        <w:rPr>
          <w:rFonts w:ascii="Arial" w:hAnsi="Arial" w:cs="Arial"/>
          <w:sz w:val="22"/>
          <w:szCs w:val="22"/>
        </w:rPr>
      </w:pPr>
    </w:p>
    <w:p w14:paraId="5DEEBD90" w14:textId="2B1CF9D1" w:rsidR="00BF7A0F" w:rsidRPr="00E205CA" w:rsidRDefault="00BF7A0F" w:rsidP="00BF7A0F">
      <w:pPr>
        <w:spacing w:line="360" w:lineRule="auto"/>
        <w:rPr>
          <w:rFonts w:ascii="Arial" w:hAnsi="Arial" w:cs="Arial"/>
          <w:sz w:val="22"/>
          <w:szCs w:val="22"/>
        </w:rPr>
      </w:pPr>
      <w:r w:rsidRPr="00E205CA">
        <w:rPr>
          <w:rFonts w:ascii="Arial" w:hAnsi="Arial" w:cs="Arial"/>
          <w:sz w:val="22"/>
          <w:szCs w:val="22"/>
        </w:rPr>
        <w:t>Various cases such as the Philips Products v Hyland [1987], or Nemzeti Fogyasztóvédelmi Hatóság v Invitel Távközlési Zrt [2012] and RWE Vertrieb AG v Verbraucherzentrale Nordrhein- Westfalen [2013] are the main cases which resulted in fairness to understanding transparent terms of “plain and Intelligible in context.</w:t>
      </w:r>
    </w:p>
    <w:p w14:paraId="2AEB24A4" w14:textId="0ADB7483" w:rsidR="00BF7A0F" w:rsidRPr="00E205CA" w:rsidRDefault="00BF7A0F" w:rsidP="00BF7A0F">
      <w:pPr>
        <w:spacing w:line="360" w:lineRule="auto"/>
        <w:rPr>
          <w:rFonts w:ascii="Arial" w:hAnsi="Arial" w:cs="Arial"/>
          <w:sz w:val="22"/>
          <w:szCs w:val="22"/>
        </w:rPr>
      </w:pPr>
      <w:r w:rsidRPr="00E205CA">
        <w:rPr>
          <w:rFonts w:ascii="Arial" w:hAnsi="Arial" w:cs="Arial"/>
          <w:sz w:val="22"/>
          <w:szCs w:val="22"/>
        </w:rPr>
        <w:t xml:space="preserve">The CRA 2015 has provided a list of terms which regards as unfair </w:t>
      </w:r>
      <w:proofErr w:type="gramStart"/>
      <w:r w:rsidRPr="00E205CA">
        <w:rPr>
          <w:rFonts w:ascii="Arial" w:hAnsi="Arial" w:cs="Arial"/>
          <w:sz w:val="22"/>
          <w:szCs w:val="22"/>
        </w:rPr>
        <w:t>similar to</w:t>
      </w:r>
      <w:proofErr w:type="gramEnd"/>
      <w:r w:rsidRPr="00E205CA">
        <w:rPr>
          <w:rFonts w:ascii="Arial" w:hAnsi="Arial" w:cs="Arial"/>
          <w:sz w:val="22"/>
          <w:szCs w:val="22"/>
        </w:rPr>
        <w:t xml:space="preserve"> that previous legislation UTCCR, the ‘grey-list’ (CRA, 2015, c 15(2). The grey list contains a list of terms within the consumer rights that may be considered unfair terms. However, a term can be regarded as unfair even without being included in the grey list and a term included in the list could be potentially regarded as fair, giving the consumer an indication of the unfair term without the jurisdiction. The CRA 2015 has added three new terms to the so-called grey list, however, the following wasn’t seen as a major change, but more a drastic change when the whole list remained unchanged from the grey list of the UTCCR (Patient, 2015).</w:t>
      </w:r>
    </w:p>
    <w:p w14:paraId="08A52C37" w14:textId="296AA081" w:rsidR="004F5AA0" w:rsidRPr="00E205CA" w:rsidRDefault="004F5AA0" w:rsidP="004F5AA0">
      <w:pPr>
        <w:spacing w:line="360" w:lineRule="auto"/>
        <w:rPr>
          <w:rFonts w:ascii="Arial" w:hAnsi="Arial" w:cs="Arial"/>
          <w:sz w:val="22"/>
          <w:szCs w:val="22"/>
        </w:rPr>
      </w:pPr>
      <w:r w:rsidRPr="00E205CA">
        <w:rPr>
          <w:rFonts w:ascii="Arial" w:hAnsi="Arial" w:cs="Arial"/>
          <w:sz w:val="22"/>
          <w:szCs w:val="22"/>
        </w:rPr>
        <w:t xml:space="preserve">The Consumer Rights Act </w:t>
      </w:r>
      <w:proofErr w:type="gramStart"/>
      <w:r w:rsidRPr="00E205CA">
        <w:rPr>
          <w:rFonts w:ascii="Arial" w:hAnsi="Arial" w:cs="Arial"/>
          <w:sz w:val="22"/>
          <w:szCs w:val="22"/>
        </w:rPr>
        <w:t>was considered to be</w:t>
      </w:r>
      <w:proofErr w:type="gramEnd"/>
      <w:r w:rsidRPr="00E205CA">
        <w:rPr>
          <w:rFonts w:ascii="Arial" w:hAnsi="Arial" w:cs="Arial"/>
          <w:sz w:val="22"/>
          <w:szCs w:val="22"/>
        </w:rPr>
        <w:t xml:space="preserve"> modern yet ambitious legislation, aiming to cover and solve a number of issues. Many of which have been of the utmost importance to digital content addressing law on digital media. (</w:t>
      </w:r>
      <w:proofErr w:type="spellStart"/>
      <w:r w:rsidRPr="00E205CA">
        <w:rPr>
          <w:rFonts w:ascii="Arial" w:hAnsi="Arial" w:cs="Arial"/>
          <w:sz w:val="22"/>
          <w:szCs w:val="22"/>
        </w:rPr>
        <w:t>Giliker</w:t>
      </w:r>
      <w:proofErr w:type="spellEnd"/>
      <w:r w:rsidRPr="00E205CA">
        <w:rPr>
          <w:rFonts w:ascii="Arial" w:hAnsi="Arial" w:cs="Arial"/>
          <w:sz w:val="22"/>
          <w:szCs w:val="22"/>
        </w:rPr>
        <w:t xml:space="preserve">, 2017) supports that the legislation is the first-ever piece to fully adjust the ongoing confusion between simplicity and digital media </w:t>
      </w:r>
      <w:proofErr w:type="gramStart"/>
      <w:r w:rsidRPr="00E205CA">
        <w:rPr>
          <w:rFonts w:ascii="Arial" w:hAnsi="Arial" w:cs="Arial"/>
          <w:sz w:val="22"/>
          <w:szCs w:val="22"/>
        </w:rPr>
        <w:lastRenderedPageBreak/>
        <w:t>in regards to</w:t>
      </w:r>
      <w:proofErr w:type="gramEnd"/>
      <w:r w:rsidRPr="00E205CA">
        <w:rPr>
          <w:rFonts w:ascii="Arial" w:hAnsi="Arial" w:cs="Arial"/>
          <w:sz w:val="22"/>
          <w:szCs w:val="22"/>
        </w:rPr>
        <w:t xml:space="preserve"> unfairness providing vital clarification to consumers and traders, but there lacks a distinctive uncertainty following the benefits of consumers and traders long in the future. (Conway, 2021) research suggests with the simple framework of consumer rights to increase consumer confidence and enforcement easier, the Department for Business, Innovation and Skills (now replaced by the Department for Business, Energy and Industrial Strategy (BEIS)) said an average UK consumer has found difficulty in understanding the legal and obligations.</w:t>
      </w:r>
      <w:r w:rsidR="000B7203" w:rsidRPr="00E205CA">
        <w:rPr>
          <w:rFonts w:ascii="Arial" w:hAnsi="Arial" w:cs="Arial"/>
          <w:sz w:val="22"/>
          <w:szCs w:val="22"/>
        </w:rPr>
        <w:t xml:space="preserve"> </w:t>
      </w:r>
      <w:r w:rsidR="00BC47D3" w:rsidRPr="00E205CA">
        <w:rPr>
          <w:rFonts w:ascii="Arial" w:hAnsi="Arial" w:cs="Arial"/>
          <w:sz w:val="22"/>
          <w:szCs w:val="22"/>
        </w:rPr>
        <w:t xml:space="preserve">While the Consumer Rights Act has certainly created various implementations, its failure to create a single piece of legislation may have left many consumers in the corner, with intended simple and effective wordings this can be easily navigated by consumers, however, leaving its full comprehension available only to those of deep knowledge and understanding of the law. </w:t>
      </w:r>
      <w:r w:rsidRPr="00E205CA">
        <w:rPr>
          <w:rFonts w:ascii="Arial" w:hAnsi="Arial" w:cs="Arial"/>
          <w:sz w:val="22"/>
          <w:szCs w:val="22"/>
        </w:rPr>
        <w:t xml:space="preserve"> According to (</w:t>
      </w:r>
      <w:proofErr w:type="spellStart"/>
      <w:r w:rsidRPr="00E205CA">
        <w:rPr>
          <w:rFonts w:ascii="Arial" w:hAnsi="Arial" w:cs="Arial"/>
          <w:sz w:val="22"/>
          <w:szCs w:val="22"/>
        </w:rPr>
        <w:t>D’Aspremont</w:t>
      </w:r>
      <w:proofErr w:type="spellEnd"/>
      <w:r w:rsidRPr="00E205CA">
        <w:rPr>
          <w:rFonts w:ascii="Arial" w:hAnsi="Arial" w:cs="Arial"/>
          <w:sz w:val="22"/>
          <w:szCs w:val="22"/>
        </w:rPr>
        <w:t xml:space="preserve">, (2012) suggests using simple wording had 30% effectiveness </w:t>
      </w:r>
      <w:proofErr w:type="gramStart"/>
      <w:r w:rsidRPr="00E205CA">
        <w:rPr>
          <w:rFonts w:ascii="Arial" w:hAnsi="Arial" w:cs="Arial"/>
          <w:sz w:val="22"/>
          <w:szCs w:val="22"/>
        </w:rPr>
        <w:t>in regards to</w:t>
      </w:r>
      <w:proofErr w:type="gramEnd"/>
      <w:r w:rsidRPr="00E205CA">
        <w:rPr>
          <w:rFonts w:ascii="Arial" w:hAnsi="Arial" w:cs="Arial"/>
          <w:sz w:val="22"/>
          <w:szCs w:val="22"/>
        </w:rPr>
        <w:t xml:space="preserve"> understanding and further allowing consumers to tackle information. However, within the 21st century many have been in contact with the internet, whether by social media or just search engines (</w:t>
      </w:r>
      <w:proofErr w:type="spellStart"/>
      <w:r w:rsidRPr="00E205CA">
        <w:rPr>
          <w:rFonts w:ascii="Arial" w:hAnsi="Arial" w:cs="Arial"/>
          <w:sz w:val="22"/>
          <w:szCs w:val="22"/>
        </w:rPr>
        <w:t>Mcclain</w:t>
      </w:r>
      <w:proofErr w:type="spellEnd"/>
      <w:r w:rsidRPr="00E205CA">
        <w:rPr>
          <w:rFonts w:ascii="Arial" w:hAnsi="Arial" w:cs="Arial"/>
          <w:sz w:val="22"/>
          <w:szCs w:val="22"/>
        </w:rPr>
        <w:t xml:space="preserve"> </w:t>
      </w:r>
      <w:r w:rsidRPr="00E205CA">
        <w:rPr>
          <w:rFonts w:ascii="Arial" w:hAnsi="Arial" w:cs="Arial"/>
          <w:i/>
          <w:iCs/>
          <w:sz w:val="22"/>
          <w:szCs w:val="22"/>
        </w:rPr>
        <w:t>et al,</w:t>
      </w:r>
      <w:r w:rsidRPr="00E205CA">
        <w:rPr>
          <w:rFonts w:ascii="Arial" w:hAnsi="Arial" w:cs="Arial"/>
          <w:sz w:val="22"/>
          <w:szCs w:val="22"/>
        </w:rPr>
        <w:t xml:space="preserve"> 2021), with easy access to any form of law provided on the internet, many around the world was created the access to read and use specifically in relation the costumers need. </w:t>
      </w:r>
    </w:p>
    <w:p w14:paraId="439DEEE1" w14:textId="77777777" w:rsidR="004F5AA0" w:rsidRPr="00E205CA" w:rsidRDefault="004F5AA0" w:rsidP="004F5AA0">
      <w:pPr>
        <w:spacing w:line="360" w:lineRule="auto"/>
        <w:rPr>
          <w:rFonts w:ascii="Arial" w:hAnsi="Arial" w:cs="Arial"/>
          <w:sz w:val="22"/>
          <w:szCs w:val="22"/>
        </w:rPr>
      </w:pPr>
      <w:r w:rsidRPr="00E205CA">
        <w:rPr>
          <w:rFonts w:ascii="Arial" w:hAnsi="Arial" w:cs="Arial"/>
          <w:sz w:val="22"/>
          <w:szCs w:val="22"/>
        </w:rPr>
        <w:t>Secondly, man-made laws such as those of rules, regulation, legislation etc have been around Middle Ages to the present day (Google Arts &amp; Culture, 2022) and within the probity that the following will be around even for a while. That being said, (</w:t>
      </w:r>
      <w:proofErr w:type="spellStart"/>
      <w:r w:rsidRPr="00E205CA">
        <w:rPr>
          <w:rFonts w:ascii="Arial" w:hAnsi="Arial" w:cs="Arial"/>
          <w:sz w:val="22"/>
          <w:szCs w:val="22"/>
        </w:rPr>
        <w:t>Olatokun</w:t>
      </w:r>
      <w:proofErr w:type="spellEnd"/>
      <w:r w:rsidRPr="00E205CA">
        <w:rPr>
          <w:rFonts w:ascii="Arial" w:hAnsi="Arial" w:cs="Arial"/>
          <w:sz w:val="22"/>
          <w:szCs w:val="22"/>
        </w:rPr>
        <w:t>, 2019) research suggests, that the rule of law and its surrounding should be taught or be specifically to be tailored to education.</w:t>
      </w:r>
    </w:p>
    <w:p w14:paraId="1CE210B9" w14:textId="555F850E" w:rsidR="004F5AA0" w:rsidRPr="00E205CA" w:rsidRDefault="00BC47D3" w:rsidP="004F5AA0">
      <w:pPr>
        <w:spacing w:line="360" w:lineRule="auto"/>
        <w:rPr>
          <w:rFonts w:ascii="Arial" w:hAnsi="Arial" w:cs="Arial"/>
          <w:sz w:val="22"/>
          <w:szCs w:val="22"/>
        </w:rPr>
      </w:pPr>
      <w:r w:rsidRPr="00E205CA">
        <w:rPr>
          <w:rFonts w:ascii="Arial" w:hAnsi="Arial" w:cs="Arial"/>
          <w:sz w:val="22"/>
          <w:szCs w:val="22"/>
        </w:rPr>
        <w:t>(</w:t>
      </w:r>
      <w:proofErr w:type="spellStart"/>
      <w:r w:rsidR="004F5AA0" w:rsidRPr="00E205CA">
        <w:rPr>
          <w:rFonts w:ascii="Arial" w:hAnsi="Arial" w:cs="Arial"/>
          <w:sz w:val="22"/>
          <w:szCs w:val="22"/>
        </w:rPr>
        <w:t>Broyde</w:t>
      </w:r>
      <w:proofErr w:type="spellEnd"/>
      <w:r w:rsidR="004F5AA0" w:rsidRPr="00E205CA">
        <w:rPr>
          <w:rFonts w:ascii="Arial" w:hAnsi="Arial" w:cs="Arial"/>
          <w:sz w:val="22"/>
          <w:szCs w:val="22"/>
        </w:rPr>
        <w:t xml:space="preserve"> and </w:t>
      </w:r>
      <w:proofErr w:type="spellStart"/>
      <w:r w:rsidR="004F5AA0" w:rsidRPr="00E205CA">
        <w:rPr>
          <w:rFonts w:ascii="Arial" w:hAnsi="Arial" w:cs="Arial"/>
          <w:sz w:val="22"/>
          <w:szCs w:val="22"/>
        </w:rPr>
        <w:t>Bedzow</w:t>
      </w:r>
      <w:proofErr w:type="spellEnd"/>
      <w:r w:rsidR="004F5AA0" w:rsidRPr="00E205CA">
        <w:rPr>
          <w:rFonts w:ascii="Arial" w:hAnsi="Arial" w:cs="Arial"/>
          <w:sz w:val="22"/>
          <w:szCs w:val="22"/>
        </w:rPr>
        <w:t xml:space="preserve">, 2019) also agree that by implementing the necessary tools and education towards law with respect to primary, secondary and high schools, students would gain academic and analytical skills by participating in real-life trials which would improve legal knowledge, skills for legal reasoning. When implementing the specifics, many frameworks and research should be taken in hand as future generations can play a vital difference in the future. </w:t>
      </w:r>
      <w:r w:rsidR="004F5AA0" w:rsidRPr="00E205CA">
        <w:rPr>
          <w:rFonts w:ascii="Arial" w:hAnsi="Arial" w:cs="Arial"/>
          <w:sz w:val="22"/>
          <w:szCs w:val="22"/>
        </w:rPr>
        <w:t xml:space="preserve">With the help of younger generations in respect to Consumer Rights Act 2015, there may be legal changes that could be easily </w:t>
      </w:r>
      <w:r w:rsidRPr="00E205CA">
        <w:rPr>
          <w:rFonts w:ascii="Arial" w:hAnsi="Arial" w:cs="Arial"/>
          <w:sz w:val="22"/>
          <w:szCs w:val="22"/>
        </w:rPr>
        <w:t xml:space="preserve">interpretate by various of surveys regarding a specific legislation at the time, by allowing the consumers and traders to benefit from any legislation and law without the lack of certain knowledge. </w:t>
      </w:r>
    </w:p>
    <w:p w14:paraId="27A83AA9" w14:textId="77777777" w:rsidR="004F5AA0" w:rsidRPr="00E205CA" w:rsidRDefault="004F5AA0" w:rsidP="004F5AA0">
      <w:pPr>
        <w:spacing w:line="360" w:lineRule="auto"/>
        <w:rPr>
          <w:rFonts w:ascii="Arial" w:hAnsi="Arial" w:cs="Arial"/>
          <w:sz w:val="22"/>
          <w:szCs w:val="22"/>
        </w:rPr>
      </w:pPr>
    </w:p>
    <w:p w14:paraId="7BDF3ABC" w14:textId="77777777" w:rsidR="004F5AA0" w:rsidRPr="00E205CA" w:rsidRDefault="004F5AA0" w:rsidP="004F5AA0">
      <w:pPr>
        <w:spacing w:line="360" w:lineRule="auto"/>
        <w:rPr>
          <w:rFonts w:ascii="Arial" w:hAnsi="Arial" w:cs="Arial"/>
          <w:sz w:val="22"/>
          <w:szCs w:val="22"/>
        </w:rPr>
      </w:pPr>
    </w:p>
    <w:p w14:paraId="3DDD3A3B" w14:textId="77777777" w:rsidR="004F5AA0" w:rsidRPr="00E205CA" w:rsidRDefault="004F5AA0" w:rsidP="004F5AA0">
      <w:pPr>
        <w:spacing w:line="360" w:lineRule="auto"/>
        <w:rPr>
          <w:rFonts w:ascii="Arial" w:hAnsi="Arial" w:cs="Arial"/>
          <w:sz w:val="22"/>
          <w:szCs w:val="22"/>
        </w:rPr>
      </w:pPr>
    </w:p>
    <w:p w14:paraId="1DCEE4E5" w14:textId="252FDF1D" w:rsidR="008E2A5A" w:rsidRPr="00E205CA" w:rsidRDefault="008E2A5A" w:rsidP="004F5AA0">
      <w:pPr>
        <w:spacing w:line="360" w:lineRule="auto"/>
        <w:rPr>
          <w:rStyle w:val="hgkelc"/>
          <w:rFonts w:ascii="Arial" w:eastAsiaTheme="minorEastAsia" w:hAnsi="Arial" w:cs="Arial"/>
          <w:sz w:val="22"/>
          <w:szCs w:val="22"/>
        </w:rPr>
      </w:pPr>
    </w:p>
    <w:p w14:paraId="388F1EAC" w14:textId="65987CBB" w:rsidR="008E2A5A" w:rsidRPr="00E205CA" w:rsidRDefault="008E2A5A" w:rsidP="00D44759">
      <w:pPr>
        <w:rPr>
          <w:rStyle w:val="hgkelc"/>
          <w:rFonts w:ascii="Arial" w:eastAsiaTheme="minorEastAsia" w:hAnsi="Arial" w:cs="Arial"/>
          <w:sz w:val="22"/>
          <w:szCs w:val="22"/>
        </w:rPr>
      </w:pPr>
    </w:p>
    <w:p w14:paraId="6F599944" w14:textId="2D857C13" w:rsidR="008E2A5A" w:rsidRPr="00E205CA" w:rsidRDefault="008E2A5A" w:rsidP="00D44759">
      <w:pPr>
        <w:rPr>
          <w:rStyle w:val="hgkelc"/>
          <w:rFonts w:ascii="Arial" w:eastAsiaTheme="minorEastAsia" w:hAnsi="Arial" w:cs="Arial"/>
          <w:sz w:val="22"/>
          <w:szCs w:val="22"/>
        </w:rPr>
      </w:pPr>
    </w:p>
    <w:p w14:paraId="35234267" w14:textId="24B72E21" w:rsidR="00D44759" w:rsidRPr="00E205CA" w:rsidRDefault="00D44759" w:rsidP="006C5028">
      <w:pPr>
        <w:shd w:val="clear" w:color="auto" w:fill="FFFFFF"/>
        <w:rPr>
          <w:rStyle w:val="hgkelc"/>
          <w:rFonts w:ascii="Arial" w:hAnsi="Arial" w:cs="Arial"/>
          <w:color w:val="000000" w:themeColor="text1"/>
          <w:sz w:val="22"/>
          <w:szCs w:val="22"/>
        </w:rPr>
      </w:pPr>
    </w:p>
    <w:p w14:paraId="2271711F" w14:textId="750D7086" w:rsidR="00D44759" w:rsidRPr="00E205CA" w:rsidRDefault="00D44759" w:rsidP="006C5028">
      <w:pPr>
        <w:shd w:val="clear" w:color="auto" w:fill="FFFFFF"/>
        <w:rPr>
          <w:rStyle w:val="hgkelc"/>
          <w:rFonts w:ascii="Arial" w:hAnsi="Arial" w:cs="Arial"/>
          <w:color w:val="000000" w:themeColor="text1"/>
          <w:sz w:val="22"/>
          <w:szCs w:val="22"/>
        </w:rPr>
      </w:pPr>
    </w:p>
    <w:p w14:paraId="28A5BD3C" w14:textId="258E88D2" w:rsidR="00D44759" w:rsidRPr="00E205CA" w:rsidRDefault="00BC47D3" w:rsidP="006C5028">
      <w:pPr>
        <w:shd w:val="clear" w:color="auto" w:fill="FFFFFF"/>
        <w:rPr>
          <w:rStyle w:val="hgkelc"/>
          <w:rFonts w:ascii="Arial" w:hAnsi="Arial" w:cs="Arial"/>
          <w:b/>
          <w:bCs/>
          <w:color w:val="000000" w:themeColor="text1"/>
        </w:rPr>
      </w:pPr>
      <w:r w:rsidRPr="00E205CA">
        <w:rPr>
          <w:rStyle w:val="hgkelc"/>
          <w:rFonts w:ascii="Arial" w:hAnsi="Arial" w:cs="Arial"/>
          <w:b/>
          <w:bCs/>
          <w:color w:val="000000" w:themeColor="text1"/>
        </w:rPr>
        <w:lastRenderedPageBreak/>
        <w:t>Bibliography</w:t>
      </w:r>
    </w:p>
    <w:p w14:paraId="6823B628" w14:textId="3D0FFC84" w:rsidR="00BC47D3" w:rsidRPr="00E205CA" w:rsidRDefault="00BC47D3" w:rsidP="006C5028">
      <w:pPr>
        <w:shd w:val="clear" w:color="auto" w:fill="FFFFFF"/>
        <w:rPr>
          <w:rStyle w:val="hgkelc"/>
          <w:rFonts w:ascii="Arial" w:hAnsi="Arial" w:cs="Arial"/>
          <w:b/>
          <w:bCs/>
          <w:color w:val="000000" w:themeColor="text1"/>
          <w:sz w:val="22"/>
          <w:szCs w:val="22"/>
        </w:rPr>
      </w:pPr>
    </w:p>
    <w:p w14:paraId="29572195" w14:textId="1723AFF9" w:rsidR="00BC47D3" w:rsidRPr="00E205CA" w:rsidRDefault="00BC47D3" w:rsidP="006C5028">
      <w:pPr>
        <w:shd w:val="clear" w:color="auto" w:fill="FFFFFF"/>
        <w:rPr>
          <w:rStyle w:val="hgkelc"/>
          <w:rFonts w:ascii="Arial" w:hAnsi="Arial" w:cs="Arial"/>
          <w:b/>
          <w:bCs/>
          <w:color w:val="000000" w:themeColor="text1"/>
          <w:sz w:val="22"/>
          <w:szCs w:val="22"/>
          <w:u w:val="single"/>
        </w:rPr>
      </w:pPr>
      <w:r w:rsidRPr="00E205CA">
        <w:rPr>
          <w:rStyle w:val="hgkelc"/>
          <w:rFonts w:ascii="Arial" w:hAnsi="Arial" w:cs="Arial"/>
          <w:b/>
          <w:bCs/>
          <w:color w:val="000000" w:themeColor="text1"/>
          <w:sz w:val="22"/>
          <w:szCs w:val="22"/>
          <w:u w:val="single"/>
        </w:rPr>
        <w:t>Primary sources</w:t>
      </w:r>
    </w:p>
    <w:p w14:paraId="4F2291C3" w14:textId="7C3EC96B" w:rsidR="00BC47D3" w:rsidRPr="00E205CA" w:rsidRDefault="00BC47D3" w:rsidP="006C5028">
      <w:pPr>
        <w:shd w:val="clear" w:color="auto" w:fill="FFFFFF"/>
        <w:rPr>
          <w:rStyle w:val="hgkelc"/>
          <w:rFonts w:ascii="Arial" w:hAnsi="Arial" w:cs="Arial"/>
          <w:b/>
          <w:bCs/>
          <w:color w:val="000000" w:themeColor="text1"/>
          <w:sz w:val="22"/>
          <w:szCs w:val="22"/>
        </w:rPr>
      </w:pPr>
    </w:p>
    <w:p w14:paraId="0FC1F713" w14:textId="3425D6FF" w:rsidR="00BC47D3" w:rsidRPr="00E205CA" w:rsidRDefault="00BC47D3" w:rsidP="006C5028">
      <w:pPr>
        <w:shd w:val="clear" w:color="auto" w:fill="FFFFFF"/>
        <w:rPr>
          <w:rStyle w:val="hgkelc"/>
          <w:rFonts w:ascii="Arial" w:hAnsi="Arial" w:cs="Arial"/>
          <w:b/>
          <w:bCs/>
          <w:color w:val="000000" w:themeColor="text1"/>
          <w:sz w:val="22"/>
          <w:szCs w:val="22"/>
        </w:rPr>
      </w:pPr>
      <w:r w:rsidRPr="00E205CA">
        <w:rPr>
          <w:rStyle w:val="hgkelc"/>
          <w:rFonts w:ascii="Arial" w:hAnsi="Arial" w:cs="Arial"/>
          <w:b/>
          <w:bCs/>
          <w:color w:val="000000" w:themeColor="text1"/>
          <w:sz w:val="22"/>
          <w:szCs w:val="22"/>
        </w:rPr>
        <w:t>Legislation</w:t>
      </w:r>
    </w:p>
    <w:p w14:paraId="2AB5B706" w14:textId="183B3879" w:rsidR="00BC47D3" w:rsidRPr="00E205CA" w:rsidRDefault="00BC47D3" w:rsidP="006C5028">
      <w:pPr>
        <w:shd w:val="clear" w:color="auto" w:fill="FFFFFF"/>
        <w:rPr>
          <w:rStyle w:val="hgkelc"/>
          <w:rFonts w:ascii="Arial" w:hAnsi="Arial" w:cs="Arial"/>
          <w:b/>
          <w:bCs/>
          <w:color w:val="000000" w:themeColor="text1"/>
          <w:sz w:val="22"/>
          <w:szCs w:val="22"/>
        </w:rPr>
      </w:pPr>
    </w:p>
    <w:p w14:paraId="32F244E3" w14:textId="4EEA513E" w:rsidR="00BC47D3" w:rsidRPr="00E205CA" w:rsidRDefault="00BC47D3" w:rsidP="006C5028">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The Consumer Rights Act 2015.</w:t>
      </w:r>
    </w:p>
    <w:p w14:paraId="0E3B9171" w14:textId="79EE9247" w:rsidR="00BC47D3" w:rsidRPr="00E205CA" w:rsidRDefault="0092439A" w:rsidP="006C5028">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The Sale and Supply of Goods to Consumers Regulations 2002.</w:t>
      </w:r>
    </w:p>
    <w:p w14:paraId="3094C1C9" w14:textId="506EAED2" w:rsidR="00BC47D3" w:rsidRPr="00E205CA" w:rsidRDefault="00BC47D3" w:rsidP="006C5028">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The Sale of Goods Act 1979.</w:t>
      </w:r>
    </w:p>
    <w:p w14:paraId="41358009" w14:textId="051909F4" w:rsidR="0092439A" w:rsidRPr="00E205CA" w:rsidRDefault="0092439A" w:rsidP="006C5028">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The Supply of Goods and Services Act 1982.</w:t>
      </w:r>
    </w:p>
    <w:p w14:paraId="10BCE7CE" w14:textId="715F3510" w:rsidR="0092439A" w:rsidRPr="00E205CA" w:rsidRDefault="0092439A" w:rsidP="006C5028">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 xml:space="preserve">The Supply of Goods (Implied Terms) Act 1973. </w:t>
      </w:r>
    </w:p>
    <w:p w14:paraId="6C838C57" w14:textId="68964055" w:rsidR="0092439A" w:rsidRPr="00E205CA" w:rsidRDefault="0092439A" w:rsidP="006C5028">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The Unfair Contract Terms Act 1977.</w:t>
      </w:r>
    </w:p>
    <w:p w14:paraId="672EF5D0" w14:textId="61ED7A76" w:rsidR="0092439A" w:rsidRPr="00E205CA" w:rsidRDefault="0092439A" w:rsidP="006C5028">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 xml:space="preserve">The Unfair Terms in Consumer Contracts Regulations 1999. </w:t>
      </w:r>
    </w:p>
    <w:p w14:paraId="6E7FE1E6" w14:textId="3B0A1703" w:rsidR="0092439A" w:rsidRPr="00E205CA" w:rsidRDefault="0092439A" w:rsidP="006C5028">
      <w:pPr>
        <w:shd w:val="clear" w:color="auto" w:fill="FFFFFF"/>
        <w:rPr>
          <w:rStyle w:val="hgkelc"/>
          <w:rFonts w:ascii="Arial" w:hAnsi="Arial" w:cs="Arial"/>
          <w:color w:val="000000" w:themeColor="text1"/>
          <w:sz w:val="22"/>
          <w:szCs w:val="22"/>
        </w:rPr>
      </w:pPr>
    </w:p>
    <w:p w14:paraId="0D219BA5" w14:textId="7F2772BD" w:rsidR="0092439A" w:rsidRPr="00E205CA" w:rsidRDefault="0092439A" w:rsidP="006C5028">
      <w:pPr>
        <w:shd w:val="clear" w:color="auto" w:fill="FFFFFF"/>
        <w:rPr>
          <w:rStyle w:val="hgkelc"/>
          <w:rFonts w:ascii="Arial" w:hAnsi="Arial" w:cs="Arial"/>
          <w:b/>
          <w:bCs/>
          <w:color w:val="000000" w:themeColor="text1"/>
          <w:sz w:val="22"/>
          <w:szCs w:val="22"/>
        </w:rPr>
      </w:pPr>
      <w:r w:rsidRPr="00E205CA">
        <w:rPr>
          <w:rStyle w:val="hgkelc"/>
          <w:rFonts w:ascii="Arial" w:hAnsi="Arial" w:cs="Arial"/>
          <w:b/>
          <w:bCs/>
          <w:color w:val="000000" w:themeColor="text1"/>
          <w:sz w:val="22"/>
          <w:szCs w:val="22"/>
        </w:rPr>
        <w:t>Cases</w:t>
      </w:r>
    </w:p>
    <w:p w14:paraId="2769A70F" w14:textId="77777777" w:rsidR="0092439A" w:rsidRPr="00E205CA" w:rsidRDefault="0092439A" w:rsidP="006C5028">
      <w:pPr>
        <w:shd w:val="clear" w:color="auto" w:fill="FFFFFF"/>
        <w:rPr>
          <w:rStyle w:val="hgkelc"/>
          <w:rFonts w:ascii="Arial" w:hAnsi="Arial" w:cs="Arial"/>
          <w:color w:val="000000" w:themeColor="text1"/>
          <w:sz w:val="22"/>
          <w:szCs w:val="22"/>
        </w:rPr>
      </w:pPr>
    </w:p>
    <w:p w14:paraId="56FE8EE4" w14:textId="77777777" w:rsidR="0092439A" w:rsidRPr="00E205CA" w:rsidRDefault="0092439A" w:rsidP="0092439A">
      <w:pPr>
        <w:shd w:val="clear" w:color="auto" w:fill="FFFFFF"/>
        <w:spacing w:line="0" w:lineRule="auto"/>
        <w:rPr>
          <w:rStyle w:val="hgkelc"/>
          <w:rFonts w:ascii="Arial" w:hAnsi="Arial" w:cs="Arial"/>
          <w:color w:val="000000" w:themeColor="text1"/>
          <w:sz w:val="22"/>
          <w:szCs w:val="22"/>
        </w:rPr>
      </w:pPr>
    </w:p>
    <w:p w14:paraId="27EA7CBD" w14:textId="77777777" w:rsidR="0092439A" w:rsidRPr="00E205CA" w:rsidRDefault="0092439A" w:rsidP="0092439A">
      <w:pPr>
        <w:shd w:val="clear" w:color="auto" w:fill="FFFFFF"/>
        <w:spacing w:line="0" w:lineRule="auto"/>
        <w:rPr>
          <w:rStyle w:val="hgkelc"/>
          <w:rFonts w:ascii="Arial" w:hAnsi="Arial" w:cs="Arial"/>
          <w:color w:val="000000" w:themeColor="text1"/>
          <w:sz w:val="22"/>
          <w:szCs w:val="22"/>
        </w:rPr>
      </w:pPr>
    </w:p>
    <w:p w14:paraId="0BA9762E" w14:textId="77777777" w:rsidR="0092439A" w:rsidRPr="00E205CA" w:rsidRDefault="0092439A" w:rsidP="0092439A">
      <w:pPr>
        <w:shd w:val="clear" w:color="auto" w:fill="FFFFFF"/>
        <w:spacing w:line="0" w:lineRule="auto"/>
        <w:rPr>
          <w:rStyle w:val="hgkelc"/>
          <w:rFonts w:ascii="Arial" w:hAnsi="Arial" w:cs="Arial"/>
          <w:color w:val="000000" w:themeColor="text1"/>
          <w:sz w:val="22"/>
          <w:szCs w:val="22"/>
        </w:rPr>
      </w:pPr>
    </w:p>
    <w:p w14:paraId="2B3C4F81" w14:textId="69C0271D" w:rsidR="0092439A" w:rsidRPr="00E205CA" w:rsidRDefault="0092439A" w:rsidP="0092439A">
      <w:pPr>
        <w:shd w:val="clear" w:color="auto" w:fill="FFFFFF"/>
        <w:spacing w:line="0" w:lineRule="auto"/>
        <w:rPr>
          <w:rFonts w:ascii="Arial" w:hAnsi="Arial" w:cs="Arial"/>
          <w:color w:val="000000"/>
          <w:sz w:val="72"/>
          <w:szCs w:val="72"/>
        </w:rPr>
      </w:pPr>
      <w:r w:rsidRPr="00E205CA">
        <w:rPr>
          <w:rFonts w:ascii="Arial" w:hAnsi="Arial" w:cs="Arial"/>
          <w:color w:val="000000"/>
          <w:sz w:val="72"/>
          <w:szCs w:val="72"/>
        </w:rPr>
        <w:t>Harlington &amp; Leinster v Christopher Hull Fine Art [1991] 1 QB 564.</w:t>
      </w:r>
    </w:p>
    <w:p w14:paraId="43C2C5E8" w14:textId="77777777" w:rsidR="0092439A" w:rsidRPr="00E205CA" w:rsidRDefault="0092439A" w:rsidP="0092439A">
      <w:pPr>
        <w:shd w:val="clear" w:color="auto" w:fill="FFFFFF"/>
        <w:spacing w:line="0" w:lineRule="auto"/>
        <w:rPr>
          <w:rFonts w:ascii="Arial" w:hAnsi="Arial" w:cs="Arial"/>
          <w:color w:val="000000"/>
          <w:sz w:val="72"/>
          <w:szCs w:val="72"/>
        </w:rPr>
      </w:pPr>
      <w:r w:rsidRPr="00E205CA">
        <w:rPr>
          <w:rFonts w:ascii="Arial" w:hAnsi="Arial" w:cs="Arial"/>
          <w:color w:val="000000"/>
          <w:sz w:val="72"/>
          <w:szCs w:val="72"/>
        </w:rPr>
        <w:t xml:space="preserve">Nemzeti </w:t>
      </w:r>
      <w:proofErr w:type="spellStart"/>
      <w:r w:rsidRPr="00E205CA">
        <w:rPr>
          <w:rFonts w:ascii="Arial" w:hAnsi="Arial" w:cs="Arial"/>
          <w:color w:val="000000"/>
          <w:sz w:val="72"/>
          <w:szCs w:val="72"/>
        </w:rPr>
        <w:t>Fogyasztovedelmi</w:t>
      </w:r>
      <w:proofErr w:type="spellEnd"/>
      <w:r w:rsidRPr="00E205CA">
        <w:rPr>
          <w:rFonts w:ascii="Arial" w:hAnsi="Arial" w:cs="Arial"/>
          <w:color w:val="000000"/>
          <w:sz w:val="72"/>
          <w:szCs w:val="72"/>
        </w:rPr>
        <w:t xml:space="preserve"> </w:t>
      </w:r>
      <w:proofErr w:type="spellStart"/>
      <w:r w:rsidRPr="00E205CA">
        <w:rPr>
          <w:rFonts w:ascii="Arial" w:hAnsi="Arial" w:cs="Arial"/>
          <w:color w:val="000000"/>
          <w:sz w:val="72"/>
          <w:szCs w:val="72"/>
        </w:rPr>
        <w:t>Hatosag</w:t>
      </w:r>
      <w:proofErr w:type="spellEnd"/>
      <w:r w:rsidRPr="00E205CA">
        <w:rPr>
          <w:rFonts w:ascii="Arial" w:hAnsi="Arial" w:cs="Arial"/>
          <w:color w:val="000000"/>
          <w:sz w:val="72"/>
          <w:szCs w:val="72"/>
        </w:rPr>
        <w:t xml:space="preserve"> v Invitel </w:t>
      </w:r>
      <w:proofErr w:type="spellStart"/>
      <w:r w:rsidRPr="00E205CA">
        <w:rPr>
          <w:rFonts w:ascii="Arial" w:hAnsi="Arial" w:cs="Arial"/>
          <w:color w:val="000000"/>
          <w:sz w:val="72"/>
          <w:szCs w:val="72"/>
        </w:rPr>
        <w:t>Tavkozlesi</w:t>
      </w:r>
      <w:proofErr w:type="spellEnd"/>
      <w:r w:rsidRPr="00E205CA">
        <w:rPr>
          <w:rFonts w:ascii="Arial" w:hAnsi="Arial" w:cs="Arial"/>
          <w:color w:val="000000"/>
          <w:sz w:val="72"/>
          <w:szCs w:val="72"/>
        </w:rPr>
        <w:t xml:space="preserve"> Zrt </w:t>
      </w:r>
      <w:r w:rsidRPr="00E205CA">
        <w:rPr>
          <w:rStyle w:val="fc5"/>
          <w:rFonts w:ascii="Arial" w:hAnsi="Arial" w:cs="Arial"/>
          <w:color w:val="00000A"/>
          <w:sz w:val="72"/>
          <w:szCs w:val="72"/>
        </w:rPr>
        <w:t>[2012] 3 C.M.L.R. 1</w:t>
      </w:r>
      <w:r w:rsidRPr="00E205CA">
        <w:rPr>
          <w:rFonts w:ascii="Arial" w:hAnsi="Arial" w:cs="Arial"/>
          <w:color w:val="000000"/>
          <w:sz w:val="72"/>
          <w:szCs w:val="72"/>
        </w:rPr>
        <w:t xml:space="preserve">  </w:t>
      </w:r>
    </w:p>
    <w:p w14:paraId="222F238C" w14:textId="77777777" w:rsidR="0092439A" w:rsidRPr="00E205CA" w:rsidRDefault="0092439A" w:rsidP="0092439A">
      <w:pPr>
        <w:shd w:val="clear" w:color="auto" w:fill="FFFFFF"/>
        <w:spacing w:line="0" w:lineRule="auto"/>
        <w:rPr>
          <w:rFonts w:ascii="Arial" w:hAnsi="Arial" w:cs="Arial"/>
          <w:color w:val="000000"/>
          <w:sz w:val="72"/>
          <w:szCs w:val="72"/>
        </w:rPr>
      </w:pPr>
      <w:r w:rsidRPr="00E205CA">
        <w:rPr>
          <w:rFonts w:ascii="Arial" w:hAnsi="Arial" w:cs="Arial"/>
          <w:color w:val="000000"/>
          <w:sz w:val="72"/>
          <w:szCs w:val="72"/>
        </w:rPr>
        <w:t xml:space="preserve">RWE Vertrieb AG v Verbraucherzentrale Nordrhein-Westfalen </w:t>
      </w:r>
      <w:r w:rsidRPr="00E205CA">
        <w:rPr>
          <w:rStyle w:val="fc5"/>
          <w:rFonts w:ascii="Arial" w:hAnsi="Arial" w:cs="Arial"/>
          <w:color w:val="00000A"/>
          <w:sz w:val="72"/>
          <w:szCs w:val="72"/>
        </w:rPr>
        <w:t>[2013] 3 C.M.L.R. 10</w:t>
      </w:r>
    </w:p>
    <w:p w14:paraId="1E677A93" w14:textId="77777777" w:rsidR="0092439A" w:rsidRPr="00E205CA" w:rsidRDefault="0092439A" w:rsidP="0092439A">
      <w:pPr>
        <w:shd w:val="clear" w:color="auto" w:fill="FFFFFF"/>
        <w:spacing w:line="0" w:lineRule="auto"/>
        <w:rPr>
          <w:rFonts w:ascii="Arial" w:hAnsi="Arial" w:cs="Arial"/>
          <w:color w:val="000000"/>
          <w:sz w:val="72"/>
          <w:szCs w:val="72"/>
        </w:rPr>
      </w:pPr>
      <w:r w:rsidRPr="00E205CA">
        <w:rPr>
          <w:rFonts w:ascii="Arial" w:hAnsi="Arial" w:cs="Arial"/>
          <w:color w:val="000000"/>
          <w:sz w:val="72"/>
          <w:szCs w:val="72"/>
        </w:rPr>
        <w:t>Harlington &amp; Leinster v Christopher Hull Fine Art [1991] 1 QB 564.</w:t>
      </w:r>
    </w:p>
    <w:p w14:paraId="02D627DB" w14:textId="77777777" w:rsidR="0092439A" w:rsidRPr="00E205CA" w:rsidRDefault="0092439A" w:rsidP="0092439A">
      <w:pPr>
        <w:shd w:val="clear" w:color="auto" w:fill="FFFFFF"/>
        <w:spacing w:line="0" w:lineRule="auto"/>
        <w:rPr>
          <w:rFonts w:ascii="Arial" w:hAnsi="Arial" w:cs="Arial"/>
          <w:color w:val="000000"/>
          <w:sz w:val="72"/>
          <w:szCs w:val="72"/>
        </w:rPr>
      </w:pPr>
      <w:r w:rsidRPr="00E205CA">
        <w:rPr>
          <w:rFonts w:ascii="Arial" w:hAnsi="Arial" w:cs="Arial"/>
          <w:color w:val="000000"/>
          <w:sz w:val="72"/>
          <w:szCs w:val="72"/>
        </w:rPr>
        <w:t xml:space="preserve">Nemzeti </w:t>
      </w:r>
      <w:proofErr w:type="spellStart"/>
      <w:r w:rsidRPr="00E205CA">
        <w:rPr>
          <w:rFonts w:ascii="Arial" w:hAnsi="Arial" w:cs="Arial"/>
          <w:color w:val="000000"/>
          <w:sz w:val="72"/>
          <w:szCs w:val="72"/>
        </w:rPr>
        <w:t>Fogyasztovedelmi</w:t>
      </w:r>
      <w:proofErr w:type="spellEnd"/>
      <w:r w:rsidRPr="00E205CA">
        <w:rPr>
          <w:rFonts w:ascii="Arial" w:hAnsi="Arial" w:cs="Arial"/>
          <w:color w:val="000000"/>
          <w:sz w:val="72"/>
          <w:szCs w:val="72"/>
        </w:rPr>
        <w:t xml:space="preserve"> </w:t>
      </w:r>
      <w:proofErr w:type="spellStart"/>
      <w:r w:rsidRPr="00E205CA">
        <w:rPr>
          <w:rFonts w:ascii="Arial" w:hAnsi="Arial" w:cs="Arial"/>
          <w:color w:val="000000"/>
          <w:sz w:val="72"/>
          <w:szCs w:val="72"/>
        </w:rPr>
        <w:t>Hatosag</w:t>
      </w:r>
      <w:proofErr w:type="spellEnd"/>
      <w:r w:rsidRPr="00E205CA">
        <w:rPr>
          <w:rFonts w:ascii="Arial" w:hAnsi="Arial" w:cs="Arial"/>
          <w:color w:val="000000"/>
          <w:sz w:val="72"/>
          <w:szCs w:val="72"/>
        </w:rPr>
        <w:t xml:space="preserve"> v Invitel </w:t>
      </w:r>
      <w:proofErr w:type="spellStart"/>
      <w:r w:rsidRPr="00E205CA">
        <w:rPr>
          <w:rFonts w:ascii="Arial" w:hAnsi="Arial" w:cs="Arial"/>
          <w:color w:val="000000"/>
          <w:sz w:val="72"/>
          <w:szCs w:val="72"/>
        </w:rPr>
        <w:t>Tavkozlesi</w:t>
      </w:r>
      <w:proofErr w:type="spellEnd"/>
      <w:r w:rsidRPr="00E205CA">
        <w:rPr>
          <w:rFonts w:ascii="Arial" w:hAnsi="Arial" w:cs="Arial"/>
          <w:color w:val="000000"/>
          <w:sz w:val="72"/>
          <w:szCs w:val="72"/>
        </w:rPr>
        <w:t xml:space="preserve"> Zrt </w:t>
      </w:r>
      <w:r w:rsidRPr="00E205CA">
        <w:rPr>
          <w:rStyle w:val="fc5"/>
          <w:rFonts w:ascii="Arial" w:hAnsi="Arial" w:cs="Arial"/>
          <w:color w:val="00000A"/>
          <w:sz w:val="72"/>
          <w:szCs w:val="72"/>
        </w:rPr>
        <w:t>[2012] 3 C.M.L.R. 1</w:t>
      </w:r>
      <w:r w:rsidRPr="00E205CA">
        <w:rPr>
          <w:rFonts w:ascii="Arial" w:hAnsi="Arial" w:cs="Arial"/>
          <w:color w:val="000000"/>
          <w:sz w:val="72"/>
          <w:szCs w:val="72"/>
        </w:rPr>
        <w:t xml:space="preserve">  </w:t>
      </w:r>
    </w:p>
    <w:p w14:paraId="6CC3B6DA" w14:textId="77777777" w:rsidR="0092439A" w:rsidRPr="00E205CA" w:rsidRDefault="0092439A" w:rsidP="0092439A">
      <w:pPr>
        <w:shd w:val="clear" w:color="auto" w:fill="FFFFFF"/>
        <w:spacing w:line="0" w:lineRule="auto"/>
        <w:rPr>
          <w:rFonts w:ascii="Arial" w:hAnsi="Arial" w:cs="Arial"/>
          <w:color w:val="000000"/>
          <w:sz w:val="72"/>
          <w:szCs w:val="72"/>
        </w:rPr>
      </w:pPr>
      <w:r w:rsidRPr="00E205CA">
        <w:rPr>
          <w:rFonts w:ascii="Arial" w:hAnsi="Arial" w:cs="Arial"/>
          <w:color w:val="000000"/>
          <w:sz w:val="72"/>
          <w:szCs w:val="72"/>
        </w:rPr>
        <w:t xml:space="preserve">RWE Vertrieb AG v Verbraucherzentrale Nordrhein-Westfalen </w:t>
      </w:r>
      <w:r w:rsidRPr="00E205CA">
        <w:rPr>
          <w:rStyle w:val="fc5"/>
          <w:rFonts w:ascii="Arial" w:hAnsi="Arial" w:cs="Arial"/>
          <w:color w:val="00000A"/>
          <w:sz w:val="72"/>
          <w:szCs w:val="72"/>
        </w:rPr>
        <w:t>[2013] 3 C.M.L.R. 10</w:t>
      </w:r>
    </w:p>
    <w:p w14:paraId="1958B63E" w14:textId="7B542DD4" w:rsidR="005113FE" w:rsidRPr="00E205CA" w:rsidRDefault="005113FE" w:rsidP="005113FE">
      <w:pPr>
        <w:rPr>
          <w:rFonts w:ascii="Arial" w:hAnsi="Arial" w:cs="Arial"/>
          <w:sz w:val="22"/>
          <w:szCs w:val="22"/>
        </w:rPr>
      </w:pPr>
      <w:r w:rsidRPr="00E205CA">
        <w:rPr>
          <w:rFonts w:ascii="Arial" w:hAnsi="Arial" w:cs="Arial"/>
          <w:sz w:val="22"/>
          <w:szCs w:val="22"/>
        </w:rPr>
        <w:t xml:space="preserve">Donoghue </w:t>
      </w:r>
      <w:r w:rsidRPr="00E205CA">
        <w:rPr>
          <w:rFonts w:ascii="Arial" w:hAnsi="Arial" w:cs="Arial"/>
          <w:i/>
          <w:iCs/>
          <w:sz w:val="22"/>
          <w:szCs w:val="22"/>
        </w:rPr>
        <w:t>v</w:t>
      </w:r>
      <w:r w:rsidRPr="00E205CA">
        <w:rPr>
          <w:rFonts w:ascii="Arial" w:hAnsi="Arial" w:cs="Arial"/>
          <w:sz w:val="22"/>
          <w:szCs w:val="22"/>
        </w:rPr>
        <w:t xml:space="preserve"> Stevenson [1932] AC 562</w:t>
      </w:r>
    </w:p>
    <w:p w14:paraId="423BD990" w14:textId="77777777" w:rsidR="0092439A" w:rsidRPr="00E205CA" w:rsidRDefault="0092439A" w:rsidP="006C5028">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Harlington &amp; Leinster v Christopher Hull Fine Art [1991] 1 QB 564.</w:t>
      </w:r>
    </w:p>
    <w:p w14:paraId="2D00FADA" w14:textId="77777777" w:rsidR="005113FE" w:rsidRPr="00E205CA" w:rsidRDefault="0092439A" w:rsidP="005113FE">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 xml:space="preserve">Nemzeti </w:t>
      </w:r>
      <w:proofErr w:type="spellStart"/>
      <w:r w:rsidRPr="00E205CA">
        <w:rPr>
          <w:rStyle w:val="hgkelc"/>
          <w:rFonts w:ascii="Arial" w:hAnsi="Arial" w:cs="Arial"/>
          <w:color w:val="000000" w:themeColor="text1"/>
          <w:sz w:val="22"/>
          <w:szCs w:val="22"/>
        </w:rPr>
        <w:t>Fogyasztovedelmi</w:t>
      </w:r>
      <w:proofErr w:type="spellEnd"/>
      <w:r w:rsidRPr="00E205CA">
        <w:rPr>
          <w:rStyle w:val="hgkelc"/>
          <w:rFonts w:ascii="Arial" w:hAnsi="Arial" w:cs="Arial"/>
          <w:color w:val="000000" w:themeColor="text1"/>
          <w:sz w:val="22"/>
          <w:szCs w:val="22"/>
        </w:rPr>
        <w:t xml:space="preserve"> </w:t>
      </w:r>
      <w:proofErr w:type="spellStart"/>
      <w:r w:rsidRPr="00E205CA">
        <w:rPr>
          <w:rStyle w:val="hgkelc"/>
          <w:rFonts w:ascii="Arial" w:hAnsi="Arial" w:cs="Arial"/>
          <w:color w:val="000000" w:themeColor="text1"/>
          <w:sz w:val="22"/>
          <w:szCs w:val="22"/>
        </w:rPr>
        <w:t>Hatosag</w:t>
      </w:r>
      <w:proofErr w:type="spellEnd"/>
      <w:r w:rsidRPr="00E205CA">
        <w:rPr>
          <w:rStyle w:val="hgkelc"/>
          <w:rFonts w:ascii="Arial" w:hAnsi="Arial" w:cs="Arial"/>
          <w:color w:val="000000" w:themeColor="text1"/>
          <w:sz w:val="22"/>
          <w:szCs w:val="22"/>
        </w:rPr>
        <w:t xml:space="preserve"> v Invitel </w:t>
      </w:r>
      <w:proofErr w:type="spellStart"/>
      <w:r w:rsidRPr="00E205CA">
        <w:rPr>
          <w:rStyle w:val="hgkelc"/>
          <w:rFonts w:ascii="Arial" w:hAnsi="Arial" w:cs="Arial"/>
          <w:color w:val="000000" w:themeColor="text1"/>
          <w:sz w:val="22"/>
          <w:szCs w:val="22"/>
        </w:rPr>
        <w:t>Tavkozlesi</w:t>
      </w:r>
      <w:proofErr w:type="spellEnd"/>
      <w:r w:rsidRPr="00E205CA">
        <w:rPr>
          <w:rStyle w:val="hgkelc"/>
          <w:rFonts w:ascii="Arial" w:hAnsi="Arial" w:cs="Arial"/>
          <w:color w:val="000000" w:themeColor="text1"/>
          <w:sz w:val="22"/>
          <w:szCs w:val="22"/>
        </w:rPr>
        <w:t xml:space="preserve"> Zrt [2012] 3 C.M.L.R. 1 RWE </w:t>
      </w:r>
      <w:r w:rsidR="005113FE" w:rsidRPr="00E205CA">
        <w:rPr>
          <w:rStyle w:val="hgkelc"/>
          <w:rFonts w:ascii="Arial" w:hAnsi="Arial" w:cs="Arial"/>
          <w:color w:val="000000" w:themeColor="text1"/>
          <w:sz w:val="22"/>
          <w:szCs w:val="22"/>
        </w:rPr>
        <w:t>Phillips Products v Hyland [1987] 1 WLR 659</w:t>
      </w:r>
    </w:p>
    <w:p w14:paraId="0B0BA62B" w14:textId="590C9254" w:rsidR="0092439A" w:rsidRPr="00E205CA" w:rsidRDefault="0092439A" w:rsidP="0092439A">
      <w:pPr>
        <w:rPr>
          <w:rFonts w:ascii="Arial" w:hAnsi="Arial" w:cs="Arial"/>
          <w:sz w:val="22"/>
          <w:szCs w:val="22"/>
        </w:rPr>
      </w:pPr>
      <w:r w:rsidRPr="00E205CA">
        <w:rPr>
          <w:rFonts w:ascii="Arial" w:hAnsi="Arial" w:cs="Arial"/>
          <w:sz w:val="22"/>
          <w:szCs w:val="22"/>
        </w:rPr>
        <w:t xml:space="preserve">Stevenson </w:t>
      </w:r>
      <w:r w:rsidRPr="00E205CA">
        <w:rPr>
          <w:rFonts w:ascii="Arial" w:hAnsi="Arial" w:cs="Arial"/>
          <w:i/>
          <w:iCs/>
          <w:sz w:val="22"/>
          <w:szCs w:val="22"/>
        </w:rPr>
        <w:t xml:space="preserve">v </w:t>
      </w:r>
      <w:r w:rsidRPr="00E205CA">
        <w:rPr>
          <w:rFonts w:ascii="Arial" w:hAnsi="Arial" w:cs="Arial"/>
          <w:sz w:val="22"/>
          <w:szCs w:val="22"/>
        </w:rPr>
        <w:t>Rogers [1999] QB 1028</w:t>
      </w:r>
    </w:p>
    <w:p w14:paraId="07146903" w14:textId="77777777" w:rsidR="005113FE" w:rsidRPr="00E205CA" w:rsidRDefault="005113FE" w:rsidP="005113FE">
      <w:pPr>
        <w:shd w:val="clear" w:color="auto" w:fill="FFFFFF"/>
        <w:rPr>
          <w:rStyle w:val="hgkelc"/>
          <w:rFonts w:ascii="Arial" w:hAnsi="Arial" w:cs="Arial"/>
          <w:color w:val="000000" w:themeColor="text1"/>
          <w:sz w:val="22"/>
          <w:szCs w:val="22"/>
        </w:rPr>
      </w:pPr>
      <w:r w:rsidRPr="00E205CA">
        <w:rPr>
          <w:rStyle w:val="hgkelc"/>
          <w:rFonts w:ascii="Arial" w:hAnsi="Arial" w:cs="Arial"/>
          <w:color w:val="000000" w:themeColor="text1"/>
          <w:sz w:val="22"/>
          <w:szCs w:val="22"/>
        </w:rPr>
        <w:t>Vertrieb AG v Verbraucherzentrale Nordrhein-Westfalen [2013] 3 C.M.L.R. 10</w:t>
      </w:r>
    </w:p>
    <w:p w14:paraId="2FCDD2AF" w14:textId="77777777" w:rsidR="0030780A" w:rsidRPr="00E205CA" w:rsidRDefault="0030780A" w:rsidP="006C5028">
      <w:pPr>
        <w:shd w:val="clear" w:color="auto" w:fill="FFFFFF"/>
        <w:rPr>
          <w:rStyle w:val="hgkelc"/>
          <w:rFonts w:ascii="Arial" w:hAnsi="Arial" w:cs="Arial"/>
          <w:sz w:val="22"/>
          <w:szCs w:val="22"/>
        </w:rPr>
      </w:pPr>
    </w:p>
    <w:p w14:paraId="28BC44B3" w14:textId="7524108C" w:rsidR="006C5028" w:rsidRPr="00E205CA" w:rsidRDefault="005113FE" w:rsidP="006C5028">
      <w:pPr>
        <w:shd w:val="clear" w:color="auto" w:fill="FFFFFF"/>
        <w:rPr>
          <w:rStyle w:val="hgkelc"/>
          <w:rFonts w:ascii="Arial" w:hAnsi="Arial" w:cs="Arial"/>
          <w:b/>
          <w:bCs/>
          <w:color w:val="000000" w:themeColor="text1"/>
          <w:sz w:val="22"/>
          <w:szCs w:val="22"/>
          <w:u w:val="single"/>
        </w:rPr>
      </w:pPr>
      <w:r w:rsidRPr="00E205CA">
        <w:rPr>
          <w:rStyle w:val="hgkelc"/>
          <w:rFonts w:ascii="Arial" w:hAnsi="Arial" w:cs="Arial"/>
          <w:b/>
          <w:bCs/>
          <w:color w:val="000000" w:themeColor="text1"/>
          <w:sz w:val="22"/>
          <w:szCs w:val="22"/>
          <w:u w:val="single"/>
        </w:rPr>
        <w:t>Secondary Sources</w:t>
      </w:r>
    </w:p>
    <w:p w14:paraId="13E11893" w14:textId="77777777" w:rsidR="005001C4" w:rsidRPr="00E205CA" w:rsidRDefault="005001C4" w:rsidP="005001C4">
      <w:pPr>
        <w:rPr>
          <w:rFonts w:ascii="Arial" w:hAnsi="Arial" w:cs="Arial"/>
          <w:color w:val="000000" w:themeColor="text1"/>
          <w:sz w:val="22"/>
          <w:szCs w:val="22"/>
        </w:rPr>
      </w:pPr>
    </w:p>
    <w:p w14:paraId="7C09D87A" w14:textId="258355F5" w:rsidR="00155AA5" w:rsidRDefault="00155AA5" w:rsidP="005113FE">
      <w:pPr>
        <w:rPr>
          <w:rFonts w:ascii="Arial" w:hAnsi="Arial" w:cs="Arial"/>
          <w:color w:val="000000" w:themeColor="text1"/>
          <w:sz w:val="22"/>
          <w:szCs w:val="22"/>
        </w:rPr>
      </w:pPr>
      <w:proofErr w:type="spellStart"/>
      <w:r>
        <w:rPr>
          <w:rFonts w:ascii="Arial" w:hAnsi="Arial" w:cs="Arial"/>
          <w:color w:val="000000" w:themeColor="text1"/>
          <w:sz w:val="22"/>
          <w:szCs w:val="22"/>
        </w:rPr>
        <w:t>Broyde</w:t>
      </w:r>
      <w:proofErr w:type="spellEnd"/>
      <w:r>
        <w:rPr>
          <w:rFonts w:ascii="Arial" w:hAnsi="Arial" w:cs="Arial"/>
          <w:color w:val="000000" w:themeColor="text1"/>
          <w:sz w:val="22"/>
          <w:szCs w:val="22"/>
        </w:rPr>
        <w:t xml:space="preserve">, M.J. and </w:t>
      </w:r>
      <w:proofErr w:type="spellStart"/>
      <w:r>
        <w:rPr>
          <w:rFonts w:ascii="Arial" w:hAnsi="Arial" w:cs="Arial"/>
          <w:color w:val="000000" w:themeColor="text1"/>
          <w:sz w:val="22"/>
          <w:szCs w:val="22"/>
        </w:rPr>
        <w:t>Bedzow</w:t>
      </w:r>
      <w:proofErr w:type="spellEnd"/>
      <w:r>
        <w:rPr>
          <w:rFonts w:ascii="Arial" w:hAnsi="Arial" w:cs="Arial"/>
          <w:color w:val="000000" w:themeColor="text1"/>
          <w:sz w:val="22"/>
          <w:szCs w:val="22"/>
        </w:rPr>
        <w:t xml:space="preserve">, I. (2019) ‘Why we should Teach Legal-Reasoning Skills to Students’, </w:t>
      </w:r>
      <w:r w:rsidRPr="00155AA5">
        <w:rPr>
          <w:rFonts w:ascii="Arial" w:hAnsi="Arial" w:cs="Arial"/>
          <w:i/>
          <w:iCs/>
          <w:color w:val="000000" w:themeColor="text1"/>
          <w:sz w:val="22"/>
          <w:szCs w:val="22"/>
        </w:rPr>
        <w:t>EducationWe</w:t>
      </w:r>
      <w:r>
        <w:rPr>
          <w:rFonts w:ascii="Arial" w:hAnsi="Arial" w:cs="Arial"/>
          <w:color w:val="000000" w:themeColor="text1"/>
          <w:sz w:val="22"/>
          <w:szCs w:val="22"/>
        </w:rPr>
        <w:t>ek. [blog] 17 June. Available at:</w:t>
      </w:r>
      <w:r w:rsidRPr="00155AA5">
        <w:t xml:space="preserve"> </w:t>
      </w:r>
      <w:hyperlink r:id="rId8" w:history="1">
        <w:r w:rsidRPr="0025160C">
          <w:rPr>
            <w:rStyle w:val="Hyperlink"/>
            <w:rFonts w:ascii="Arial" w:hAnsi="Arial" w:cs="Arial"/>
            <w:sz w:val="22"/>
            <w:szCs w:val="22"/>
          </w:rPr>
          <w:t>https://www.edweek.org/teaching-learning/opinion-why-we-should-teach-legal-reasoning-skills-to-students/2019/06</w:t>
        </w:r>
      </w:hyperlink>
      <w:r>
        <w:rPr>
          <w:rFonts w:ascii="Arial" w:hAnsi="Arial" w:cs="Arial"/>
          <w:color w:val="000000" w:themeColor="text1"/>
          <w:sz w:val="22"/>
          <w:szCs w:val="22"/>
        </w:rPr>
        <w:t xml:space="preserve"> </w:t>
      </w:r>
      <w:r w:rsidRPr="00E205CA">
        <w:rPr>
          <w:rFonts w:ascii="Arial" w:hAnsi="Arial" w:cs="Arial"/>
          <w:color w:val="000000" w:themeColor="text1"/>
          <w:sz w:val="22"/>
          <w:szCs w:val="22"/>
          <w:lang w:val="en-US"/>
        </w:rPr>
        <w:t xml:space="preserve">(Accessed: </w:t>
      </w:r>
      <w:r>
        <w:rPr>
          <w:rFonts w:ascii="Arial" w:hAnsi="Arial" w:cs="Arial"/>
          <w:color w:val="000000" w:themeColor="text1"/>
          <w:sz w:val="22"/>
          <w:szCs w:val="22"/>
          <w:lang w:val="en-US"/>
        </w:rPr>
        <w:t>3 May</w:t>
      </w:r>
      <w:r w:rsidRPr="00E205CA">
        <w:rPr>
          <w:rFonts w:ascii="Arial" w:hAnsi="Arial" w:cs="Arial"/>
          <w:color w:val="000000" w:themeColor="text1"/>
          <w:sz w:val="22"/>
          <w:szCs w:val="22"/>
          <w:lang w:val="en-US"/>
        </w:rPr>
        <w:t xml:space="preserve"> 2022).</w:t>
      </w:r>
    </w:p>
    <w:p w14:paraId="66FC8D7B" w14:textId="77777777" w:rsidR="00155AA5" w:rsidRPr="00155AA5" w:rsidRDefault="00155AA5" w:rsidP="005113FE">
      <w:pPr>
        <w:rPr>
          <w:rFonts w:ascii="Arial" w:hAnsi="Arial" w:cs="Arial"/>
          <w:color w:val="000000" w:themeColor="text1"/>
          <w:sz w:val="22"/>
          <w:szCs w:val="22"/>
        </w:rPr>
      </w:pPr>
    </w:p>
    <w:p w14:paraId="48D9454A" w14:textId="485F64EE" w:rsidR="005113FE" w:rsidRPr="00155AA5" w:rsidRDefault="005113FE" w:rsidP="005113FE">
      <w:pPr>
        <w:rPr>
          <w:rFonts w:ascii="Arial" w:hAnsi="Arial" w:cs="Arial"/>
          <w:color w:val="000000" w:themeColor="text1"/>
          <w:sz w:val="22"/>
          <w:szCs w:val="22"/>
        </w:rPr>
      </w:pPr>
      <w:r w:rsidRPr="005113FE">
        <w:rPr>
          <w:rFonts w:ascii="Arial" w:hAnsi="Arial" w:cs="Arial"/>
          <w:color w:val="000000" w:themeColor="text1"/>
          <w:sz w:val="22"/>
          <w:szCs w:val="22"/>
        </w:rPr>
        <w:t>Cartwright, P. (2016) “</w:t>
      </w:r>
      <w:r w:rsidR="009E7186" w:rsidRPr="00155AA5">
        <w:rPr>
          <w:rFonts w:ascii="Arial" w:hAnsi="Arial" w:cs="Arial"/>
          <w:color w:val="000000" w:themeColor="text1"/>
          <w:sz w:val="22"/>
          <w:szCs w:val="22"/>
        </w:rPr>
        <w:t xml:space="preserve">Redress Compliance and Choice: Enhanced Consumer Measures </w:t>
      </w:r>
      <w:r w:rsidR="00155AA5">
        <w:rPr>
          <w:rFonts w:ascii="Arial" w:hAnsi="Arial" w:cs="Arial"/>
          <w:color w:val="000000" w:themeColor="text1"/>
          <w:sz w:val="22"/>
          <w:szCs w:val="22"/>
        </w:rPr>
        <w:t>a</w:t>
      </w:r>
      <w:r w:rsidR="009E7186" w:rsidRPr="00155AA5">
        <w:rPr>
          <w:rFonts w:ascii="Arial" w:hAnsi="Arial" w:cs="Arial"/>
          <w:color w:val="000000" w:themeColor="text1"/>
          <w:sz w:val="22"/>
          <w:szCs w:val="22"/>
        </w:rPr>
        <w:t xml:space="preserve">nd The Retreat </w:t>
      </w:r>
      <w:proofErr w:type="gramStart"/>
      <w:r w:rsidR="009E7186" w:rsidRPr="00155AA5">
        <w:rPr>
          <w:rFonts w:ascii="Arial" w:hAnsi="Arial" w:cs="Arial"/>
          <w:color w:val="000000" w:themeColor="text1"/>
          <w:sz w:val="22"/>
          <w:szCs w:val="22"/>
        </w:rPr>
        <w:t>From</w:t>
      </w:r>
      <w:proofErr w:type="gramEnd"/>
      <w:r w:rsidR="009E7186" w:rsidRPr="00155AA5">
        <w:rPr>
          <w:rFonts w:ascii="Arial" w:hAnsi="Arial" w:cs="Arial"/>
          <w:color w:val="000000" w:themeColor="text1"/>
          <w:sz w:val="22"/>
          <w:szCs w:val="22"/>
        </w:rPr>
        <w:t xml:space="preserve"> Punishment In The Consumer Rights Act </w:t>
      </w:r>
      <w:r w:rsidRPr="005113FE">
        <w:rPr>
          <w:rFonts w:ascii="Arial" w:hAnsi="Arial" w:cs="Arial"/>
          <w:color w:val="000000" w:themeColor="text1"/>
          <w:sz w:val="22"/>
          <w:szCs w:val="22"/>
        </w:rPr>
        <w:t>2015,” </w:t>
      </w:r>
      <w:r w:rsidRPr="005113FE">
        <w:rPr>
          <w:rFonts w:ascii="Arial" w:hAnsi="Arial" w:cs="Arial"/>
          <w:i/>
          <w:iCs/>
          <w:color w:val="000000" w:themeColor="text1"/>
          <w:sz w:val="22"/>
          <w:szCs w:val="22"/>
        </w:rPr>
        <w:t>The Cambridge Law Journal</w:t>
      </w:r>
      <w:r w:rsidRPr="005113FE">
        <w:rPr>
          <w:rFonts w:ascii="Arial" w:hAnsi="Arial" w:cs="Arial"/>
          <w:color w:val="000000" w:themeColor="text1"/>
          <w:sz w:val="22"/>
          <w:szCs w:val="22"/>
        </w:rPr>
        <w:t>, Cambridge University Press, 75(2), pp. 271–300.</w:t>
      </w:r>
    </w:p>
    <w:p w14:paraId="49066B9A" w14:textId="77777777" w:rsidR="00E205CA" w:rsidRPr="00155AA5" w:rsidRDefault="00E205CA" w:rsidP="00E205CA">
      <w:pPr>
        <w:rPr>
          <w:rFonts w:ascii="Arial" w:hAnsi="Arial" w:cs="Arial"/>
          <w:color w:val="000000" w:themeColor="text1"/>
          <w:sz w:val="22"/>
          <w:szCs w:val="22"/>
        </w:rPr>
      </w:pPr>
    </w:p>
    <w:p w14:paraId="165ADF85" w14:textId="77777777" w:rsidR="00E205CA" w:rsidRPr="00155AA5" w:rsidRDefault="00E205CA" w:rsidP="00E205CA">
      <w:pPr>
        <w:rPr>
          <w:rFonts w:ascii="Arial" w:hAnsi="Arial" w:cs="Arial"/>
          <w:sz w:val="22"/>
          <w:szCs w:val="22"/>
        </w:rPr>
      </w:pPr>
      <w:r w:rsidRPr="00155AA5">
        <w:rPr>
          <w:rFonts w:ascii="Arial" w:hAnsi="Arial" w:cs="Arial"/>
          <w:color w:val="000000" w:themeColor="text1"/>
          <w:sz w:val="22"/>
          <w:szCs w:val="22"/>
        </w:rPr>
        <w:t xml:space="preserve">Consumer Rights Act (2015) </w:t>
      </w:r>
      <w:r w:rsidRPr="00155AA5">
        <w:rPr>
          <w:rFonts w:ascii="Arial" w:hAnsi="Arial" w:cs="Arial"/>
          <w:i/>
          <w:iCs/>
          <w:color w:val="000000" w:themeColor="text1"/>
          <w:sz w:val="22"/>
          <w:szCs w:val="22"/>
        </w:rPr>
        <w:t>Explanatory Notes</w:t>
      </w:r>
      <w:r w:rsidRPr="00155AA5">
        <w:rPr>
          <w:rFonts w:ascii="Arial" w:hAnsi="Arial" w:cs="Arial"/>
          <w:color w:val="000000" w:themeColor="text1"/>
          <w:sz w:val="22"/>
          <w:szCs w:val="22"/>
        </w:rPr>
        <w:t>. Available at:</w:t>
      </w:r>
      <w:r w:rsidRPr="00155AA5">
        <w:rPr>
          <w:rFonts w:ascii="Arial" w:hAnsi="Arial" w:cs="Arial"/>
          <w:sz w:val="22"/>
          <w:szCs w:val="22"/>
        </w:rPr>
        <w:t xml:space="preserve"> </w:t>
      </w:r>
      <w:hyperlink r:id="rId9" w:history="1">
        <w:r w:rsidRPr="00155AA5">
          <w:rPr>
            <w:rStyle w:val="Hyperlink"/>
            <w:rFonts w:ascii="Arial" w:hAnsi="Arial" w:cs="Arial"/>
            <w:sz w:val="22"/>
            <w:szCs w:val="22"/>
          </w:rPr>
          <w:t>https://www.legislation.gov.uk/ukpga/2015/15/notes/division/2/data.xht?view=snippet&amp;wrap=true</w:t>
        </w:r>
      </w:hyperlink>
      <w:r w:rsidRPr="00155AA5">
        <w:rPr>
          <w:rFonts w:ascii="Arial" w:hAnsi="Arial" w:cs="Arial"/>
          <w:sz w:val="22"/>
          <w:szCs w:val="22"/>
        </w:rPr>
        <w:t xml:space="preserve"> </w:t>
      </w:r>
      <w:r w:rsidRPr="00155AA5">
        <w:rPr>
          <w:rFonts w:ascii="Arial" w:hAnsi="Arial" w:cs="Arial"/>
          <w:color w:val="000000" w:themeColor="text1"/>
          <w:sz w:val="22"/>
          <w:szCs w:val="22"/>
          <w:lang w:val="en-US"/>
        </w:rPr>
        <w:t>(Accessed: 6 May 2022).</w:t>
      </w:r>
    </w:p>
    <w:p w14:paraId="373DAC5C" w14:textId="79DB69CE" w:rsidR="00E205CA" w:rsidRPr="00155AA5" w:rsidRDefault="00E205CA" w:rsidP="00E205CA">
      <w:pPr>
        <w:rPr>
          <w:rFonts w:ascii="Arial" w:hAnsi="Arial" w:cs="Arial"/>
          <w:color w:val="000000" w:themeColor="text1"/>
          <w:sz w:val="22"/>
          <w:szCs w:val="22"/>
        </w:rPr>
      </w:pPr>
    </w:p>
    <w:p w14:paraId="77F0DF40" w14:textId="47F0FC2E" w:rsidR="00155AA5" w:rsidRPr="00155AA5" w:rsidRDefault="00155AA5" w:rsidP="00E205CA">
      <w:pPr>
        <w:rPr>
          <w:rFonts w:ascii="Arial" w:hAnsi="Arial" w:cs="Arial"/>
          <w:color w:val="000000" w:themeColor="text1"/>
          <w:sz w:val="22"/>
          <w:szCs w:val="22"/>
          <w:lang w:val="en-US"/>
        </w:rPr>
      </w:pPr>
      <w:r w:rsidRPr="00155AA5">
        <w:rPr>
          <w:rFonts w:ascii="Arial" w:hAnsi="Arial" w:cs="Arial"/>
          <w:color w:val="000000" w:themeColor="text1"/>
          <w:sz w:val="22"/>
          <w:szCs w:val="22"/>
        </w:rPr>
        <w:t>Conway, L. (2021</w:t>
      </w:r>
      <w:r w:rsidRPr="00155AA5">
        <w:rPr>
          <w:rFonts w:ascii="Arial" w:hAnsi="Arial" w:cs="Arial"/>
          <w:i/>
          <w:iCs/>
          <w:color w:val="000000" w:themeColor="text1"/>
          <w:sz w:val="22"/>
          <w:szCs w:val="22"/>
        </w:rPr>
        <w:t>) Consumer Rights Act.</w:t>
      </w:r>
      <w:r w:rsidRPr="00155AA5">
        <w:rPr>
          <w:rFonts w:ascii="Arial" w:hAnsi="Arial" w:cs="Arial"/>
          <w:color w:val="000000" w:themeColor="text1"/>
          <w:sz w:val="22"/>
          <w:szCs w:val="22"/>
        </w:rPr>
        <w:t xml:space="preserve"> Commons Library Research Briefing. Available at:</w:t>
      </w:r>
      <w:r w:rsidRPr="00155AA5">
        <w:rPr>
          <w:rFonts w:ascii="Arial" w:hAnsi="Arial" w:cs="Arial"/>
          <w:sz w:val="22"/>
          <w:szCs w:val="22"/>
        </w:rPr>
        <w:t xml:space="preserve"> </w:t>
      </w:r>
      <w:hyperlink r:id="rId10" w:history="1">
        <w:r w:rsidRPr="00155AA5">
          <w:rPr>
            <w:rStyle w:val="Hyperlink"/>
            <w:rFonts w:ascii="Arial" w:hAnsi="Arial" w:cs="Arial"/>
            <w:sz w:val="22"/>
            <w:szCs w:val="22"/>
          </w:rPr>
          <w:t>https://researchbriefings.files.parliament.uk/documents/SN06588/SN06588.pdf</w:t>
        </w:r>
      </w:hyperlink>
      <w:r w:rsidRPr="00155AA5">
        <w:rPr>
          <w:rFonts w:ascii="Arial" w:hAnsi="Arial" w:cs="Arial"/>
          <w:color w:val="000000" w:themeColor="text1"/>
          <w:sz w:val="22"/>
          <w:szCs w:val="22"/>
        </w:rPr>
        <w:t xml:space="preserve">  </w:t>
      </w:r>
      <w:r w:rsidRPr="00155AA5">
        <w:rPr>
          <w:rFonts w:ascii="Arial" w:hAnsi="Arial" w:cs="Arial"/>
          <w:color w:val="000000" w:themeColor="text1"/>
          <w:sz w:val="22"/>
          <w:szCs w:val="22"/>
          <w:lang w:val="en-US"/>
        </w:rPr>
        <w:t>(Accessed: 6 May 2022</w:t>
      </w:r>
      <w:r w:rsidRPr="00155AA5">
        <w:rPr>
          <w:rFonts w:ascii="Arial" w:hAnsi="Arial" w:cs="Arial"/>
          <w:color w:val="000000" w:themeColor="text1"/>
          <w:sz w:val="22"/>
          <w:szCs w:val="22"/>
          <w:lang w:val="en-US"/>
        </w:rPr>
        <w:t xml:space="preserve">). </w:t>
      </w:r>
    </w:p>
    <w:p w14:paraId="776016CB" w14:textId="77777777" w:rsidR="00155AA5" w:rsidRPr="00155AA5" w:rsidRDefault="00155AA5" w:rsidP="00E205CA">
      <w:pPr>
        <w:rPr>
          <w:rFonts w:ascii="Arial" w:hAnsi="Arial" w:cs="Arial"/>
          <w:color w:val="000000" w:themeColor="text1"/>
          <w:sz w:val="22"/>
          <w:szCs w:val="22"/>
          <w:lang w:val="en-US"/>
        </w:rPr>
      </w:pPr>
    </w:p>
    <w:p w14:paraId="46C2D32D" w14:textId="77777777" w:rsidR="00E205CA" w:rsidRPr="00E205CA" w:rsidRDefault="00E205CA" w:rsidP="00E205CA">
      <w:pPr>
        <w:rPr>
          <w:rFonts w:ascii="Arial" w:hAnsi="Arial" w:cs="Arial"/>
          <w:color w:val="000000" w:themeColor="text1"/>
          <w:sz w:val="22"/>
          <w:szCs w:val="22"/>
        </w:rPr>
      </w:pPr>
      <w:proofErr w:type="spellStart"/>
      <w:r w:rsidRPr="00E205CA">
        <w:rPr>
          <w:rFonts w:ascii="Arial" w:hAnsi="Arial" w:cs="Arial"/>
          <w:color w:val="000000" w:themeColor="text1"/>
          <w:sz w:val="22"/>
          <w:szCs w:val="22"/>
          <w:shd w:val="clear" w:color="auto" w:fill="FFFFFF"/>
        </w:rPr>
        <w:t>D'Aspremont</w:t>
      </w:r>
      <w:proofErr w:type="spellEnd"/>
      <w:r w:rsidRPr="00E205CA">
        <w:rPr>
          <w:rFonts w:ascii="Arial" w:hAnsi="Arial" w:cs="Arial"/>
          <w:color w:val="000000" w:themeColor="text1"/>
          <w:sz w:val="22"/>
          <w:szCs w:val="22"/>
          <w:shd w:val="clear" w:color="auto" w:fill="FFFFFF"/>
        </w:rPr>
        <w:t>, J. E. A. N. (2012) “Wording in International Law,” </w:t>
      </w:r>
      <w:r w:rsidRPr="00E205CA">
        <w:rPr>
          <w:rFonts w:ascii="Arial" w:hAnsi="Arial" w:cs="Arial"/>
          <w:i/>
          <w:iCs/>
          <w:color w:val="000000" w:themeColor="text1"/>
          <w:sz w:val="22"/>
          <w:szCs w:val="22"/>
          <w:bdr w:val="none" w:sz="0" w:space="0" w:color="auto" w:frame="1"/>
          <w:shd w:val="clear" w:color="auto" w:fill="FFFFFF"/>
        </w:rPr>
        <w:t>Leiden Journal of International Law</w:t>
      </w:r>
      <w:r w:rsidRPr="00E205CA">
        <w:rPr>
          <w:rFonts w:ascii="Arial" w:hAnsi="Arial" w:cs="Arial"/>
          <w:color w:val="000000" w:themeColor="text1"/>
          <w:sz w:val="22"/>
          <w:szCs w:val="22"/>
          <w:shd w:val="clear" w:color="auto" w:fill="FFFFFF"/>
        </w:rPr>
        <w:t>. Cambridge University Press, 25(3), pp. 575–602. DOI: 10.1017/S0922156512000283.</w:t>
      </w:r>
    </w:p>
    <w:p w14:paraId="69C507A2" w14:textId="77777777" w:rsidR="00E205CA" w:rsidRPr="00E205CA" w:rsidRDefault="00E205CA" w:rsidP="00E205CA">
      <w:pPr>
        <w:rPr>
          <w:color w:val="000000" w:themeColor="text1"/>
          <w:sz w:val="22"/>
          <w:szCs w:val="22"/>
        </w:rPr>
      </w:pPr>
    </w:p>
    <w:p w14:paraId="540A245B" w14:textId="0C1D5586" w:rsidR="00E205CA" w:rsidRPr="00E205CA" w:rsidRDefault="00E205CA" w:rsidP="00E205CA">
      <w:pPr>
        <w:rPr>
          <w:rFonts w:ascii="Arial" w:hAnsi="Arial" w:cs="Arial"/>
          <w:color w:val="000000" w:themeColor="text1"/>
          <w:sz w:val="22"/>
          <w:szCs w:val="22"/>
          <w:lang w:val="en-US"/>
        </w:rPr>
      </w:pPr>
      <w:r w:rsidRPr="00E205CA">
        <w:rPr>
          <w:rFonts w:ascii="Arial" w:hAnsi="Arial" w:cs="Arial"/>
          <w:color w:val="000000" w:themeColor="text1"/>
          <w:sz w:val="22"/>
          <w:szCs w:val="22"/>
        </w:rPr>
        <w:t xml:space="preserve">Department for Business, Innovation and Skills and Boles, N. (2015) </w:t>
      </w:r>
      <w:r w:rsidRPr="00E205CA">
        <w:rPr>
          <w:rFonts w:ascii="Arial" w:hAnsi="Arial" w:cs="Arial"/>
          <w:i/>
          <w:iCs/>
          <w:color w:val="000000" w:themeColor="text1"/>
          <w:sz w:val="22"/>
          <w:szCs w:val="22"/>
        </w:rPr>
        <w:t>New rights for consumers when buying digital content</w:t>
      </w:r>
      <w:r w:rsidRPr="00E205CA">
        <w:rPr>
          <w:rFonts w:ascii="Arial" w:hAnsi="Arial" w:cs="Arial"/>
          <w:color w:val="000000" w:themeColor="text1"/>
          <w:sz w:val="22"/>
          <w:szCs w:val="22"/>
        </w:rPr>
        <w:t xml:space="preserve">. Available at: </w:t>
      </w:r>
      <w:hyperlink r:id="rId11" w:history="1">
        <w:r w:rsidRPr="00E205CA">
          <w:rPr>
            <w:rStyle w:val="Hyperlink"/>
            <w:rFonts w:ascii="Arial" w:hAnsi="Arial" w:cs="Arial"/>
            <w:color w:val="000000" w:themeColor="text1"/>
            <w:sz w:val="22"/>
            <w:szCs w:val="22"/>
          </w:rPr>
          <w:t>https://ww</w:t>
        </w:r>
        <w:r w:rsidRPr="00E205CA">
          <w:rPr>
            <w:rStyle w:val="Hyperlink"/>
            <w:rFonts w:ascii="Arial" w:hAnsi="Arial" w:cs="Arial"/>
            <w:color w:val="000000" w:themeColor="text1"/>
            <w:sz w:val="22"/>
            <w:szCs w:val="22"/>
          </w:rPr>
          <w:t>w</w:t>
        </w:r>
        <w:r w:rsidRPr="00E205CA">
          <w:rPr>
            <w:rStyle w:val="Hyperlink"/>
            <w:rFonts w:ascii="Arial" w:hAnsi="Arial" w:cs="Arial"/>
            <w:color w:val="000000" w:themeColor="text1"/>
            <w:sz w:val="22"/>
            <w:szCs w:val="22"/>
          </w:rPr>
          <w:t>.gov.uk/government/news/new-rights-for-consumers-when-buying-digital-content</w:t>
        </w:r>
      </w:hyperlink>
      <w:r w:rsidRPr="00E205CA">
        <w:rPr>
          <w:rFonts w:ascii="Arial" w:hAnsi="Arial" w:cs="Arial"/>
          <w:color w:val="000000" w:themeColor="text1"/>
          <w:sz w:val="22"/>
          <w:szCs w:val="22"/>
        </w:rPr>
        <w:t xml:space="preserve"> </w:t>
      </w:r>
      <w:r w:rsidRPr="00E205CA">
        <w:rPr>
          <w:rFonts w:ascii="Arial" w:hAnsi="Arial" w:cs="Arial"/>
          <w:color w:val="000000" w:themeColor="text1"/>
          <w:sz w:val="22"/>
          <w:szCs w:val="22"/>
          <w:lang w:val="en-US"/>
        </w:rPr>
        <w:t>(Accessed: 27 April 2022).</w:t>
      </w:r>
    </w:p>
    <w:p w14:paraId="761C2632" w14:textId="77777777" w:rsidR="00E205CA" w:rsidRPr="00E205CA" w:rsidRDefault="00E205CA" w:rsidP="00E205CA">
      <w:pPr>
        <w:rPr>
          <w:rFonts w:ascii="Arial" w:hAnsi="Arial" w:cs="Arial"/>
          <w:color w:val="000000" w:themeColor="text1"/>
          <w:sz w:val="22"/>
          <w:szCs w:val="22"/>
          <w:lang w:val="en-US"/>
        </w:rPr>
      </w:pPr>
    </w:p>
    <w:p w14:paraId="17E1B5C1" w14:textId="7839EFC5" w:rsidR="005113FE" w:rsidRPr="005113FE" w:rsidRDefault="00E205CA" w:rsidP="005113FE">
      <w:pPr>
        <w:rPr>
          <w:rFonts w:ascii="Arial" w:hAnsi="Arial" w:cs="Arial"/>
          <w:color w:val="000000" w:themeColor="text1"/>
          <w:sz w:val="22"/>
          <w:szCs w:val="22"/>
          <w:lang w:val="en-US"/>
        </w:rPr>
      </w:pPr>
      <w:r w:rsidRPr="00E205CA">
        <w:rPr>
          <w:rFonts w:ascii="Arial" w:hAnsi="Arial" w:cs="Arial"/>
          <w:color w:val="000000" w:themeColor="text1"/>
          <w:sz w:val="22"/>
          <w:szCs w:val="22"/>
          <w:lang w:val="en-US"/>
        </w:rPr>
        <w:t xml:space="preserve">French, A. (2021) ‘Consumer Rights Act 2015’, </w:t>
      </w:r>
      <w:r w:rsidRPr="00E205CA">
        <w:rPr>
          <w:rFonts w:ascii="Arial" w:hAnsi="Arial" w:cs="Arial"/>
          <w:i/>
          <w:iCs/>
          <w:color w:val="000000" w:themeColor="text1"/>
          <w:sz w:val="22"/>
          <w:szCs w:val="22"/>
          <w:lang w:val="en-US"/>
        </w:rPr>
        <w:t>Which?</w:t>
      </w:r>
      <w:r w:rsidRPr="00E205CA">
        <w:rPr>
          <w:rFonts w:ascii="Arial" w:hAnsi="Arial" w:cs="Arial"/>
          <w:color w:val="000000" w:themeColor="text1"/>
          <w:sz w:val="22"/>
          <w:szCs w:val="22"/>
          <w:lang w:val="en-US"/>
        </w:rPr>
        <w:t xml:space="preserve"> [blog], 24 May. </w:t>
      </w:r>
      <w:r w:rsidRPr="00E205CA">
        <w:rPr>
          <w:rFonts w:ascii="Arial" w:hAnsi="Arial" w:cs="Arial"/>
          <w:color w:val="000000" w:themeColor="text1"/>
          <w:sz w:val="22"/>
          <w:szCs w:val="22"/>
          <w:lang w:val="en-US"/>
        </w:rPr>
        <w:t>Available</w:t>
      </w:r>
      <w:r w:rsidRPr="00E205CA">
        <w:rPr>
          <w:rFonts w:ascii="Arial" w:hAnsi="Arial" w:cs="Arial"/>
          <w:color w:val="000000" w:themeColor="text1"/>
          <w:sz w:val="22"/>
          <w:szCs w:val="22"/>
          <w:lang w:val="en-US"/>
        </w:rPr>
        <w:t xml:space="preserve"> at:</w:t>
      </w:r>
      <w:r w:rsidRPr="00E205CA">
        <w:rPr>
          <w:rFonts w:ascii="Arial" w:hAnsi="Arial" w:cs="Arial"/>
          <w:color w:val="000000" w:themeColor="text1"/>
          <w:sz w:val="22"/>
          <w:szCs w:val="22"/>
          <w:lang w:val="en-US"/>
        </w:rPr>
        <w:t xml:space="preserve"> </w:t>
      </w:r>
      <w:hyperlink r:id="rId12" w:history="1">
        <w:r w:rsidRPr="00E205CA">
          <w:rPr>
            <w:rStyle w:val="Hyperlink"/>
            <w:rFonts w:ascii="Arial" w:hAnsi="Arial" w:cs="Arial"/>
            <w:color w:val="000000" w:themeColor="text1"/>
            <w:sz w:val="22"/>
            <w:szCs w:val="22"/>
            <w:lang w:val="en-US"/>
          </w:rPr>
          <w:t>https://www.which.co.uk/consumer-rights/regulation/consumer-rights-act-aKJYx8n5KiSl</w:t>
        </w:r>
      </w:hyperlink>
      <w:r w:rsidRPr="00E205CA">
        <w:rPr>
          <w:rFonts w:ascii="Arial" w:hAnsi="Arial" w:cs="Arial"/>
          <w:color w:val="000000" w:themeColor="text1"/>
          <w:sz w:val="22"/>
          <w:szCs w:val="22"/>
          <w:lang w:val="en-US"/>
        </w:rPr>
        <w:t xml:space="preserve"> (Accessed: 23 April 2022).</w:t>
      </w:r>
    </w:p>
    <w:p w14:paraId="7D95AE3A" w14:textId="762C6495" w:rsidR="00F578DF" w:rsidRDefault="00F578DF" w:rsidP="00EA7575">
      <w:pPr>
        <w:rPr>
          <w:rFonts w:ascii="Arial" w:hAnsi="Arial" w:cs="Arial"/>
          <w:color w:val="000000" w:themeColor="text1"/>
          <w:sz w:val="22"/>
          <w:szCs w:val="22"/>
          <w:lang w:val="en-US"/>
        </w:rPr>
      </w:pPr>
    </w:p>
    <w:p w14:paraId="5D63B5AA" w14:textId="77777777" w:rsidR="00E205CA" w:rsidRPr="00E205CA" w:rsidRDefault="00E205CA" w:rsidP="00E205CA">
      <w:pPr>
        <w:rPr>
          <w:rFonts w:ascii="Arial" w:hAnsi="Arial" w:cs="Arial"/>
          <w:color w:val="000000" w:themeColor="text1"/>
          <w:sz w:val="22"/>
          <w:szCs w:val="22"/>
        </w:rPr>
      </w:pPr>
      <w:proofErr w:type="spellStart"/>
      <w:r w:rsidRPr="00E205CA">
        <w:rPr>
          <w:rFonts w:ascii="Arial" w:hAnsi="Arial" w:cs="Arial"/>
          <w:color w:val="000000" w:themeColor="text1"/>
          <w:sz w:val="22"/>
          <w:szCs w:val="22"/>
          <w:shd w:val="clear" w:color="auto" w:fill="FFFFFF"/>
        </w:rPr>
        <w:lastRenderedPageBreak/>
        <w:t>Giliker</w:t>
      </w:r>
      <w:proofErr w:type="spellEnd"/>
      <w:r w:rsidRPr="00E205CA">
        <w:rPr>
          <w:rFonts w:ascii="Arial" w:hAnsi="Arial" w:cs="Arial"/>
          <w:color w:val="000000" w:themeColor="text1"/>
          <w:sz w:val="22"/>
          <w:szCs w:val="22"/>
          <w:shd w:val="clear" w:color="auto" w:fill="FFFFFF"/>
        </w:rPr>
        <w:t xml:space="preserve">, P. (2017) “The Consumer Rights Act 2015 – a bastion of European consumer </w:t>
      </w:r>
      <w:proofErr w:type="gramStart"/>
      <w:r w:rsidRPr="00E205CA">
        <w:rPr>
          <w:rFonts w:ascii="Arial" w:hAnsi="Arial" w:cs="Arial"/>
          <w:color w:val="000000" w:themeColor="text1"/>
          <w:sz w:val="22"/>
          <w:szCs w:val="22"/>
          <w:shd w:val="clear" w:color="auto" w:fill="FFFFFF"/>
        </w:rPr>
        <w:t>rights?,</w:t>
      </w:r>
      <w:proofErr w:type="gramEnd"/>
      <w:r w:rsidRPr="00E205CA">
        <w:rPr>
          <w:rFonts w:ascii="Arial" w:hAnsi="Arial" w:cs="Arial"/>
          <w:color w:val="000000" w:themeColor="text1"/>
          <w:sz w:val="22"/>
          <w:szCs w:val="22"/>
          <w:shd w:val="clear" w:color="auto" w:fill="FFFFFF"/>
        </w:rPr>
        <w:t>” </w:t>
      </w:r>
      <w:r w:rsidRPr="00E205CA">
        <w:rPr>
          <w:rFonts w:ascii="Arial" w:hAnsi="Arial" w:cs="Arial"/>
          <w:i/>
          <w:iCs/>
          <w:color w:val="000000" w:themeColor="text1"/>
          <w:sz w:val="22"/>
          <w:szCs w:val="22"/>
          <w:bdr w:val="none" w:sz="0" w:space="0" w:color="auto" w:frame="1"/>
          <w:shd w:val="clear" w:color="auto" w:fill="FFFFFF"/>
        </w:rPr>
        <w:t>Legal Studies</w:t>
      </w:r>
      <w:r w:rsidRPr="00E205CA">
        <w:rPr>
          <w:rFonts w:ascii="Arial" w:hAnsi="Arial" w:cs="Arial"/>
          <w:color w:val="000000" w:themeColor="text1"/>
          <w:sz w:val="22"/>
          <w:szCs w:val="22"/>
          <w:shd w:val="clear" w:color="auto" w:fill="FFFFFF"/>
        </w:rPr>
        <w:t>. Cambridge University Press, 37(1), pp. 78–102. DOI: 10.1111/lest.12139.</w:t>
      </w:r>
    </w:p>
    <w:p w14:paraId="201B965A" w14:textId="77777777" w:rsidR="00E205CA" w:rsidRPr="00E205CA" w:rsidRDefault="00E205CA" w:rsidP="00EA7575">
      <w:pPr>
        <w:rPr>
          <w:rFonts w:ascii="Arial" w:hAnsi="Arial" w:cs="Arial"/>
          <w:color w:val="000000" w:themeColor="text1"/>
          <w:sz w:val="22"/>
          <w:szCs w:val="22"/>
          <w:lang w:val="en-US"/>
        </w:rPr>
      </w:pPr>
    </w:p>
    <w:p w14:paraId="52D6F2E7" w14:textId="714556BC" w:rsidR="00E205CA" w:rsidRDefault="00473DC5" w:rsidP="00EA7575">
      <w:pPr>
        <w:rPr>
          <w:rFonts w:ascii="Arial" w:hAnsi="Arial" w:cs="Arial"/>
          <w:color w:val="000000" w:themeColor="text1"/>
          <w:sz w:val="22"/>
          <w:szCs w:val="22"/>
          <w:lang w:val="en-US"/>
        </w:rPr>
      </w:pPr>
      <w:r w:rsidRPr="00E205CA">
        <w:rPr>
          <w:rFonts w:ascii="Arial" w:hAnsi="Arial" w:cs="Arial"/>
          <w:color w:val="000000" w:themeColor="text1"/>
          <w:sz w:val="22"/>
          <w:szCs w:val="22"/>
          <w:lang w:val="en-US"/>
        </w:rPr>
        <w:t>Google Arts &amp; Culture. (2022) Man-made law. Available at:</w:t>
      </w:r>
      <w:r w:rsidR="005A5878" w:rsidRPr="00E205CA">
        <w:rPr>
          <w:rFonts w:ascii="Arial" w:hAnsi="Arial" w:cs="Arial"/>
          <w:color w:val="000000" w:themeColor="text1"/>
          <w:sz w:val="22"/>
          <w:szCs w:val="22"/>
          <w:lang w:val="en-US"/>
        </w:rPr>
        <w:t xml:space="preserve"> </w:t>
      </w:r>
      <w:hyperlink r:id="rId13" w:history="1">
        <w:r w:rsidRPr="00E205CA">
          <w:rPr>
            <w:rStyle w:val="Hyperlink"/>
            <w:rFonts w:ascii="Arial" w:hAnsi="Arial" w:cs="Arial"/>
            <w:color w:val="000000" w:themeColor="text1"/>
            <w:sz w:val="22"/>
            <w:szCs w:val="22"/>
            <w:lang w:val="en-US"/>
          </w:rPr>
          <w:t>https://artsandculture.google.com/entity/man-made-law/m0hzr</w:t>
        </w:r>
        <w:r w:rsidRPr="00E205CA">
          <w:rPr>
            <w:rStyle w:val="Hyperlink"/>
            <w:rFonts w:ascii="Arial" w:hAnsi="Arial" w:cs="Arial"/>
            <w:color w:val="000000" w:themeColor="text1"/>
            <w:sz w:val="22"/>
            <w:szCs w:val="22"/>
            <w:lang w:val="en-US"/>
          </w:rPr>
          <w:t>c</w:t>
        </w:r>
        <w:r w:rsidRPr="00E205CA">
          <w:rPr>
            <w:rStyle w:val="Hyperlink"/>
            <w:rFonts w:ascii="Arial" w:hAnsi="Arial" w:cs="Arial"/>
            <w:color w:val="000000" w:themeColor="text1"/>
            <w:sz w:val="22"/>
            <w:szCs w:val="22"/>
            <w:lang w:val="en-US"/>
          </w:rPr>
          <w:t>0n?hl=en</w:t>
        </w:r>
      </w:hyperlink>
      <w:r w:rsidRPr="00E205CA">
        <w:rPr>
          <w:rFonts w:ascii="Arial" w:hAnsi="Arial" w:cs="Arial"/>
          <w:color w:val="000000" w:themeColor="text1"/>
          <w:sz w:val="22"/>
          <w:szCs w:val="22"/>
          <w:lang w:val="en-US"/>
        </w:rPr>
        <w:t xml:space="preserve"> </w:t>
      </w:r>
      <w:r w:rsidRPr="00E205CA">
        <w:rPr>
          <w:rFonts w:ascii="Arial" w:hAnsi="Arial" w:cs="Arial"/>
          <w:color w:val="000000" w:themeColor="text1"/>
          <w:sz w:val="22"/>
          <w:szCs w:val="22"/>
          <w:lang w:val="en-US"/>
        </w:rPr>
        <w:t xml:space="preserve">(Accessed: </w:t>
      </w:r>
      <w:r w:rsidRPr="00E205CA">
        <w:rPr>
          <w:rFonts w:ascii="Arial" w:hAnsi="Arial" w:cs="Arial"/>
          <w:color w:val="000000" w:themeColor="text1"/>
          <w:sz w:val="22"/>
          <w:szCs w:val="22"/>
          <w:lang w:val="en-US"/>
        </w:rPr>
        <w:t>27</w:t>
      </w:r>
      <w:r w:rsidRPr="00E205CA">
        <w:rPr>
          <w:rFonts w:ascii="Arial" w:hAnsi="Arial" w:cs="Arial"/>
          <w:color w:val="000000" w:themeColor="text1"/>
          <w:sz w:val="22"/>
          <w:szCs w:val="22"/>
          <w:lang w:val="en-US"/>
        </w:rPr>
        <w:t xml:space="preserve"> April 2022).</w:t>
      </w:r>
    </w:p>
    <w:p w14:paraId="505F6181" w14:textId="77777777" w:rsidR="00E205CA" w:rsidRDefault="00E205CA" w:rsidP="00EA7575">
      <w:pPr>
        <w:rPr>
          <w:rFonts w:ascii="Arial" w:hAnsi="Arial" w:cs="Arial"/>
          <w:color w:val="000000" w:themeColor="text1"/>
          <w:sz w:val="22"/>
          <w:szCs w:val="22"/>
          <w:lang w:val="en-US"/>
        </w:rPr>
      </w:pPr>
    </w:p>
    <w:p w14:paraId="34FF5877" w14:textId="77777777" w:rsidR="00E205CA" w:rsidRPr="00E205CA" w:rsidRDefault="00E205CA" w:rsidP="00E205CA">
      <w:pPr>
        <w:rPr>
          <w:rFonts w:ascii="Arial" w:hAnsi="Arial" w:cs="Arial"/>
          <w:color w:val="000000" w:themeColor="text1"/>
          <w:sz w:val="22"/>
          <w:szCs w:val="22"/>
        </w:rPr>
      </w:pPr>
      <w:r w:rsidRPr="00E205CA">
        <w:rPr>
          <w:rFonts w:ascii="Arial" w:hAnsi="Arial" w:cs="Arial"/>
          <w:sz w:val="22"/>
          <w:szCs w:val="22"/>
          <w:lang w:val="en-US"/>
        </w:rPr>
        <w:t xml:space="preserve">Harker, M. </w:t>
      </w:r>
      <w:r w:rsidRPr="00E205CA">
        <w:rPr>
          <w:rFonts w:ascii="Arial" w:hAnsi="Arial" w:cs="Arial"/>
          <w:i/>
          <w:iCs/>
          <w:sz w:val="22"/>
          <w:szCs w:val="22"/>
          <w:lang w:val="en-US"/>
        </w:rPr>
        <w:t>et al</w:t>
      </w:r>
      <w:r w:rsidRPr="00E205CA">
        <w:rPr>
          <w:rFonts w:ascii="Arial" w:hAnsi="Arial" w:cs="Arial"/>
          <w:sz w:val="22"/>
          <w:szCs w:val="22"/>
          <w:lang w:val="en-US"/>
        </w:rPr>
        <w:t xml:space="preserve"> (2008) </w:t>
      </w:r>
      <w:r w:rsidRPr="00E205CA">
        <w:rPr>
          <w:rStyle w:val="Emphasis"/>
          <w:rFonts w:ascii="Arial" w:hAnsi="Arial" w:cs="Arial"/>
          <w:color w:val="000000" w:themeColor="text1"/>
          <w:sz w:val="22"/>
          <w:szCs w:val="22"/>
          <w:shd w:val="clear" w:color="auto" w:fill="FFFFFF"/>
        </w:rPr>
        <w:t>Benchmarking the Performance of the UK Framework Supporting Consumer Empowerment through Comparison against Relevant International Comparator Countries</w:t>
      </w:r>
      <w:r w:rsidRPr="00E205CA">
        <w:rPr>
          <w:rFonts w:ascii="Arial" w:hAnsi="Arial" w:cs="Arial"/>
          <w:color w:val="000000" w:themeColor="text1"/>
          <w:sz w:val="22"/>
          <w:szCs w:val="22"/>
          <w:shd w:val="clear" w:color="auto" w:fill="FFFFFF"/>
        </w:rPr>
        <w:t xml:space="preserve">. Available at: </w:t>
      </w:r>
      <w:hyperlink r:id="rId14" w:history="1">
        <w:r w:rsidRPr="00E205CA">
          <w:rPr>
            <w:rStyle w:val="Hyperlink"/>
            <w:rFonts w:ascii="Arial" w:hAnsi="Arial" w:cs="Arial"/>
            <w:color w:val="000000" w:themeColor="text1"/>
            <w:sz w:val="22"/>
            <w:szCs w:val="22"/>
            <w:shd w:val="clear" w:color="auto" w:fill="FFFFFF"/>
          </w:rPr>
          <w:t>http://www.bis.gov.uk/files/file50027.pdf</w:t>
        </w:r>
      </w:hyperlink>
      <w:r w:rsidRPr="00E205CA">
        <w:rPr>
          <w:rFonts w:ascii="Arial" w:hAnsi="Arial" w:cs="Arial"/>
          <w:color w:val="000000" w:themeColor="text1"/>
          <w:sz w:val="22"/>
          <w:szCs w:val="22"/>
          <w:shd w:val="clear" w:color="auto" w:fill="FFFFFF"/>
        </w:rPr>
        <w:t xml:space="preserve"> </w:t>
      </w:r>
      <w:r w:rsidRPr="00E205CA">
        <w:rPr>
          <w:rFonts w:ascii="Arial" w:hAnsi="Arial" w:cs="Arial"/>
          <w:color w:val="000000" w:themeColor="text1"/>
          <w:sz w:val="22"/>
          <w:szCs w:val="22"/>
          <w:lang w:val="en-US"/>
        </w:rPr>
        <w:t>(Accessed: 1 May 2022).</w:t>
      </w:r>
    </w:p>
    <w:p w14:paraId="42F19670" w14:textId="1F1401F1" w:rsidR="00E205CA" w:rsidRDefault="00E205CA" w:rsidP="00E205CA">
      <w:pPr>
        <w:rPr>
          <w:rFonts w:ascii="Arial" w:hAnsi="Arial" w:cs="Arial"/>
          <w:color w:val="000000" w:themeColor="text1"/>
          <w:sz w:val="22"/>
          <w:szCs w:val="22"/>
        </w:rPr>
      </w:pPr>
    </w:p>
    <w:p w14:paraId="2552D371" w14:textId="77777777" w:rsidR="00E205CA" w:rsidRPr="00E205CA" w:rsidRDefault="00E205CA" w:rsidP="00E205CA">
      <w:pPr>
        <w:rPr>
          <w:rFonts w:ascii="Arial" w:hAnsi="Arial" w:cs="Arial"/>
          <w:color w:val="000000" w:themeColor="text1"/>
          <w:sz w:val="22"/>
          <w:szCs w:val="22"/>
        </w:rPr>
      </w:pPr>
      <w:r w:rsidRPr="00E205CA">
        <w:rPr>
          <w:rFonts w:ascii="Arial" w:hAnsi="Arial" w:cs="Arial"/>
          <w:color w:val="000000" w:themeColor="text1"/>
          <w:sz w:val="22"/>
          <w:szCs w:val="22"/>
        </w:rPr>
        <w:t xml:space="preserve">Lockett, N. and Egan, M. (1995) </w:t>
      </w:r>
      <w:r w:rsidRPr="00E205CA">
        <w:rPr>
          <w:rFonts w:ascii="Arial" w:hAnsi="Arial" w:cs="Arial"/>
          <w:i/>
          <w:iCs/>
          <w:color w:val="000000" w:themeColor="text1"/>
          <w:sz w:val="22"/>
          <w:szCs w:val="22"/>
        </w:rPr>
        <w:t>Unfair Terms in Consumer Agreements</w:t>
      </w:r>
      <w:r w:rsidRPr="00E205CA">
        <w:rPr>
          <w:rFonts w:ascii="Arial" w:hAnsi="Arial" w:cs="Arial"/>
          <w:color w:val="000000" w:themeColor="text1"/>
          <w:sz w:val="22"/>
          <w:szCs w:val="22"/>
        </w:rPr>
        <w:t xml:space="preserve">. Chichester: Chancery Law Publishing. </w:t>
      </w:r>
    </w:p>
    <w:p w14:paraId="6BA399A3" w14:textId="53F916AD" w:rsidR="00F578DF" w:rsidRPr="00E205CA" w:rsidRDefault="00F578DF" w:rsidP="00EA7575">
      <w:pPr>
        <w:rPr>
          <w:rFonts w:ascii="Arial" w:hAnsi="Arial" w:cs="Arial"/>
          <w:color w:val="000000" w:themeColor="text1"/>
          <w:sz w:val="22"/>
          <w:szCs w:val="22"/>
          <w:lang w:val="en-US"/>
        </w:rPr>
      </w:pPr>
    </w:p>
    <w:p w14:paraId="15E7D70C" w14:textId="6F009481" w:rsidR="00473DC5" w:rsidRPr="00E205CA" w:rsidRDefault="00473DC5" w:rsidP="00EA7575">
      <w:pPr>
        <w:rPr>
          <w:rFonts w:ascii="Arial" w:hAnsi="Arial" w:cs="Arial"/>
          <w:color w:val="000000" w:themeColor="text1"/>
          <w:sz w:val="22"/>
          <w:szCs w:val="22"/>
          <w:lang w:val="en-US"/>
        </w:rPr>
      </w:pPr>
      <w:proofErr w:type="spellStart"/>
      <w:r w:rsidRPr="00E205CA">
        <w:rPr>
          <w:rFonts w:ascii="Arial" w:hAnsi="Arial" w:cs="Arial"/>
          <w:color w:val="000000" w:themeColor="text1"/>
          <w:sz w:val="22"/>
          <w:szCs w:val="22"/>
          <w:lang w:val="en-US"/>
        </w:rPr>
        <w:t>Mcclain</w:t>
      </w:r>
      <w:proofErr w:type="spellEnd"/>
      <w:r w:rsidRPr="00E205CA">
        <w:rPr>
          <w:rFonts w:ascii="Arial" w:hAnsi="Arial" w:cs="Arial"/>
          <w:color w:val="000000" w:themeColor="text1"/>
          <w:sz w:val="22"/>
          <w:szCs w:val="22"/>
          <w:lang w:val="en-US"/>
        </w:rPr>
        <w:t xml:space="preserve">, C. </w:t>
      </w:r>
      <w:r w:rsidRPr="00E205CA">
        <w:rPr>
          <w:rFonts w:ascii="Arial" w:hAnsi="Arial" w:cs="Arial"/>
          <w:i/>
          <w:iCs/>
          <w:color w:val="000000" w:themeColor="text1"/>
          <w:sz w:val="22"/>
          <w:szCs w:val="22"/>
          <w:lang w:val="en-US"/>
        </w:rPr>
        <w:t>et al</w:t>
      </w:r>
      <w:r w:rsidRPr="00E205CA">
        <w:rPr>
          <w:rFonts w:ascii="Arial" w:hAnsi="Arial" w:cs="Arial"/>
          <w:color w:val="000000" w:themeColor="text1"/>
          <w:sz w:val="22"/>
          <w:szCs w:val="22"/>
          <w:lang w:val="en-US"/>
        </w:rPr>
        <w:t xml:space="preserve"> (2021) The Internet and the Pandemic. New York: Pew Research center.</w:t>
      </w:r>
    </w:p>
    <w:p w14:paraId="4D9C7CDC" w14:textId="076EF4EB" w:rsidR="00D1792A" w:rsidRPr="00E205CA" w:rsidRDefault="00D1792A" w:rsidP="00EA7575">
      <w:pPr>
        <w:rPr>
          <w:rFonts w:ascii="Arial" w:hAnsi="Arial" w:cs="Arial"/>
          <w:color w:val="000000" w:themeColor="text1"/>
          <w:sz w:val="22"/>
          <w:szCs w:val="22"/>
          <w:lang w:val="en-US"/>
        </w:rPr>
      </w:pPr>
    </w:p>
    <w:p w14:paraId="0C66C60F" w14:textId="5655CAEC" w:rsidR="00F07C58" w:rsidRPr="00E205CA" w:rsidRDefault="00E205CA" w:rsidP="00EA7575">
      <w:pPr>
        <w:rPr>
          <w:rFonts w:ascii="Arial" w:hAnsi="Arial" w:cs="Arial"/>
          <w:sz w:val="22"/>
          <w:szCs w:val="22"/>
          <w:lang w:val="en-US"/>
        </w:rPr>
      </w:pPr>
      <w:r w:rsidRPr="00E205CA">
        <w:rPr>
          <w:rFonts w:ascii="Arial" w:hAnsi="Arial" w:cs="Arial"/>
          <w:sz w:val="22"/>
          <w:szCs w:val="22"/>
          <w:lang w:val="en-US"/>
        </w:rPr>
        <w:t xml:space="preserve">MGN Ltd (2015) ‘Consumer Rights Act 2015 explained’, </w:t>
      </w:r>
      <w:r w:rsidRPr="00E205CA">
        <w:rPr>
          <w:rFonts w:ascii="Arial" w:hAnsi="Arial" w:cs="Arial"/>
          <w:i/>
          <w:iCs/>
          <w:sz w:val="22"/>
          <w:szCs w:val="22"/>
          <w:lang w:val="en-US"/>
        </w:rPr>
        <w:t>MGN Ltd</w:t>
      </w:r>
      <w:r w:rsidRPr="00E205CA">
        <w:rPr>
          <w:rFonts w:ascii="Arial" w:hAnsi="Arial" w:cs="Arial"/>
          <w:sz w:val="22"/>
          <w:szCs w:val="22"/>
          <w:lang w:val="en-US"/>
        </w:rPr>
        <w:t>, 7</w:t>
      </w:r>
      <w:r w:rsidRPr="00E205CA">
        <w:rPr>
          <w:rFonts w:ascii="Arial" w:hAnsi="Arial" w:cs="Arial"/>
          <w:sz w:val="22"/>
          <w:szCs w:val="22"/>
          <w:vertAlign w:val="superscript"/>
          <w:lang w:val="en-US"/>
        </w:rPr>
        <w:t>th</w:t>
      </w:r>
      <w:r w:rsidRPr="00E205CA">
        <w:rPr>
          <w:rFonts w:ascii="Arial" w:hAnsi="Arial" w:cs="Arial"/>
          <w:sz w:val="22"/>
          <w:szCs w:val="22"/>
          <w:lang w:val="en-US"/>
        </w:rPr>
        <w:t xml:space="preserve"> May, p.</w:t>
      </w:r>
      <w:r>
        <w:rPr>
          <w:rFonts w:ascii="Arial" w:hAnsi="Arial" w:cs="Arial"/>
          <w:sz w:val="22"/>
          <w:szCs w:val="22"/>
          <w:lang w:val="en-US"/>
        </w:rPr>
        <w:t xml:space="preserve"> </w:t>
      </w:r>
      <w:r w:rsidRPr="00E205CA">
        <w:rPr>
          <w:rFonts w:ascii="Arial" w:hAnsi="Arial" w:cs="Arial"/>
          <w:sz w:val="22"/>
          <w:szCs w:val="22"/>
          <w:lang w:val="en-US"/>
        </w:rPr>
        <w:t>21.</w:t>
      </w:r>
    </w:p>
    <w:p w14:paraId="7DB794C7" w14:textId="06D39706" w:rsidR="00F07C58" w:rsidRPr="00E205CA" w:rsidRDefault="00F07C58" w:rsidP="00EA7575">
      <w:pPr>
        <w:rPr>
          <w:rFonts w:ascii="Arial" w:hAnsi="Arial" w:cs="Arial"/>
          <w:sz w:val="22"/>
          <w:szCs w:val="22"/>
          <w:lang w:val="en-US"/>
        </w:rPr>
      </w:pPr>
    </w:p>
    <w:p w14:paraId="21210C5F" w14:textId="2087D11E" w:rsidR="009E7186" w:rsidRPr="00E205CA" w:rsidRDefault="009E7186" w:rsidP="009E7186">
      <w:pPr>
        <w:rPr>
          <w:rFonts w:ascii="Arial" w:hAnsi="Arial" w:cs="Arial"/>
          <w:color w:val="000000" w:themeColor="text1"/>
          <w:sz w:val="22"/>
          <w:szCs w:val="22"/>
        </w:rPr>
      </w:pPr>
      <w:r w:rsidRPr="00E205CA">
        <w:rPr>
          <w:rFonts w:ascii="Arial" w:hAnsi="Arial" w:cs="Arial"/>
          <w:color w:val="000000" w:themeColor="text1"/>
          <w:sz w:val="22"/>
          <w:szCs w:val="22"/>
          <w:shd w:val="clear" w:color="auto" w:fill="FFFFFF"/>
        </w:rPr>
        <w:t>O’Brien,</w:t>
      </w:r>
      <w:r w:rsidRPr="00E205CA">
        <w:rPr>
          <w:rFonts w:ascii="Arial" w:hAnsi="Arial" w:cs="Arial"/>
          <w:color w:val="000000" w:themeColor="text1"/>
          <w:sz w:val="22"/>
          <w:szCs w:val="22"/>
          <w:shd w:val="clear" w:color="auto" w:fill="FFFFFF"/>
        </w:rPr>
        <w:t xml:space="preserve"> E. (2015)</w:t>
      </w:r>
      <w:r w:rsidRPr="00E205CA">
        <w:rPr>
          <w:rFonts w:ascii="Arial" w:hAnsi="Arial" w:cs="Arial"/>
          <w:color w:val="000000" w:themeColor="text1"/>
          <w:sz w:val="22"/>
          <w:szCs w:val="22"/>
          <w:shd w:val="clear" w:color="auto" w:fill="FFFFFF"/>
        </w:rPr>
        <w:t xml:space="preserve"> ‘</w:t>
      </w:r>
      <w:r w:rsidRPr="00E205CA">
        <w:rPr>
          <w:rStyle w:val="Emphasis"/>
          <w:rFonts w:ascii="Arial" w:hAnsi="Arial" w:cs="Arial"/>
          <w:color w:val="000000" w:themeColor="text1"/>
          <w:sz w:val="22"/>
          <w:szCs w:val="22"/>
          <w:shd w:val="clear" w:color="auto" w:fill="FFFFFF"/>
        </w:rPr>
        <w:t>The UK Consumer Rights Act 2015: unfair contract terms considered</w:t>
      </w:r>
      <w:r w:rsidRPr="00E205CA">
        <w:rPr>
          <w:rFonts w:ascii="Arial" w:hAnsi="Arial" w:cs="Arial"/>
          <w:color w:val="000000" w:themeColor="text1"/>
          <w:sz w:val="22"/>
          <w:szCs w:val="22"/>
          <w:shd w:val="clear" w:color="auto" w:fill="FFFFFF"/>
        </w:rPr>
        <w:t>’ Compliance and Risk 4(6), 12-14, at 14. See Consumer Rights Act 2015, c. 15, section 50.</w:t>
      </w:r>
    </w:p>
    <w:p w14:paraId="0BE45D26" w14:textId="3456B05A" w:rsidR="009E7186" w:rsidRDefault="009E7186" w:rsidP="009E7186">
      <w:pPr>
        <w:rPr>
          <w:rFonts w:ascii="Arial" w:hAnsi="Arial" w:cs="Arial"/>
          <w:color w:val="000000" w:themeColor="text1"/>
          <w:sz w:val="22"/>
          <w:szCs w:val="22"/>
        </w:rPr>
      </w:pPr>
    </w:p>
    <w:p w14:paraId="447F670E" w14:textId="77777777" w:rsidR="00E205CA" w:rsidRPr="00E205CA" w:rsidRDefault="00E205CA" w:rsidP="00E205CA">
      <w:pPr>
        <w:rPr>
          <w:rFonts w:ascii="Arial" w:hAnsi="Arial" w:cs="Arial"/>
          <w:color w:val="000000" w:themeColor="text1"/>
          <w:sz w:val="22"/>
          <w:szCs w:val="22"/>
          <w:lang w:val="en-US"/>
        </w:rPr>
      </w:pPr>
      <w:proofErr w:type="spellStart"/>
      <w:r w:rsidRPr="00E205CA">
        <w:rPr>
          <w:rFonts w:ascii="Arial" w:hAnsi="Arial" w:cs="Arial"/>
          <w:color w:val="000000" w:themeColor="text1"/>
          <w:sz w:val="22"/>
          <w:szCs w:val="22"/>
        </w:rPr>
        <w:t>Olatokun</w:t>
      </w:r>
      <w:proofErr w:type="spellEnd"/>
      <w:r w:rsidRPr="00E205CA">
        <w:rPr>
          <w:rFonts w:ascii="Arial" w:hAnsi="Arial" w:cs="Arial"/>
          <w:color w:val="000000" w:themeColor="text1"/>
          <w:sz w:val="22"/>
          <w:szCs w:val="22"/>
        </w:rPr>
        <w:t xml:space="preserve">, M. A. (2019) ‘The rule of Law Should be Taught in Schools’, </w:t>
      </w:r>
      <w:r w:rsidRPr="00E205CA">
        <w:rPr>
          <w:rFonts w:ascii="Arial" w:hAnsi="Arial" w:cs="Arial"/>
          <w:i/>
          <w:iCs/>
          <w:color w:val="000000" w:themeColor="text1"/>
          <w:sz w:val="22"/>
          <w:szCs w:val="22"/>
        </w:rPr>
        <w:t>Reconnect</w:t>
      </w:r>
      <w:r w:rsidRPr="00E205CA">
        <w:rPr>
          <w:rFonts w:ascii="Arial" w:hAnsi="Arial" w:cs="Arial"/>
          <w:color w:val="000000" w:themeColor="text1"/>
          <w:sz w:val="22"/>
          <w:szCs w:val="22"/>
        </w:rPr>
        <w:t xml:space="preserve"> [blog]. 17 June. Available at:</w:t>
      </w:r>
      <w:r w:rsidRPr="00E205CA">
        <w:rPr>
          <w:rFonts w:ascii="Arial" w:hAnsi="Arial" w:cs="Arial"/>
          <w:color w:val="000000" w:themeColor="text1"/>
          <w:sz w:val="22"/>
          <w:szCs w:val="22"/>
          <w:lang w:val="en-US"/>
        </w:rPr>
        <w:t xml:space="preserve"> </w:t>
      </w:r>
      <w:hyperlink r:id="rId15" w:history="1">
        <w:r w:rsidRPr="00E205CA">
          <w:rPr>
            <w:rStyle w:val="Hyperlink"/>
            <w:rFonts w:ascii="Arial" w:hAnsi="Arial" w:cs="Arial"/>
            <w:color w:val="000000" w:themeColor="text1"/>
            <w:sz w:val="22"/>
            <w:szCs w:val="22"/>
            <w:lang w:val="en-US"/>
          </w:rPr>
          <w:t>https://reconnect-europe.eu/blog/olatokun-rule-of-law-human-rights-education-schools/</w:t>
        </w:r>
      </w:hyperlink>
      <w:r w:rsidRPr="00E205CA">
        <w:rPr>
          <w:rFonts w:ascii="Arial" w:hAnsi="Arial" w:cs="Arial"/>
          <w:color w:val="000000" w:themeColor="text1"/>
          <w:sz w:val="22"/>
          <w:szCs w:val="22"/>
          <w:lang w:val="en-US"/>
        </w:rPr>
        <w:t xml:space="preserve"> (Accessed: 29 April 2022).</w:t>
      </w:r>
    </w:p>
    <w:p w14:paraId="66A1512F" w14:textId="6E23772C" w:rsidR="00E205CA" w:rsidRDefault="00E205CA" w:rsidP="00E205CA">
      <w:pPr>
        <w:shd w:val="clear" w:color="auto" w:fill="FFFFFF"/>
        <w:rPr>
          <w:rFonts w:ascii="Arial" w:hAnsi="Arial" w:cs="Arial"/>
          <w:color w:val="000000" w:themeColor="text1"/>
          <w:sz w:val="22"/>
          <w:szCs w:val="22"/>
          <w:lang w:val="en-US"/>
        </w:rPr>
      </w:pPr>
    </w:p>
    <w:p w14:paraId="619FCDA4" w14:textId="71160F77" w:rsidR="002335C8" w:rsidRPr="00E205CA" w:rsidRDefault="002335C8" w:rsidP="00E205CA">
      <w:pPr>
        <w:shd w:val="clear" w:color="auto" w:fill="FFFFFF"/>
        <w:rPr>
          <w:rFonts w:ascii="Arial" w:hAnsi="Arial" w:cs="Arial"/>
          <w:color w:val="000000" w:themeColor="text1"/>
          <w:sz w:val="22"/>
          <w:szCs w:val="22"/>
          <w:lang w:val="en-US"/>
        </w:rPr>
      </w:pPr>
      <w:r w:rsidRPr="002335C8">
        <w:rPr>
          <w:rFonts w:ascii="Arial" w:hAnsi="Arial" w:cs="Arial"/>
          <w:color w:val="000000" w:themeColor="text1"/>
          <w:sz w:val="22"/>
          <w:szCs w:val="22"/>
          <w:lang w:val="en-US"/>
        </w:rPr>
        <w:t>Patient</w:t>
      </w:r>
      <w:r>
        <w:rPr>
          <w:rFonts w:ascii="Arial" w:hAnsi="Arial" w:cs="Arial"/>
          <w:color w:val="000000" w:themeColor="text1"/>
          <w:sz w:val="22"/>
          <w:szCs w:val="22"/>
          <w:lang w:val="en-US"/>
        </w:rPr>
        <w:t>,</w:t>
      </w:r>
      <w:r w:rsidRPr="002335C8">
        <w:rPr>
          <w:rFonts w:ascii="Arial" w:hAnsi="Arial" w:cs="Arial"/>
          <w:color w:val="000000" w:themeColor="text1"/>
          <w:sz w:val="22"/>
          <w:szCs w:val="22"/>
          <w:lang w:val="en-US"/>
        </w:rPr>
        <w:t xml:space="preserve"> J</w:t>
      </w:r>
      <w:r>
        <w:rPr>
          <w:rFonts w:ascii="Arial" w:hAnsi="Arial" w:cs="Arial"/>
          <w:color w:val="000000" w:themeColor="text1"/>
          <w:sz w:val="22"/>
          <w:szCs w:val="22"/>
          <w:lang w:val="en-US"/>
        </w:rPr>
        <w:t>. (2015)</w:t>
      </w:r>
      <w:r w:rsidRPr="002335C8">
        <w:rPr>
          <w:rFonts w:ascii="Arial" w:hAnsi="Arial" w:cs="Arial"/>
          <w:color w:val="000000" w:themeColor="text1"/>
          <w:sz w:val="22"/>
          <w:szCs w:val="22"/>
          <w:lang w:val="en-US"/>
        </w:rPr>
        <w:t xml:space="preserve"> 'The Consumer Rights Act 2015: a new regime for fairness?' </w:t>
      </w:r>
      <w:r w:rsidRPr="002335C8">
        <w:rPr>
          <w:rFonts w:ascii="Arial" w:hAnsi="Arial" w:cs="Arial"/>
          <w:i/>
          <w:iCs/>
          <w:color w:val="000000" w:themeColor="text1"/>
          <w:sz w:val="22"/>
          <w:szCs w:val="22"/>
          <w:lang w:val="en-US"/>
        </w:rPr>
        <w:t>Journal of International Banking and Regulation</w:t>
      </w:r>
      <w:r>
        <w:rPr>
          <w:rFonts w:ascii="Arial" w:hAnsi="Arial" w:cs="Arial"/>
          <w:color w:val="000000" w:themeColor="text1"/>
          <w:sz w:val="22"/>
          <w:szCs w:val="22"/>
          <w:lang w:val="en-US"/>
        </w:rPr>
        <w:t>,</w:t>
      </w:r>
      <w:r w:rsidRPr="002335C8">
        <w:rPr>
          <w:rFonts w:ascii="Arial" w:hAnsi="Arial" w:cs="Arial"/>
          <w:color w:val="000000" w:themeColor="text1"/>
          <w:sz w:val="22"/>
          <w:szCs w:val="22"/>
          <w:lang w:val="en-US"/>
        </w:rPr>
        <w:t xml:space="preserve"> 30(12), </w:t>
      </w:r>
      <w:r>
        <w:rPr>
          <w:rFonts w:ascii="Arial" w:hAnsi="Arial" w:cs="Arial"/>
          <w:color w:val="000000" w:themeColor="text1"/>
          <w:sz w:val="22"/>
          <w:szCs w:val="22"/>
          <w:lang w:val="en-US"/>
        </w:rPr>
        <w:t xml:space="preserve">pp. </w:t>
      </w:r>
      <w:r w:rsidRPr="002335C8">
        <w:rPr>
          <w:rFonts w:ascii="Arial" w:hAnsi="Arial" w:cs="Arial"/>
          <w:color w:val="000000" w:themeColor="text1"/>
          <w:sz w:val="22"/>
          <w:szCs w:val="22"/>
          <w:lang w:val="en-US"/>
        </w:rPr>
        <w:t>643-648.</w:t>
      </w:r>
    </w:p>
    <w:p w14:paraId="27BBDDAD" w14:textId="77777777" w:rsidR="002335C8" w:rsidRDefault="002335C8" w:rsidP="002335C8">
      <w:pPr>
        <w:shd w:val="clear" w:color="auto" w:fill="FFFFFF"/>
        <w:spacing w:line="0" w:lineRule="auto"/>
        <w:rPr>
          <w:rFonts w:ascii="ff1" w:hAnsi="ff1"/>
          <w:color w:val="000000"/>
          <w:sz w:val="72"/>
          <w:szCs w:val="72"/>
        </w:rPr>
      </w:pPr>
      <w:r>
        <w:rPr>
          <w:rFonts w:ascii="ff1" w:hAnsi="ff1"/>
          <w:color w:val="000000"/>
          <w:sz w:val="72"/>
          <w:szCs w:val="72"/>
        </w:rPr>
        <w:t xml:space="preserve">Patient J, 'The Consumer Rights Act 2015: a new regime for fairness?' [2015] Journal of </w:t>
      </w:r>
    </w:p>
    <w:p w14:paraId="539362D3" w14:textId="03C9C1FB" w:rsidR="00D970EE" w:rsidRPr="002335C8" w:rsidRDefault="002335C8" w:rsidP="002335C8">
      <w:pPr>
        <w:shd w:val="clear" w:color="auto" w:fill="FFFFFF"/>
        <w:spacing w:line="0" w:lineRule="auto"/>
        <w:rPr>
          <w:rFonts w:ascii="ff1" w:hAnsi="ff1"/>
          <w:color w:val="000000"/>
          <w:sz w:val="72"/>
          <w:szCs w:val="72"/>
        </w:rPr>
      </w:pPr>
      <w:r>
        <w:rPr>
          <w:rFonts w:ascii="ff1" w:hAnsi="ff1"/>
          <w:color w:val="000000"/>
          <w:sz w:val="72"/>
          <w:szCs w:val="72"/>
        </w:rPr>
        <w:t>International Banking and Regulation 30(12), 643-648.</w:t>
      </w:r>
    </w:p>
    <w:sectPr w:rsidR="00D970EE" w:rsidRPr="002335C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4BC1C6" w14:textId="77777777" w:rsidR="002F5A4C" w:rsidRDefault="002F5A4C" w:rsidP="00EA7575">
      <w:r>
        <w:separator/>
      </w:r>
    </w:p>
  </w:endnote>
  <w:endnote w:type="continuationSeparator" w:id="0">
    <w:p w14:paraId="79C1F52C" w14:textId="77777777" w:rsidR="002F5A4C" w:rsidRDefault="002F5A4C" w:rsidP="00EA75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ff1">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AA462" w14:textId="77777777" w:rsidR="002F5A4C" w:rsidRDefault="002F5A4C" w:rsidP="00EA7575">
      <w:r>
        <w:separator/>
      </w:r>
    </w:p>
  </w:footnote>
  <w:footnote w:type="continuationSeparator" w:id="0">
    <w:p w14:paraId="37219886" w14:textId="77777777" w:rsidR="002F5A4C" w:rsidRDefault="002F5A4C" w:rsidP="00EA75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49C11" w14:textId="1E8BB1A8" w:rsidR="00EA7575" w:rsidRPr="00A23499" w:rsidRDefault="00A23499" w:rsidP="00A23499">
    <w:pPr>
      <w:pStyle w:val="Header"/>
      <w:ind w:right="400"/>
      <w:rPr>
        <w:rFonts w:ascii="Arial" w:hAnsi="Arial" w:cs="Arial"/>
        <w:sz w:val="20"/>
        <w:szCs w:val="20"/>
        <w:lang w:val="en-US"/>
      </w:rPr>
    </w:pPr>
    <w:r>
      <w:rPr>
        <w:rFonts w:ascii="Arial" w:hAnsi="Arial" w:cs="Arial"/>
        <w:sz w:val="20"/>
        <w:szCs w:val="20"/>
        <w:lang w:val="en-US"/>
      </w:rPr>
      <w:t xml:space="preserve">      </w:t>
    </w:r>
    <w:r w:rsidRPr="00A23499">
      <w:rPr>
        <w:rFonts w:ascii="Arial" w:hAnsi="Arial" w:cs="Arial"/>
        <w:sz w:val="20"/>
        <w:szCs w:val="20"/>
        <w:lang w:val="en-US"/>
      </w:rPr>
      <w:t xml:space="preserve">Module Code: BMLW5006                                      </w:t>
    </w:r>
    <w:r>
      <w:rPr>
        <w:rFonts w:ascii="Arial" w:hAnsi="Arial" w:cs="Arial"/>
        <w:sz w:val="20"/>
        <w:szCs w:val="20"/>
        <w:lang w:val="en-US"/>
      </w:rPr>
      <w:t xml:space="preserve">       </w:t>
    </w:r>
    <w:r w:rsidRPr="00A23499">
      <w:rPr>
        <w:rFonts w:ascii="Arial" w:hAnsi="Arial" w:cs="Arial"/>
        <w:sz w:val="20"/>
        <w:szCs w:val="20"/>
        <w:lang w:val="en-US"/>
      </w:rPr>
      <w:t xml:space="preserve">                             </w:t>
    </w:r>
    <w:r w:rsidR="00EA7575" w:rsidRPr="00A23499">
      <w:rPr>
        <w:rFonts w:ascii="Arial" w:hAnsi="Arial" w:cs="Arial"/>
        <w:sz w:val="20"/>
        <w:szCs w:val="20"/>
        <w:lang w:val="en-US"/>
      </w:rPr>
      <w:t>Ulziijargal Batbaatar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F42925"/>
    <w:multiLevelType w:val="multilevel"/>
    <w:tmpl w:val="688C319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5FB619C9"/>
    <w:multiLevelType w:val="multilevel"/>
    <w:tmpl w:val="E780DBA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78080C8A"/>
    <w:multiLevelType w:val="hybridMultilevel"/>
    <w:tmpl w:val="82764AB6"/>
    <w:lvl w:ilvl="0" w:tplc="A9964AE2">
      <w:start w:val="1"/>
      <w:numFmt w:val="bullet"/>
      <w:lvlText w:val="•"/>
      <w:lvlJc w:val="left"/>
      <w:pPr>
        <w:tabs>
          <w:tab w:val="num" w:pos="720"/>
        </w:tabs>
        <w:ind w:left="720" w:hanging="360"/>
      </w:pPr>
      <w:rPr>
        <w:rFonts w:ascii="Arial" w:hAnsi="Arial" w:hint="default"/>
      </w:rPr>
    </w:lvl>
    <w:lvl w:ilvl="1" w:tplc="1B9689C8" w:tentative="1">
      <w:start w:val="1"/>
      <w:numFmt w:val="bullet"/>
      <w:lvlText w:val="•"/>
      <w:lvlJc w:val="left"/>
      <w:pPr>
        <w:tabs>
          <w:tab w:val="num" w:pos="1440"/>
        </w:tabs>
        <w:ind w:left="1440" w:hanging="360"/>
      </w:pPr>
      <w:rPr>
        <w:rFonts w:ascii="Arial" w:hAnsi="Arial" w:hint="default"/>
      </w:rPr>
    </w:lvl>
    <w:lvl w:ilvl="2" w:tplc="402C26B6" w:tentative="1">
      <w:start w:val="1"/>
      <w:numFmt w:val="bullet"/>
      <w:lvlText w:val="•"/>
      <w:lvlJc w:val="left"/>
      <w:pPr>
        <w:tabs>
          <w:tab w:val="num" w:pos="2160"/>
        </w:tabs>
        <w:ind w:left="2160" w:hanging="360"/>
      </w:pPr>
      <w:rPr>
        <w:rFonts w:ascii="Arial" w:hAnsi="Arial" w:hint="default"/>
      </w:rPr>
    </w:lvl>
    <w:lvl w:ilvl="3" w:tplc="64F8DE4A" w:tentative="1">
      <w:start w:val="1"/>
      <w:numFmt w:val="bullet"/>
      <w:lvlText w:val="•"/>
      <w:lvlJc w:val="left"/>
      <w:pPr>
        <w:tabs>
          <w:tab w:val="num" w:pos="2880"/>
        </w:tabs>
        <w:ind w:left="2880" w:hanging="360"/>
      </w:pPr>
      <w:rPr>
        <w:rFonts w:ascii="Arial" w:hAnsi="Arial" w:hint="default"/>
      </w:rPr>
    </w:lvl>
    <w:lvl w:ilvl="4" w:tplc="8182F756" w:tentative="1">
      <w:start w:val="1"/>
      <w:numFmt w:val="bullet"/>
      <w:lvlText w:val="•"/>
      <w:lvlJc w:val="left"/>
      <w:pPr>
        <w:tabs>
          <w:tab w:val="num" w:pos="3600"/>
        </w:tabs>
        <w:ind w:left="3600" w:hanging="360"/>
      </w:pPr>
      <w:rPr>
        <w:rFonts w:ascii="Arial" w:hAnsi="Arial" w:hint="default"/>
      </w:rPr>
    </w:lvl>
    <w:lvl w:ilvl="5" w:tplc="5454942E" w:tentative="1">
      <w:start w:val="1"/>
      <w:numFmt w:val="bullet"/>
      <w:lvlText w:val="•"/>
      <w:lvlJc w:val="left"/>
      <w:pPr>
        <w:tabs>
          <w:tab w:val="num" w:pos="4320"/>
        </w:tabs>
        <w:ind w:left="4320" w:hanging="360"/>
      </w:pPr>
      <w:rPr>
        <w:rFonts w:ascii="Arial" w:hAnsi="Arial" w:hint="default"/>
      </w:rPr>
    </w:lvl>
    <w:lvl w:ilvl="6" w:tplc="157CB6FA" w:tentative="1">
      <w:start w:val="1"/>
      <w:numFmt w:val="bullet"/>
      <w:lvlText w:val="•"/>
      <w:lvlJc w:val="left"/>
      <w:pPr>
        <w:tabs>
          <w:tab w:val="num" w:pos="5040"/>
        </w:tabs>
        <w:ind w:left="5040" w:hanging="360"/>
      </w:pPr>
      <w:rPr>
        <w:rFonts w:ascii="Arial" w:hAnsi="Arial" w:hint="default"/>
      </w:rPr>
    </w:lvl>
    <w:lvl w:ilvl="7" w:tplc="1AA6D40E" w:tentative="1">
      <w:start w:val="1"/>
      <w:numFmt w:val="bullet"/>
      <w:lvlText w:val="•"/>
      <w:lvlJc w:val="left"/>
      <w:pPr>
        <w:tabs>
          <w:tab w:val="num" w:pos="5760"/>
        </w:tabs>
        <w:ind w:left="5760" w:hanging="360"/>
      </w:pPr>
      <w:rPr>
        <w:rFonts w:ascii="Arial" w:hAnsi="Arial" w:hint="default"/>
      </w:rPr>
    </w:lvl>
    <w:lvl w:ilvl="8" w:tplc="C68CA1C4" w:tentative="1">
      <w:start w:val="1"/>
      <w:numFmt w:val="bullet"/>
      <w:lvlText w:val="•"/>
      <w:lvlJc w:val="left"/>
      <w:pPr>
        <w:tabs>
          <w:tab w:val="num" w:pos="6480"/>
        </w:tabs>
        <w:ind w:left="6480" w:hanging="360"/>
      </w:pPr>
      <w:rPr>
        <w:rFonts w:ascii="Arial" w:hAnsi="Arial" w:hint="default"/>
      </w:rPr>
    </w:lvl>
  </w:abstractNum>
  <w:num w:numId="1" w16cid:durableId="475535010">
    <w:abstractNumId w:val="0"/>
  </w:num>
  <w:num w:numId="2" w16cid:durableId="1750152943">
    <w:abstractNumId w:val="1"/>
  </w:num>
  <w:num w:numId="3" w16cid:durableId="300422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575"/>
    <w:rsid w:val="000450E5"/>
    <w:rsid w:val="00092A9F"/>
    <w:rsid w:val="00095D10"/>
    <w:rsid w:val="000A69A8"/>
    <w:rsid w:val="000B3EB2"/>
    <w:rsid w:val="000B7203"/>
    <w:rsid w:val="00155AA5"/>
    <w:rsid w:val="001743FB"/>
    <w:rsid w:val="002335C8"/>
    <w:rsid w:val="00275FB3"/>
    <w:rsid w:val="002F5A4C"/>
    <w:rsid w:val="0030780A"/>
    <w:rsid w:val="003538B4"/>
    <w:rsid w:val="00392D60"/>
    <w:rsid w:val="003B2D99"/>
    <w:rsid w:val="003B3E2A"/>
    <w:rsid w:val="00452857"/>
    <w:rsid w:val="004653B8"/>
    <w:rsid w:val="00473DC5"/>
    <w:rsid w:val="004B007D"/>
    <w:rsid w:val="004F5AA0"/>
    <w:rsid w:val="005001C4"/>
    <w:rsid w:val="005113FE"/>
    <w:rsid w:val="00532A67"/>
    <w:rsid w:val="00533F99"/>
    <w:rsid w:val="00553B02"/>
    <w:rsid w:val="005A5878"/>
    <w:rsid w:val="00647109"/>
    <w:rsid w:val="006C5028"/>
    <w:rsid w:val="007042F8"/>
    <w:rsid w:val="007B797A"/>
    <w:rsid w:val="007E08A8"/>
    <w:rsid w:val="00815FD8"/>
    <w:rsid w:val="00871FF2"/>
    <w:rsid w:val="00880A71"/>
    <w:rsid w:val="00891B22"/>
    <w:rsid w:val="008A257E"/>
    <w:rsid w:val="008B547D"/>
    <w:rsid w:val="008E2A5A"/>
    <w:rsid w:val="0092439A"/>
    <w:rsid w:val="00951B62"/>
    <w:rsid w:val="009861EF"/>
    <w:rsid w:val="009E7186"/>
    <w:rsid w:val="00A23499"/>
    <w:rsid w:val="00A74747"/>
    <w:rsid w:val="00A75BAE"/>
    <w:rsid w:val="00AB72B7"/>
    <w:rsid w:val="00B70DCC"/>
    <w:rsid w:val="00BB3FD2"/>
    <w:rsid w:val="00BC24B5"/>
    <w:rsid w:val="00BC47D3"/>
    <w:rsid w:val="00BF7A0F"/>
    <w:rsid w:val="00C12EA8"/>
    <w:rsid w:val="00C213B9"/>
    <w:rsid w:val="00C70B3C"/>
    <w:rsid w:val="00CB1D55"/>
    <w:rsid w:val="00D16EDD"/>
    <w:rsid w:val="00D1792A"/>
    <w:rsid w:val="00D32AF5"/>
    <w:rsid w:val="00D44759"/>
    <w:rsid w:val="00D970EE"/>
    <w:rsid w:val="00DE5045"/>
    <w:rsid w:val="00E205CA"/>
    <w:rsid w:val="00E257C6"/>
    <w:rsid w:val="00E6526E"/>
    <w:rsid w:val="00EA7575"/>
    <w:rsid w:val="00EB3676"/>
    <w:rsid w:val="00F07C58"/>
    <w:rsid w:val="00F578DF"/>
    <w:rsid w:val="00F901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6090E86"/>
  <w15:chartTrackingRefBased/>
  <w15:docId w15:val="{570C90CF-310D-EC42-AC8A-081490604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759"/>
    <w:rPr>
      <w:rFonts w:ascii="Times New Roman" w:eastAsia="Times New Roman" w:hAnsi="Times New Roman" w:cs="Times New Roman"/>
    </w:rPr>
  </w:style>
  <w:style w:type="paragraph" w:styleId="Heading1">
    <w:name w:val="heading 1"/>
    <w:basedOn w:val="Normal"/>
    <w:next w:val="Normal"/>
    <w:link w:val="Heading1Char"/>
    <w:uiPriority w:val="9"/>
    <w:qFormat/>
    <w:rsid w:val="00D970E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95D10"/>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7575"/>
    <w:pPr>
      <w:tabs>
        <w:tab w:val="center" w:pos="4513"/>
        <w:tab w:val="right" w:pos="9026"/>
      </w:tabs>
    </w:pPr>
  </w:style>
  <w:style w:type="character" w:customStyle="1" w:styleId="HeaderChar">
    <w:name w:val="Header Char"/>
    <w:basedOn w:val="DefaultParagraphFont"/>
    <w:link w:val="Header"/>
    <w:uiPriority w:val="99"/>
    <w:rsid w:val="00EA7575"/>
  </w:style>
  <w:style w:type="paragraph" w:styleId="Footer">
    <w:name w:val="footer"/>
    <w:basedOn w:val="Normal"/>
    <w:link w:val="FooterChar"/>
    <w:uiPriority w:val="99"/>
    <w:unhideWhenUsed/>
    <w:rsid w:val="00EA7575"/>
    <w:pPr>
      <w:tabs>
        <w:tab w:val="center" w:pos="4513"/>
        <w:tab w:val="right" w:pos="9026"/>
      </w:tabs>
    </w:pPr>
  </w:style>
  <w:style w:type="character" w:customStyle="1" w:styleId="FooterChar">
    <w:name w:val="Footer Char"/>
    <w:basedOn w:val="DefaultParagraphFont"/>
    <w:link w:val="Footer"/>
    <w:uiPriority w:val="99"/>
    <w:rsid w:val="00EA7575"/>
  </w:style>
  <w:style w:type="paragraph" w:styleId="NormalWeb">
    <w:name w:val="Normal (Web)"/>
    <w:basedOn w:val="Normal"/>
    <w:uiPriority w:val="99"/>
    <w:semiHidden/>
    <w:unhideWhenUsed/>
    <w:rsid w:val="00BB3FD2"/>
    <w:pPr>
      <w:spacing w:before="100" w:beforeAutospacing="1" w:after="100" w:afterAutospacing="1"/>
    </w:pPr>
  </w:style>
  <w:style w:type="character" w:styleId="Hyperlink">
    <w:name w:val="Hyperlink"/>
    <w:basedOn w:val="DefaultParagraphFont"/>
    <w:uiPriority w:val="99"/>
    <w:unhideWhenUsed/>
    <w:rsid w:val="003538B4"/>
    <w:rPr>
      <w:color w:val="0563C1" w:themeColor="hyperlink"/>
      <w:u w:val="single"/>
    </w:rPr>
  </w:style>
  <w:style w:type="character" w:styleId="UnresolvedMention">
    <w:name w:val="Unresolved Mention"/>
    <w:basedOn w:val="DefaultParagraphFont"/>
    <w:uiPriority w:val="99"/>
    <w:semiHidden/>
    <w:unhideWhenUsed/>
    <w:rsid w:val="003538B4"/>
    <w:rPr>
      <w:color w:val="605E5C"/>
      <w:shd w:val="clear" w:color="auto" w:fill="E1DFDD"/>
    </w:rPr>
  </w:style>
  <w:style w:type="character" w:styleId="Emphasis">
    <w:name w:val="Emphasis"/>
    <w:basedOn w:val="DefaultParagraphFont"/>
    <w:uiPriority w:val="20"/>
    <w:qFormat/>
    <w:rsid w:val="00880A71"/>
    <w:rPr>
      <w:i/>
      <w:iCs/>
    </w:rPr>
  </w:style>
  <w:style w:type="character" w:styleId="FollowedHyperlink">
    <w:name w:val="FollowedHyperlink"/>
    <w:basedOn w:val="DefaultParagraphFont"/>
    <w:uiPriority w:val="99"/>
    <w:semiHidden/>
    <w:unhideWhenUsed/>
    <w:rsid w:val="00452857"/>
    <w:rPr>
      <w:color w:val="954F72" w:themeColor="followedHyperlink"/>
      <w:u w:val="single"/>
    </w:rPr>
  </w:style>
  <w:style w:type="paragraph" w:styleId="FootnoteText">
    <w:name w:val="footnote text"/>
    <w:basedOn w:val="Normal"/>
    <w:link w:val="FootnoteTextChar"/>
    <w:uiPriority w:val="99"/>
    <w:semiHidden/>
    <w:unhideWhenUsed/>
    <w:rsid w:val="00E6526E"/>
    <w:rPr>
      <w:sz w:val="20"/>
      <w:szCs w:val="20"/>
    </w:rPr>
  </w:style>
  <w:style w:type="character" w:customStyle="1" w:styleId="FootnoteTextChar">
    <w:name w:val="Footnote Text Char"/>
    <w:basedOn w:val="DefaultParagraphFont"/>
    <w:link w:val="FootnoteText"/>
    <w:uiPriority w:val="99"/>
    <w:semiHidden/>
    <w:rsid w:val="00E6526E"/>
    <w:rPr>
      <w:sz w:val="20"/>
      <w:szCs w:val="20"/>
    </w:rPr>
  </w:style>
  <w:style w:type="character" w:styleId="FootnoteReference">
    <w:name w:val="footnote reference"/>
    <w:basedOn w:val="DefaultParagraphFont"/>
    <w:uiPriority w:val="99"/>
    <w:semiHidden/>
    <w:unhideWhenUsed/>
    <w:rsid w:val="00E6526E"/>
    <w:rPr>
      <w:vertAlign w:val="superscript"/>
    </w:rPr>
  </w:style>
  <w:style w:type="paragraph" w:styleId="EndnoteText">
    <w:name w:val="endnote text"/>
    <w:basedOn w:val="Normal"/>
    <w:link w:val="EndnoteTextChar"/>
    <w:uiPriority w:val="99"/>
    <w:semiHidden/>
    <w:unhideWhenUsed/>
    <w:rsid w:val="00951B62"/>
    <w:rPr>
      <w:sz w:val="20"/>
      <w:szCs w:val="20"/>
    </w:rPr>
  </w:style>
  <w:style w:type="character" w:customStyle="1" w:styleId="EndnoteTextChar">
    <w:name w:val="Endnote Text Char"/>
    <w:basedOn w:val="DefaultParagraphFont"/>
    <w:link w:val="EndnoteText"/>
    <w:uiPriority w:val="99"/>
    <w:semiHidden/>
    <w:rsid w:val="00951B62"/>
    <w:rPr>
      <w:sz w:val="20"/>
      <w:szCs w:val="20"/>
    </w:rPr>
  </w:style>
  <w:style w:type="character" w:styleId="EndnoteReference">
    <w:name w:val="endnote reference"/>
    <w:basedOn w:val="DefaultParagraphFont"/>
    <w:uiPriority w:val="99"/>
    <w:semiHidden/>
    <w:unhideWhenUsed/>
    <w:rsid w:val="00951B62"/>
    <w:rPr>
      <w:vertAlign w:val="superscript"/>
    </w:rPr>
  </w:style>
  <w:style w:type="paragraph" w:customStyle="1" w:styleId="legclearfix">
    <w:name w:val="legclearfix"/>
    <w:basedOn w:val="Normal"/>
    <w:rsid w:val="009861EF"/>
    <w:pPr>
      <w:spacing w:before="100" w:beforeAutospacing="1" w:after="100" w:afterAutospacing="1"/>
    </w:pPr>
  </w:style>
  <w:style w:type="character" w:customStyle="1" w:styleId="legds">
    <w:name w:val="legds"/>
    <w:basedOn w:val="DefaultParagraphFont"/>
    <w:rsid w:val="009861EF"/>
  </w:style>
  <w:style w:type="character" w:customStyle="1" w:styleId="legterm">
    <w:name w:val="legterm"/>
    <w:basedOn w:val="DefaultParagraphFont"/>
    <w:rsid w:val="009861EF"/>
  </w:style>
  <w:style w:type="character" w:customStyle="1" w:styleId="a">
    <w:name w:val="_"/>
    <w:basedOn w:val="DefaultParagraphFont"/>
    <w:rsid w:val="00D16EDD"/>
  </w:style>
  <w:style w:type="character" w:customStyle="1" w:styleId="Heading3Char">
    <w:name w:val="Heading 3 Char"/>
    <w:basedOn w:val="DefaultParagraphFont"/>
    <w:link w:val="Heading3"/>
    <w:uiPriority w:val="9"/>
    <w:rsid w:val="00095D10"/>
    <w:rPr>
      <w:rFonts w:ascii="Times New Roman" w:eastAsia="Times New Roman" w:hAnsi="Times New Roman" w:cs="Times New Roman"/>
      <w:b/>
      <w:bCs/>
      <w:sz w:val="27"/>
      <w:szCs w:val="27"/>
    </w:rPr>
  </w:style>
  <w:style w:type="character" w:styleId="Strong">
    <w:name w:val="Strong"/>
    <w:basedOn w:val="DefaultParagraphFont"/>
    <w:uiPriority w:val="22"/>
    <w:qFormat/>
    <w:rsid w:val="000A69A8"/>
    <w:rPr>
      <w:b/>
      <w:bCs/>
    </w:rPr>
  </w:style>
  <w:style w:type="character" w:customStyle="1" w:styleId="hgkelc">
    <w:name w:val="hgkelc"/>
    <w:basedOn w:val="DefaultParagraphFont"/>
    <w:rsid w:val="006C5028"/>
  </w:style>
  <w:style w:type="character" w:customStyle="1" w:styleId="Heading1Char">
    <w:name w:val="Heading 1 Char"/>
    <w:basedOn w:val="DefaultParagraphFont"/>
    <w:link w:val="Heading1"/>
    <w:uiPriority w:val="9"/>
    <w:rsid w:val="00D970EE"/>
    <w:rPr>
      <w:rFonts w:asciiTheme="majorHAnsi" w:eastAsiaTheme="majorEastAsia" w:hAnsiTheme="majorHAnsi" w:cstheme="majorBidi"/>
      <w:color w:val="2F5496" w:themeColor="accent1" w:themeShade="BF"/>
      <w:sz w:val="32"/>
      <w:szCs w:val="32"/>
    </w:rPr>
  </w:style>
  <w:style w:type="character" w:customStyle="1" w:styleId="fc5">
    <w:name w:val="fc5"/>
    <w:basedOn w:val="DefaultParagraphFont"/>
    <w:rsid w:val="009243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719">
      <w:bodyDiv w:val="1"/>
      <w:marLeft w:val="0"/>
      <w:marRight w:val="0"/>
      <w:marTop w:val="0"/>
      <w:marBottom w:val="0"/>
      <w:divBdr>
        <w:top w:val="none" w:sz="0" w:space="0" w:color="auto"/>
        <w:left w:val="none" w:sz="0" w:space="0" w:color="auto"/>
        <w:bottom w:val="none" w:sz="0" w:space="0" w:color="auto"/>
        <w:right w:val="none" w:sz="0" w:space="0" w:color="auto"/>
      </w:divBdr>
    </w:div>
    <w:div w:id="71047870">
      <w:bodyDiv w:val="1"/>
      <w:marLeft w:val="0"/>
      <w:marRight w:val="0"/>
      <w:marTop w:val="0"/>
      <w:marBottom w:val="0"/>
      <w:divBdr>
        <w:top w:val="none" w:sz="0" w:space="0" w:color="auto"/>
        <w:left w:val="none" w:sz="0" w:space="0" w:color="auto"/>
        <w:bottom w:val="none" w:sz="0" w:space="0" w:color="auto"/>
        <w:right w:val="none" w:sz="0" w:space="0" w:color="auto"/>
      </w:divBdr>
    </w:div>
    <w:div w:id="90518379">
      <w:bodyDiv w:val="1"/>
      <w:marLeft w:val="0"/>
      <w:marRight w:val="0"/>
      <w:marTop w:val="0"/>
      <w:marBottom w:val="0"/>
      <w:divBdr>
        <w:top w:val="none" w:sz="0" w:space="0" w:color="auto"/>
        <w:left w:val="none" w:sz="0" w:space="0" w:color="auto"/>
        <w:bottom w:val="none" w:sz="0" w:space="0" w:color="auto"/>
        <w:right w:val="none" w:sz="0" w:space="0" w:color="auto"/>
      </w:divBdr>
      <w:divsChild>
        <w:div w:id="1480339446">
          <w:marLeft w:val="360"/>
          <w:marRight w:val="0"/>
          <w:marTop w:val="200"/>
          <w:marBottom w:val="0"/>
          <w:divBdr>
            <w:top w:val="none" w:sz="0" w:space="0" w:color="auto"/>
            <w:left w:val="none" w:sz="0" w:space="0" w:color="auto"/>
            <w:bottom w:val="none" w:sz="0" w:space="0" w:color="auto"/>
            <w:right w:val="none" w:sz="0" w:space="0" w:color="auto"/>
          </w:divBdr>
        </w:div>
      </w:divsChild>
    </w:div>
    <w:div w:id="192035126">
      <w:bodyDiv w:val="1"/>
      <w:marLeft w:val="0"/>
      <w:marRight w:val="0"/>
      <w:marTop w:val="0"/>
      <w:marBottom w:val="0"/>
      <w:divBdr>
        <w:top w:val="none" w:sz="0" w:space="0" w:color="auto"/>
        <w:left w:val="none" w:sz="0" w:space="0" w:color="auto"/>
        <w:bottom w:val="none" w:sz="0" w:space="0" w:color="auto"/>
        <w:right w:val="none" w:sz="0" w:space="0" w:color="auto"/>
      </w:divBdr>
      <w:divsChild>
        <w:div w:id="1329096514">
          <w:marLeft w:val="0"/>
          <w:marRight w:val="0"/>
          <w:marTop w:val="0"/>
          <w:marBottom w:val="0"/>
          <w:divBdr>
            <w:top w:val="none" w:sz="0" w:space="0" w:color="auto"/>
            <w:left w:val="none" w:sz="0" w:space="0" w:color="auto"/>
            <w:bottom w:val="none" w:sz="0" w:space="0" w:color="auto"/>
            <w:right w:val="none" w:sz="0" w:space="0" w:color="auto"/>
          </w:divBdr>
        </w:div>
        <w:div w:id="36396779">
          <w:marLeft w:val="0"/>
          <w:marRight w:val="0"/>
          <w:marTop w:val="0"/>
          <w:marBottom w:val="0"/>
          <w:divBdr>
            <w:top w:val="none" w:sz="0" w:space="0" w:color="auto"/>
            <w:left w:val="none" w:sz="0" w:space="0" w:color="auto"/>
            <w:bottom w:val="none" w:sz="0" w:space="0" w:color="auto"/>
            <w:right w:val="none" w:sz="0" w:space="0" w:color="auto"/>
          </w:divBdr>
        </w:div>
      </w:divsChild>
    </w:div>
    <w:div w:id="413674390">
      <w:bodyDiv w:val="1"/>
      <w:marLeft w:val="0"/>
      <w:marRight w:val="0"/>
      <w:marTop w:val="0"/>
      <w:marBottom w:val="0"/>
      <w:divBdr>
        <w:top w:val="none" w:sz="0" w:space="0" w:color="auto"/>
        <w:left w:val="none" w:sz="0" w:space="0" w:color="auto"/>
        <w:bottom w:val="none" w:sz="0" w:space="0" w:color="auto"/>
        <w:right w:val="none" w:sz="0" w:space="0" w:color="auto"/>
      </w:divBdr>
      <w:divsChild>
        <w:div w:id="1288388200">
          <w:marLeft w:val="0"/>
          <w:marRight w:val="0"/>
          <w:marTop w:val="0"/>
          <w:marBottom w:val="0"/>
          <w:divBdr>
            <w:top w:val="none" w:sz="0" w:space="0" w:color="auto"/>
            <w:left w:val="none" w:sz="0" w:space="0" w:color="auto"/>
            <w:bottom w:val="none" w:sz="0" w:space="0" w:color="auto"/>
            <w:right w:val="none" w:sz="0" w:space="0" w:color="auto"/>
          </w:divBdr>
        </w:div>
        <w:div w:id="807478899">
          <w:marLeft w:val="0"/>
          <w:marRight w:val="0"/>
          <w:marTop w:val="0"/>
          <w:marBottom w:val="0"/>
          <w:divBdr>
            <w:top w:val="none" w:sz="0" w:space="0" w:color="auto"/>
            <w:left w:val="none" w:sz="0" w:space="0" w:color="auto"/>
            <w:bottom w:val="none" w:sz="0" w:space="0" w:color="auto"/>
            <w:right w:val="none" w:sz="0" w:space="0" w:color="auto"/>
          </w:divBdr>
        </w:div>
      </w:divsChild>
    </w:div>
    <w:div w:id="459883792">
      <w:bodyDiv w:val="1"/>
      <w:marLeft w:val="0"/>
      <w:marRight w:val="0"/>
      <w:marTop w:val="0"/>
      <w:marBottom w:val="0"/>
      <w:divBdr>
        <w:top w:val="none" w:sz="0" w:space="0" w:color="auto"/>
        <w:left w:val="none" w:sz="0" w:space="0" w:color="auto"/>
        <w:bottom w:val="none" w:sz="0" w:space="0" w:color="auto"/>
        <w:right w:val="none" w:sz="0" w:space="0" w:color="auto"/>
      </w:divBdr>
    </w:div>
    <w:div w:id="464860233">
      <w:bodyDiv w:val="1"/>
      <w:marLeft w:val="0"/>
      <w:marRight w:val="0"/>
      <w:marTop w:val="0"/>
      <w:marBottom w:val="0"/>
      <w:divBdr>
        <w:top w:val="none" w:sz="0" w:space="0" w:color="auto"/>
        <w:left w:val="none" w:sz="0" w:space="0" w:color="auto"/>
        <w:bottom w:val="none" w:sz="0" w:space="0" w:color="auto"/>
        <w:right w:val="none" w:sz="0" w:space="0" w:color="auto"/>
      </w:divBdr>
    </w:div>
    <w:div w:id="532570657">
      <w:bodyDiv w:val="1"/>
      <w:marLeft w:val="0"/>
      <w:marRight w:val="0"/>
      <w:marTop w:val="0"/>
      <w:marBottom w:val="0"/>
      <w:divBdr>
        <w:top w:val="none" w:sz="0" w:space="0" w:color="auto"/>
        <w:left w:val="none" w:sz="0" w:space="0" w:color="auto"/>
        <w:bottom w:val="none" w:sz="0" w:space="0" w:color="auto"/>
        <w:right w:val="none" w:sz="0" w:space="0" w:color="auto"/>
      </w:divBdr>
    </w:div>
    <w:div w:id="537859648">
      <w:bodyDiv w:val="1"/>
      <w:marLeft w:val="0"/>
      <w:marRight w:val="0"/>
      <w:marTop w:val="0"/>
      <w:marBottom w:val="0"/>
      <w:divBdr>
        <w:top w:val="none" w:sz="0" w:space="0" w:color="auto"/>
        <w:left w:val="none" w:sz="0" w:space="0" w:color="auto"/>
        <w:bottom w:val="none" w:sz="0" w:space="0" w:color="auto"/>
        <w:right w:val="none" w:sz="0" w:space="0" w:color="auto"/>
      </w:divBdr>
    </w:div>
    <w:div w:id="547030382">
      <w:bodyDiv w:val="1"/>
      <w:marLeft w:val="0"/>
      <w:marRight w:val="0"/>
      <w:marTop w:val="0"/>
      <w:marBottom w:val="0"/>
      <w:divBdr>
        <w:top w:val="none" w:sz="0" w:space="0" w:color="auto"/>
        <w:left w:val="none" w:sz="0" w:space="0" w:color="auto"/>
        <w:bottom w:val="none" w:sz="0" w:space="0" w:color="auto"/>
        <w:right w:val="none" w:sz="0" w:space="0" w:color="auto"/>
      </w:divBdr>
    </w:div>
    <w:div w:id="688679752">
      <w:bodyDiv w:val="1"/>
      <w:marLeft w:val="0"/>
      <w:marRight w:val="0"/>
      <w:marTop w:val="0"/>
      <w:marBottom w:val="0"/>
      <w:divBdr>
        <w:top w:val="none" w:sz="0" w:space="0" w:color="auto"/>
        <w:left w:val="none" w:sz="0" w:space="0" w:color="auto"/>
        <w:bottom w:val="none" w:sz="0" w:space="0" w:color="auto"/>
        <w:right w:val="none" w:sz="0" w:space="0" w:color="auto"/>
      </w:divBdr>
    </w:div>
    <w:div w:id="720255421">
      <w:bodyDiv w:val="1"/>
      <w:marLeft w:val="0"/>
      <w:marRight w:val="0"/>
      <w:marTop w:val="0"/>
      <w:marBottom w:val="0"/>
      <w:divBdr>
        <w:top w:val="none" w:sz="0" w:space="0" w:color="auto"/>
        <w:left w:val="none" w:sz="0" w:space="0" w:color="auto"/>
        <w:bottom w:val="none" w:sz="0" w:space="0" w:color="auto"/>
        <w:right w:val="none" w:sz="0" w:space="0" w:color="auto"/>
      </w:divBdr>
      <w:divsChild>
        <w:div w:id="634720328">
          <w:marLeft w:val="0"/>
          <w:marRight w:val="0"/>
          <w:marTop w:val="0"/>
          <w:marBottom w:val="0"/>
          <w:divBdr>
            <w:top w:val="none" w:sz="0" w:space="0" w:color="auto"/>
            <w:left w:val="none" w:sz="0" w:space="0" w:color="auto"/>
            <w:bottom w:val="none" w:sz="0" w:space="0" w:color="auto"/>
            <w:right w:val="none" w:sz="0" w:space="0" w:color="auto"/>
          </w:divBdr>
        </w:div>
        <w:div w:id="948272003">
          <w:marLeft w:val="0"/>
          <w:marRight w:val="0"/>
          <w:marTop w:val="0"/>
          <w:marBottom w:val="0"/>
          <w:divBdr>
            <w:top w:val="none" w:sz="0" w:space="0" w:color="auto"/>
            <w:left w:val="none" w:sz="0" w:space="0" w:color="auto"/>
            <w:bottom w:val="none" w:sz="0" w:space="0" w:color="auto"/>
            <w:right w:val="none" w:sz="0" w:space="0" w:color="auto"/>
          </w:divBdr>
        </w:div>
        <w:div w:id="2074545254">
          <w:marLeft w:val="0"/>
          <w:marRight w:val="0"/>
          <w:marTop w:val="0"/>
          <w:marBottom w:val="0"/>
          <w:divBdr>
            <w:top w:val="none" w:sz="0" w:space="0" w:color="auto"/>
            <w:left w:val="none" w:sz="0" w:space="0" w:color="auto"/>
            <w:bottom w:val="none" w:sz="0" w:space="0" w:color="auto"/>
            <w:right w:val="none" w:sz="0" w:space="0" w:color="auto"/>
          </w:divBdr>
        </w:div>
      </w:divsChild>
    </w:div>
    <w:div w:id="839151287">
      <w:bodyDiv w:val="1"/>
      <w:marLeft w:val="0"/>
      <w:marRight w:val="0"/>
      <w:marTop w:val="0"/>
      <w:marBottom w:val="0"/>
      <w:divBdr>
        <w:top w:val="none" w:sz="0" w:space="0" w:color="auto"/>
        <w:left w:val="none" w:sz="0" w:space="0" w:color="auto"/>
        <w:bottom w:val="none" w:sz="0" w:space="0" w:color="auto"/>
        <w:right w:val="none" w:sz="0" w:space="0" w:color="auto"/>
      </w:divBdr>
    </w:div>
    <w:div w:id="896093307">
      <w:bodyDiv w:val="1"/>
      <w:marLeft w:val="0"/>
      <w:marRight w:val="0"/>
      <w:marTop w:val="0"/>
      <w:marBottom w:val="0"/>
      <w:divBdr>
        <w:top w:val="none" w:sz="0" w:space="0" w:color="auto"/>
        <w:left w:val="none" w:sz="0" w:space="0" w:color="auto"/>
        <w:bottom w:val="none" w:sz="0" w:space="0" w:color="auto"/>
        <w:right w:val="none" w:sz="0" w:space="0" w:color="auto"/>
      </w:divBdr>
    </w:div>
    <w:div w:id="986979853">
      <w:bodyDiv w:val="1"/>
      <w:marLeft w:val="0"/>
      <w:marRight w:val="0"/>
      <w:marTop w:val="0"/>
      <w:marBottom w:val="0"/>
      <w:divBdr>
        <w:top w:val="none" w:sz="0" w:space="0" w:color="auto"/>
        <w:left w:val="none" w:sz="0" w:space="0" w:color="auto"/>
        <w:bottom w:val="none" w:sz="0" w:space="0" w:color="auto"/>
        <w:right w:val="none" w:sz="0" w:space="0" w:color="auto"/>
      </w:divBdr>
    </w:div>
    <w:div w:id="1006397389">
      <w:bodyDiv w:val="1"/>
      <w:marLeft w:val="0"/>
      <w:marRight w:val="0"/>
      <w:marTop w:val="0"/>
      <w:marBottom w:val="0"/>
      <w:divBdr>
        <w:top w:val="none" w:sz="0" w:space="0" w:color="auto"/>
        <w:left w:val="none" w:sz="0" w:space="0" w:color="auto"/>
        <w:bottom w:val="none" w:sz="0" w:space="0" w:color="auto"/>
        <w:right w:val="none" w:sz="0" w:space="0" w:color="auto"/>
      </w:divBdr>
    </w:div>
    <w:div w:id="1009255007">
      <w:bodyDiv w:val="1"/>
      <w:marLeft w:val="0"/>
      <w:marRight w:val="0"/>
      <w:marTop w:val="0"/>
      <w:marBottom w:val="0"/>
      <w:divBdr>
        <w:top w:val="none" w:sz="0" w:space="0" w:color="auto"/>
        <w:left w:val="none" w:sz="0" w:space="0" w:color="auto"/>
        <w:bottom w:val="none" w:sz="0" w:space="0" w:color="auto"/>
        <w:right w:val="none" w:sz="0" w:space="0" w:color="auto"/>
      </w:divBdr>
      <w:divsChild>
        <w:div w:id="636687072">
          <w:marLeft w:val="0"/>
          <w:marRight w:val="0"/>
          <w:marTop w:val="0"/>
          <w:marBottom w:val="0"/>
          <w:divBdr>
            <w:top w:val="none" w:sz="0" w:space="0" w:color="auto"/>
            <w:left w:val="none" w:sz="0" w:space="0" w:color="auto"/>
            <w:bottom w:val="none" w:sz="0" w:space="0" w:color="auto"/>
            <w:right w:val="none" w:sz="0" w:space="0" w:color="auto"/>
          </w:divBdr>
        </w:div>
        <w:div w:id="702360557">
          <w:marLeft w:val="0"/>
          <w:marRight w:val="0"/>
          <w:marTop w:val="0"/>
          <w:marBottom w:val="0"/>
          <w:divBdr>
            <w:top w:val="none" w:sz="0" w:space="0" w:color="auto"/>
            <w:left w:val="none" w:sz="0" w:space="0" w:color="auto"/>
            <w:bottom w:val="none" w:sz="0" w:space="0" w:color="auto"/>
            <w:right w:val="none" w:sz="0" w:space="0" w:color="auto"/>
          </w:divBdr>
        </w:div>
        <w:div w:id="1156801111">
          <w:marLeft w:val="0"/>
          <w:marRight w:val="0"/>
          <w:marTop w:val="0"/>
          <w:marBottom w:val="0"/>
          <w:divBdr>
            <w:top w:val="none" w:sz="0" w:space="0" w:color="auto"/>
            <w:left w:val="none" w:sz="0" w:space="0" w:color="auto"/>
            <w:bottom w:val="none" w:sz="0" w:space="0" w:color="auto"/>
            <w:right w:val="none" w:sz="0" w:space="0" w:color="auto"/>
          </w:divBdr>
        </w:div>
      </w:divsChild>
    </w:div>
    <w:div w:id="1056927743">
      <w:bodyDiv w:val="1"/>
      <w:marLeft w:val="0"/>
      <w:marRight w:val="0"/>
      <w:marTop w:val="0"/>
      <w:marBottom w:val="0"/>
      <w:divBdr>
        <w:top w:val="none" w:sz="0" w:space="0" w:color="auto"/>
        <w:left w:val="none" w:sz="0" w:space="0" w:color="auto"/>
        <w:bottom w:val="none" w:sz="0" w:space="0" w:color="auto"/>
        <w:right w:val="none" w:sz="0" w:space="0" w:color="auto"/>
      </w:divBdr>
    </w:div>
    <w:div w:id="1074669761">
      <w:bodyDiv w:val="1"/>
      <w:marLeft w:val="0"/>
      <w:marRight w:val="0"/>
      <w:marTop w:val="0"/>
      <w:marBottom w:val="0"/>
      <w:divBdr>
        <w:top w:val="none" w:sz="0" w:space="0" w:color="auto"/>
        <w:left w:val="none" w:sz="0" w:space="0" w:color="auto"/>
        <w:bottom w:val="none" w:sz="0" w:space="0" w:color="auto"/>
        <w:right w:val="none" w:sz="0" w:space="0" w:color="auto"/>
      </w:divBdr>
    </w:div>
    <w:div w:id="1144661670">
      <w:bodyDiv w:val="1"/>
      <w:marLeft w:val="0"/>
      <w:marRight w:val="0"/>
      <w:marTop w:val="0"/>
      <w:marBottom w:val="0"/>
      <w:divBdr>
        <w:top w:val="none" w:sz="0" w:space="0" w:color="auto"/>
        <w:left w:val="none" w:sz="0" w:space="0" w:color="auto"/>
        <w:bottom w:val="none" w:sz="0" w:space="0" w:color="auto"/>
        <w:right w:val="none" w:sz="0" w:space="0" w:color="auto"/>
      </w:divBdr>
    </w:div>
    <w:div w:id="1236738874">
      <w:bodyDiv w:val="1"/>
      <w:marLeft w:val="0"/>
      <w:marRight w:val="0"/>
      <w:marTop w:val="0"/>
      <w:marBottom w:val="0"/>
      <w:divBdr>
        <w:top w:val="none" w:sz="0" w:space="0" w:color="auto"/>
        <w:left w:val="none" w:sz="0" w:space="0" w:color="auto"/>
        <w:bottom w:val="none" w:sz="0" w:space="0" w:color="auto"/>
        <w:right w:val="none" w:sz="0" w:space="0" w:color="auto"/>
      </w:divBdr>
      <w:divsChild>
        <w:div w:id="604312948">
          <w:marLeft w:val="0"/>
          <w:marRight w:val="0"/>
          <w:marTop w:val="0"/>
          <w:marBottom w:val="0"/>
          <w:divBdr>
            <w:top w:val="none" w:sz="0" w:space="0" w:color="auto"/>
            <w:left w:val="none" w:sz="0" w:space="0" w:color="auto"/>
            <w:bottom w:val="none" w:sz="0" w:space="0" w:color="auto"/>
            <w:right w:val="none" w:sz="0" w:space="0" w:color="auto"/>
          </w:divBdr>
        </w:div>
        <w:div w:id="258104135">
          <w:marLeft w:val="0"/>
          <w:marRight w:val="0"/>
          <w:marTop w:val="0"/>
          <w:marBottom w:val="0"/>
          <w:divBdr>
            <w:top w:val="none" w:sz="0" w:space="0" w:color="auto"/>
            <w:left w:val="none" w:sz="0" w:space="0" w:color="auto"/>
            <w:bottom w:val="none" w:sz="0" w:space="0" w:color="auto"/>
            <w:right w:val="none" w:sz="0" w:space="0" w:color="auto"/>
          </w:divBdr>
        </w:div>
        <w:div w:id="1645891418">
          <w:marLeft w:val="0"/>
          <w:marRight w:val="0"/>
          <w:marTop w:val="0"/>
          <w:marBottom w:val="0"/>
          <w:divBdr>
            <w:top w:val="none" w:sz="0" w:space="0" w:color="auto"/>
            <w:left w:val="none" w:sz="0" w:space="0" w:color="auto"/>
            <w:bottom w:val="none" w:sz="0" w:space="0" w:color="auto"/>
            <w:right w:val="none" w:sz="0" w:space="0" w:color="auto"/>
          </w:divBdr>
        </w:div>
      </w:divsChild>
    </w:div>
    <w:div w:id="1251087576">
      <w:bodyDiv w:val="1"/>
      <w:marLeft w:val="0"/>
      <w:marRight w:val="0"/>
      <w:marTop w:val="0"/>
      <w:marBottom w:val="0"/>
      <w:divBdr>
        <w:top w:val="none" w:sz="0" w:space="0" w:color="auto"/>
        <w:left w:val="none" w:sz="0" w:space="0" w:color="auto"/>
        <w:bottom w:val="none" w:sz="0" w:space="0" w:color="auto"/>
        <w:right w:val="none" w:sz="0" w:space="0" w:color="auto"/>
      </w:divBdr>
      <w:divsChild>
        <w:div w:id="568855508">
          <w:marLeft w:val="0"/>
          <w:marRight w:val="0"/>
          <w:marTop w:val="0"/>
          <w:marBottom w:val="0"/>
          <w:divBdr>
            <w:top w:val="none" w:sz="0" w:space="0" w:color="auto"/>
            <w:left w:val="none" w:sz="0" w:space="0" w:color="auto"/>
            <w:bottom w:val="none" w:sz="0" w:space="0" w:color="auto"/>
            <w:right w:val="none" w:sz="0" w:space="0" w:color="auto"/>
          </w:divBdr>
        </w:div>
        <w:div w:id="1443261199">
          <w:marLeft w:val="0"/>
          <w:marRight w:val="0"/>
          <w:marTop w:val="0"/>
          <w:marBottom w:val="0"/>
          <w:divBdr>
            <w:top w:val="none" w:sz="0" w:space="0" w:color="auto"/>
            <w:left w:val="none" w:sz="0" w:space="0" w:color="auto"/>
            <w:bottom w:val="none" w:sz="0" w:space="0" w:color="auto"/>
            <w:right w:val="none" w:sz="0" w:space="0" w:color="auto"/>
          </w:divBdr>
        </w:div>
      </w:divsChild>
    </w:div>
    <w:div w:id="1343707641">
      <w:bodyDiv w:val="1"/>
      <w:marLeft w:val="0"/>
      <w:marRight w:val="0"/>
      <w:marTop w:val="0"/>
      <w:marBottom w:val="0"/>
      <w:divBdr>
        <w:top w:val="none" w:sz="0" w:space="0" w:color="auto"/>
        <w:left w:val="none" w:sz="0" w:space="0" w:color="auto"/>
        <w:bottom w:val="none" w:sz="0" w:space="0" w:color="auto"/>
        <w:right w:val="none" w:sz="0" w:space="0" w:color="auto"/>
      </w:divBdr>
    </w:div>
    <w:div w:id="1358044134">
      <w:bodyDiv w:val="1"/>
      <w:marLeft w:val="0"/>
      <w:marRight w:val="0"/>
      <w:marTop w:val="0"/>
      <w:marBottom w:val="0"/>
      <w:divBdr>
        <w:top w:val="none" w:sz="0" w:space="0" w:color="auto"/>
        <w:left w:val="none" w:sz="0" w:space="0" w:color="auto"/>
        <w:bottom w:val="none" w:sz="0" w:space="0" w:color="auto"/>
        <w:right w:val="none" w:sz="0" w:space="0" w:color="auto"/>
      </w:divBdr>
      <w:divsChild>
        <w:div w:id="1841430808">
          <w:marLeft w:val="0"/>
          <w:marRight w:val="0"/>
          <w:marTop w:val="0"/>
          <w:marBottom w:val="0"/>
          <w:divBdr>
            <w:top w:val="none" w:sz="0" w:space="0" w:color="auto"/>
            <w:left w:val="none" w:sz="0" w:space="0" w:color="auto"/>
            <w:bottom w:val="none" w:sz="0" w:space="0" w:color="auto"/>
            <w:right w:val="none" w:sz="0" w:space="0" w:color="auto"/>
          </w:divBdr>
        </w:div>
        <w:div w:id="268852403">
          <w:marLeft w:val="0"/>
          <w:marRight w:val="0"/>
          <w:marTop w:val="0"/>
          <w:marBottom w:val="0"/>
          <w:divBdr>
            <w:top w:val="none" w:sz="0" w:space="0" w:color="auto"/>
            <w:left w:val="none" w:sz="0" w:space="0" w:color="auto"/>
            <w:bottom w:val="none" w:sz="0" w:space="0" w:color="auto"/>
            <w:right w:val="none" w:sz="0" w:space="0" w:color="auto"/>
          </w:divBdr>
        </w:div>
      </w:divsChild>
    </w:div>
    <w:div w:id="1478262293">
      <w:bodyDiv w:val="1"/>
      <w:marLeft w:val="0"/>
      <w:marRight w:val="0"/>
      <w:marTop w:val="0"/>
      <w:marBottom w:val="0"/>
      <w:divBdr>
        <w:top w:val="none" w:sz="0" w:space="0" w:color="auto"/>
        <w:left w:val="none" w:sz="0" w:space="0" w:color="auto"/>
        <w:bottom w:val="none" w:sz="0" w:space="0" w:color="auto"/>
        <w:right w:val="none" w:sz="0" w:space="0" w:color="auto"/>
      </w:divBdr>
      <w:divsChild>
        <w:div w:id="814227517">
          <w:marLeft w:val="0"/>
          <w:marRight w:val="0"/>
          <w:marTop w:val="0"/>
          <w:marBottom w:val="0"/>
          <w:divBdr>
            <w:top w:val="none" w:sz="0" w:space="0" w:color="auto"/>
            <w:left w:val="none" w:sz="0" w:space="0" w:color="auto"/>
            <w:bottom w:val="none" w:sz="0" w:space="0" w:color="auto"/>
            <w:right w:val="none" w:sz="0" w:space="0" w:color="auto"/>
          </w:divBdr>
        </w:div>
        <w:div w:id="1590041481">
          <w:marLeft w:val="0"/>
          <w:marRight w:val="0"/>
          <w:marTop w:val="0"/>
          <w:marBottom w:val="0"/>
          <w:divBdr>
            <w:top w:val="none" w:sz="0" w:space="0" w:color="auto"/>
            <w:left w:val="none" w:sz="0" w:space="0" w:color="auto"/>
            <w:bottom w:val="none" w:sz="0" w:space="0" w:color="auto"/>
            <w:right w:val="none" w:sz="0" w:space="0" w:color="auto"/>
          </w:divBdr>
        </w:div>
      </w:divsChild>
    </w:div>
    <w:div w:id="1481310271">
      <w:bodyDiv w:val="1"/>
      <w:marLeft w:val="0"/>
      <w:marRight w:val="0"/>
      <w:marTop w:val="0"/>
      <w:marBottom w:val="0"/>
      <w:divBdr>
        <w:top w:val="none" w:sz="0" w:space="0" w:color="auto"/>
        <w:left w:val="none" w:sz="0" w:space="0" w:color="auto"/>
        <w:bottom w:val="none" w:sz="0" w:space="0" w:color="auto"/>
        <w:right w:val="none" w:sz="0" w:space="0" w:color="auto"/>
      </w:divBdr>
    </w:div>
    <w:div w:id="1691762404">
      <w:bodyDiv w:val="1"/>
      <w:marLeft w:val="0"/>
      <w:marRight w:val="0"/>
      <w:marTop w:val="0"/>
      <w:marBottom w:val="0"/>
      <w:divBdr>
        <w:top w:val="none" w:sz="0" w:space="0" w:color="auto"/>
        <w:left w:val="none" w:sz="0" w:space="0" w:color="auto"/>
        <w:bottom w:val="none" w:sz="0" w:space="0" w:color="auto"/>
        <w:right w:val="none" w:sz="0" w:space="0" w:color="auto"/>
      </w:divBdr>
    </w:div>
    <w:div w:id="1744642990">
      <w:bodyDiv w:val="1"/>
      <w:marLeft w:val="0"/>
      <w:marRight w:val="0"/>
      <w:marTop w:val="0"/>
      <w:marBottom w:val="0"/>
      <w:divBdr>
        <w:top w:val="none" w:sz="0" w:space="0" w:color="auto"/>
        <w:left w:val="none" w:sz="0" w:space="0" w:color="auto"/>
        <w:bottom w:val="none" w:sz="0" w:space="0" w:color="auto"/>
        <w:right w:val="none" w:sz="0" w:space="0" w:color="auto"/>
      </w:divBdr>
      <w:divsChild>
        <w:div w:id="593560051">
          <w:marLeft w:val="0"/>
          <w:marRight w:val="0"/>
          <w:marTop w:val="0"/>
          <w:marBottom w:val="0"/>
          <w:divBdr>
            <w:top w:val="none" w:sz="0" w:space="0" w:color="auto"/>
            <w:left w:val="none" w:sz="0" w:space="0" w:color="auto"/>
            <w:bottom w:val="none" w:sz="0" w:space="0" w:color="auto"/>
            <w:right w:val="none" w:sz="0" w:space="0" w:color="auto"/>
          </w:divBdr>
        </w:div>
        <w:div w:id="1611038609">
          <w:marLeft w:val="0"/>
          <w:marRight w:val="0"/>
          <w:marTop w:val="0"/>
          <w:marBottom w:val="0"/>
          <w:divBdr>
            <w:top w:val="none" w:sz="0" w:space="0" w:color="auto"/>
            <w:left w:val="none" w:sz="0" w:space="0" w:color="auto"/>
            <w:bottom w:val="none" w:sz="0" w:space="0" w:color="auto"/>
            <w:right w:val="none" w:sz="0" w:space="0" w:color="auto"/>
          </w:divBdr>
        </w:div>
        <w:div w:id="174155285">
          <w:marLeft w:val="0"/>
          <w:marRight w:val="0"/>
          <w:marTop w:val="0"/>
          <w:marBottom w:val="0"/>
          <w:divBdr>
            <w:top w:val="none" w:sz="0" w:space="0" w:color="auto"/>
            <w:left w:val="none" w:sz="0" w:space="0" w:color="auto"/>
            <w:bottom w:val="none" w:sz="0" w:space="0" w:color="auto"/>
            <w:right w:val="none" w:sz="0" w:space="0" w:color="auto"/>
          </w:divBdr>
        </w:div>
      </w:divsChild>
    </w:div>
    <w:div w:id="1851791456">
      <w:bodyDiv w:val="1"/>
      <w:marLeft w:val="0"/>
      <w:marRight w:val="0"/>
      <w:marTop w:val="0"/>
      <w:marBottom w:val="0"/>
      <w:divBdr>
        <w:top w:val="none" w:sz="0" w:space="0" w:color="auto"/>
        <w:left w:val="none" w:sz="0" w:space="0" w:color="auto"/>
        <w:bottom w:val="none" w:sz="0" w:space="0" w:color="auto"/>
        <w:right w:val="none" w:sz="0" w:space="0" w:color="auto"/>
      </w:divBdr>
      <w:divsChild>
        <w:div w:id="1082213439">
          <w:marLeft w:val="0"/>
          <w:marRight w:val="0"/>
          <w:marTop w:val="0"/>
          <w:marBottom w:val="0"/>
          <w:divBdr>
            <w:top w:val="none" w:sz="0" w:space="0" w:color="auto"/>
            <w:left w:val="none" w:sz="0" w:space="0" w:color="auto"/>
            <w:bottom w:val="none" w:sz="0" w:space="0" w:color="auto"/>
            <w:right w:val="none" w:sz="0" w:space="0" w:color="auto"/>
          </w:divBdr>
        </w:div>
        <w:div w:id="1078476489">
          <w:marLeft w:val="0"/>
          <w:marRight w:val="0"/>
          <w:marTop w:val="0"/>
          <w:marBottom w:val="0"/>
          <w:divBdr>
            <w:top w:val="none" w:sz="0" w:space="0" w:color="auto"/>
            <w:left w:val="none" w:sz="0" w:space="0" w:color="auto"/>
            <w:bottom w:val="none" w:sz="0" w:space="0" w:color="auto"/>
            <w:right w:val="none" w:sz="0" w:space="0" w:color="auto"/>
          </w:divBdr>
        </w:div>
        <w:div w:id="801077693">
          <w:marLeft w:val="0"/>
          <w:marRight w:val="0"/>
          <w:marTop w:val="0"/>
          <w:marBottom w:val="0"/>
          <w:divBdr>
            <w:top w:val="none" w:sz="0" w:space="0" w:color="auto"/>
            <w:left w:val="none" w:sz="0" w:space="0" w:color="auto"/>
            <w:bottom w:val="none" w:sz="0" w:space="0" w:color="auto"/>
            <w:right w:val="none" w:sz="0" w:space="0" w:color="auto"/>
          </w:divBdr>
        </w:div>
      </w:divsChild>
    </w:div>
    <w:div w:id="1889948756">
      <w:bodyDiv w:val="1"/>
      <w:marLeft w:val="0"/>
      <w:marRight w:val="0"/>
      <w:marTop w:val="0"/>
      <w:marBottom w:val="0"/>
      <w:divBdr>
        <w:top w:val="none" w:sz="0" w:space="0" w:color="auto"/>
        <w:left w:val="none" w:sz="0" w:space="0" w:color="auto"/>
        <w:bottom w:val="none" w:sz="0" w:space="0" w:color="auto"/>
        <w:right w:val="none" w:sz="0" w:space="0" w:color="auto"/>
      </w:divBdr>
    </w:div>
    <w:div w:id="1901944737">
      <w:bodyDiv w:val="1"/>
      <w:marLeft w:val="0"/>
      <w:marRight w:val="0"/>
      <w:marTop w:val="0"/>
      <w:marBottom w:val="0"/>
      <w:divBdr>
        <w:top w:val="none" w:sz="0" w:space="0" w:color="auto"/>
        <w:left w:val="none" w:sz="0" w:space="0" w:color="auto"/>
        <w:bottom w:val="none" w:sz="0" w:space="0" w:color="auto"/>
        <w:right w:val="none" w:sz="0" w:space="0" w:color="auto"/>
      </w:divBdr>
    </w:div>
    <w:div w:id="1980837283">
      <w:bodyDiv w:val="1"/>
      <w:marLeft w:val="0"/>
      <w:marRight w:val="0"/>
      <w:marTop w:val="0"/>
      <w:marBottom w:val="0"/>
      <w:divBdr>
        <w:top w:val="none" w:sz="0" w:space="0" w:color="auto"/>
        <w:left w:val="none" w:sz="0" w:space="0" w:color="auto"/>
        <w:bottom w:val="none" w:sz="0" w:space="0" w:color="auto"/>
        <w:right w:val="none" w:sz="0" w:space="0" w:color="auto"/>
      </w:divBdr>
    </w:div>
    <w:div w:id="200115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week.org/teaching-learning/opinion-why-we-should-teach-legal-reasoning-skills-to-students/2019/06" TargetMode="External"/><Relationship Id="rId13" Type="http://schemas.openxmlformats.org/officeDocument/2006/relationships/hyperlink" Target="https://artsandculture.google.com/entity/man-made-law/m0hzrc0n?hl=e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ich.co.uk/consumer-rights/regulation/consumer-rights-act-aKJYx8n5KiS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new-rights-for-consumers-when-buying-digital-content" TargetMode="External"/><Relationship Id="rId5" Type="http://schemas.openxmlformats.org/officeDocument/2006/relationships/webSettings" Target="webSettings.xml"/><Relationship Id="rId15" Type="http://schemas.openxmlformats.org/officeDocument/2006/relationships/hyperlink" Target="https://reconnect-europe.eu/blog/olatokun-rule-of-law-human-rights-education-schools/" TargetMode="External"/><Relationship Id="rId10" Type="http://schemas.openxmlformats.org/officeDocument/2006/relationships/hyperlink" Target="https://researchbriefings.files.parliament.uk/documents/SN06588/SN06588.pdf" TargetMode="External"/><Relationship Id="rId4" Type="http://schemas.openxmlformats.org/officeDocument/2006/relationships/settings" Target="settings.xml"/><Relationship Id="rId9" Type="http://schemas.openxmlformats.org/officeDocument/2006/relationships/hyperlink" Target="https://www.legislation.gov.uk/ukpga/2015/15/notes/division/2/data.xht?view=snippet&amp;wrap=true" TargetMode="External"/><Relationship Id="rId14" Type="http://schemas.openxmlformats.org/officeDocument/2006/relationships/hyperlink" Target="http://www.bis.gov.uk/files/file5002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9BB489-5C35-CD4B-B8F7-93E4F12B8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2462</Words>
  <Characters>14034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Ulziijargal Batbaatar (2010630)</dc:creator>
  <cp:keywords/>
  <dc:description/>
  <cp:lastModifiedBy>Ulziijargal Batbaatar (2010630)</cp:lastModifiedBy>
  <cp:revision>2</cp:revision>
  <dcterms:created xsi:type="dcterms:W3CDTF">2022-05-06T22:02:00Z</dcterms:created>
  <dcterms:modified xsi:type="dcterms:W3CDTF">2022-05-06T22:02:00Z</dcterms:modified>
</cp:coreProperties>
</file>