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068868" w14:textId="5308B551" w:rsidR="009A015B" w:rsidRDefault="009A015B" w:rsidP="00CC3F5F">
      <w:pPr>
        <w:spacing w:line="360" w:lineRule="auto"/>
        <w:rPr>
          <w:rFonts w:cs="Times New Roman"/>
        </w:rPr>
      </w:pPr>
      <w:r>
        <w:rPr>
          <w:rFonts w:cs="Times New Roman"/>
          <w:noProof/>
        </w:rPr>
        <w:drawing>
          <wp:anchor distT="0" distB="0" distL="114300" distR="114300" simplePos="0" relativeHeight="251659264" behindDoc="0" locked="0" layoutInCell="1" allowOverlap="1" wp14:anchorId="5D67B4E9" wp14:editId="525E31D1">
            <wp:simplePos x="0" y="0"/>
            <wp:positionH relativeFrom="column">
              <wp:posOffset>-39757</wp:posOffset>
            </wp:positionH>
            <wp:positionV relativeFrom="paragraph">
              <wp:posOffset>19878</wp:posOffset>
            </wp:positionV>
            <wp:extent cx="5727700" cy="6759575"/>
            <wp:effectExtent l="0" t="0" r="0" b="0"/>
            <wp:wrapSquare wrapText="bothSides"/>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12-10 at 19.36.01.png"/>
                    <pic:cNvPicPr/>
                  </pic:nvPicPr>
                  <pic:blipFill>
                    <a:blip r:embed="rId7">
                      <a:extLst>
                        <a:ext uri="{28A0092B-C50C-407E-A947-70E740481C1C}">
                          <a14:useLocalDpi xmlns:a14="http://schemas.microsoft.com/office/drawing/2010/main" val="0"/>
                        </a:ext>
                      </a:extLst>
                    </a:blip>
                    <a:stretch>
                      <a:fillRect/>
                    </a:stretch>
                  </pic:blipFill>
                  <pic:spPr>
                    <a:xfrm>
                      <a:off x="0" y="0"/>
                      <a:ext cx="5727700" cy="6759575"/>
                    </a:xfrm>
                    <a:prstGeom prst="rect">
                      <a:avLst/>
                    </a:prstGeom>
                  </pic:spPr>
                </pic:pic>
              </a:graphicData>
            </a:graphic>
          </wp:anchor>
        </w:drawing>
      </w:r>
    </w:p>
    <w:p w14:paraId="018796F1" w14:textId="66A13F5D" w:rsidR="009A015B" w:rsidRDefault="009A015B">
      <w:pPr>
        <w:spacing w:before="0" w:after="0"/>
        <w:rPr>
          <w:rFonts w:cs="Times New Roman"/>
        </w:rPr>
      </w:pPr>
      <w:r>
        <w:rPr>
          <w:rFonts w:cs="Times New Roman"/>
        </w:rPr>
        <w:br w:type="page"/>
      </w:r>
    </w:p>
    <w:p w14:paraId="176622DF" w14:textId="48ABCA95" w:rsidR="00E90537" w:rsidRPr="00CC3F5F" w:rsidRDefault="00656F56" w:rsidP="00CC3F5F">
      <w:pPr>
        <w:spacing w:line="360" w:lineRule="auto"/>
        <w:rPr>
          <w:rFonts w:cs="Times New Roman"/>
        </w:rPr>
      </w:pPr>
      <w:r w:rsidRPr="00CC3F5F">
        <w:rPr>
          <w:rFonts w:cs="Times New Roman"/>
        </w:rPr>
        <w:lastRenderedPageBreak/>
        <w:t xml:space="preserve">Looking forward: </w:t>
      </w:r>
      <w:r w:rsidR="00E90537" w:rsidRPr="00CC3F5F">
        <w:rPr>
          <w:rFonts w:cs="Times New Roman"/>
        </w:rPr>
        <w:t>A critical analysis of literacy, numeracy and digital competence as cross-curricular responsibilities in the evolving curriculum in Wales.</w:t>
      </w:r>
    </w:p>
    <w:p w14:paraId="5A2E7258" w14:textId="114726AE" w:rsidR="00F05816" w:rsidRPr="00CC3F5F" w:rsidRDefault="00021E51" w:rsidP="00CC3F5F">
      <w:pPr>
        <w:spacing w:before="100" w:beforeAutospacing="1" w:after="100" w:afterAutospacing="1" w:line="360" w:lineRule="auto"/>
        <w:rPr>
          <w:rFonts w:cs="Times New Roman"/>
        </w:rPr>
      </w:pPr>
      <w:r w:rsidRPr="00CC3F5F">
        <w:rPr>
          <w:rFonts w:cs="Times New Roman"/>
        </w:rPr>
        <w:t>Barnes (2015, p.62) describes cross-curricular learning as the application of a range of ‘</w:t>
      </w:r>
      <w:r w:rsidRPr="00CC3F5F">
        <w:rPr>
          <w:rFonts w:cs="Times New Roman"/>
          <w:i/>
          <w:iCs/>
        </w:rPr>
        <w:t xml:space="preserve">skills, knowledge and attitudes’ </w:t>
      </w:r>
      <w:r w:rsidRPr="00CC3F5F">
        <w:rPr>
          <w:rFonts w:cs="Times New Roman"/>
        </w:rPr>
        <w:t xml:space="preserve">to a learning experience. </w:t>
      </w:r>
      <w:r w:rsidR="00893A96" w:rsidRPr="00CC3F5F">
        <w:rPr>
          <w:rFonts w:cs="Times New Roman"/>
        </w:rPr>
        <w:t>Additionally</w:t>
      </w:r>
      <w:r w:rsidR="00D51426" w:rsidRPr="00CC3F5F">
        <w:rPr>
          <w:rFonts w:cs="Times New Roman"/>
        </w:rPr>
        <w:t xml:space="preserve">, </w:t>
      </w:r>
      <w:r w:rsidR="00893A96" w:rsidRPr="00CC3F5F">
        <w:rPr>
          <w:rFonts w:cs="Times New Roman"/>
        </w:rPr>
        <w:t xml:space="preserve">Lawrence (2015) and Johannessen (2000) suggests cross-curricular teaching integrates and removes the barriers of subject areas to allow the development of a range of skills. </w:t>
      </w:r>
      <w:r w:rsidR="004158C4" w:rsidRPr="00CC3F5F">
        <w:rPr>
          <w:rFonts w:cs="Times New Roman"/>
        </w:rPr>
        <w:t xml:space="preserve">Thus, characterising cross-curricular approaches as the integration of subject areas to apply and develop learners’ skills, knowledge, and attitudes (Barnes, 2015; Lawrence, 2015; Johannessen, 2000). Wales’ current curriculum develops learners’ literacy, numeracy, and digital competence skills across the curriculum through the use of the ‘National Literacy and Numeracy Framework’ (LNF) and ‘Digital Competence Framework’ (DCF) (Welsh Government, 2013; </w:t>
      </w:r>
      <w:r w:rsidR="00D22C7A" w:rsidRPr="00CC3F5F">
        <w:rPr>
          <w:rFonts w:cs="Times New Roman"/>
        </w:rPr>
        <w:t xml:space="preserve">and </w:t>
      </w:r>
      <w:r w:rsidR="004158C4" w:rsidRPr="00CC3F5F">
        <w:rPr>
          <w:rFonts w:cs="Times New Roman"/>
        </w:rPr>
        <w:t>Education Wales, 2018). This highlights that cross-curricular approaches to develop literacy, numeracy, and digital compet</w:t>
      </w:r>
      <w:r w:rsidR="00B942D1" w:rsidRPr="00CC3F5F">
        <w:rPr>
          <w:rFonts w:cs="Times New Roman"/>
        </w:rPr>
        <w:t>ence are present within the current curriculum. However, Estyn (2018a) questions the effectiveness of the implementation of said skills, stating that learners’ are not provided with progressive and effective opportunities to develop their skills. As a result, Donaldson (2015) recommends the prioritisation of literacy, numeracy, and digital competence skills within Wales’ new curriculum, labelling them as the cross-curricular responsibilities</w:t>
      </w:r>
      <w:r w:rsidR="00B6560B" w:rsidRPr="00CC3F5F">
        <w:rPr>
          <w:rFonts w:cs="Times New Roman"/>
        </w:rPr>
        <w:t xml:space="preserve">. Donaldson (2015) emphasises the importance of the cross-curricular responsibilities, suggesting learners should be provided with regular opportunities to develop and apply them across the curriculum in order to attain high competence. The aim of this essay is to critically analyse themes </w:t>
      </w:r>
      <w:r w:rsidR="00007106" w:rsidRPr="00CC3F5F">
        <w:rPr>
          <w:rFonts w:cs="Times New Roman"/>
        </w:rPr>
        <w:t>relating to the</w:t>
      </w:r>
      <w:r w:rsidR="00B6560B" w:rsidRPr="00CC3F5F">
        <w:rPr>
          <w:rFonts w:cs="Times New Roman"/>
        </w:rPr>
        <w:t xml:space="preserve"> implement</w:t>
      </w:r>
      <w:r w:rsidR="00007106" w:rsidRPr="00CC3F5F">
        <w:rPr>
          <w:rFonts w:cs="Times New Roman"/>
        </w:rPr>
        <w:t>ation of</w:t>
      </w:r>
      <w:r w:rsidR="00B6560B" w:rsidRPr="00CC3F5F">
        <w:rPr>
          <w:rFonts w:cs="Times New Roman"/>
        </w:rPr>
        <w:t xml:space="preserve"> the cross-curricular responsibilities within Wales’ evolving curriculum and provide </w:t>
      </w:r>
      <w:r w:rsidR="00007106" w:rsidRPr="00CC3F5F">
        <w:rPr>
          <w:rFonts w:cs="Times New Roman"/>
        </w:rPr>
        <w:t xml:space="preserve">justified recommendations to ensure their effective implementation across the curriculum. Personal experiences and observations for Professional Teaching Experience (PTE) will be utilised to support the discussion and analysation of said themes, and recommendations to develop personal cross-curricular teaching and learning will be included. </w:t>
      </w:r>
    </w:p>
    <w:p w14:paraId="71A3A2FF" w14:textId="77777777" w:rsidR="00192F52" w:rsidRPr="00CC3F5F" w:rsidRDefault="00192F52" w:rsidP="00CC3F5F">
      <w:pPr>
        <w:spacing w:before="100" w:beforeAutospacing="1" w:after="100" w:afterAutospacing="1" w:line="360" w:lineRule="auto"/>
        <w:rPr>
          <w:rFonts w:cs="Times New Roman"/>
        </w:rPr>
      </w:pPr>
    </w:p>
    <w:p w14:paraId="6F0673A1" w14:textId="142C1505" w:rsidR="009546A0" w:rsidRPr="00CC3F5F" w:rsidRDefault="009546A0" w:rsidP="00CC3F5F">
      <w:pPr>
        <w:spacing w:line="360" w:lineRule="auto"/>
        <w:rPr>
          <w:rFonts w:cs="Times New Roman"/>
        </w:rPr>
      </w:pPr>
      <w:r w:rsidRPr="00CC3F5F">
        <w:rPr>
          <w:rFonts w:cs="Times New Roman"/>
        </w:rPr>
        <w:t>Barnes (2015) advocates the use of cross-curricul</w:t>
      </w:r>
      <w:r w:rsidR="00AF1DB3" w:rsidRPr="00CC3F5F">
        <w:rPr>
          <w:rFonts w:cs="Times New Roman"/>
        </w:rPr>
        <w:t>ar</w:t>
      </w:r>
      <w:r w:rsidRPr="00CC3F5F">
        <w:rPr>
          <w:rFonts w:cs="Times New Roman"/>
        </w:rPr>
        <w:t xml:space="preserve"> approaches </w:t>
      </w:r>
      <w:r w:rsidR="00360F52" w:rsidRPr="00CC3F5F">
        <w:rPr>
          <w:rFonts w:cs="Times New Roman"/>
        </w:rPr>
        <w:t xml:space="preserve">within </w:t>
      </w:r>
      <w:r w:rsidRPr="00CC3F5F">
        <w:rPr>
          <w:rFonts w:cs="Times New Roman"/>
        </w:rPr>
        <w:t>education</w:t>
      </w:r>
      <w:r w:rsidR="00B17114" w:rsidRPr="00CC3F5F">
        <w:rPr>
          <w:rFonts w:cs="Times New Roman"/>
        </w:rPr>
        <w:t xml:space="preserve"> and highlights its potential to increase memorable learning. Research suggests that repetition and application of information in different contexts supports and develops connections between brain cells which transfers knowledge into long-term memory</w:t>
      </w:r>
      <w:r w:rsidR="0041134A" w:rsidRPr="00CC3F5F">
        <w:rPr>
          <w:rFonts w:cs="Times New Roman"/>
        </w:rPr>
        <w:t xml:space="preserve"> (Alexander, 2010; Ebbinghaus, </w:t>
      </w:r>
      <w:r w:rsidR="0041134A" w:rsidRPr="00CC3F5F">
        <w:rPr>
          <w:rFonts w:cs="Times New Roman"/>
        </w:rPr>
        <w:lastRenderedPageBreak/>
        <w:t xml:space="preserve">1885; </w:t>
      </w:r>
      <w:r w:rsidR="00EB773A" w:rsidRPr="00CC3F5F">
        <w:rPr>
          <w:rFonts w:cs="Times New Roman"/>
        </w:rPr>
        <w:t xml:space="preserve">and </w:t>
      </w:r>
      <w:r w:rsidR="0041134A" w:rsidRPr="00CC3F5F">
        <w:rPr>
          <w:rFonts w:cs="Times New Roman"/>
        </w:rPr>
        <w:t>DCELLS, 2008). This suggests that cross-curricular learning, whereby skills and knowledge are integrated and applied in different context</w:t>
      </w:r>
      <w:r w:rsidR="00AF1DB3" w:rsidRPr="00CC3F5F">
        <w:rPr>
          <w:rFonts w:cs="Times New Roman"/>
        </w:rPr>
        <w:t>s</w:t>
      </w:r>
      <w:r w:rsidR="0041134A" w:rsidRPr="00CC3F5F">
        <w:rPr>
          <w:rFonts w:cs="Times New Roman"/>
        </w:rPr>
        <w:t xml:space="preserve">, </w:t>
      </w:r>
      <w:r w:rsidR="00AF1DB3" w:rsidRPr="00CC3F5F">
        <w:rPr>
          <w:rFonts w:cs="Times New Roman"/>
        </w:rPr>
        <w:t xml:space="preserve">supports the brain developing connections between subject areas. This would suggest that implementing literacy, numeracy, and digital competence as cross-curricular responsibilities will </w:t>
      </w:r>
      <w:r w:rsidR="0041134A" w:rsidRPr="00CC3F5F">
        <w:rPr>
          <w:rFonts w:cs="Times New Roman"/>
        </w:rPr>
        <w:t xml:space="preserve">support </w:t>
      </w:r>
      <w:r w:rsidR="00AF1DB3" w:rsidRPr="00CC3F5F">
        <w:rPr>
          <w:rFonts w:cs="Times New Roman"/>
        </w:rPr>
        <w:t xml:space="preserve">learners’ knowledge and skills transferring </w:t>
      </w:r>
      <w:r w:rsidR="0041134A" w:rsidRPr="00CC3F5F">
        <w:rPr>
          <w:rFonts w:cs="Times New Roman"/>
        </w:rPr>
        <w:t xml:space="preserve">from </w:t>
      </w:r>
      <w:r w:rsidR="00AF1DB3" w:rsidRPr="00CC3F5F">
        <w:rPr>
          <w:rFonts w:cs="Times New Roman"/>
        </w:rPr>
        <w:t xml:space="preserve">their </w:t>
      </w:r>
      <w:r w:rsidR="007C2F82" w:rsidRPr="00CC3F5F">
        <w:rPr>
          <w:rFonts w:cs="Times New Roman"/>
        </w:rPr>
        <w:t>working memory</w:t>
      </w:r>
      <w:r w:rsidR="0041134A" w:rsidRPr="00CC3F5F">
        <w:rPr>
          <w:rFonts w:cs="Times New Roman"/>
        </w:rPr>
        <w:t xml:space="preserve"> to</w:t>
      </w:r>
      <w:r w:rsidR="00AF1DB3" w:rsidRPr="00CC3F5F">
        <w:rPr>
          <w:rFonts w:cs="Times New Roman"/>
        </w:rPr>
        <w:t xml:space="preserve"> their</w:t>
      </w:r>
      <w:r w:rsidR="0041134A" w:rsidRPr="00CC3F5F">
        <w:rPr>
          <w:rFonts w:cs="Times New Roman"/>
        </w:rPr>
        <w:t xml:space="preserve"> long-term memory. </w:t>
      </w:r>
      <w:r w:rsidR="007C2F82" w:rsidRPr="00CC3F5F">
        <w:rPr>
          <w:rFonts w:cs="Times New Roman"/>
        </w:rPr>
        <w:t>Baddeley</w:t>
      </w:r>
      <w:r w:rsidR="00F37852" w:rsidRPr="00CC3F5F">
        <w:rPr>
          <w:rFonts w:cs="Times New Roman"/>
        </w:rPr>
        <w:t xml:space="preserve"> (</w:t>
      </w:r>
      <w:r w:rsidR="00791362" w:rsidRPr="00CC3F5F">
        <w:rPr>
          <w:rFonts w:cs="Times New Roman"/>
        </w:rPr>
        <w:t>2010</w:t>
      </w:r>
      <w:r w:rsidR="00F37852" w:rsidRPr="00CC3F5F">
        <w:rPr>
          <w:rFonts w:cs="Times New Roman"/>
        </w:rPr>
        <w:t xml:space="preserve">) highlights that </w:t>
      </w:r>
      <w:r w:rsidR="007C2F82" w:rsidRPr="00CC3F5F">
        <w:rPr>
          <w:rFonts w:cs="Times New Roman"/>
        </w:rPr>
        <w:t xml:space="preserve">working memory is often dependent on long-term memory, for example, </w:t>
      </w:r>
      <w:r w:rsidR="00120C87" w:rsidRPr="00CC3F5F">
        <w:rPr>
          <w:rFonts w:cs="Times New Roman"/>
        </w:rPr>
        <w:t xml:space="preserve">developing a </w:t>
      </w:r>
      <w:r w:rsidR="007C2F82" w:rsidRPr="00CC3F5F">
        <w:rPr>
          <w:rFonts w:cs="Times New Roman"/>
        </w:rPr>
        <w:t>learner’</w:t>
      </w:r>
      <w:r w:rsidR="00120C87" w:rsidRPr="00CC3F5F">
        <w:rPr>
          <w:rFonts w:cs="Times New Roman"/>
        </w:rPr>
        <w:t>s</w:t>
      </w:r>
      <w:r w:rsidR="007C2F82" w:rsidRPr="00CC3F5F">
        <w:rPr>
          <w:rFonts w:cs="Times New Roman"/>
        </w:rPr>
        <w:t xml:space="preserve"> story writing is depended on their long-term memory of writing skills. This highlights the importance of developing learners’ long-term memory of the cross-curricular responsibilities.</w:t>
      </w:r>
      <w:r w:rsidR="0027561C" w:rsidRPr="00CC3F5F">
        <w:rPr>
          <w:rFonts w:cs="Times New Roman"/>
        </w:rPr>
        <w:t xml:space="preserve"> However, Cochran et al</w:t>
      </w:r>
      <w:r w:rsidR="00DB25FE" w:rsidRPr="00CC3F5F">
        <w:rPr>
          <w:rFonts w:cs="Times New Roman"/>
        </w:rPr>
        <w:t>.</w:t>
      </w:r>
      <w:r w:rsidR="0027561C" w:rsidRPr="00CC3F5F">
        <w:rPr>
          <w:rFonts w:cs="Times New Roman"/>
        </w:rPr>
        <w:t xml:space="preserve"> (1993)</w:t>
      </w:r>
      <w:r w:rsidR="00FA33CE" w:rsidRPr="00CC3F5F">
        <w:rPr>
          <w:rFonts w:cs="Times New Roman"/>
        </w:rPr>
        <w:t xml:space="preserve"> and Zeidler (2002)</w:t>
      </w:r>
      <w:r w:rsidR="0027561C" w:rsidRPr="00CC3F5F">
        <w:rPr>
          <w:rFonts w:cs="Times New Roman"/>
        </w:rPr>
        <w:t xml:space="preserve"> highlight that effective teaching is equally dependent on teachers’ pedagogica</w:t>
      </w:r>
      <w:r w:rsidR="00DB25FE" w:rsidRPr="00CC3F5F">
        <w:rPr>
          <w:rFonts w:cs="Times New Roman"/>
        </w:rPr>
        <w:t>l</w:t>
      </w:r>
      <w:r w:rsidR="0027561C" w:rsidRPr="00CC3F5F">
        <w:rPr>
          <w:rFonts w:cs="Times New Roman"/>
        </w:rPr>
        <w:t xml:space="preserve"> and subject knowledge. Additionally, Savage (2011, p.16) emphasises teachers’ essential role in the implementation of cross-curricular approaches, stating teacher</w:t>
      </w:r>
      <w:r w:rsidR="00120C87" w:rsidRPr="00CC3F5F">
        <w:rPr>
          <w:rFonts w:cs="Times New Roman"/>
        </w:rPr>
        <w:t>s</w:t>
      </w:r>
      <w:r w:rsidR="0027561C" w:rsidRPr="00CC3F5F">
        <w:rPr>
          <w:rFonts w:cs="Times New Roman"/>
        </w:rPr>
        <w:t xml:space="preserve"> require ‘</w:t>
      </w:r>
      <w:r w:rsidR="0027561C" w:rsidRPr="00CC3F5F">
        <w:rPr>
          <w:rFonts w:cs="Times New Roman"/>
          <w:i/>
          <w:iCs/>
        </w:rPr>
        <w:t>enriched pedagogy’</w:t>
      </w:r>
      <w:r w:rsidR="0027561C" w:rsidRPr="00CC3F5F">
        <w:rPr>
          <w:rFonts w:cs="Times New Roman"/>
        </w:rPr>
        <w:t>.</w:t>
      </w:r>
      <w:r w:rsidR="00572AB8" w:rsidRPr="00CC3F5F">
        <w:rPr>
          <w:rFonts w:cs="Times New Roman"/>
        </w:rPr>
        <w:t xml:space="preserve"> This suggests that, in order to implement a cross-curricular approach effectively, teachers require specific pedagogy to support learners making and developing connections between subject areas, therefore, to allow skills to transfer to learners’ long-term memory</w:t>
      </w:r>
      <w:r w:rsidR="00120C87" w:rsidRPr="00CC3F5F">
        <w:rPr>
          <w:rFonts w:cs="Times New Roman"/>
        </w:rPr>
        <w:t xml:space="preserve"> (Cochran et al</w:t>
      </w:r>
      <w:r w:rsidR="00DB25FE" w:rsidRPr="00CC3F5F">
        <w:rPr>
          <w:rFonts w:cs="Times New Roman"/>
        </w:rPr>
        <w:t>.</w:t>
      </w:r>
      <w:r w:rsidR="00120C87" w:rsidRPr="00CC3F5F">
        <w:rPr>
          <w:rFonts w:cs="Times New Roman"/>
        </w:rPr>
        <w:t xml:space="preserve"> 1993;</w:t>
      </w:r>
      <w:r w:rsidR="00DB25FE" w:rsidRPr="00CC3F5F">
        <w:rPr>
          <w:rFonts w:cs="Times New Roman"/>
        </w:rPr>
        <w:t xml:space="preserve"> Zeidler, 2002;</w:t>
      </w:r>
      <w:r w:rsidR="00120C87" w:rsidRPr="00CC3F5F">
        <w:rPr>
          <w:rFonts w:cs="Times New Roman"/>
        </w:rPr>
        <w:t xml:space="preserve"> Savage, 2011; </w:t>
      </w:r>
      <w:r w:rsidR="00A22E40" w:rsidRPr="00CC3F5F">
        <w:rPr>
          <w:rFonts w:cs="Times New Roman"/>
        </w:rPr>
        <w:t xml:space="preserve">and </w:t>
      </w:r>
      <w:r w:rsidR="00120C87" w:rsidRPr="00CC3F5F">
        <w:rPr>
          <w:rFonts w:cs="Times New Roman"/>
        </w:rPr>
        <w:t>Ebbinghaus, 1885).</w:t>
      </w:r>
      <w:r w:rsidR="00FF68E1" w:rsidRPr="00CC3F5F">
        <w:rPr>
          <w:rFonts w:cs="Times New Roman"/>
        </w:rPr>
        <w:t xml:space="preserve"> In order to support effective cross-curricular teaching and learning, Barnes (2015) formed a cross-curricular taxonomy, identifying eight cross-curricular pedagogies that teacher</w:t>
      </w:r>
      <w:r w:rsidR="004D1082" w:rsidRPr="00CC3F5F">
        <w:rPr>
          <w:rFonts w:cs="Times New Roman"/>
        </w:rPr>
        <w:t>s</w:t>
      </w:r>
      <w:r w:rsidR="00FF68E1" w:rsidRPr="00CC3F5F">
        <w:rPr>
          <w:rFonts w:cs="Times New Roman"/>
        </w:rPr>
        <w:t xml:space="preserve"> can utilise. </w:t>
      </w:r>
      <w:r w:rsidR="00E95791" w:rsidRPr="00CC3F5F">
        <w:rPr>
          <w:rFonts w:cs="Times New Roman"/>
        </w:rPr>
        <w:t>Conversely, Pound and Lee (2010) question the effectiveness of some cross-curricular approaches</w:t>
      </w:r>
      <w:r w:rsidR="00A43FD6" w:rsidRPr="00CC3F5F">
        <w:rPr>
          <w:rFonts w:cs="Times New Roman"/>
        </w:rPr>
        <w:t>, highlighting that they do not enhance all areas of learning involved. Moreover, Barnes (2015, p.66) identifies a ‘</w:t>
      </w:r>
      <w:r w:rsidR="00A43FD6" w:rsidRPr="00CC3F5F">
        <w:rPr>
          <w:rFonts w:cs="Times New Roman"/>
          <w:i/>
          <w:iCs/>
        </w:rPr>
        <w:t xml:space="preserve">tokenistic’ </w:t>
      </w:r>
      <w:r w:rsidR="00A43FD6" w:rsidRPr="00CC3F5F">
        <w:rPr>
          <w:rFonts w:cs="Times New Roman"/>
        </w:rPr>
        <w:t xml:space="preserve">approach within the taxonomy, whereby he suggests it is an ineffective cross-curricular model as either superficial or no links and made between subject areas. Therefore, this indicates that teachers must have some knowledge of effective cross-curricular approaches in order to determine the effectiveness of an approach (Pound and Lee, 2010; </w:t>
      </w:r>
      <w:r w:rsidR="00284069" w:rsidRPr="00CC3F5F">
        <w:rPr>
          <w:rFonts w:cs="Times New Roman"/>
        </w:rPr>
        <w:t xml:space="preserve">and </w:t>
      </w:r>
      <w:r w:rsidR="00A43FD6" w:rsidRPr="00CC3F5F">
        <w:rPr>
          <w:rFonts w:cs="Times New Roman"/>
        </w:rPr>
        <w:t xml:space="preserve">Barnes, 2015). </w:t>
      </w:r>
      <w:r w:rsidR="00FF68E1" w:rsidRPr="00CC3F5F">
        <w:rPr>
          <w:rFonts w:cs="Times New Roman"/>
        </w:rPr>
        <w:t>During PTE</w:t>
      </w:r>
      <w:r w:rsidR="00784BA4" w:rsidRPr="00CC3F5F">
        <w:rPr>
          <w:rFonts w:cs="Times New Roman"/>
        </w:rPr>
        <w:t xml:space="preserve"> 2</w:t>
      </w:r>
      <w:r w:rsidR="00FF68E1" w:rsidRPr="00CC3F5F">
        <w:rPr>
          <w:rFonts w:cs="Times New Roman"/>
        </w:rPr>
        <w:t>, I applied the multi-disciplinary cross-curricular teaching and learning approach, as identified by Barnes (2015), within a progression of lessons to develop and apply learners’ history and digital competence skills.</w:t>
      </w:r>
      <w:r w:rsidR="00BE5AA5" w:rsidRPr="00CC3F5F">
        <w:rPr>
          <w:rFonts w:cs="Times New Roman"/>
        </w:rPr>
        <w:t xml:space="preserve"> As a student teacher developing my pedagogical knowledge, I found that this model supported my implementation of cross-curricular teaching and learning and provided me with the guidance to ensure my approach was effective.</w:t>
      </w:r>
    </w:p>
    <w:p w14:paraId="19BA731D" w14:textId="03FB18B6" w:rsidR="00BF112A" w:rsidRPr="00CC3F5F" w:rsidRDefault="00BF112A" w:rsidP="00CC3F5F">
      <w:pPr>
        <w:spacing w:line="360" w:lineRule="auto"/>
        <w:rPr>
          <w:rFonts w:cs="Times New Roman"/>
        </w:rPr>
      </w:pPr>
    </w:p>
    <w:p w14:paraId="42AE2B78" w14:textId="3FDAC9AD" w:rsidR="009658E8" w:rsidRPr="00CC3F5F" w:rsidRDefault="009658E8" w:rsidP="00CC3F5F">
      <w:pPr>
        <w:spacing w:line="360" w:lineRule="auto"/>
        <w:rPr>
          <w:rFonts w:cs="Times New Roman"/>
        </w:rPr>
      </w:pPr>
      <w:r w:rsidRPr="00CC3F5F">
        <w:rPr>
          <w:rFonts w:cs="Times New Roman"/>
        </w:rPr>
        <w:t xml:space="preserve">During PTE </w:t>
      </w:r>
      <w:r w:rsidR="00784BA4" w:rsidRPr="00CC3F5F">
        <w:rPr>
          <w:rFonts w:cs="Times New Roman"/>
        </w:rPr>
        <w:t>1</w:t>
      </w:r>
      <w:r w:rsidRPr="00CC3F5F">
        <w:rPr>
          <w:rFonts w:cs="Times New Roman"/>
        </w:rPr>
        <w:t xml:space="preserve">, I was informed by a class teacher that developing elements of literacy, numeracy, and digital competence within an observation lesson was considered ‘good </w:t>
      </w:r>
      <w:r w:rsidRPr="00CC3F5F">
        <w:rPr>
          <w:rFonts w:cs="Times New Roman"/>
        </w:rPr>
        <w:lastRenderedPageBreak/>
        <w:t>practice’. This suggests there may be an understanding in teachers that it is a requirement to develop elements of all of the cross-curricular responsibilities within lessons. After following the advice from said teacher</w:t>
      </w:r>
      <w:r w:rsidR="0081227E" w:rsidRPr="00CC3F5F">
        <w:rPr>
          <w:rFonts w:cs="Times New Roman"/>
        </w:rPr>
        <w:t xml:space="preserve"> and </w:t>
      </w:r>
      <w:r w:rsidRPr="00CC3F5F">
        <w:rPr>
          <w:rFonts w:cs="Times New Roman"/>
        </w:rPr>
        <w:t>reflecti</w:t>
      </w:r>
      <w:r w:rsidR="0081227E" w:rsidRPr="00CC3F5F">
        <w:rPr>
          <w:rFonts w:cs="Times New Roman"/>
        </w:rPr>
        <w:t>ng upon the lesson I had conducted,</w:t>
      </w:r>
      <w:r w:rsidRPr="00CC3F5F">
        <w:rPr>
          <w:rFonts w:cs="Times New Roman"/>
        </w:rPr>
        <w:t xml:space="preserve"> I felt that developing </w:t>
      </w:r>
      <w:r w:rsidR="00215C2A" w:rsidRPr="00CC3F5F">
        <w:rPr>
          <w:rFonts w:cs="Times New Roman"/>
        </w:rPr>
        <w:t>all of the cross-curricular responsibilities within the lesson was detrimental to learners’ potential progression as the connections between the subject and the elements of the cross-curricular responsibilities were weak.</w:t>
      </w:r>
      <w:r w:rsidR="002158A4" w:rsidRPr="00CC3F5F">
        <w:rPr>
          <w:rFonts w:cs="Times New Roman"/>
        </w:rPr>
        <w:t xml:space="preserve"> Learning theory suggests that, in order to ensure progression, the number of subject skills developed within a lesson should be limited to three (Barnes, 2015). Furthermore, Kerry (2015) and Pollard (2002) highlight that weak subject connections and lack of depth of learning results in ineffective cross-curricular learning. These statements furthermore support my reflection and indicate that developing all of the cross-curricular responsibilities was  detrimental to learners’ progression. Despite the comment made by the teacher and suggestion </w:t>
      </w:r>
      <w:r w:rsidR="001D2BFB" w:rsidRPr="00CC3F5F">
        <w:rPr>
          <w:rFonts w:cs="Times New Roman"/>
        </w:rPr>
        <w:t xml:space="preserve">that it may be a common understanding by other teachers, the Welsh Government (2017) state that developing literacy and numeracy in every lesson is not a requirement nor appropriate if the connections between the subject area and skills are weak. Similarly, as previously stated, Donaldson (2015) suggests learners should be given regular opportunities to develop the cross-curricular responsibilities, however, this does not suggest that every lesson should develop all of the cross-curricular responsibilities. </w:t>
      </w:r>
    </w:p>
    <w:p w14:paraId="4E55E87D" w14:textId="77777777" w:rsidR="009658E8" w:rsidRPr="00CC3F5F" w:rsidRDefault="009658E8" w:rsidP="00CC3F5F">
      <w:pPr>
        <w:spacing w:line="360" w:lineRule="auto"/>
        <w:rPr>
          <w:rFonts w:cs="Times New Roman"/>
        </w:rPr>
      </w:pPr>
    </w:p>
    <w:p w14:paraId="3397D5EA" w14:textId="7FF2117E" w:rsidR="00944F3C" w:rsidRPr="00CC3F5F" w:rsidRDefault="006D59F0" w:rsidP="00CC3F5F">
      <w:pPr>
        <w:spacing w:line="360" w:lineRule="auto"/>
        <w:rPr>
          <w:rFonts w:cs="Times New Roman"/>
        </w:rPr>
      </w:pPr>
      <w:r w:rsidRPr="00CC3F5F">
        <w:rPr>
          <w:rFonts w:cs="Times New Roman"/>
        </w:rPr>
        <w:t xml:space="preserve">The World Economic Forum (2016) suggests developing high competency in literacy, numeracy, and digital competence will enhance learners’ future employment prospects. Research identifies that employers are increasingly requiring employees with high competence in literacy and numeracy and identify a correlation between high levels of literacy and numeracy and progression in future employment (Bynner, 2002; and Mellar, 2004). </w:t>
      </w:r>
      <w:r w:rsidR="00BA0B3C" w:rsidRPr="00CC3F5F">
        <w:rPr>
          <w:rFonts w:cs="Times New Roman"/>
        </w:rPr>
        <w:t xml:space="preserve">From another viewpoint, </w:t>
      </w:r>
      <w:r w:rsidR="00864339" w:rsidRPr="00CC3F5F">
        <w:rPr>
          <w:rFonts w:cs="Times New Roman"/>
        </w:rPr>
        <w:t xml:space="preserve">Bell </w:t>
      </w:r>
      <w:r w:rsidR="00BA0B3C" w:rsidRPr="00CC3F5F">
        <w:rPr>
          <w:rFonts w:cs="Times New Roman"/>
        </w:rPr>
        <w:t>(2010) suggests that, in order to gain employment in the future, learners will not only be measured on their educational outcomes but on their application of their skills in real-life contexts. This highlights that learners must be prepared for future employment by, not only gaining high competence in skills, b</w:t>
      </w:r>
      <w:r w:rsidR="00B55DDB" w:rsidRPr="00CC3F5F">
        <w:rPr>
          <w:rFonts w:cs="Times New Roman"/>
        </w:rPr>
        <w:t>ut</w:t>
      </w:r>
      <w:r w:rsidR="00BA0B3C" w:rsidRPr="00CC3F5F">
        <w:rPr>
          <w:rFonts w:cs="Times New Roman"/>
        </w:rPr>
        <w:t xml:space="preserve"> high competence in applying skills in different contexts. It may be suggested that conducting cross-curricular learning</w:t>
      </w:r>
      <w:r w:rsidR="00864339" w:rsidRPr="00CC3F5F">
        <w:rPr>
          <w:rFonts w:cs="Times New Roman"/>
        </w:rPr>
        <w:t xml:space="preserve"> will prepare learners for future employment</w:t>
      </w:r>
      <w:r w:rsidR="00FD3E92" w:rsidRPr="00CC3F5F">
        <w:rPr>
          <w:rFonts w:cs="Times New Roman"/>
        </w:rPr>
        <w:t xml:space="preserve"> (World Economic Forum, 2016; Bynner, 2002; Mellar, 2004; and Bell, 2010). In line with this research, Donaldson (2015, p.29) recommends that a purpose of Wales’ new curriculum should be for all learners to develop as ‘</w:t>
      </w:r>
      <w:r w:rsidR="00FD3E92" w:rsidRPr="00CC3F5F">
        <w:rPr>
          <w:rFonts w:cs="Times New Roman"/>
          <w:i/>
          <w:iCs/>
        </w:rPr>
        <w:t>enterprising, creative contributors’</w:t>
      </w:r>
      <w:r w:rsidR="00FD3E92" w:rsidRPr="00CC3F5F">
        <w:rPr>
          <w:rFonts w:cs="Times New Roman"/>
        </w:rPr>
        <w:t xml:space="preserve"> who are ‘</w:t>
      </w:r>
      <w:r w:rsidR="00FD3E92" w:rsidRPr="00CC3F5F">
        <w:rPr>
          <w:rFonts w:cs="Times New Roman"/>
          <w:i/>
          <w:iCs/>
        </w:rPr>
        <w:t xml:space="preserve">ready to play a full part in life and </w:t>
      </w:r>
      <w:r w:rsidR="00FD3E92" w:rsidRPr="00CC3F5F">
        <w:rPr>
          <w:rFonts w:cs="Times New Roman"/>
          <w:i/>
          <w:iCs/>
        </w:rPr>
        <w:lastRenderedPageBreak/>
        <w:t xml:space="preserve">work’. </w:t>
      </w:r>
      <w:r w:rsidR="00FD3E92" w:rsidRPr="00CC3F5F">
        <w:rPr>
          <w:rFonts w:cs="Times New Roman"/>
        </w:rPr>
        <w:t xml:space="preserve">This exemplifies that a purpose of the new curriculum will be to provide learners with the skills to be successful in their future life an employment, to which </w:t>
      </w:r>
      <w:r w:rsidR="00037D2B" w:rsidRPr="00CC3F5F">
        <w:rPr>
          <w:rFonts w:cs="Times New Roman"/>
        </w:rPr>
        <w:t>research suggests</w:t>
      </w:r>
      <w:r w:rsidR="00FD3E92" w:rsidRPr="00CC3F5F">
        <w:rPr>
          <w:rFonts w:cs="Times New Roman"/>
        </w:rPr>
        <w:t xml:space="preserve"> that implementing literacy, numeracy, and digital competence through</w:t>
      </w:r>
      <w:r w:rsidR="00037D2B" w:rsidRPr="00CC3F5F">
        <w:rPr>
          <w:rFonts w:cs="Times New Roman"/>
        </w:rPr>
        <w:t xml:space="preserve"> cross-curricular approaches will ensure (World Economic Forum, 2016; Bynner, 2002; Mellar, 2004; and Bell, 2010).</w:t>
      </w:r>
      <w:r w:rsidR="00FA33CE" w:rsidRPr="00CC3F5F">
        <w:rPr>
          <w:rFonts w:cs="Times New Roman"/>
        </w:rPr>
        <w:t xml:space="preserve"> However, it is important to note, as previously stated</w:t>
      </w:r>
      <w:r w:rsidR="00DB25FE" w:rsidRPr="00CC3F5F">
        <w:rPr>
          <w:rFonts w:cs="Times New Roman"/>
        </w:rPr>
        <w:t>,</w:t>
      </w:r>
      <w:r w:rsidR="006802CE" w:rsidRPr="00CC3F5F">
        <w:rPr>
          <w:rFonts w:cs="Times New Roman"/>
        </w:rPr>
        <w:t xml:space="preserve"> that teachers require effective pedagogical and subject knowledge in order to implement effective cross-curricular teaching and learning </w:t>
      </w:r>
      <w:r w:rsidR="00DB25FE" w:rsidRPr="00CC3F5F">
        <w:rPr>
          <w:rFonts w:cs="Times New Roman"/>
        </w:rPr>
        <w:t>(</w:t>
      </w:r>
      <w:r w:rsidR="00FA33CE" w:rsidRPr="00CC3F5F">
        <w:rPr>
          <w:rFonts w:cs="Times New Roman"/>
        </w:rPr>
        <w:t>Cochran et al</w:t>
      </w:r>
      <w:r w:rsidR="00DB25FE" w:rsidRPr="00CC3F5F">
        <w:rPr>
          <w:rFonts w:cs="Times New Roman"/>
        </w:rPr>
        <w:t xml:space="preserve">. </w:t>
      </w:r>
      <w:r w:rsidR="00FA33CE" w:rsidRPr="00CC3F5F">
        <w:rPr>
          <w:rFonts w:cs="Times New Roman"/>
        </w:rPr>
        <w:t>1993</w:t>
      </w:r>
      <w:r w:rsidR="00DB25FE" w:rsidRPr="00CC3F5F">
        <w:rPr>
          <w:rFonts w:cs="Times New Roman"/>
        </w:rPr>
        <w:t>; and Zeidler, 2002).</w:t>
      </w:r>
      <w:r w:rsidR="006802CE" w:rsidRPr="00CC3F5F">
        <w:rPr>
          <w:rFonts w:cs="Times New Roman"/>
        </w:rPr>
        <w:t xml:space="preserve"> This theory implies that teacher</w:t>
      </w:r>
      <w:r w:rsidR="00B55DDB" w:rsidRPr="00CC3F5F">
        <w:rPr>
          <w:rFonts w:cs="Times New Roman"/>
        </w:rPr>
        <w:t>s</w:t>
      </w:r>
      <w:r w:rsidR="006802CE" w:rsidRPr="00CC3F5F">
        <w:rPr>
          <w:rFonts w:cs="Times New Roman"/>
        </w:rPr>
        <w:t xml:space="preserve"> require appropriate knowledge of the cross-curricular responsibilities in order to support learners developing a high competence. </w:t>
      </w:r>
      <w:r w:rsidR="00205451" w:rsidRPr="00CC3F5F">
        <w:rPr>
          <w:rFonts w:cs="Times New Roman"/>
        </w:rPr>
        <w:t>Metzler</w:t>
      </w:r>
      <w:r w:rsidR="00DE349C" w:rsidRPr="00CC3F5F">
        <w:rPr>
          <w:rFonts w:cs="Times New Roman"/>
        </w:rPr>
        <w:t xml:space="preserve"> and </w:t>
      </w:r>
      <w:r w:rsidR="00205451" w:rsidRPr="00CC3F5F">
        <w:rPr>
          <w:rFonts w:cs="Times New Roman"/>
        </w:rPr>
        <w:t>Woessmann</w:t>
      </w:r>
      <w:r w:rsidR="00DE349C" w:rsidRPr="00CC3F5F">
        <w:rPr>
          <w:rFonts w:cs="Times New Roman"/>
        </w:rPr>
        <w:t xml:space="preserve"> (2010) </w:t>
      </w:r>
      <w:r w:rsidR="006802CE" w:rsidRPr="00CC3F5F">
        <w:rPr>
          <w:rFonts w:cs="Times New Roman"/>
        </w:rPr>
        <w:t>conclude within their research that increasing a teacher’s subject knowledge by one standard-deviation</w:t>
      </w:r>
      <w:r w:rsidR="006802CE" w:rsidRPr="00CC3F5F">
        <w:rPr>
          <w:rFonts w:cs="Times New Roman"/>
          <w:i/>
          <w:iCs/>
        </w:rPr>
        <w:t xml:space="preserve"> </w:t>
      </w:r>
      <w:r w:rsidR="006802CE" w:rsidRPr="00CC3F5F">
        <w:rPr>
          <w:rFonts w:cs="Times New Roman"/>
        </w:rPr>
        <w:t xml:space="preserve">(SD) will increase a learner’s achievement by a tenth of a SD, exemplifying </w:t>
      </w:r>
      <w:r w:rsidR="00AB31B8" w:rsidRPr="00CC3F5F">
        <w:rPr>
          <w:rFonts w:cs="Times New Roman"/>
        </w:rPr>
        <w:t>the impact teachers’ subject knowledge has on learners’ progression. Estyn (2018a) state that supporting teachers’ personal literacy, numeracy, and digital competence skills are elements of good practice. However, Estyn (2018a) identify that most schools in Wales have not audited their staffs</w:t>
      </w:r>
      <w:r w:rsidR="000C2E3E" w:rsidRPr="00CC3F5F">
        <w:rPr>
          <w:rFonts w:cs="Times New Roman"/>
        </w:rPr>
        <w:t>’</w:t>
      </w:r>
      <w:r w:rsidR="00AB31B8" w:rsidRPr="00CC3F5F">
        <w:rPr>
          <w:rFonts w:cs="Times New Roman"/>
        </w:rPr>
        <w:t xml:space="preserve"> digital competence skills and</w:t>
      </w:r>
      <w:r w:rsidR="000C2E3E" w:rsidRPr="00CC3F5F">
        <w:rPr>
          <w:rFonts w:cs="Times New Roman"/>
        </w:rPr>
        <w:t xml:space="preserve"> suggest, as a result,</w:t>
      </w:r>
      <w:r w:rsidR="00AB31B8" w:rsidRPr="00CC3F5F">
        <w:rPr>
          <w:rFonts w:cs="Times New Roman"/>
        </w:rPr>
        <w:t xml:space="preserve"> schools cannot conduct effective </w:t>
      </w:r>
      <w:r w:rsidR="000C2E3E" w:rsidRPr="00CC3F5F">
        <w:rPr>
          <w:rFonts w:cs="Times New Roman"/>
        </w:rPr>
        <w:t xml:space="preserve">staff </w:t>
      </w:r>
      <w:r w:rsidR="00AB31B8" w:rsidRPr="00CC3F5F">
        <w:rPr>
          <w:rFonts w:cs="Times New Roman"/>
        </w:rPr>
        <w:t>training</w:t>
      </w:r>
      <w:r w:rsidR="000C2E3E" w:rsidRPr="00CC3F5F">
        <w:rPr>
          <w:rFonts w:cs="Times New Roman"/>
        </w:rPr>
        <w:t>. It is recommended that digital competence audits are undertaken and used to inform future staff training (Estyn, 2018c).</w:t>
      </w:r>
      <w:r w:rsidR="00944F3C" w:rsidRPr="00CC3F5F">
        <w:rPr>
          <w:rFonts w:cs="Times New Roman"/>
        </w:rPr>
        <w:t xml:space="preserve"> This highlights the importance of ensuring teachers conduct audits to inform their development of their personal literacy, numeracy, and digital competence skills in order to support learners’ progression (Estyn, 2018a, 2018c; and Metzler and Woessmann, 2010). However, primary student teachers are only audited on their literacy and numeracy skills, to which Estyn (2018a) suggests said students cannot develop their digital competence skills effectively and therefore cannot support learners developing a high competence of all of the cross-curricular responsibilities (Department for Education and Skills, 2013</w:t>
      </w:r>
      <w:r w:rsidR="00EB570E" w:rsidRPr="00CC3F5F">
        <w:rPr>
          <w:rFonts w:cs="Times New Roman"/>
        </w:rPr>
        <w:t>a</w:t>
      </w:r>
      <w:r w:rsidR="00944F3C" w:rsidRPr="00CC3F5F">
        <w:rPr>
          <w:rFonts w:cs="Times New Roman"/>
        </w:rPr>
        <w:t xml:space="preserve">; Cochran et al. 1993; and Zeidler, 2002). </w:t>
      </w:r>
      <w:r w:rsidR="000B591A" w:rsidRPr="00CC3F5F">
        <w:rPr>
          <w:rFonts w:cs="Times New Roman"/>
        </w:rPr>
        <w:t>Based on my experiences, I feel that primary student teachers are not given equal opportunities</w:t>
      </w:r>
      <w:r w:rsidR="00DB525D" w:rsidRPr="00CC3F5F">
        <w:rPr>
          <w:rFonts w:cs="Times New Roman"/>
        </w:rPr>
        <w:t xml:space="preserve"> </w:t>
      </w:r>
      <w:r w:rsidR="000B591A" w:rsidRPr="00CC3F5F">
        <w:rPr>
          <w:rFonts w:cs="Times New Roman"/>
        </w:rPr>
        <w:t xml:space="preserve">to develop their </w:t>
      </w:r>
      <w:r w:rsidR="00944F3C" w:rsidRPr="00CC3F5F">
        <w:rPr>
          <w:rFonts w:cs="Times New Roman"/>
        </w:rPr>
        <w:t xml:space="preserve">personal literacy, numeracy, and digital competence, despite the </w:t>
      </w:r>
      <w:r w:rsidR="00C5168A" w:rsidRPr="00CC3F5F">
        <w:rPr>
          <w:rFonts w:cs="Times New Roman"/>
        </w:rPr>
        <w:t>importance of teachers’ subject knowledge.</w:t>
      </w:r>
    </w:p>
    <w:p w14:paraId="590A694F" w14:textId="21C3180F" w:rsidR="009D0AFD" w:rsidRPr="00CC3F5F" w:rsidRDefault="009D0AFD" w:rsidP="00CC3F5F">
      <w:pPr>
        <w:spacing w:line="360" w:lineRule="auto"/>
        <w:rPr>
          <w:rFonts w:cs="Times New Roman"/>
        </w:rPr>
      </w:pPr>
    </w:p>
    <w:p w14:paraId="0F3D7620" w14:textId="02FBC08A" w:rsidR="001D066B" w:rsidRPr="00CC3F5F" w:rsidRDefault="00FA7ED4" w:rsidP="00CC3F5F">
      <w:pPr>
        <w:spacing w:line="360" w:lineRule="auto"/>
        <w:rPr>
          <w:rFonts w:cs="Times New Roman"/>
        </w:rPr>
      </w:pPr>
      <w:r w:rsidRPr="00CC3F5F">
        <w:rPr>
          <w:rFonts w:cs="Times New Roman"/>
        </w:rPr>
        <w:t>Hayes (2010) suggests cross-curricular approaches motivate and support learners’ progression as it creates relevant and meaningful learning experiences.</w:t>
      </w:r>
      <w:r w:rsidR="004F5DA9" w:rsidRPr="00CC3F5F">
        <w:rPr>
          <w:rFonts w:cs="Times New Roman"/>
        </w:rPr>
        <w:t xml:space="preserve"> </w:t>
      </w:r>
      <w:r w:rsidR="00727FB7" w:rsidRPr="00CC3F5F">
        <w:rPr>
          <w:rFonts w:cs="Times New Roman"/>
        </w:rPr>
        <w:t>Research</w:t>
      </w:r>
      <w:r w:rsidR="004F5DA9" w:rsidRPr="00CC3F5F">
        <w:rPr>
          <w:rFonts w:cs="Times New Roman"/>
        </w:rPr>
        <w:t xml:space="preserve"> suggests that </w:t>
      </w:r>
      <w:r w:rsidR="00791B40" w:rsidRPr="00CC3F5F">
        <w:rPr>
          <w:rFonts w:cs="Times New Roman"/>
        </w:rPr>
        <w:t xml:space="preserve">incorporating learners’ interests within learning supports their progression as they are engaged within the learning (Learning and Skills Improvement Service, 2010; Robinson, 2015; and Bates, 2016). </w:t>
      </w:r>
      <w:r w:rsidR="00196356" w:rsidRPr="00CC3F5F">
        <w:rPr>
          <w:rFonts w:cs="Times New Roman"/>
        </w:rPr>
        <w:t xml:space="preserve">Furthermore, </w:t>
      </w:r>
      <w:r w:rsidR="00B06811" w:rsidRPr="00CC3F5F">
        <w:rPr>
          <w:rFonts w:cs="Times New Roman"/>
        </w:rPr>
        <w:t xml:space="preserve">Pearce (2005) describes the theory of ‘flow’, whereby the learner is immersed and engaged within a learning experiences so that there is no </w:t>
      </w:r>
      <w:r w:rsidR="00B06811" w:rsidRPr="00CC3F5F">
        <w:rPr>
          <w:rFonts w:cs="Times New Roman"/>
        </w:rPr>
        <w:lastRenderedPageBreak/>
        <w:t xml:space="preserve">opportunity for learners to become distracted. Pearce (2005) suggests implementing success criteria, appropriate and differentiated challenges, among others, support learners entering ‘flow’, which are elements of Assessment for Learning (AfL). </w:t>
      </w:r>
      <w:r w:rsidR="004F5DA9" w:rsidRPr="00CC3F5F">
        <w:rPr>
          <w:rFonts w:cs="Times New Roman"/>
        </w:rPr>
        <w:t xml:space="preserve">Donaldson (2015) supports </w:t>
      </w:r>
      <w:r w:rsidR="00727FB7" w:rsidRPr="00CC3F5F">
        <w:rPr>
          <w:rFonts w:cs="Times New Roman"/>
        </w:rPr>
        <w:t>this theory and informs that creating engaging tasks that include learners’ interests is a pedagogical pr</w:t>
      </w:r>
      <w:r w:rsidR="00B55DDB" w:rsidRPr="00CC3F5F">
        <w:rPr>
          <w:rFonts w:cs="Times New Roman"/>
        </w:rPr>
        <w:t>inciple</w:t>
      </w:r>
      <w:r w:rsidR="00727FB7" w:rsidRPr="00CC3F5F">
        <w:rPr>
          <w:rFonts w:cs="Times New Roman"/>
        </w:rPr>
        <w:t>. This indicate</w:t>
      </w:r>
      <w:r w:rsidR="00EF5747" w:rsidRPr="00CC3F5F">
        <w:rPr>
          <w:rFonts w:cs="Times New Roman"/>
        </w:rPr>
        <w:t>s</w:t>
      </w:r>
      <w:r w:rsidR="00727FB7" w:rsidRPr="00CC3F5F">
        <w:rPr>
          <w:rFonts w:cs="Times New Roman"/>
        </w:rPr>
        <w:t xml:space="preserve"> that, within Wales’ new curriculum, the cross-curricular responsibilities should be applied and developed within contexts that are relevant and incorporate learners’ interests. </w:t>
      </w:r>
      <w:r w:rsidR="00AE60D4" w:rsidRPr="00CC3F5F">
        <w:rPr>
          <w:rFonts w:cs="Times New Roman"/>
        </w:rPr>
        <w:t xml:space="preserve">Estyn (2018b) shares </w:t>
      </w:r>
      <w:r w:rsidR="00727FB7" w:rsidRPr="00CC3F5F">
        <w:rPr>
          <w:rFonts w:cs="Times New Roman"/>
        </w:rPr>
        <w:t xml:space="preserve">the </w:t>
      </w:r>
      <w:r w:rsidR="00AE60D4" w:rsidRPr="00CC3F5F">
        <w:rPr>
          <w:rFonts w:cs="Times New Roman"/>
        </w:rPr>
        <w:t>good practice of Mount Pleasant Primary School who</w:t>
      </w:r>
      <w:r w:rsidR="00727FB7" w:rsidRPr="00CC3F5F">
        <w:rPr>
          <w:rFonts w:cs="Times New Roman"/>
        </w:rPr>
        <w:t xml:space="preserve"> </w:t>
      </w:r>
      <w:r w:rsidR="00AE60D4" w:rsidRPr="00CC3F5F">
        <w:rPr>
          <w:rFonts w:cs="Times New Roman"/>
        </w:rPr>
        <w:t>allowed learners to take ‘</w:t>
      </w:r>
      <w:r w:rsidR="00AE60D4" w:rsidRPr="00CC3F5F">
        <w:rPr>
          <w:rFonts w:cs="Times New Roman"/>
          <w:i/>
          <w:iCs/>
        </w:rPr>
        <w:t xml:space="preserve">ownership of the direction of learning’ </w:t>
      </w:r>
      <w:r w:rsidR="00AE60D4" w:rsidRPr="00CC3F5F">
        <w:rPr>
          <w:rFonts w:cs="Times New Roman"/>
        </w:rPr>
        <w:t>by including them in the curriculum planning process. Estyn (2018b) states learners planned topics they were interested in</w:t>
      </w:r>
      <w:r w:rsidR="00727FB7" w:rsidRPr="00CC3F5F">
        <w:rPr>
          <w:rFonts w:cs="Times New Roman"/>
        </w:rPr>
        <w:t xml:space="preserve"> </w:t>
      </w:r>
      <w:r w:rsidR="00AE60D4" w:rsidRPr="00CC3F5F">
        <w:rPr>
          <w:rFonts w:cs="Times New Roman"/>
        </w:rPr>
        <w:t>and suggests this</w:t>
      </w:r>
      <w:r w:rsidR="00727FB7" w:rsidRPr="00CC3F5F">
        <w:rPr>
          <w:rFonts w:cs="Times New Roman"/>
        </w:rPr>
        <w:t xml:space="preserve"> </w:t>
      </w:r>
      <w:r w:rsidR="00AE60D4" w:rsidRPr="00CC3F5F">
        <w:rPr>
          <w:rFonts w:cs="Times New Roman"/>
        </w:rPr>
        <w:t>engaged learners</w:t>
      </w:r>
      <w:r w:rsidR="00727FB7" w:rsidRPr="00CC3F5F">
        <w:rPr>
          <w:rFonts w:cs="Times New Roman"/>
        </w:rPr>
        <w:t xml:space="preserve"> </w:t>
      </w:r>
      <w:r w:rsidR="00463CFB" w:rsidRPr="00CC3F5F">
        <w:rPr>
          <w:rFonts w:cs="Times New Roman"/>
        </w:rPr>
        <w:t xml:space="preserve">and supported the development of a range of skills across the curriculum. </w:t>
      </w:r>
      <w:r w:rsidR="00A12680" w:rsidRPr="00CC3F5F">
        <w:rPr>
          <w:rFonts w:cs="Times New Roman"/>
        </w:rPr>
        <w:t>This exemplifies how including learners’ interests supports the development of the cross-curricular responsibilities. Conversely, Hayes (2010) acknowledges that allowing learner</w:t>
      </w:r>
      <w:r w:rsidR="007B5A57" w:rsidRPr="00CC3F5F">
        <w:rPr>
          <w:rFonts w:cs="Times New Roman"/>
        </w:rPr>
        <w:t>s</w:t>
      </w:r>
      <w:r w:rsidR="00A12680" w:rsidRPr="00CC3F5F">
        <w:rPr>
          <w:rFonts w:cs="Times New Roman"/>
        </w:rPr>
        <w:t xml:space="preserve"> to lead their own learning through their own interests can provide opportunities to avoid areas in which they find challenging, suggesting that selecting topics in which learners are interested in may be detrimental to elements of the cross-curricular responsibilities. </w:t>
      </w:r>
      <w:r w:rsidR="008F57E9" w:rsidRPr="00CC3F5F">
        <w:rPr>
          <w:rFonts w:cs="Times New Roman"/>
        </w:rPr>
        <w:t xml:space="preserve">Additionally, </w:t>
      </w:r>
      <w:r w:rsidR="00A03900" w:rsidRPr="00CC3F5F">
        <w:rPr>
          <w:rFonts w:cs="Times New Roman"/>
        </w:rPr>
        <w:t xml:space="preserve">Iversen </w:t>
      </w:r>
      <w:r w:rsidR="00123185" w:rsidRPr="00CC3F5F">
        <w:rPr>
          <w:rFonts w:cs="Times New Roman"/>
        </w:rPr>
        <w:t xml:space="preserve">et al. </w:t>
      </w:r>
      <w:r w:rsidR="00A03900" w:rsidRPr="00CC3F5F">
        <w:rPr>
          <w:rFonts w:cs="Times New Roman"/>
        </w:rPr>
        <w:t>(2015) identifies that learners may have difficulty suggesting topics of learning and leading their own learning</w:t>
      </w:r>
      <w:r w:rsidR="001D066B" w:rsidRPr="00CC3F5F">
        <w:rPr>
          <w:rFonts w:cs="Times New Roman"/>
        </w:rPr>
        <w:t>,</w:t>
      </w:r>
      <w:r w:rsidR="00A03900" w:rsidRPr="00CC3F5F">
        <w:rPr>
          <w:rFonts w:cs="Times New Roman"/>
        </w:rPr>
        <w:t xml:space="preserve"> impl</w:t>
      </w:r>
      <w:r w:rsidR="001D066B" w:rsidRPr="00CC3F5F">
        <w:rPr>
          <w:rFonts w:cs="Times New Roman"/>
        </w:rPr>
        <w:t>ying this is a skill the learner</w:t>
      </w:r>
      <w:r w:rsidR="00A03900" w:rsidRPr="00CC3F5F">
        <w:rPr>
          <w:rFonts w:cs="Times New Roman"/>
        </w:rPr>
        <w:t xml:space="preserve"> must be taught.</w:t>
      </w:r>
      <w:r w:rsidR="005F07C5" w:rsidRPr="00CC3F5F">
        <w:rPr>
          <w:rFonts w:cs="Times New Roman"/>
        </w:rPr>
        <w:t xml:space="preserve"> </w:t>
      </w:r>
      <w:r w:rsidR="00CC38DD" w:rsidRPr="00CC3F5F">
        <w:rPr>
          <w:rFonts w:cs="Times New Roman"/>
        </w:rPr>
        <w:t xml:space="preserve">This was </w:t>
      </w:r>
      <w:r w:rsidR="00900EF4" w:rsidRPr="00CC3F5F">
        <w:rPr>
          <w:rFonts w:cs="Times New Roman"/>
        </w:rPr>
        <w:t xml:space="preserve">observed </w:t>
      </w:r>
      <w:r w:rsidR="00306991" w:rsidRPr="00CC3F5F">
        <w:rPr>
          <w:rFonts w:cs="Times New Roman"/>
        </w:rPr>
        <w:t>during</w:t>
      </w:r>
      <w:r w:rsidR="00CC38DD" w:rsidRPr="00CC3F5F">
        <w:rPr>
          <w:rFonts w:cs="Times New Roman"/>
        </w:rPr>
        <w:t xml:space="preserve"> PTE </w:t>
      </w:r>
      <w:r w:rsidR="00306991" w:rsidRPr="00CC3F5F">
        <w:rPr>
          <w:rFonts w:cs="Times New Roman"/>
        </w:rPr>
        <w:t xml:space="preserve">1 </w:t>
      </w:r>
      <w:r w:rsidR="00CC38DD" w:rsidRPr="00CC3F5F">
        <w:rPr>
          <w:rFonts w:cs="Times New Roman"/>
        </w:rPr>
        <w:t>whe</w:t>
      </w:r>
      <w:r w:rsidR="00900EF4" w:rsidRPr="00CC3F5F">
        <w:rPr>
          <w:rFonts w:cs="Times New Roman"/>
        </w:rPr>
        <w:t xml:space="preserve">n </w:t>
      </w:r>
      <w:r w:rsidR="00CC38DD" w:rsidRPr="00CC3F5F">
        <w:rPr>
          <w:rFonts w:cs="Times New Roman"/>
        </w:rPr>
        <w:t>learners often wished to present their work via a PowerPoint presentation</w:t>
      </w:r>
      <w:r w:rsidR="00A1700E" w:rsidRPr="00CC3F5F">
        <w:rPr>
          <w:rFonts w:cs="Times New Roman"/>
        </w:rPr>
        <w:t>,</w:t>
      </w:r>
      <w:r w:rsidR="00900EF4" w:rsidRPr="00CC3F5F">
        <w:rPr>
          <w:rFonts w:cs="Times New Roman"/>
        </w:rPr>
        <w:t xml:space="preserve"> which </w:t>
      </w:r>
      <w:r w:rsidR="00A1700E" w:rsidRPr="00CC3F5F">
        <w:rPr>
          <w:rFonts w:cs="Times New Roman"/>
        </w:rPr>
        <w:t>may be detrimental to other elements of learners’ digital competence skills</w:t>
      </w:r>
      <w:r w:rsidR="00900EF4" w:rsidRPr="00CC3F5F">
        <w:rPr>
          <w:rFonts w:cs="Times New Roman"/>
        </w:rPr>
        <w:t xml:space="preserve"> (Hayes, 2010). </w:t>
      </w:r>
      <w:r w:rsidR="0091570E" w:rsidRPr="00CC3F5F">
        <w:rPr>
          <w:rFonts w:cs="Times New Roman"/>
        </w:rPr>
        <w:t>This highlights that</w:t>
      </w:r>
      <w:r w:rsidR="00C624DD" w:rsidRPr="00CC3F5F">
        <w:rPr>
          <w:rFonts w:cs="Times New Roman"/>
        </w:rPr>
        <w:t xml:space="preserve"> teacher</w:t>
      </w:r>
      <w:r w:rsidR="00A1700E" w:rsidRPr="00CC3F5F">
        <w:rPr>
          <w:rFonts w:cs="Times New Roman"/>
        </w:rPr>
        <w:t>s</w:t>
      </w:r>
      <w:r w:rsidR="00C624DD" w:rsidRPr="00CC3F5F">
        <w:rPr>
          <w:rFonts w:cs="Times New Roman"/>
        </w:rPr>
        <w:t xml:space="preserve"> must collaborate with </w:t>
      </w:r>
      <w:r w:rsidR="00900EF4" w:rsidRPr="00CC3F5F">
        <w:rPr>
          <w:rFonts w:cs="Times New Roman"/>
        </w:rPr>
        <w:t xml:space="preserve">learners </w:t>
      </w:r>
      <w:r w:rsidR="00C624DD" w:rsidRPr="00CC3F5F">
        <w:rPr>
          <w:rFonts w:cs="Times New Roman"/>
        </w:rPr>
        <w:t xml:space="preserve">during the </w:t>
      </w:r>
      <w:r w:rsidR="00900EF4" w:rsidRPr="00CC3F5F">
        <w:rPr>
          <w:rFonts w:cs="Times New Roman"/>
        </w:rPr>
        <w:t xml:space="preserve">planning process </w:t>
      </w:r>
      <w:r w:rsidR="0091570E" w:rsidRPr="00CC3F5F">
        <w:rPr>
          <w:rFonts w:cs="Times New Roman"/>
        </w:rPr>
        <w:t xml:space="preserve">to ensure all </w:t>
      </w:r>
      <w:r w:rsidR="00C624DD" w:rsidRPr="00CC3F5F">
        <w:rPr>
          <w:rFonts w:cs="Times New Roman"/>
        </w:rPr>
        <w:t xml:space="preserve">relevant </w:t>
      </w:r>
      <w:r w:rsidR="0091570E" w:rsidRPr="00CC3F5F">
        <w:rPr>
          <w:rFonts w:cs="Times New Roman"/>
        </w:rPr>
        <w:t>areas of the curriculum and cross-curricular responsibilities are developed</w:t>
      </w:r>
      <w:r w:rsidR="00900EF4" w:rsidRPr="00CC3F5F">
        <w:rPr>
          <w:rFonts w:cs="Times New Roman"/>
        </w:rPr>
        <w:t>.</w:t>
      </w:r>
    </w:p>
    <w:p w14:paraId="275E2575" w14:textId="77777777" w:rsidR="00D22FA9" w:rsidRPr="00CC3F5F" w:rsidRDefault="00D22FA9" w:rsidP="00CC3F5F">
      <w:pPr>
        <w:spacing w:line="360" w:lineRule="auto"/>
        <w:rPr>
          <w:rFonts w:cs="Times New Roman"/>
        </w:rPr>
      </w:pPr>
    </w:p>
    <w:p w14:paraId="45D0E8DD" w14:textId="39835C1B" w:rsidR="00784BA4" w:rsidRPr="00CC3F5F" w:rsidRDefault="002714F4" w:rsidP="00CC3F5F">
      <w:pPr>
        <w:spacing w:line="360" w:lineRule="auto"/>
        <w:rPr>
          <w:rFonts w:cs="Times New Roman"/>
        </w:rPr>
      </w:pPr>
      <w:r w:rsidRPr="00CC3F5F">
        <w:rPr>
          <w:rFonts w:cs="Times New Roman"/>
        </w:rPr>
        <w:t>The Department for Education and Skills (2013b) note that the nature of effective cross-curricular teaching and learning supports the inclusion of AfL strategies. However, t</w:t>
      </w:r>
      <w:r w:rsidR="008E6924" w:rsidRPr="00CC3F5F">
        <w:rPr>
          <w:rFonts w:cs="Times New Roman"/>
        </w:rPr>
        <w:t>he Department for Education and Skills</w:t>
      </w:r>
      <w:r w:rsidR="00AE4480" w:rsidRPr="00CC3F5F">
        <w:rPr>
          <w:rFonts w:cs="Times New Roman"/>
        </w:rPr>
        <w:t xml:space="preserve"> (</w:t>
      </w:r>
      <w:r w:rsidR="00955257" w:rsidRPr="00CC3F5F">
        <w:rPr>
          <w:rFonts w:cs="Times New Roman"/>
        </w:rPr>
        <w:t>2014, p.16</w:t>
      </w:r>
      <w:r w:rsidR="00AE4480" w:rsidRPr="00CC3F5F">
        <w:rPr>
          <w:rFonts w:cs="Times New Roman"/>
        </w:rPr>
        <w:t xml:space="preserve">) </w:t>
      </w:r>
      <w:r w:rsidR="008E6924" w:rsidRPr="00CC3F5F">
        <w:rPr>
          <w:rFonts w:cs="Times New Roman"/>
        </w:rPr>
        <w:t xml:space="preserve">highlight that </w:t>
      </w:r>
      <w:r w:rsidR="005D2E55" w:rsidRPr="00CC3F5F">
        <w:rPr>
          <w:rFonts w:cs="Times New Roman"/>
        </w:rPr>
        <w:t xml:space="preserve">assessment is a weak aspect of Wales’ current curriculum </w:t>
      </w:r>
      <w:r w:rsidR="00563223" w:rsidRPr="00CC3F5F">
        <w:rPr>
          <w:rFonts w:cs="Times New Roman"/>
        </w:rPr>
        <w:t xml:space="preserve">and indicate that AfL </w:t>
      </w:r>
      <w:r w:rsidR="00955257" w:rsidRPr="00CC3F5F">
        <w:rPr>
          <w:rFonts w:cs="Times New Roman"/>
        </w:rPr>
        <w:t>is ‘</w:t>
      </w:r>
      <w:r w:rsidR="00955257" w:rsidRPr="00CC3F5F">
        <w:rPr>
          <w:rFonts w:cs="Times New Roman"/>
          <w:i/>
          <w:iCs/>
        </w:rPr>
        <w:t xml:space="preserve">not well-embedded’ </w:t>
      </w:r>
      <w:r w:rsidR="00955257" w:rsidRPr="00CC3F5F">
        <w:rPr>
          <w:rFonts w:cs="Times New Roman"/>
        </w:rPr>
        <w:t>in many schools</w:t>
      </w:r>
      <w:r w:rsidR="00563223" w:rsidRPr="00CC3F5F">
        <w:rPr>
          <w:rFonts w:cs="Times New Roman"/>
        </w:rPr>
        <w:t>.</w:t>
      </w:r>
      <w:r w:rsidR="0014260D" w:rsidRPr="00CC3F5F">
        <w:rPr>
          <w:rFonts w:cs="Times New Roman"/>
        </w:rPr>
        <w:t xml:space="preserve"> Research suggests this may be a result of teachers’ lack of knowledge of effective AfL strategies (Cochran et al. 1993; and Zeidler, 2002). However, Estyn (2018a) imply this may be due to poor implementation of cross-curricular </w:t>
      </w:r>
      <w:r w:rsidR="00B64CE1" w:rsidRPr="00CC3F5F">
        <w:rPr>
          <w:rFonts w:cs="Times New Roman"/>
        </w:rPr>
        <w:t>approaches</w:t>
      </w:r>
      <w:r w:rsidR="0014260D" w:rsidRPr="00CC3F5F">
        <w:rPr>
          <w:rFonts w:cs="Times New Roman"/>
        </w:rPr>
        <w:t xml:space="preserve">. This evidences the impact the implementation of the cross-curricular responsibilities has on effective teaching practice. </w:t>
      </w:r>
      <w:r w:rsidR="000B0F72" w:rsidRPr="00CC3F5F">
        <w:rPr>
          <w:rFonts w:cs="Times New Roman"/>
        </w:rPr>
        <w:t xml:space="preserve">Donaldson (2015) and </w:t>
      </w:r>
      <w:r w:rsidR="0014260D" w:rsidRPr="00CC3F5F">
        <w:rPr>
          <w:rFonts w:cs="Times New Roman"/>
        </w:rPr>
        <w:t>Hwb (2019) st</w:t>
      </w:r>
      <w:r w:rsidR="000B0F72" w:rsidRPr="00CC3F5F">
        <w:rPr>
          <w:rFonts w:cs="Times New Roman"/>
        </w:rPr>
        <w:t xml:space="preserve">ate the purpose of assessment in Wales’ new curriculum </w:t>
      </w:r>
      <w:r w:rsidR="000B0F72" w:rsidRPr="00CC3F5F">
        <w:rPr>
          <w:rFonts w:cs="Times New Roman"/>
        </w:rPr>
        <w:lastRenderedPageBreak/>
        <w:t>will be to inform future teaching and ensure the progression of all learn</w:t>
      </w:r>
      <w:r w:rsidR="00972CBD" w:rsidRPr="00CC3F5F">
        <w:rPr>
          <w:rFonts w:cs="Times New Roman"/>
        </w:rPr>
        <w:t>ers</w:t>
      </w:r>
      <w:r w:rsidR="000B0F72" w:rsidRPr="00CC3F5F">
        <w:rPr>
          <w:rFonts w:cs="Times New Roman"/>
        </w:rPr>
        <w:t>, to which Black and Wiliam (1998) identify as an element of AfL. This suggests that AfL will be essential within the assessment process. During PTE 1 I found assessment of the cross-curricular responsibilities a challenging area as it was difficult to collect evidence to show progression of the development and application of the skills. For example, I had difficulty collecting evidence of learners collaborating in groups and sharing their opinions of the way an artist used colour within his work. Estyn (2017) highlight that school</w:t>
      </w:r>
      <w:r w:rsidR="006D0208" w:rsidRPr="00CC3F5F">
        <w:rPr>
          <w:rFonts w:cs="Times New Roman"/>
        </w:rPr>
        <w:t>s</w:t>
      </w:r>
      <w:r w:rsidR="000B0F72" w:rsidRPr="00CC3F5F">
        <w:rPr>
          <w:rFonts w:cs="Times New Roman"/>
        </w:rPr>
        <w:t xml:space="preserve"> often focus too much on the collection of evidence to justify </w:t>
      </w:r>
      <w:r w:rsidR="00C74870" w:rsidRPr="00CC3F5F">
        <w:rPr>
          <w:rFonts w:cs="Times New Roman"/>
        </w:rPr>
        <w:t>assessment and indicate that analysation of pupils’ progress over time is a</w:t>
      </w:r>
      <w:r w:rsidR="00155070" w:rsidRPr="00CC3F5F">
        <w:rPr>
          <w:rFonts w:cs="Times New Roman"/>
        </w:rPr>
        <w:t xml:space="preserve"> more</w:t>
      </w:r>
      <w:r w:rsidR="00C74870" w:rsidRPr="00CC3F5F">
        <w:rPr>
          <w:rFonts w:cs="Times New Roman"/>
        </w:rPr>
        <w:t xml:space="preserve"> effectiv</w:t>
      </w:r>
      <w:r w:rsidR="00155070" w:rsidRPr="00CC3F5F">
        <w:rPr>
          <w:rFonts w:cs="Times New Roman"/>
        </w:rPr>
        <w:t>e</w:t>
      </w:r>
      <w:r w:rsidR="00C74870" w:rsidRPr="00CC3F5F">
        <w:rPr>
          <w:rFonts w:cs="Times New Roman"/>
        </w:rPr>
        <w:t xml:space="preserve"> assessment strategy. This links to elements of AfL (Black and Wiliam, 1998). Estyn (2017) suggest the approach to assessing the cross-curricular responsibilities during PTE</w:t>
      </w:r>
      <w:r w:rsidR="00B37B5C" w:rsidRPr="00CC3F5F">
        <w:rPr>
          <w:rFonts w:cs="Times New Roman"/>
        </w:rPr>
        <w:t xml:space="preserve"> </w:t>
      </w:r>
      <w:r w:rsidR="00C74870" w:rsidRPr="00CC3F5F">
        <w:rPr>
          <w:rFonts w:cs="Times New Roman"/>
        </w:rPr>
        <w:t xml:space="preserve">1 was ineffective and required less emphasis on the collection of evidence. </w:t>
      </w:r>
      <w:r w:rsidR="00155070" w:rsidRPr="00CC3F5F">
        <w:rPr>
          <w:rFonts w:cs="Times New Roman"/>
        </w:rPr>
        <w:t>Subsequently</w:t>
      </w:r>
      <w:r w:rsidR="00C74870" w:rsidRPr="00CC3F5F">
        <w:rPr>
          <w:rFonts w:cs="Times New Roman"/>
        </w:rPr>
        <w:t>, during PTE 2 I implemented a number of AfL strategies, such as the ‘Post-it Note’ strategy whereby learners noted aspects of activities and skill</w:t>
      </w:r>
      <w:r w:rsidR="00155070" w:rsidRPr="00CC3F5F">
        <w:rPr>
          <w:rFonts w:cs="Times New Roman"/>
        </w:rPr>
        <w:t>s</w:t>
      </w:r>
      <w:r w:rsidR="00C74870" w:rsidRPr="00CC3F5F">
        <w:rPr>
          <w:rFonts w:cs="Times New Roman"/>
        </w:rPr>
        <w:t xml:space="preserve"> they were sufficiently or insufficiently challenged. This supported the assessment of the cross-curricular responsibilities, informed planning, and supported learners’ individual progression, to which Hwb (2019) states is the purpose of assessment.</w:t>
      </w:r>
      <w:r w:rsidR="00784BA4" w:rsidRPr="00CC3F5F">
        <w:rPr>
          <w:rFonts w:cs="Times New Roman"/>
        </w:rPr>
        <w:t xml:space="preserve"> However, it is important to note that, during PTE 2 I utilised the cross-curricular taxonomy, identified by Barnes (2015), to support the implementation of the cross-curricular responsibilities. This may suggest that the development of my pedagogical knowledge of cross-curricular approaches to effectively implement the cross-curricular responsibilities aided the implementation of AfL (Cochran et al. 1993; Zeidler, 2002; and Estyn, 2018a).</w:t>
      </w:r>
    </w:p>
    <w:p w14:paraId="15A046C6" w14:textId="3307D5F1" w:rsidR="003851DB" w:rsidRPr="00CC3F5F" w:rsidRDefault="003851DB" w:rsidP="00CC3F5F">
      <w:pPr>
        <w:spacing w:line="360" w:lineRule="auto"/>
        <w:rPr>
          <w:rFonts w:cs="Times New Roman"/>
        </w:rPr>
      </w:pPr>
    </w:p>
    <w:p w14:paraId="59DE8AE8" w14:textId="47C68CAD" w:rsidR="00A22E40" w:rsidRPr="00CC3F5F" w:rsidRDefault="00A12BE5" w:rsidP="00CC3F5F">
      <w:pPr>
        <w:spacing w:line="360" w:lineRule="auto"/>
        <w:rPr>
          <w:rFonts w:cs="Times New Roman"/>
        </w:rPr>
      </w:pPr>
      <w:r w:rsidRPr="00CC3F5F">
        <w:rPr>
          <w:rFonts w:cs="Times New Roman"/>
        </w:rPr>
        <w:t>To conclude, there are a number of benefits and limitations to the implementation of literacy, numeracy, and digital competence as cross-curricular responsibilities.</w:t>
      </w:r>
      <w:r w:rsidR="00EB773A" w:rsidRPr="00CC3F5F">
        <w:rPr>
          <w:rFonts w:cs="Times New Roman"/>
        </w:rPr>
        <w:t xml:space="preserve"> This essay has exemplified that conducting cross-curricular teaching and learning supports the long-term memory of information due to the repetition, application, and development of skills in different context</w:t>
      </w:r>
      <w:r w:rsidR="0077454A" w:rsidRPr="00CC3F5F">
        <w:rPr>
          <w:rFonts w:cs="Times New Roman"/>
        </w:rPr>
        <w:t>s</w:t>
      </w:r>
      <w:r w:rsidR="00EB773A" w:rsidRPr="00CC3F5F">
        <w:rPr>
          <w:rFonts w:cs="Times New Roman"/>
        </w:rPr>
        <w:t xml:space="preserve"> (Alexander, 2010; Ebbinghaus, 1885; and DCELLS, 2008).</w:t>
      </w:r>
      <w:r w:rsidR="0077454A" w:rsidRPr="00CC3F5F">
        <w:rPr>
          <w:rFonts w:cs="Times New Roman"/>
        </w:rPr>
        <w:t xml:space="preserve"> Research highlighted the importance of ensuring learners’ develop a high competence in the cross-curricular responsibilities, noting that literacy, numeracy, and digital competence skills are increasingly required in employment (World Economic Forum, 2016; Bynner, 2002; </w:t>
      </w:r>
      <w:r w:rsidR="001C31B0" w:rsidRPr="00CC3F5F">
        <w:rPr>
          <w:rFonts w:cs="Times New Roman"/>
        </w:rPr>
        <w:t xml:space="preserve">and </w:t>
      </w:r>
      <w:r w:rsidR="0077454A" w:rsidRPr="00CC3F5F">
        <w:rPr>
          <w:rFonts w:cs="Times New Roman"/>
        </w:rPr>
        <w:t xml:space="preserve">Mellar, 2004). </w:t>
      </w:r>
      <w:r w:rsidR="0015548E" w:rsidRPr="00CC3F5F">
        <w:rPr>
          <w:rFonts w:cs="Times New Roman"/>
        </w:rPr>
        <w:t>A</w:t>
      </w:r>
      <w:r w:rsidR="00306991" w:rsidRPr="00CC3F5F">
        <w:rPr>
          <w:rFonts w:cs="Times New Roman"/>
        </w:rPr>
        <w:t>dditional research indicated that conducting cross-curricular teaching</w:t>
      </w:r>
      <w:r w:rsidR="0015548E" w:rsidRPr="00CC3F5F">
        <w:rPr>
          <w:rFonts w:cs="Times New Roman"/>
        </w:rPr>
        <w:t xml:space="preserve">, </w:t>
      </w:r>
      <w:r w:rsidR="001C31B0" w:rsidRPr="00CC3F5F">
        <w:rPr>
          <w:rFonts w:cs="Times New Roman"/>
        </w:rPr>
        <w:t>whereby skills are applied in different contexts, will support learners’ attaining jobs as</w:t>
      </w:r>
      <w:r w:rsidR="00A22E40" w:rsidRPr="00CC3F5F">
        <w:rPr>
          <w:rFonts w:cs="Times New Roman"/>
        </w:rPr>
        <w:t xml:space="preserve"> Bell (2010) suggests that</w:t>
      </w:r>
      <w:r w:rsidR="001C31B0" w:rsidRPr="00CC3F5F">
        <w:rPr>
          <w:rFonts w:cs="Times New Roman"/>
        </w:rPr>
        <w:t xml:space="preserve"> potential employees will be measured on their application of skills in the </w:t>
      </w:r>
      <w:r w:rsidR="001C31B0" w:rsidRPr="00CC3F5F">
        <w:rPr>
          <w:rFonts w:cs="Times New Roman"/>
        </w:rPr>
        <w:lastRenderedPageBreak/>
        <w:t>future</w:t>
      </w:r>
      <w:r w:rsidR="00A22E40" w:rsidRPr="00CC3F5F">
        <w:rPr>
          <w:rFonts w:cs="Times New Roman"/>
        </w:rPr>
        <w:t xml:space="preserve">. </w:t>
      </w:r>
      <w:r w:rsidR="00273BE7" w:rsidRPr="00CC3F5F">
        <w:rPr>
          <w:rFonts w:cs="Times New Roman"/>
        </w:rPr>
        <w:t>However, an overarching limitation of the implementation of the cross-curricular responsibilities is the pedagogical and subject knowledge of teachers, to which Estyn (2018a) indicate is an area of improvement</w:t>
      </w:r>
      <w:r w:rsidR="0015548E" w:rsidRPr="00CC3F5F">
        <w:rPr>
          <w:rFonts w:cs="Times New Roman"/>
        </w:rPr>
        <w:t xml:space="preserve">. </w:t>
      </w:r>
      <w:r w:rsidR="00A22E40" w:rsidRPr="00CC3F5F">
        <w:rPr>
          <w:rFonts w:cs="Times New Roman"/>
        </w:rPr>
        <w:t xml:space="preserve">Therefore, in order for effective implementation within Wales’ new curriculum, it is recommended that the Welsh Government ensure all teachers attend cross-curricular training as part of their professional development. The training should include the development of teachers’ knowledge of effective cross-curricular pedagogies, utilising the taxonomy identified by Barnes (2015), as research suggests teachers require enriched pedagogy in order to successfully </w:t>
      </w:r>
      <w:r w:rsidR="00155070" w:rsidRPr="00CC3F5F">
        <w:rPr>
          <w:rFonts w:cs="Times New Roman"/>
        </w:rPr>
        <w:t>implement</w:t>
      </w:r>
      <w:r w:rsidR="00A22E40" w:rsidRPr="00CC3F5F">
        <w:rPr>
          <w:rFonts w:cs="Times New Roman"/>
        </w:rPr>
        <w:t xml:space="preserve"> cross-curricular approaches (Cochran et al. 1993; Zeidler, 2002; Savage, 2011; and Ebbinghaus, 1885)</w:t>
      </w:r>
      <w:r w:rsidR="00B06B0C" w:rsidRPr="00CC3F5F">
        <w:rPr>
          <w:rFonts w:cs="Times New Roman"/>
        </w:rPr>
        <w:t xml:space="preserve">. </w:t>
      </w:r>
      <w:r w:rsidR="00A22E40" w:rsidRPr="00CC3F5F">
        <w:rPr>
          <w:rFonts w:cs="Times New Roman"/>
        </w:rPr>
        <w:t>The training should also re-establish the Welsh Government’s expectations of the cross-curricular responsibilities to ensure teacher</w:t>
      </w:r>
      <w:r w:rsidR="00666FCB" w:rsidRPr="00CC3F5F">
        <w:rPr>
          <w:rFonts w:cs="Times New Roman"/>
        </w:rPr>
        <w:t>s</w:t>
      </w:r>
      <w:r w:rsidR="00A22E40" w:rsidRPr="00CC3F5F">
        <w:rPr>
          <w:rFonts w:cs="Times New Roman"/>
        </w:rPr>
        <w:t xml:space="preserve"> develop the responsibilities in appropriate and effective circumstances</w:t>
      </w:r>
      <w:r w:rsidR="00227CCE" w:rsidRPr="00CC3F5F">
        <w:rPr>
          <w:rFonts w:cs="Times New Roman"/>
        </w:rPr>
        <w:t xml:space="preserve"> as, from personal experiences, some teachers’ understanding of the expectations of the development of the cross-curricular responsibilities contrast the Welsh Government’s expectations. </w:t>
      </w:r>
      <w:r w:rsidR="00881836" w:rsidRPr="00CC3F5F">
        <w:rPr>
          <w:rFonts w:cs="Times New Roman"/>
        </w:rPr>
        <w:t>Additionally, teachers’ knowledge of literacy, numeracy, and digital competence should be audited annually to inform their professional development, as research indicates that high teacher competence increases and supports learner progression (Cochran et al. 1993; Zeidler, 2002; and Metzler and Woessmann, 2010).</w:t>
      </w:r>
    </w:p>
    <w:p w14:paraId="4EA74116" w14:textId="6CAD3186" w:rsidR="00A12BE5" w:rsidRPr="00CC3F5F" w:rsidRDefault="00A12BE5" w:rsidP="00CC3F5F">
      <w:pPr>
        <w:spacing w:line="360" w:lineRule="auto"/>
        <w:rPr>
          <w:rFonts w:cs="Times New Roman"/>
        </w:rPr>
      </w:pPr>
    </w:p>
    <w:p w14:paraId="099B6161" w14:textId="69F2BB4C" w:rsidR="007C25A3" w:rsidRPr="00CC3F5F" w:rsidRDefault="004F43CA" w:rsidP="00CC3F5F">
      <w:pPr>
        <w:spacing w:line="360" w:lineRule="auto"/>
        <w:rPr>
          <w:rFonts w:cs="Times New Roman"/>
        </w:rPr>
      </w:pPr>
      <w:r w:rsidRPr="00CC3F5F">
        <w:rPr>
          <w:rFonts w:cs="Times New Roman"/>
        </w:rPr>
        <w:t xml:space="preserve">In order to develop my personal skills and ensure I conduct effective cross-curricular teaching within my future career, I must conduct </w:t>
      </w:r>
      <w:r w:rsidR="00010D68" w:rsidRPr="00CC3F5F">
        <w:rPr>
          <w:rFonts w:cs="Times New Roman"/>
        </w:rPr>
        <w:t>The Digital Competence Wheel (2019) audit in order to highlight the areas</w:t>
      </w:r>
      <w:r w:rsidR="002A3925" w:rsidRPr="00CC3F5F">
        <w:rPr>
          <w:rFonts w:cs="Times New Roman"/>
        </w:rPr>
        <w:t xml:space="preserve"> of the digital competence framework I need to develop in order to support learners’ progression. </w:t>
      </w:r>
      <w:r w:rsidRPr="00CC3F5F">
        <w:rPr>
          <w:rFonts w:cs="Times New Roman"/>
        </w:rPr>
        <w:t>Furthermore</w:t>
      </w:r>
      <w:r w:rsidR="00010D68" w:rsidRPr="00CC3F5F">
        <w:rPr>
          <w:rFonts w:cs="Times New Roman"/>
        </w:rPr>
        <w:t>, I must continue to develop my ‘</w:t>
      </w:r>
      <w:r w:rsidR="00010D68" w:rsidRPr="00CC3F5F">
        <w:rPr>
          <w:rFonts w:cs="Times New Roman"/>
          <w:i/>
          <w:iCs/>
        </w:rPr>
        <w:t>knowledge and understanding’</w:t>
      </w:r>
      <w:r w:rsidR="00010D68" w:rsidRPr="00CC3F5F">
        <w:rPr>
          <w:rFonts w:cs="Times New Roman"/>
        </w:rPr>
        <w:t xml:space="preserve"> of effective cross-curricular ‘</w:t>
      </w:r>
      <w:r w:rsidR="00010D68" w:rsidRPr="00CC3F5F">
        <w:rPr>
          <w:rFonts w:cs="Times New Roman"/>
          <w:i/>
          <w:iCs/>
        </w:rPr>
        <w:t>pedagogies</w:t>
      </w:r>
      <w:r w:rsidR="00010D68" w:rsidRPr="00CC3F5F">
        <w:rPr>
          <w:rFonts w:cs="Times New Roman"/>
        </w:rPr>
        <w:t xml:space="preserve">’ by applying and demonstrating </w:t>
      </w:r>
      <w:r w:rsidRPr="00CC3F5F">
        <w:rPr>
          <w:rFonts w:cs="Times New Roman"/>
        </w:rPr>
        <w:t>cross-curricular approaches, as identified by Barnes (2015), in</w:t>
      </w:r>
      <w:r w:rsidR="00010D68" w:rsidRPr="00CC3F5F">
        <w:rPr>
          <w:rFonts w:cs="Times New Roman"/>
        </w:rPr>
        <w:t xml:space="preserve"> my future teaching (Welsh Government, 2019, p.30).</w:t>
      </w:r>
      <w:r w:rsidRPr="00CC3F5F">
        <w:rPr>
          <w:rFonts w:cs="Times New Roman"/>
        </w:rPr>
        <w:t xml:space="preserve"> Additionally, I feel it would be beneficial for me to observe effective cross-curricular approaches in practice in order to enhance my understanding and apply it </w:t>
      </w:r>
      <w:r w:rsidR="002A3925" w:rsidRPr="00CC3F5F">
        <w:rPr>
          <w:rFonts w:cs="Times New Roman"/>
        </w:rPr>
        <w:t>in</w:t>
      </w:r>
      <w:r w:rsidRPr="00CC3F5F">
        <w:rPr>
          <w:rFonts w:cs="Times New Roman"/>
        </w:rPr>
        <w:t xml:space="preserve"> my future teaching. As noted in the essay, including learners’ interests within learning is a pedagogical practice. There</w:t>
      </w:r>
      <w:r w:rsidR="002A3925" w:rsidRPr="00CC3F5F">
        <w:rPr>
          <w:rFonts w:cs="Times New Roman"/>
        </w:rPr>
        <w:t xml:space="preserve">fore, </w:t>
      </w:r>
      <w:r w:rsidR="00010D68" w:rsidRPr="00CC3F5F">
        <w:rPr>
          <w:rFonts w:cs="Times New Roman"/>
        </w:rPr>
        <w:t>I</w:t>
      </w:r>
      <w:r w:rsidR="002A3925" w:rsidRPr="00CC3F5F">
        <w:rPr>
          <w:rFonts w:cs="Times New Roman"/>
        </w:rPr>
        <w:t xml:space="preserve"> must</w:t>
      </w:r>
      <w:r w:rsidR="00010D68" w:rsidRPr="00CC3F5F">
        <w:rPr>
          <w:rFonts w:cs="Times New Roman"/>
        </w:rPr>
        <w:t xml:space="preserve"> collaborate with learners during planning process</w:t>
      </w:r>
      <w:r w:rsidR="002A3925" w:rsidRPr="00CC3F5F">
        <w:rPr>
          <w:rFonts w:cs="Times New Roman"/>
        </w:rPr>
        <w:t>es</w:t>
      </w:r>
      <w:r w:rsidR="00010D68" w:rsidRPr="00CC3F5F">
        <w:rPr>
          <w:rFonts w:cs="Times New Roman"/>
        </w:rPr>
        <w:t xml:space="preserve"> to ensure their interests are included, however, I </w:t>
      </w:r>
      <w:r w:rsidR="002A3925" w:rsidRPr="00CC3F5F">
        <w:rPr>
          <w:rFonts w:cs="Times New Roman"/>
        </w:rPr>
        <w:t>must</w:t>
      </w:r>
      <w:r w:rsidR="00010D68" w:rsidRPr="00CC3F5F">
        <w:rPr>
          <w:rFonts w:cs="Times New Roman"/>
        </w:rPr>
        <w:t xml:space="preserve"> ensure all relevant areas of the curriculum and cross-curricular responsibilities are applied and developed</w:t>
      </w:r>
      <w:r w:rsidR="002A3925" w:rsidRPr="00CC3F5F">
        <w:rPr>
          <w:rFonts w:cs="Times New Roman"/>
        </w:rPr>
        <w:t xml:space="preserve"> (Hayes, 2010)</w:t>
      </w:r>
      <w:r w:rsidR="00010D68" w:rsidRPr="00CC3F5F">
        <w:rPr>
          <w:rFonts w:cs="Times New Roman"/>
        </w:rPr>
        <w:t>.</w:t>
      </w:r>
      <w:r w:rsidR="0015548E" w:rsidRPr="00CC3F5F">
        <w:rPr>
          <w:rFonts w:cs="Times New Roman"/>
        </w:rPr>
        <w:t xml:space="preserve"> </w:t>
      </w:r>
      <w:r w:rsidR="00010D68" w:rsidRPr="00CC3F5F">
        <w:rPr>
          <w:rFonts w:cs="Times New Roman"/>
        </w:rPr>
        <w:t xml:space="preserve">To conclude, the discussed themes evidence that the limitations of </w:t>
      </w:r>
      <w:r w:rsidR="002A3925" w:rsidRPr="00CC3F5F">
        <w:rPr>
          <w:rFonts w:cs="Times New Roman"/>
        </w:rPr>
        <w:t>the implementation of the</w:t>
      </w:r>
      <w:r w:rsidR="00010D68" w:rsidRPr="00CC3F5F">
        <w:rPr>
          <w:rFonts w:cs="Times New Roman"/>
        </w:rPr>
        <w:t xml:space="preserve"> cross-curricular responsibilities can be diminished by a number of </w:t>
      </w:r>
      <w:r w:rsidR="00010D68" w:rsidRPr="00CC3F5F">
        <w:rPr>
          <w:rFonts w:cs="Times New Roman"/>
        </w:rPr>
        <w:lastRenderedPageBreak/>
        <w:t>strategies, as recommended, to allow effective cross-curricular teaching and learning in Wales’ new curriculum.</w:t>
      </w:r>
    </w:p>
    <w:p w14:paraId="59D253E1" w14:textId="77777777" w:rsidR="00A849E3" w:rsidRPr="00CC3F5F" w:rsidRDefault="00A849E3" w:rsidP="00CC3F5F">
      <w:pPr>
        <w:tabs>
          <w:tab w:val="left" w:pos="2309"/>
        </w:tabs>
        <w:spacing w:line="360" w:lineRule="auto"/>
        <w:jc w:val="center"/>
        <w:rPr>
          <w:rFonts w:cs="Times New Roman"/>
          <w:sz w:val="28"/>
          <w:szCs w:val="28"/>
          <w:u w:val="single"/>
        </w:rPr>
      </w:pPr>
    </w:p>
    <w:p w14:paraId="20E68174" w14:textId="77777777" w:rsidR="00A849E3" w:rsidRPr="00CC3F5F" w:rsidRDefault="00A849E3" w:rsidP="00CC3F5F">
      <w:pPr>
        <w:tabs>
          <w:tab w:val="left" w:pos="2309"/>
        </w:tabs>
        <w:spacing w:line="360" w:lineRule="auto"/>
        <w:jc w:val="center"/>
        <w:rPr>
          <w:rFonts w:cs="Times New Roman"/>
          <w:sz w:val="28"/>
          <w:szCs w:val="28"/>
          <w:u w:val="single"/>
        </w:rPr>
      </w:pPr>
      <w:bookmarkStart w:id="0" w:name="_GoBack"/>
      <w:bookmarkEnd w:id="0"/>
    </w:p>
    <w:p w14:paraId="3195B8F6" w14:textId="77777777" w:rsidR="00A849E3" w:rsidRPr="00CC3F5F" w:rsidRDefault="00A849E3" w:rsidP="00CC3F5F">
      <w:pPr>
        <w:tabs>
          <w:tab w:val="left" w:pos="2309"/>
        </w:tabs>
        <w:spacing w:line="360" w:lineRule="auto"/>
        <w:jc w:val="center"/>
        <w:rPr>
          <w:rFonts w:cs="Times New Roman"/>
          <w:sz w:val="28"/>
          <w:szCs w:val="28"/>
          <w:u w:val="single"/>
        </w:rPr>
      </w:pPr>
    </w:p>
    <w:p w14:paraId="1CDBF41E" w14:textId="77777777" w:rsidR="00A849E3" w:rsidRPr="00CC3F5F" w:rsidRDefault="00A849E3" w:rsidP="00CC3F5F">
      <w:pPr>
        <w:tabs>
          <w:tab w:val="left" w:pos="2309"/>
        </w:tabs>
        <w:spacing w:line="360" w:lineRule="auto"/>
        <w:jc w:val="center"/>
        <w:rPr>
          <w:rFonts w:cs="Times New Roman"/>
          <w:sz w:val="28"/>
          <w:szCs w:val="28"/>
          <w:u w:val="single"/>
        </w:rPr>
      </w:pPr>
    </w:p>
    <w:p w14:paraId="1865D27A" w14:textId="77777777" w:rsidR="00A849E3" w:rsidRPr="00CC3F5F" w:rsidRDefault="00A849E3" w:rsidP="00CC3F5F">
      <w:pPr>
        <w:tabs>
          <w:tab w:val="left" w:pos="2309"/>
        </w:tabs>
        <w:spacing w:line="360" w:lineRule="auto"/>
        <w:jc w:val="center"/>
        <w:rPr>
          <w:rFonts w:cs="Times New Roman"/>
          <w:sz w:val="28"/>
          <w:szCs w:val="28"/>
          <w:u w:val="single"/>
        </w:rPr>
      </w:pPr>
    </w:p>
    <w:p w14:paraId="12AA1DC4" w14:textId="77777777" w:rsidR="00A849E3" w:rsidRPr="00CC3F5F" w:rsidRDefault="00A849E3" w:rsidP="00CC3F5F">
      <w:pPr>
        <w:tabs>
          <w:tab w:val="left" w:pos="2309"/>
        </w:tabs>
        <w:spacing w:line="360" w:lineRule="auto"/>
        <w:jc w:val="center"/>
        <w:rPr>
          <w:rFonts w:cs="Times New Roman"/>
          <w:sz w:val="28"/>
          <w:szCs w:val="28"/>
          <w:u w:val="single"/>
        </w:rPr>
      </w:pPr>
    </w:p>
    <w:p w14:paraId="1951BCAE" w14:textId="77777777" w:rsidR="00A849E3" w:rsidRPr="00CC3F5F" w:rsidRDefault="00A849E3" w:rsidP="00CC3F5F">
      <w:pPr>
        <w:tabs>
          <w:tab w:val="left" w:pos="2309"/>
        </w:tabs>
        <w:spacing w:line="360" w:lineRule="auto"/>
        <w:jc w:val="center"/>
        <w:rPr>
          <w:rFonts w:cs="Times New Roman"/>
          <w:sz w:val="28"/>
          <w:szCs w:val="28"/>
          <w:u w:val="single"/>
        </w:rPr>
      </w:pPr>
    </w:p>
    <w:p w14:paraId="3848E836" w14:textId="77777777" w:rsidR="00A849E3" w:rsidRPr="00CC3F5F" w:rsidRDefault="00A849E3" w:rsidP="00CC3F5F">
      <w:pPr>
        <w:tabs>
          <w:tab w:val="left" w:pos="2309"/>
        </w:tabs>
        <w:spacing w:line="360" w:lineRule="auto"/>
        <w:jc w:val="center"/>
        <w:rPr>
          <w:rFonts w:cs="Times New Roman"/>
          <w:sz w:val="28"/>
          <w:szCs w:val="28"/>
          <w:u w:val="single"/>
        </w:rPr>
      </w:pPr>
    </w:p>
    <w:p w14:paraId="294E1774" w14:textId="77777777" w:rsidR="00A849E3" w:rsidRPr="00CC3F5F" w:rsidRDefault="00A849E3" w:rsidP="00CC3F5F">
      <w:pPr>
        <w:tabs>
          <w:tab w:val="left" w:pos="2309"/>
        </w:tabs>
        <w:spacing w:line="360" w:lineRule="auto"/>
        <w:jc w:val="center"/>
        <w:rPr>
          <w:rFonts w:cs="Times New Roman"/>
          <w:sz w:val="28"/>
          <w:szCs w:val="28"/>
          <w:u w:val="single"/>
        </w:rPr>
      </w:pPr>
    </w:p>
    <w:p w14:paraId="2F71B5E9" w14:textId="77777777" w:rsidR="00A849E3" w:rsidRPr="00CC3F5F" w:rsidRDefault="00A849E3" w:rsidP="00CC3F5F">
      <w:pPr>
        <w:tabs>
          <w:tab w:val="left" w:pos="2309"/>
        </w:tabs>
        <w:spacing w:line="360" w:lineRule="auto"/>
        <w:jc w:val="center"/>
        <w:rPr>
          <w:rFonts w:cs="Times New Roman"/>
          <w:sz w:val="28"/>
          <w:szCs w:val="28"/>
          <w:u w:val="single"/>
        </w:rPr>
      </w:pPr>
    </w:p>
    <w:p w14:paraId="4DA5584F" w14:textId="77777777" w:rsidR="00A849E3" w:rsidRPr="00CC3F5F" w:rsidRDefault="00A849E3" w:rsidP="00CC3F5F">
      <w:pPr>
        <w:tabs>
          <w:tab w:val="left" w:pos="2309"/>
        </w:tabs>
        <w:spacing w:line="360" w:lineRule="auto"/>
        <w:jc w:val="center"/>
        <w:rPr>
          <w:rFonts w:cs="Times New Roman"/>
          <w:sz w:val="28"/>
          <w:szCs w:val="28"/>
          <w:u w:val="single"/>
        </w:rPr>
      </w:pPr>
    </w:p>
    <w:p w14:paraId="4E59C3ED" w14:textId="77777777" w:rsidR="00A849E3" w:rsidRPr="00CC3F5F" w:rsidRDefault="00A849E3" w:rsidP="00CC3F5F">
      <w:pPr>
        <w:tabs>
          <w:tab w:val="left" w:pos="2309"/>
        </w:tabs>
        <w:spacing w:line="360" w:lineRule="auto"/>
        <w:jc w:val="center"/>
        <w:rPr>
          <w:rFonts w:cs="Times New Roman"/>
          <w:sz w:val="28"/>
          <w:szCs w:val="28"/>
          <w:u w:val="single"/>
        </w:rPr>
      </w:pPr>
    </w:p>
    <w:p w14:paraId="6EA8BC60" w14:textId="77777777" w:rsidR="00A849E3" w:rsidRPr="00CC3F5F" w:rsidRDefault="00A849E3" w:rsidP="00CC3F5F">
      <w:pPr>
        <w:tabs>
          <w:tab w:val="left" w:pos="2309"/>
        </w:tabs>
        <w:spacing w:line="360" w:lineRule="auto"/>
        <w:jc w:val="center"/>
        <w:rPr>
          <w:rFonts w:cs="Times New Roman"/>
          <w:sz w:val="28"/>
          <w:szCs w:val="28"/>
          <w:u w:val="single"/>
        </w:rPr>
      </w:pPr>
    </w:p>
    <w:p w14:paraId="3D4A2C08" w14:textId="77777777" w:rsidR="00A849E3" w:rsidRPr="00CC3F5F" w:rsidRDefault="00A849E3" w:rsidP="00CC3F5F">
      <w:pPr>
        <w:tabs>
          <w:tab w:val="left" w:pos="2309"/>
        </w:tabs>
        <w:spacing w:line="360" w:lineRule="auto"/>
        <w:jc w:val="center"/>
        <w:rPr>
          <w:rFonts w:cs="Times New Roman"/>
          <w:sz w:val="28"/>
          <w:szCs w:val="28"/>
          <w:u w:val="single"/>
        </w:rPr>
      </w:pPr>
    </w:p>
    <w:p w14:paraId="39CA4450" w14:textId="77777777" w:rsidR="00A849E3" w:rsidRPr="00CC3F5F" w:rsidRDefault="00A849E3" w:rsidP="00CC3F5F">
      <w:pPr>
        <w:tabs>
          <w:tab w:val="left" w:pos="2309"/>
        </w:tabs>
        <w:spacing w:line="360" w:lineRule="auto"/>
        <w:jc w:val="center"/>
        <w:rPr>
          <w:rFonts w:cs="Times New Roman"/>
          <w:sz w:val="28"/>
          <w:szCs w:val="28"/>
          <w:u w:val="single"/>
        </w:rPr>
      </w:pPr>
    </w:p>
    <w:p w14:paraId="0F285DB1" w14:textId="77777777" w:rsidR="00A849E3" w:rsidRPr="00CC3F5F" w:rsidRDefault="00A849E3" w:rsidP="00CC3F5F">
      <w:pPr>
        <w:tabs>
          <w:tab w:val="left" w:pos="2309"/>
        </w:tabs>
        <w:spacing w:line="360" w:lineRule="auto"/>
        <w:jc w:val="center"/>
        <w:rPr>
          <w:rFonts w:cs="Times New Roman"/>
          <w:sz w:val="28"/>
          <w:szCs w:val="28"/>
          <w:u w:val="single"/>
        </w:rPr>
      </w:pPr>
    </w:p>
    <w:p w14:paraId="64C994F7" w14:textId="77777777" w:rsidR="00A849E3" w:rsidRPr="00CC3F5F" w:rsidRDefault="00A849E3" w:rsidP="00CC3F5F">
      <w:pPr>
        <w:tabs>
          <w:tab w:val="left" w:pos="2309"/>
        </w:tabs>
        <w:spacing w:line="360" w:lineRule="auto"/>
        <w:jc w:val="center"/>
        <w:rPr>
          <w:rFonts w:cs="Times New Roman"/>
          <w:sz w:val="28"/>
          <w:szCs w:val="28"/>
          <w:u w:val="single"/>
        </w:rPr>
      </w:pPr>
    </w:p>
    <w:p w14:paraId="48F811C3" w14:textId="77777777" w:rsidR="00A849E3" w:rsidRPr="00CC3F5F" w:rsidRDefault="00A849E3" w:rsidP="00CC3F5F">
      <w:pPr>
        <w:tabs>
          <w:tab w:val="left" w:pos="2309"/>
        </w:tabs>
        <w:spacing w:line="360" w:lineRule="auto"/>
        <w:jc w:val="center"/>
        <w:rPr>
          <w:rFonts w:cs="Times New Roman"/>
          <w:sz w:val="28"/>
          <w:szCs w:val="28"/>
          <w:u w:val="single"/>
        </w:rPr>
      </w:pPr>
    </w:p>
    <w:p w14:paraId="597E8493" w14:textId="77777777" w:rsidR="00A849E3" w:rsidRPr="00CC3F5F" w:rsidRDefault="00A849E3" w:rsidP="00CC3F5F">
      <w:pPr>
        <w:tabs>
          <w:tab w:val="left" w:pos="2309"/>
        </w:tabs>
        <w:spacing w:line="360" w:lineRule="auto"/>
        <w:jc w:val="center"/>
        <w:rPr>
          <w:rFonts w:cs="Times New Roman"/>
          <w:sz w:val="28"/>
          <w:szCs w:val="28"/>
          <w:u w:val="single"/>
        </w:rPr>
      </w:pPr>
    </w:p>
    <w:p w14:paraId="4FC2D139" w14:textId="77777777" w:rsidR="00A849E3" w:rsidRPr="00CC3F5F" w:rsidRDefault="00A849E3" w:rsidP="00CC3F5F">
      <w:pPr>
        <w:tabs>
          <w:tab w:val="left" w:pos="2309"/>
        </w:tabs>
        <w:spacing w:line="360" w:lineRule="auto"/>
        <w:jc w:val="center"/>
        <w:rPr>
          <w:rFonts w:cs="Times New Roman"/>
          <w:sz w:val="28"/>
          <w:szCs w:val="28"/>
          <w:u w:val="single"/>
        </w:rPr>
      </w:pPr>
    </w:p>
    <w:p w14:paraId="04AE5AC1" w14:textId="77777777" w:rsidR="00A849E3" w:rsidRPr="00CC3F5F" w:rsidRDefault="00A849E3" w:rsidP="00CC3F5F">
      <w:pPr>
        <w:tabs>
          <w:tab w:val="left" w:pos="2309"/>
        </w:tabs>
        <w:spacing w:line="360" w:lineRule="auto"/>
        <w:jc w:val="center"/>
        <w:rPr>
          <w:rFonts w:cs="Times New Roman"/>
          <w:sz w:val="28"/>
          <w:szCs w:val="28"/>
          <w:u w:val="single"/>
        </w:rPr>
      </w:pPr>
    </w:p>
    <w:p w14:paraId="4F8FA88E" w14:textId="7FE16360" w:rsidR="00E90537" w:rsidRPr="00CC3F5F" w:rsidRDefault="00E90537" w:rsidP="00CC3F5F">
      <w:pPr>
        <w:tabs>
          <w:tab w:val="left" w:pos="2309"/>
        </w:tabs>
        <w:spacing w:line="360" w:lineRule="auto"/>
        <w:jc w:val="center"/>
        <w:rPr>
          <w:rFonts w:cs="Times New Roman"/>
          <w:sz w:val="28"/>
          <w:szCs w:val="28"/>
          <w:u w:val="single"/>
        </w:rPr>
      </w:pPr>
      <w:r w:rsidRPr="00CC3F5F">
        <w:rPr>
          <w:rFonts w:cs="Times New Roman"/>
          <w:sz w:val="28"/>
          <w:szCs w:val="28"/>
          <w:u w:val="single"/>
        </w:rPr>
        <w:lastRenderedPageBreak/>
        <w:t>Reference list</w:t>
      </w:r>
    </w:p>
    <w:p w14:paraId="32556C75" w14:textId="77777777" w:rsidR="00CC3F5F" w:rsidRPr="00CC3F5F" w:rsidRDefault="00CC3F5F" w:rsidP="00CC3F5F">
      <w:pPr>
        <w:spacing w:before="100" w:beforeAutospacing="1" w:after="100" w:afterAutospacing="1" w:line="360" w:lineRule="auto"/>
        <w:rPr>
          <w:rFonts w:eastAsia="Times New Roman" w:cs="Times New Roman"/>
          <w:lang w:eastAsia="en-GB"/>
        </w:rPr>
      </w:pPr>
      <w:r w:rsidRPr="00CC3F5F">
        <w:rPr>
          <w:rFonts w:eastAsia="Times New Roman" w:cs="Times New Roman"/>
          <w:lang w:eastAsia="en-GB"/>
        </w:rPr>
        <w:t xml:space="preserve">Alexander, R. (2010) </w:t>
      </w:r>
      <w:r w:rsidRPr="00CC3F5F">
        <w:rPr>
          <w:rFonts w:eastAsia="Times New Roman" w:cs="Times New Roman"/>
          <w:i/>
          <w:iCs/>
          <w:lang w:eastAsia="en-GB"/>
        </w:rPr>
        <w:t xml:space="preserve">Children, Their World, Their Education: Final Report and Recommendations of the Cambridge Primary Review. </w:t>
      </w:r>
      <w:r w:rsidRPr="00CC3F5F">
        <w:rPr>
          <w:rFonts w:eastAsia="Times New Roman" w:cs="Times New Roman"/>
          <w:lang w:eastAsia="en-GB"/>
        </w:rPr>
        <w:t>Abingdon: Routledge.</w:t>
      </w:r>
    </w:p>
    <w:p w14:paraId="122E8AB8" w14:textId="77777777" w:rsidR="00CC3F5F" w:rsidRPr="00CC3F5F" w:rsidRDefault="00CC3F5F" w:rsidP="00CC3F5F">
      <w:pPr>
        <w:spacing w:line="360" w:lineRule="auto"/>
        <w:rPr>
          <w:rFonts w:cs="Times New Roman"/>
        </w:rPr>
      </w:pPr>
      <w:r w:rsidRPr="00CC3F5F">
        <w:rPr>
          <w:rFonts w:cs="Times New Roman"/>
        </w:rPr>
        <w:t xml:space="preserve">Baddeley, A. (2010) ‘Working memory’, </w:t>
      </w:r>
      <w:r w:rsidRPr="00CC3F5F">
        <w:rPr>
          <w:rFonts w:cs="Times New Roman"/>
          <w:i/>
          <w:iCs/>
        </w:rPr>
        <w:t>Current Biology’</w:t>
      </w:r>
      <w:r w:rsidRPr="00CC3F5F">
        <w:rPr>
          <w:rFonts w:cs="Times New Roman"/>
        </w:rPr>
        <w:t xml:space="preserve">, 20(4), pp.136-140. Available at: </w:t>
      </w:r>
      <w:hyperlink r:id="rId8" w:history="1">
        <w:r w:rsidRPr="00CC3F5F">
          <w:rPr>
            <w:rStyle w:val="Hyperlink"/>
            <w:rFonts w:cs="Times New Roman"/>
          </w:rPr>
          <w:t>https://reader.elsevier.com/reader/sd/pii/S0960982209021332?token=F9B92B803813E97FF558818A7E8307B3EFC6CF9B19575AB9A8AA4037935CC1EB1385A512936BBD0E70B7E7009038E1C2</w:t>
        </w:r>
      </w:hyperlink>
      <w:r w:rsidRPr="00CC3F5F">
        <w:rPr>
          <w:rFonts w:cs="Times New Roman"/>
        </w:rPr>
        <w:t xml:space="preserve"> (Accessed: 9</w:t>
      </w:r>
      <w:r w:rsidRPr="00CC3F5F">
        <w:rPr>
          <w:rFonts w:cs="Times New Roman"/>
          <w:vertAlign w:val="superscript"/>
        </w:rPr>
        <w:t>th</w:t>
      </w:r>
      <w:r w:rsidRPr="00CC3F5F">
        <w:rPr>
          <w:rFonts w:cs="Times New Roman"/>
        </w:rPr>
        <w:t xml:space="preserve"> December 2019).</w:t>
      </w:r>
    </w:p>
    <w:p w14:paraId="1E8C6088" w14:textId="77777777" w:rsidR="00CC3F5F" w:rsidRPr="00CC3F5F" w:rsidRDefault="00CC3F5F" w:rsidP="00CC3F5F">
      <w:pPr>
        <w:spacing w:line="360" w:lineRule="auto"/>
        <w:rPr>
          <w:rFonts w:cs="Times New Roman"/>
        </w:rPr>
      </w:pPr>
      <w:r w:rsidRPr="00CC3F5F">
        <w:rPr>
          <w:rFonts w:cs="Times New Roman"/>
        </w:rPr>
        <w:t xml:space="preserve">Barnes, J. (2015) </w:t>
      </w:r>
      <w:r w:rsidRPr="00CC3F5F">
        <w:rPr>
          <w:rFonts w:cs="Times New Roman"/>
          <w:i/>
          <w:iCs/>
        </w:rPr>
        <w:t xml:space="preserve">Cross-curricular leaning 3-14. </w:t>
      </w:r>
      <w:r w:rsidRPr="00CC3F5F">
        <w:rPr>
          <w:rFonts w:cs="Times New Roman"/>
        </w:rPr>
        <w:t>3</w:t>
      </w:r>
      <w:r w:rsidRPr="00CC3F5F">
        <w:rPr>
          <w:rFonts w:cs="Times New Roman"/>
          <w:vertAlign w:val="superscript"/>
        </w:rPr>
        <w:t>rd</w:t>
      </w:r>
      <w:r w:rsidRPr="00CC3F5F">
        <w:rPr>
          <w:rFonts w:cs="Times New Roman"/>
        </w:rPr>
        <w:t xml:space="preserve"> ed. London: SAGE Publications Ltd. Available at: </w:t>
      </w:r>
      <w:hyperlink r:id="rId9" w:anchor="v=onepage&amp;q=cross-curricular%20learning&amp;f=false" w:history="1">
        <w:r w:rsidRPr="00CC3F5F">
          <w:rPr>
            <w:rStyle w:val="Hyperlink"/>
            <w:rFonts w:cs="Times New Roman"/>
          </w:rPr>
          <w:t>https://books.google.co.uk/books?hl=en&amp;lr=&amp;id=piKJCwAAQBAJ&amp;oi=fnd&amp;pg=PP1&amp;dq=cross-curricular+learning&amp;ots=Ve0OJFWizp&amp;sig=4tUmJAZDLM1RQfbIaORcTVisQS0#v=onepage&amp;q=cross-curricular%20learning&amp;f=false</w:t>
        </w:r>
      </w:hyperlink>
      <w:r w:rsidRPr="00CC3F5F">
        <w:rPr>
          <w:rFonts w:cs="Times New Roman"/>
        </w:rPr>
        <w:t xml:space="preserve"> (Accessed: 30</w:t>
      </w:r>
      <w:r w:rsidRPr="00CC3F5F">
        <w:rPr>
          <w:rFonts w:cs="Times New Roman"/>
          <w:vertAlign w:val="superscript"/>
        </w:rPr>
        <w:t>th</w:t>
      </w:r>
      <w:r w:rsidRPr="00CC3F5F">
        <w:rPr>
          <w:rFonts w:cs="Times New Roman"/>
        </w:rPr>
        <w:t xml:space="preserve"> November 2019).</w:t>
      </w:r>
    </w:p>
    <w:p w14:paraId="0A5FF0EA" w14:textId="77777777" w:rsidR="00CC3F5F" w:rsidRPr="00CC3F5F" w:rsidRDefault="00CC3F5F" w:rsidP="00CC3F5F">
      <w:pPr>
        <w:spacing w:line="360" w:lineRule="auto"/>
        <w:rPr>
          <w:rFonts w:cs="Times New Roman"/>
        </w:rPr>
      </w:pPr>
      <w:r w:rsidRPr="00CC3F5F">
        <w:rPr>
          <w:rFonts w:cs="Times New Roman"/>
        </w:rPr>
        <w:t xml:space="preserve">Bates, B. (2016) </w:t>
      </w:r>
      <w:r w:rsidRPr="00CC3F5F">
        <w:rPr>
          <w:rFonts w:cs="Times New Roman"/>
          <w:i/>
        </w:rPr>
        <w:t xml:space="preserve">Learning theories simplified. </w:t>
      </w:r>
      <w:r w:rsidRPr="00CC3F5F">
        <w:rPr>
          <w:rFonts w:cs="Times New Roman"/>
        </w:rPr>
        <w:t xml:space="preserve">London: SAGE Publications Ltd. </w:t>
      </w:r>
    </w:p>
    <w:p w14:paraId="1DA9FAA1" w14:textId="77777777" w:rsidR="00CC3F5F" w:rsidRPr="00CC3F5F" w:rsidRDefault="00CC3F5F" w:rsidP="00CC3F5F">
      <w:pPr>
        <w:spacing w:before="100" w:beforeAutospacing="1" w:after="100" w:afterAutospacing="1" w:line="360" w:lineRule="auto"/>
        <w:rPr>
          <w:rFonts w:eastAsia="Times New Roman" w:cs="Times New Roman"/>
          <w:lang w:eastAsia="en-GB"/>
        </w:rPr>
      </w:pPr>
      <w:r w:rsidRPr="00CC3F5F">
        <w:rPr>
          <w:rFonts w:eastAsia="Times New Roman" w:cs="Times New Roman"/>
          <w:lang w:eastAsia="en-GB"/>
        </w:rPr>
        <w:t>Bell, S. (2010) ‘Project-Based Learning for the 21</w:t>
      </w:r>
      <w:r w:rsidRPr="00CC3F5F">
        <w:rPr>
          <w:rFonts w:eastAsia="Times New Roman" w:cs="Times New Roman"/>
          <w:vertAlign w:val="superscript"/>
          <w:lang w:eastAsia="en-GB"/>
        </w:rPr>
        <w:t>st</w:t>
      </w:r>
      <w:r w:rsidRPr="00CC3F5F">
        <w:rPr>
          <w:rFonts w:eastAsia="Times New Roman" w:cs="Times New Roman"/>
          <w:lang w:eastAsia="en-GB"/>
        </w:rPr>
        <w:t xml:space="preserve"> Century: Skills for the Future’, </w:t>
      </w:r>
      <w:r w:rsidRPr="00CC3F5F">
        <w:rPr>
          <w:rFonts w:eastAsia="Times New Roman" w:cs="Times New Roman"/>
          <w:i/>
          <w:iCs/>
          <w:lang w:eastAsia="en-GB"/>
        </w:rPr>
        <w:t xml:space="preserve">The Clearing House, </w:t>
      </w:r>
      <w:r w:rsidRPr="00CC3F5F">
        <w:rPr>
          <w:rFonts w:eastAsia="Times New Roman" w:cs="Times New Roman"/>
          <w:lang w:eastAsia="en-GB"/>
        </w:rPr>
        <w:t>83, pp. 39-43. 9</w:t>
      </w:r>
      <w:r w:rsidRPr="00CC3F5F">
        <w:rPr>
          <w:rFonts w:eastAsia="Times New Roman" w:cs="Times New Roman"/>
          <w:vertAlign w:val="superscript"/>
          <w:lang w:eastAsia="en-GB"/>
        </w:rPr>
        <w:t>th</w:t>
      </w:r>
      <w:r w:rsidRPr="00CC3F5F">
        <w:rPr>
          <w:rFonts w:eastAsia="Times New Roman" w:cs="Times New Roman"/>
          <w:lang w:eastAsia="en-GB"/>
        </w:rPr>
        <w:t xml:space="preserve"> December 2019. </w:t>
      </w:r>
      <w:r w:rsidRPr="00CC3F5F">
        <w:rPr>
          <w:rFonts w:eastAsia="Times New Roman" w:cs="Times New Roman"/>
          <w:color w:val="auto"/>
          <w:lang w:eastAsia="en-GB"/>
        </w:rPr>
        <w:t xml:space="preserve">DOI: 10.1080/00098650903505415. </w:t>
      </w:r>
    </w:p>
    <w:p w14:paraId="1D00C01E" w14:textId="77777777" w:rsidR="00CC3F5F" w:rsidRPr="00CC3F5F" w:rsidRDefault="00CC3F5F" w:rsidP="00CC3F5F">
      <w:pPr>
        <w:spacing w:line="360" w:lineRule="auto"/>
        <w:rPr>
          <w:rFonts w:cs="Times New Roman"/>
        </w:rPr>
      </w:pPr>
      <w:r w:rsidRPr="00CC3F5F">
        <w:rPr>
          <w:rFonts w:cs="Times New Roman"/>
        </w:rPr>
        <w:t xml:space="preserve">Black, P. and William, D. (1998) </w:t>
      </w:r>
      <w:r w:rsidRPr="00CC3F5F">
        <w:rPr>
          <w:rFonts w:cs="Times New Roman"/>
          <w:i/>
        </w:rPr>
        <w:t xml:space="preserve">Inside the black box: Raising standards through classroom assessment. </w:t>
      </w:r>
      <w:r w:rsidRPr="00CC3F5F">
        <w:rPr>
          <w:rFonts w:cs="Times New Roman"/>
        </w:rPr>
        <w:t>London: GL Assessment.</w:t>
      </w:r>
    </w:p>
    <w:p w14:paraId="40D6F945" w14:textId="77777777" w:rsidR="00CC3F5F" w:rsidRPr="00CC3F5F" w:rsidRDefault="00CC3F5F" w:rsidP="00CC3F5F">
      <w:pPr>
        <w:spacing w:before="100" w:beforeAutospacing="1" w:after="100" w:afterAutospacing="1" w:line="360" w:lineRule="auto"/>
        <w:rPr>
          <w:rFonts w:eastAsia="Times New Roman" w:cs="Times New Roman"/>
          <w:lang w:eastAsia="en-GB"/>
        </w:rPr>
      </w:pPr>
      <w:r w:rsidRPr="00CC3F5F">
        <w:rPr>
          <w:rFonts w:eastAsia="Times New Roman" w:cs="Times New Roman"/>
          <w:lang w:eastAsia="en-GB"/>
        </w:rPr>
        <w:t xml:space="preserve">Bynner, J. (2002) </w:t>
      </w:r>
      <w:r w:rsidRPr="00CC3F5F">
        <w:rPr>
          <w:rFonts w:eastAsia="Times New Roman" w:cs="Times New Roman"/>
          <w:i/>
          <w:iCs/>
          <w:lang w:eastAsia="en-GB"/>
        </w:rPr>
        <w:t xml:space="preserve">Literacy, Numeracy and Employability. </w:t>
      </w:r>
      <w:r w:rsidRPr="00CC3F5F">
        <w:rPr>
          <w:rFonts w:eastAsia="Times New Roman" w:cs="Times New Roman"/>
          <w:lang w:eastAsia="en-GB"/>
        </w:rPr>
        <w:t xml:space="preserve">Unpublished PhD thesis. University of London. Available at: </w:t>
      </w:r>
      <w:hyperlink r:id="rId10" w:history="1">
        <w:r w:rsidRPr="00CC3F5F">
          <w:rPr>
            <w:rStyle w:val="Hyperlink"/>
            <w:rFonts w:eastAsia="Times New Roman" w:cs="Times New Roman"/>
            <w:lang w:eastAsia="en-GB"/>
          </w:rPr>
          <w:t>https://files.eric.ed.gov/fulltext/ED473579.pdf</w:t>
        </w:r>
      </w:hyperlink>
      <w:r w:rsidRPr="00CC3F5F">
        <w:rPr>
          <w:rFonts w:eastAsia="Times New Roman" w:cs="Times New Roman"/>
          <w:lang w:eastAsia="en-GB"/>
        </w:rPr>
        <w:t xml:space="preserve"> (Accessed: 25</w:t>
      </w:r>
      <w:r w:rsidRPr="00CC3F5F">
        <w:rPr>
          <w:rFonts w:eastAsia="Times New Roman" w:cs="Times New Roman"/>
          <w:vertAlign w:val="superscript"/>
          <w:lang w:eastAsia="en-GB"/>
        </w:rPr>
        <w:t>th</w:t>
      </w:r>
      <w:r w:rsidRPr="00CC3F5F">
        <w:rPr>
          <w:rFonts w:eastAsia="Times New Roman" w:cs="Times New Roman"/>
          <w:lang w:eastAsia="en-GB"/>
        </w:rPr>
        <w:t xml:space="preserve"> November 2019).</w:t>
      </w:r>
    </w:p>
    <w:p w14:paraId="122592A7" w14:textId="77777777" w:rsidR="00CC3F5F" w:rsidRPr="00CC3F5F" w:rsidRDefault="00CC3F5F" w:rsidP="00CC3F5F">
      <w:pPr>
        <w:autoSpaceDE w:val="0"/>
        <w:autoSpaceDN w:val="0"/>
        <w:adjustRightInd w:val="0"/>
        <w:spacing w:before="0" w:after="240" w:line="360" w:lineRule="auto"/>
        <w:rPr>
          <w:rFonts w:cs="Times New Roman"/>
          <w:color w:val="000000"/>
          <w:lang w:val="en-US"/>
        </w:rPr>
      </w:pPr>
      <w:r w:rsidRPr="00CC3F5F">
        <w:rPr>
          <w:rFonts w:cs="Times New Roman"/>
          <w:color w:val="000000"/>
          <w:lang w:val="en-US"/>
        </w:rPr>
        <w:t xml:space="preserve">Cochran, K. et al. (1993) ‘Pedagogical Content Knowing: An Integrative Model for Teacher Preparation’, </w:t>
      </w:r>
      <w:r w:rsidRPr="00CC3F5F">
        <w:rPr>
          <w:rFonts w:cs="Times New Roman"/>
          <w:i/>
          <w:color w:val="000000"/>
          <w:lang w:val="en-US"/>
        </w:rPr>
        <w:t xml:space="preserve">Journal of Teacher Education, </w:t>
      </w:r>
      <w:r w:rsidRPr="00CC3F5F">
        <w:rPr>
          <w:rFonts w:cs="Times New Roman"/>
          <w:color w:val="000000"/>
          <w:lang w:val="en-US"/>
        </w:rPr>
        <w:t xml:space="preserve">44(4), pp. 263-272. Available at: </w:t>
      </w:r>
      <w:hyperlink r:id="rId11" w:history="1">
        <w:r w:rsidRPr="00CC3F5F">
          <w:rPr>
            <w:rStyle w:val="Hyperlink"/>
            <w:rFonts w:cs="Times New Roman"/>
            <w:lang w:val="en-US"/>
          </w:rPr>
          <w:t>https://files.eric.ed.gov/fulltext/ED340683.pdf</w:t>
        </w:r>
      </w:hyperlink>
      <w:r w:rsidRPr="00CC3F5F">
        <w:rPr>
          <w:rFonts w:cs="Times New Roman"/>
          <w:color w:val="000000"/>
          <w:lang w:val="en-US"/>
        </w:rPr>
        <w:t xml:space="preserve"> (Accessed: 28</w:t>
      </w:r>
      <w:r w:rsidRPr="00CC3F5F">
        <w:rPr>
          <w:rFonts w:cs="Times New Roman"/>
          <w:color w:val="000000"/>
          <w:vertAlign w:val="superscript"/>
          <w:lang w:val="en-US"/>
        </w:rPr>
        <w:t>th</w:t>
      </w:r>
      <w:r w:rsidRPr="00CC3F5F">
        <w:rPr>
          <w:rFonts w:cs="Times New Roman"/>
          <w:color w:val="000000"/>
          <w:lang w:val="en-US"/>
        </w:rPr>
        <w:t xml:space="preserve"> November 2019).</w:t>
      </w:r>
    </w:p>
    <w:p w14:paraId="4677C831" w14:textId="77777777" w:rsidR="00CC3F5F" w:rsidRPr="00CC3F5F" w:rsidRDefault="00CC3F5F" w:rsidP="00CC3F5F">
      <w:pPr>
        <w:pStyle w:val="NormalWeb"/>
        <w:spacing w:line="360" w:lineRule="auto"/>
      </w:pPr>
      <w:r w:rsidRPr="00CC3F5F">
        <w:t xml:space="preserve">Department for Children, Education, Lifelong Learning Skills. (2008b) </w:t>
      </w:r>
      <w:r w:rsidRPr="00CC3F5F">
        <w:rPr>
          <w:i/>
        </w:rPr>
        <w:t xml:space="preserve">Learning and Teaching Pedagogy. </w:t>
      </w:r>
      <w:r w:rsidRPr="00CC3F5F">
        <w:t xml:space="preserve">Cardiff: Welsh Assembly Government. </w:t>
      </w:r>
    </w:p>
    <w:p w14:paraId="7C47CA20" w14:textId="77777777" w:rsidR="00CC3F5F" w:rsidRPr="00CC3F5F" w:rsidRDefault="00CC3F5F" w:rsidP="00CC3F5F">
      <w:pPr>
        <w:spacing w:before="100" w:beforeAutospacing="1" w:after="100" w:afterAutospacing="1" w:line="360" w:lineRule="auto"/>
        <w:rPr>
          <w:rFonts w:eastAsia="Times New Roman" w:cs="Times New Roman"/>
          <w:lang w:eastAsia="en-GB"/>
        </w:rPr>
      </w:pPr>
      <w:r w:rsidRPr="00CC3F5F">
        <w:rPr>
          <w:rFonts w:eastAsia="Times New Roman" w:cs="Times New Roman"/>
          <w:lang w:eastAsia="en-GB"/>
        </w:rPr>
        <w:lastRenderedPageBreak/>
        <w:t xml:space="preserve">Department for Education and Skills. (2013a) </w:t>
      </w:r>
      <w:r w:rsidRPr="00CC3F5F">
        <w:rPr>
          <w:rFonts w:eastAsia="Times New Roman" w:cs="Times New Roman"/>
          <w:i/>
          <w:iCs/>
          <w:lang w:eastAsia="en-GB"/>
        </w:rPr>
        <w:t xml:space="preserve">Requirements of initial school teacher training courses at higher education institutions in Wales. </w:t>
      </w:r>
      <w:r w:rsidRPr="00CC3F5F">
        <w:rPr>
          <w:rFonts w:eastAsia="Times New Roman" w:cs="Times New Roman"/>
          <w:lang w:eastAsia="en-GB"/>
        </w:rPr>
        <w:t xml:space="preserve">Cardiff: Crown. Available at: </w:t>
      </w:r>
      <w:hyperlink r:id="rId12" w:history="1">
        <w:r w:rsidRPr="00CC3F5F">
          <w:rPr>
            <w:rStyle w:val="Hyperlink"/>
            <w:rFonts w:eastAsia="Times New Roman" w:cs="Times New Roman"/>
            <w:lang w:eastAsia="en-GB"/>
          </w:rPr>
          <w:t>https://gov.wales/sites/default/files/publications/2018-03/requirements-for-initial-school-teacher-training-courses-at-higher-education-institutions-in-wales.pdf</w:t>
        </w:r>
      </w:hyperlink>
      <w:r w:rsidRPr="00CC3F5F">
        <w:rPr>
          <w:rFonts w:eastAsia="Times New Roman" w:cs="Times New Roman"/>
          <w:lang w:eastAsia="en-GB"/>
        </w:rPr>
        <w:t xml:space="preserve"> (Accessed: 30</w:t>
      </w:r>
      <w:r w:rsidRPr="00CC3F5F">
        <w:rPr>
          <w:rFonts w:eastAsia="Times New Roman" w:cs="Times New Roman"/>
          <w:vertAlign w:val="superscript"/>
          <w:lang w:eastAsia="en-GB"/>
        </w:rPr>
        <w:t>th</w:t>
      </w:r>
      <w:r w:rsidRPr="00CC3F5F">
        <w:rPr>
          <w:rFonts w:eastAsia="Times New Roman" w:cs="Times New Roman"/>
          <w:lang w:eastAsia="en-GB"/>
        </w:rPr>
        <w:t xml:space="preserve"> November 2019).</w:t>
      </w:r>
    </w:p>
    <w:p w14:paraId="69223505" w14:textId="77777777" w:rsidR="00CC3F5F" w:rsidRPr="00CC3F5F" w:rsidRDefault="00CC3F5F" w:rsidP="00CC3F5F">
      <w:pPr>
        <w:spacing w:before="100" w:beforeAutospacing="1" w:after="100" w:afterAutospacing="1" w:line="360" w:lineRule="auto"/>
        <w:rPr>
          <w:rFonts w:eastAsia="Times New Roman" w:cs="Times New Roman"/>
          <w:lang w:eastAsia="en-GB"/>
        </w:rPr>
      </w:pPr>
      <w:r w:rsidRPr="00CC3F5F">
        <w:rPr>
          <w:rFonts w:eastAsia="Times New Roman" w:cs="Times New Roman"/>
          <w:lang w:eastAsia="en-GB"/>
        </w:rPr>
        <w:t xml:space="preserve">Department for Education and Skills. (2013b) </w:t>
      </w:r>
      <w:r w:rsidRPr="00CC3F5F">
        <w:rPr>
          <w:rFonts w:eastAsia="Times New Roman" w:cs="Times New Roman"/>
          <w:i/>
          <w:iCs/>
          <w:lang w:eastAsia="en-GB"/>
        </w:rPr>
        <w:t xml:space="preserve">Assessment of learning and the National Literacy and Numeracy Framework. </w:t>
      </w:r>
      <w:r w:rsidRPr="00CC3F5F">
        <w:rPr>
          <w:rFonts w:eastAsia="Times New Roman" w:cs="Times New Roman"/>
          <w:lang w:eastAsia="en-GB"/>
        </w:rPr>
        <w:t xml:space="preserve">Cardiff: Crown. Available at: </w:t>
      </w:r>
      <w:hyperlink r:id="rId13" w:history="1">
        <w:r w:rsidRPr="00CC3F5F">
          <w:rPr>
            <w:rStyle w:val="Hyperlink"/>
            <w:rFonts w:eastAsia="Times New Roman" w:cs="Times New Roman"/>
            <w:lang w:eastAsia="en-GB"/>
          </w:rPr>
          <w:t>https://hwb.gov.wales/storage/b447d1fe-5463-4382-9726-e68623a05dd2/assessment-for-learning-and-the-national-literacy-and-numeracy-framework.pdf</w:t>
        </w:r>
      </w:hyperlink>
      <w:r w:rsidRPr="00CC3F5F">
        <w:rPr>
          <w:rFonts w:eastAsia="Times New Roman" w:cs="Times New Roman"/>
          <w:lang w:eastAsia="en-GB"/>
        </w:rPr>
        <w:t xml:space="preserve"> (Accessed: 10</w:t>
      </w:r>
      <w:r w:rsidRPr="00CC3F5F">
        <w:rPr>
          <w:rFonts w:eastAsia="Times New Roman" w:cs="Times New Roman"/>
          <w:vertAlign w:val="superscript"/>
          <w:lang w:eastAsia="en-GB"/>
        </w:rPr>
        <w:t>th</w:t>
      </w:r>
      <w:r w:rsidRPr="00CC3F5F">
        <w:rPr>
          <w:rFonts w:eastAsia="Times New Roman" w:cs="Times New Roman"/>
          <w:lang w:eastAsia="en-GB"/>
        </w:rPr>
        <w:t xml:space="preserve"> December 2019).</w:t>
      </w:r>
    </w:p>
    <w:p w14:paraId="6058E358" w14:textId="77777777" w:rsidR="00CC3F5F" w:rsidRPr="00CC3F5F" w:rsidRDefault="00CC3F5F" w:rsidP="00CC3F5F">
      <w:pPr>
        <w:spacing w:before="100" w:beforeAutospacing="1" w:after="100" w:afterAutospacing="1" w:line="360" w:lineRule="auto"/>
        <w:rPr>
          <w:rFonts w:eastAsia="Times New Roman" w:cs="Times New Roman"/>
          <w:lang w:eastAsia="en-GB"/>
        </w:rPr>
      </w:pPr>
      <w:r w:rsidRPr="00CC3F5F">
        <w:rPr>
          <w:rFonts w:eastAsia="Times New Roman" w:cs="Times New Roman"/>
          <w:lang w:eastAsia="en-GB"/>
        </w:rPr>
        <w:t xml:space="preserve">Department for Education and Skills. (2014) </w:t>
      </w:r>
      <w:r w:rsidRPr="00CC3F5F">
        <w:rPr>
          <w:rFonts w:eastAsia="Times New Roman" w:cs="Times New Roman"/>
          <w:i/>
          <w:iCs/>
          <w:lang w:eastAsia="en-GB"/>
        </w:rPr>
        <w:t xml:space="preserve">Qualified for Life: An education improvement plan for 3 to 19-year-olds in Wales. </w:t>
      </w:r>
      <w:r w:rsidRPr="00CC3F5F">
        <w:rPr>
          <w:rFonts w:eastAsia="Times New Roman" w:cs="Times New Roman"/>
          <w:lang w:eastAsia="en-GB"/>
        </w:rPr>
        <w:t>Cardiff: Crown.</w:t>
      </w:r>
    </w:p>
    <w:p w14:paraId="4D16A1B3" w14:textId="77777777" w:rsidR="00CC3F5F" w:rsidRPr="00CC3F5F" w:rsidRDefault="00CC3F5F" w:rsidP="00CC3F5F">
      <w:pPr>
        <w:spacing w:before="100" w:beforeAutospacing="1" w:after="100" w:afterAutospacing="1" w:line="360" w:lineRule="auto"/>
        <w:rPr>
          <w:rFonts w:cs="Times New Roman"/>
        </w:rPr>
      </w:pPr>
      <w:r w:rsidRPr="00CC3F5F">
        <w:rPr>
          <w:rFonts w:cs="Times New Roman"/>
        </w:rPr>
        <w:t xml:space="preserve">Donaldson, G. (2015) </w:t>
      </w:r>
      <w:r w:rsidRPr="00CC3F5F">
        <w:rPr>
          <w:rFonts w:cs="Times New Roman"/>
          <w:i/>
          <w:iCs/>
        </w:rPr>
        <w:t xml:space="preserve">Successful Futures. </w:t>
      </w:r>
      <w:r w:rsidRPr="00CC3F5F">
        <w:rPr>
          <w:rFonts w:cs="Times New Roman"/>
        </w:rPr>
        <w:t xml:space="preserve">Crown copyright. Available at: </w:t>
      </w:r>
      <w:hyperlink r:id="rId14" w:history="1">
        <w:r w:rsidRPr="00CC3F5F">
          <w:rPr>
            <w:rStyle w:val="Hyperlink"/>
            <w:rFonts w:cs="Times New Roman"/>
          </w:rPr>
          <w:t>http://gov.wales/docs/dcells/publications/150317-successful-futures-en.pdf</w:t>
        </w:r>
      </w:hyperlink>
      <w:r w:rsidRPr="00CC3F5F">
        <w:rPr>
          <w:rFonts w:cs="Times New Roman"/>
          <w:color w:val="0000FF"/>
        </w:rPr>
        <w:t xml:space="preserve"> </w:t>
      </w:r>
      <w:r w:rsidRPr="00CC3F5F">
        <w:rPr>
          <w:rFonts w:cs="Times New Roman"/>
        </w:rPr>
        <w:t>(Accessed: 17</w:t>
      </w:r>
      <w:r w:rsidRPr="00CC3F5F">
        <w:rPr>
          <w:rFonts w:cs="Times New Roman"/>
          <w:vertAlign w:val="superscript"/>
        </w:rPr>
        <w:t>th</w:t>
      </w:r>
      <w:r w:rsidRPr="00CC3F5F">
        <w:rPr>
          <w:rFonts w:cs="Times New Roman"/>
        </w:rPr>
        <w:t xml:space="preserve"> November 2019).</w:t>
      </w:r>
    </w:p>
    <w:p w14:paraId="78463E18" w14:textId="77777777" w:rsidR="00CC3F5F" w:rsidRPr="00CC3F5F" w:rsidRDefault="00CC3F5F" w:rsidP="00CC3F5F">
      <w:pPr>
        <w:spacing w:line="360" w:lineRule="auto"/>
        <w:rPr>
          <w:rFonts w:cs="Times New Roman"/>
        </w:rPr>
      </w:pPr>
      <w:r w:rsidRPr="00CC3F5F">
        <w:rPr>
          <w:rFonts w:cs="Times New Roman"/>
        </w:rPr>
        <w:t xml:space="preserve">Ebbinghaus, H. (1885) </w:t>
      </w:r>
      <w:r w:rsidRPr="00CC3F5F">
        <w:rPr>
          <w:rFonts w:cs="Times New Roman"/>
          <w:i/>
        </w:rPr>
        <w:t xml:space="preserve">Memory: A Contribution to Experimental Psychology. </w:t>
      </w:r>
      <w:r w:rsidRPr="00CC3F5F">
        <w:rPr>
          <w:rFonts w:cs="Times New Roman"/>
        </w:rPr>
        <w:t xml:space="preserve">Translated from German by Ruger, H. &amp; Bussenius, C. New York: Teachers College, Columbia University. Available at: </w:t>
      </w:r>
      <w:hyperlink r:id="rId15" w:history="1">
        <w:r w:rsidRPr="00CC3F5F">
          <w:rPr>
            <w:rStyle w:val="Hyperlink"/>
            <w:rFonts w:cs="Times New Roman"/>
          </w:rPr>
          <w:t>https://pdfs.semanticscholar.org/8501/b17d47d1b365fc75c0acb949a04e2d1aae88.pdf</w:t>
        </w:r>
      </w:hyperlink>
      <w:r w:rsidRPr="00CC3F5F">
        <w:rPr>
          <w:rFonts w:cs="Times New Roman"/>
        </w:rPr>
        <w:t xml:space="preserve"> (Accessed: 17</w:t>
      </w:r>
      <w:r w:rsidRPr="00CC3F5F">
        <w:rPr>
          <w:rFonts w:cs="Times New Roman"/>
          <w:vertAlign w:val="superscript"/>
        </w:rPr>
        <w:t>th</w:t>
      </w:r>
      <w:r w:rsidRPr="00CC3F5F">
        <w:rPr>
          <w:rFonts w:cs="Times New Roman"/>
        </w:rPr>
        <w:t xml:space="preserve"> November 2019).</w:t>
      </w:r>
    </w:p>
    <w:p w14:paraId="39C91867" w14:textId="77777777" w:rsidR="00CC3F5F" w:rsidRPr="00CC3F5F" w:rsidRDefault="00CC3F5F" w:rsidP="00CC3F5F">
      <w:pPr>
        <w:spacing w:before="100" w:beforeAutospacing="1" w:after="100" w:afterAutospacing="1" w:line="360" w:lineRule="auto"/>
        <w:rPr>
          <w:rFonts w:cs="Times New Roman"/>
        </w:rPr>
      </w:pPr>
      <w:r w:rsidRPr="00CC3F5F">
        <w:rPr>
          <w:rFonts w:cs="Times New Roman"/>
        </w:rPr>
        <w:t xml:space="preserve">Education Wales. (2018) </w:t>
      </w:r>
      <w:r w:rsidRPr="00CC3F5F">
        <w:rPr>
          <w:rFonts w:cs="Times New Roman"/>
          <w:i/>
          <w:iCs/>
        </w:rPr>
        <w:t xml:space="preserve">Digital Competence Framework guidance. </w:t>
      </w:r>
      <w:r w:rsidRPr="00CC3F5F">
        <w:rPr>
          <w:rFonts w:cs="Times New Roman"/>
        </w:rPr>
        <w:t xml:space="preserve">Cardiff: Crown. Available at: </w:t>
      </w:r>
      <w:hyperlink r:id="rId16" w:history="1">
        <w:r w:rsidRPr="00CC3F5F">
          <w:rPr>
            <w:rStyle w:val="Hyperlink"/>
            <w:rFonts w:cs="Times New Roman"/>
          </w:rPr>
          <w:t>https://hwb.gov.wales/storage/337437b8-cfe3-4305-ae32-f47ad82f3e76/digital-competence-framework-guidance-2018.pdf</w:t>
        </w:r>
      </w:hyperlink>
      <w:r w:rsidRPr="00CC3F5F">
        <w:rPr>
          <w:rFonts w:cs="Times New Roman"/>
        </w:rPr>
        <w:t xml:space="preserve"> (Accessed: 28</w:t>
      </w:r>
      <w:r w:rsidRPr="00CC3F5F">
        <w:rPr>
          <w:rFonts w:cs="Times New Roman"/>
          <w:vertAlign w:val="superscript"/>
        </w:rPr>
        <w:t>th</w:t>
      </w:r>
      <w:r w:rsidRPr="00CC3F5F">
        <w:rPr>
          <w:rFonts w:cs="Times New Roman"/>
        </w:rPr>
        <w:t xml:space="preserve"> November 2019).</w:t>
      </w:r>
    </w:p>
    <w:p w14:paraId="72BA00A8" w14:textId="77777777" w:rsidR="00CC3F5F" w:rsidRPr="00CC3F5F" w:rsidRDefault="00CC3F5F" w:rsidP="00CC3F5F">
      <w:pPr>
        <w:spacing w:line="360" w:lineRule="auto"/>
        <w:rPr>
          <w:rFonts w:cs="Times New Roman"/>
        </w:rPr>
      </w:pPr>
      <w:r w:rsidRPr="00CC3F5F">
        <w:rPr>
          <w:rFonts w:cs="Times New Roman"/>
        </w:rPr>
        <w:t xml:space="preserve">Estyn. (2017) </w:t>
      </w:r>
      <w:r w:rsidRPr="00CC3F5F">
        <w:rPr>
          <w:rFonts w:cs="Times New Roman"/>
          <w:i/>
          <w:iCs/>
        </w:rPr>
        <w:t xml:space="preserve">Active and experiential learning. </w:t>
      </w:r>
      <w:r w:rsidRPr="00CC3F5F">
        <w:rPr>
          <w:rFonts w:cs="Times New Roman"/>
        </w:rPr>
        <w:t xml:space="preserve">Cardiff: Crown. Available at: </w:t>
      </w:r>
      <w:hyperlink r:id="rId17" w:history="1">
        <w:r w:rsidRPr="00CC3F5F">
          <w:rPr>
            <w:rStyle w:val="Hyperlink"/>
            <w:rFonts w:cs="Times New Roman"/>
          </w:rPr>
          <w:t>https://www.estyn.gov.wales/sites/www.estyn.gov.wales/files/documents/Estyn%20Active%20and%20experiential%20learning_E_Accessible_1.pdf</w:t>
        </w:r>
      </w:hyperlink>
      <w:r w:rsidRPr="00CC3F5F">
        <w:rPr>
          <w:rFonts w:cs="Times New Roman"/>
        </w:rPr>
        <w:t xml:space="preserve"> (Accessed: 29</w:t>
      </w:r>
      <w:r w:rsidRPr="00CC3F5F">
        <w:rPr>
          <w:rFonts w:cs="Times New Roman"/>
          <w:vertAlign w:val="superscript"/>
        </w:rPr>
        <w:t>th</w:t>
      </w:r>
      <w:r w:rsidRPr="00CC3F5F">
        <w:rPr>
          <w:rFonts w:cs="Times New Roman"/>
        </w:rPr>
        <w:t xml:space="preserve"> November 2019).</w:t>
      </w:r>
    </w:p>
    <w:p w14:paraId="64B813AE" w14:textId="77777777" w:rsidR="00CC3F5F" w:rsidRPr="00CC3F5F" w:rsidRDefault="00CC3F5F" w:rsidP="00CC3F5F">
      <w:pPr>
        <w:spacing w:line="360" w:lineRule="auto"/>
        <w:rPr>
          <w:rFonts w:cs="Times New Roman"/>
        </w:rPr>
      </w:pPr>
      <w:r w:rsidRPr="00CC3F5F">
        <w:rPr>
          <w:rFonts w:cs="Times New Roman"/>
        </w:rPr>
        <w:t xml:space="preserve">Estyn. (2018a) </w:t>
      </w:r>
      <w:r w:rsidRPr="00CC3F5F">
        <w:rPr>
          <w:rFonts w:cs="Times New Roman"/>
          <w:i/>
        </w:rPr>
        <w:t xml:space="preserve">The Annual Report of Her Majesty’s Chief Inspector of Education and Training in Wales 2016-2017. </w:t>
      </w:r>
      <w:r w:rsidRPr="00CC3F5F">
        <w:rPr>
          <w:rFonts w:cs="Times New Roman"/>
        </w:rPr>
        <w:t xml:space="preserve">Cardiff: Crown. Available at: </w:t>
      </w:r>
      <w:hyperlink r:id="rId18" w:history="1">
        <w:r w:rsidRPr="00CC3F5F">
          <w:rPr>
            <w:rStyle w:val="Hyperlink"/>
            <w:rFonts w:cs="Times New Roman"/>
          </w:rPr>
          <w:t>https://www.estyn.gov.wales/sites/www.estyn.gov.wales/files/documents/ESTYN_Annual%20Report_Accessible_English__2018.pdf</w:t>
        </w:r>
      </w:hyperlink>
      <w:r w:rsidRPr="00CC3F5F">
        <w:rPr>
          <w:rFonts w:cs="Times New Roman"/>
        </w:rPr>
        <w:t xml:space="preserve"> (Accessed: 20</w:t>
      </w:r>
      <w:r w:rsidRPr="00CC3F5F">
        <w:rPr>
          <w:rFonts w:cs="Times New Roman"/>
          <w:vertAlign w:val="superscript"/>
        </w:rPr>
        <w:t>th</w:t>
      </w:r>
      <w:r w:rsidRPr="00CC3F5F">
        <w:rPr>
          <w:rFonts w:cs="Times New Roman"/>
        </w:rPr>
        <w:t xml:space="preserve"> November 2019).</w:t>
      </w:r>
    </w:p>
    <w:p w14:paraId="04D7F4B9" w14:textId="77777777" w:rsidR="00CC3F5F" w:rsidRPr="00CC3F5F" w:rsidRDefault="00CC3F5F" w:rsidP="00CC3F5F">
      <w:pPr>
        <w:spacing w:line="360" w:lineRule="auto"/>
        <w:rPr>
          <w:rFonts w:cs="Times New Roman"/>
        </w:rPr>
      </w:pPr>
      <w:r w:rsidRPr="00CC3F5F">
        <w:rPr>
          <w:rFonts w:cs="Times New Roman"/>
        </w:rPr>
        <w:t xml:space="preserve">Estyn. (2018b) </w:t>
      </w:r>
      <w:r w:rsidRPr="00CC3F5F">
        <w:rPr>
          <w:rFonts w:cs="Times New Roman"/>
          <w:i/>
          <w:iCs/>
        </w:rPr>
        <w:t xml:space="preserve">Preparing to implement the new curriculum through involving pupils. </w:t>
      </w:r>
      <w:r w:rsidRPr="00CC3F5F">
        <w:rPr>
          <w:rFonts w:cs="Times New Roman"/>
        </w:rPr>
        <w:t xml:space="preserve">Available at: </w:t>
      </w:r>
      <w:hyperlink r:id="rId19" w:history="1">
        <w:r w:rsidRPr="00CC3F5F">
          <w:rPr>
            <w:rStyle w:val="Hyperlink"/>
            <w:rFonts w:cs="Times New Roman"/>
          </w:rPr>
          <w:t>https://www.estyn.gov.wales/effective-practice/preparing-implement-new-curriculum-through-involving-pupils</w:t>
        </w:r>
      </w:hyperlink>
      <w:r w:rsidRPr="00CC3F5F">
        <w:rPr>
          <w:rFonts w:cs="Times New Roman"/>
        </w:rPr>
        <w:t xml:space="preserve"> (Accessed: 26</w:t>
      </w:r>
      <w:r w:rsidRPr="00CC3F5F">
        <w:rPr>
          <w:rFonts w:cs="Times New Roman"/>
          <w:vertAlign w:val="superscript"/>
        </w:rPr>
        <w:t>th</w:t>
      </w:r>
      <w:r w:rsidRPr="00CC3F5F">
        <w:rPr>
          <w:rFonts w:cs="Times New Roman"/>
        </w:rPr>
        <w:t xml:space="preserve"> November 2019).</w:t>
      </w:r>
    </w:p>
    <w:p w14:paraId="6BD41002" w14:textId="77777777" w:rsidR="00CC3F5F" w:rsidRPr="00CC3F5F" w:rsidRDefault="00CC3F5F" w:rsidP="00CC3F5F">
      <w:pPr>
        <w:spacing w:line="360" w:lineRule="auto"/>
        <w:rPr>
          <w:rFonts w:cs="Times New Roman"/>
        </w:rPr>
      </w:pPr>
      <w:r w:rsidRPr="00CC3F5F">
        <w:rPr>
          <w:rFonts w:cs="Times New Roman"/>
        </w:rPr>
        <w:t xml:space="preserve">Estyn. (2018c) </w:t>
      </w:r>
      <w:r w:rsidRPr="00CC3F5F">
        <w:rPr>
          <w:rFonts w:cs="Times New Roman"/>
          <w:i/>
          <w:iCs/>
        </w:rPr>
        <w:t xml:space="preserve">Preparing for the Digital Competence Framework (DCF). </w:t>
      </w:r>
      <w:r w:rsidRPr="00CC3F5F">
        <w:rPr>
          <w:rFonts w:cs="Times New Roman"/>
        </w:rPr>
        <w:t>Cardiff: Crown.</w:t>
      </w:r>
    </w:p>
    <w:p w14:paraId="4176FC69" w14:textId="77777777" w:rsidR="00CC3F5F" w:rsidRPr="00CC3F5F" w:rsidRDefault="00CC3F5F" w:rsidP="00CC3F5F">
      <w:pPr>
        <w:pStyle w:val="NormalWeb"/>
        <w:spacing w:line="360" w:lineRule="auto"/>
        <w:rPr>
          <w:lang w:eastAsia="en-GB"/>
        </w:rPr>
      </w:pPr>
      <w:r w:rsidRPr="00CC3F5F">
        <w:rPr>
          <w:lang w:eastAsia="en-GB"/>
        </w:rPr>
        <w:t xml:space="preserve">Hayes, D. (2010) ‘The seductive charms of a cross-curricular approach’, </w:t>
      </w:r>
      <w:r w:rsidRPr="00CC3F5F">
        <w:rPr>
          <w:i/>
          <w:iCs/>
          <w:lang w:eastAsia="en-GB"/>
        </w:rPr>
        <w:t xml:space="preserve">Education 3-13, </w:t>
      </w:r>
      <w:r w:rsidRPr="00CC3F5F">
        <w:rPr>
          <w:lang w:eastAsia="en-GB"/>
        </w:rPr>
        <w:t>38(4), p.381-387. 1</w:t>
      </w:r>
      <w:r w:rsidRPr="00CC3F5F">
        <w:rPr>
          <w:vertAlign w:val="superscript"/>
          <w:lang w:eastAsia="en-GB"/>
        </w:rPr>
        <w:t>st</w:t>
      </w:r>
      <w:r w:rsidRPr="00CC3F5F">
        <w:rPr>
          <w:lang w:eastAsia="en-GB"/>
        </w:rPr>
        <w:t xml:space="preserve"> December 2019. DOI: 10.1080/03004270903519238 </w:t>
      </w:r>
    </w:p>
    <w:p w14:paraId="0CBE2057" w14:textId="77777777" w:rsidR="00CC3F5F" w:rsidRPr="00CC3F5F" w:rsidRDefault="00CC3F5F" w:rsidP="00CC3F5F">
      <w:pPr>
        <w:spacing w:before="100" w:beforeAutospacing="1" w:after="100" w:afterAutospacing="1" w:line="360" w:lineRule="auto"/>
        <w:rPr>
          <w:rFonts w:eastAsia="Times New Roman" w:cs="Times New Roman"/>
          <w:lang w:eastAsia="en-GB"/>
        </w:rPr>
      </w:pPr>
      <w:r w:rsidRPr="00CC3F5F">
        <w:rPr>
          <w:rFonts w:eastAsia="Times New Roman" w:cs="Times New Roman"/>
          <w:lang w:eastAsia="en-GB"/>
        </w:rPr>
        <w:t xml:space="preserve">Hwb. (2019) </w:t>
      </w:r>
      <w:r w:rsidRPr="00CC3F5F">
        <w:rPr>
          <w:rFonts w:eastAsia="Times New Roman" w:cs="Times New Roman"/>
          <w:i/>
          <w:iCs/>
          <w:lang w:eastAsia="en-GB"/>
        </w:rPr>
        <w:t xml:space="preserve">Assessment proposals to inform the development of statutory guidance. </w:t>
      </w:r>
      <w:r w:rsidRPr="00CC3F5F">
        <w:rPr>
          <w:rFonts w:eastAsia="Times New Roman" w:cs="Times New Roman"/>
          <w:lang w:eastAsia="en-GB"/>
        </w:rPr>
        <w:t xml:space="preserve">Available at: </w:t>
      </w:r>
      <w:hyperlink r:id="rId20" w:history="1">
        <w:r w:rsidRPr="00CC3F5F">
          <w:rPr>
            <w:rStyle w:val="Hyperlink"/>
            <w:rFonts w:eastAsia="Times New Roman" w:cs="Times New Roman"/>
            <w:lang w:eastAsia="en-GB"/>
          </w:rPr>
          <w:t>https://hwb.gov.wales/draft-curriculum-for-wales-2022/assessment-and-evaluation-framework/assessment-proposals/</w:t>
        </w:r>
      </w:hyperlink>
      <w:r w:rsidRPr="00CC3F5F">
        <w:rPr>
          <w:rFonts w:eastAsia="Times New Roman" w:cs="Times New Roman"/>
          <w:lang w:eastAsia="en-GB"/>
        </w:rPr>
        <w:t xml:space="preserve"> (Accessed: 26</w:t>
      </w:r>
      <w:r w:rsidRPr="00CC3F5F">
        <w:rPr>
          <w:rFonts w:eastAsia="Times New Roman" w:cs="Times New Roman"/>
          <w:vertAlign w:val="superscript"/>
          <w:lang w:eastAsia="en-GB"/>
        </w:rPr>
        <w:t>th</w:t>
      </w:r>
      <w:r w:rsidRPr="00CC3F5F">
        <w:rPr>
          <w:rFonts w:eastAsia="Times New Roman" w:cs="Times New Roman"/>
          <w:lang w:eastAsia="en-GB"/>
        </w:rPr>
        <w:t xml:space="preserve"> November 2019).</w:t>
      </w:r>
    </w:p>
    <w:p w14:paraId="74EB5510" w14:textId="77777777" w:rsidR="00CC3F5F" w:rsidRPr="00CC3F5F" w:rsidRDefault="00CC3F5F" w:rsidP="00CC3F5F">
      <w:pPr>
        <w:spacing w:line="360" w:lineRule="auto"/>
        <w:rPr>
          <w:rFonts w:eastAsia="Times New Roman" w:cs="Times New Roman"/>
          <w:lang w:eastAsia="en-GB"/>
        </w:rPr>
      </w:pPr>
      <w:r w:rsidRPr="00CC3F5F">
        <w:rPr>
          <w:rFonts w:eastAsia="Times New Roman" w:cs="Times New Roman"/>
          <w:lang w:eastAsia="en-GB"/>
        </w:rPr>
        <w:t xml:space="preserve"> Iversen, A.-M. et al. (2015) ‘Learning, Leading, and Letting Go of Control: Learner-Led Approaches in Education’, SAGE Open. 9</w:t>
      </w:r>
      <w:r w:rsidRPr="00CC3F5F">
        <w:rPr>
          <w:rFonts w:eastAsia="Times New Roman" w:cs="Times New Roman"/>
          <w:vertAlign w:val="superscript"/>
          <w:lang w:eastAsia="en-GB"/>
        </w:rPr>
        <w:t>th</w:t>
      </w:r>
      <w:r w:rsidRPr="00CC3F5F">
        <w:rPr>
          <w:rFonts w:eastAsia="Times New Roman" w:cs="Times New Roman"/>
          <w:lang w:eastAsia="en-GB"/>
        </w:rPr>
        <w:t xml:space="preserve"> December 2019. DOI: 10.1177/2158244015608423.</w:t>
      </w:r>
    </w:p>
    <w:p w14:paraId="032B2E25" w14:textId="77777777" w:rsidR="00CC3F5F" w:rsidRPr="00CC3F5F" w:rsidRDefault="00CC3F5F" w:rsidP="00CC3F5F">
      <w:pPr>
        <w:spacing w:line="360" w:lineRule="auto"/>
        <w:rPr>
          <w:rFonts w:cs="Times New Roman"/>
        </w:rPr>
      </w:pPr>
      <w:r w:rsidRPr="00CC3F5F">
        <w:rPr>
          <w:rFonts w:cs="Times New Roman"/>
        </w:rPr>
        <w:t xml:space="preserve">Johannessen, L. (2000) </w:t>
      </w:r>
      <w:r w:rsidRPr="00CC3F5F">
        <w:rPr>
          <w:rFonts w:cs="Times New Roman"/>
          <w:i/>
          <w:iCs/>
        </w:rPr>
        <w:t xml:space="preserve">Redefining Thematic Teaching. </w:t>
      </w:r>
      <w:r w:rsidRPr="00CC3F5F">
        <w:rPr>
          <w:rFonts w:cs="Times New Roman"/>
        </w:rPr>
        <w:t xml:space="preserve">Available at: </w:t>
      </w:r>
      <w:hyperlink r:id="rId21" w:history="1">
        <w:r w:rsidRPr="00CC3F5F">
          <w:rPr>
            <w:rStyle w:val="Hyperlink"/>
            <w:rFonts w:cs="Times New Roman"/>
          </w:rPr>
          <w:t>https://files.eric.ed.gov/fulltext/ED448455.pdf</w:t>
        </w:r>
      </w:hyperlink>
      <w:r w:rsidRPr="00CC3F5F">
        <w:rPr>
          <w:rFonts w:cs="Times New Roman"/>
        </w:rPr>
        <w:t xml:space="preserve"> (Accessed: 5</w:t>
      </w:r>
      <w:r w:rsidRPr="00CC3F5F">
        <w:rPr>
          <w:rFonts w:cs="Times New Roman"/>
          <w:vertAlign w:val="superscript"/>
        </w:rPr>
        <w:t>th</w:t>
      </w:r>
      <w:r w:rsidRPr="00CC3F5F">
        <w:rPr>
          <w:rFonts w:cs="Times New Roman"/>
        </w:rPr>
        <w:t xml:space="preserve"> December 2019).</w:t>
      </w:r>
    </w:p>
    <w:p w14:paraId="2A95E123" w14:textId="77777777" w:rsidR="00CC3F5F" w:rsidRPr="00CC3F5F" w:rsidRDefault="00CC3F5F" w:rsidP="00CC3F5F">
      <w:pPr>
        <w:spacing w:before="100" w:beforeAutospacing="1" w:after="100" w:afterAutospacing="1" w:line="360" w:lineRule="auto"/>
        <w:rPr>
          <w:rFonts w:eastAsia="Times New Roman" w:cs="Times New Roman"/>
          <w:lang w:eastAsia="en-GB"/>
        </w:rPr>
      </w:pPr>
      <w:r w:rsidRPr="00CC3F5F">
        <w:rPr>
          <w:rFonts w:cs="Times New Roman"/>
        </w:rPr>
        <w:t xml:space="preserve">Kerry, T. (2015) </w:t>
      </w:r>
      <w:r w:rsidRPr="00CC3F5F">
        <w:rPr>
          <w:rFonts w:cs="Times New Roman"/>
          <w:i/>
          <w:iCs/>
        </w:rPr>
        <w:t xml:space="preserve">Cross-Curricular Teaching in the Primary School: Planning and facilitating imaginative lessons. </w:t>
      </w:r>
      <w:r w:rsidRPr="00CC3F5F">
        <w:rPr>
          <w:rFonts w:cs="Times New Roman"/>
        </w:rPr>
        <w:t>2</w:t>
      </w:r>
      <w:r w:rsidRPr="00CC3F5F">
        <w:rPr>
          <w:rFonts w:cs="Times New Roman"/>
          <w:vertAlign w:val="superscript"/>
        </w:rPr>
        <w:t>nd</w:t>
      </w:r>
      <w:r w:rsidRPr="00CC3F5F">
        <w:rPr>
          <w:rFonts w:cs="Times New Roman"/>
        </w:rPr>
        <w:t xml:space="preserve"> Ed. Oxon: Routledge.</w:t>
      </w:r>
    </w:p>
    <w:p w14:paraId="52EACF30" w14:textId="77777777" w:rsidR="00CC3F5F" w:rsidRPr="00CC3F5F" w:rsidRDefault="00CC3F5F" w:rsidP="00CC3F5F">
      <w:pPr>
        <w:spacing w:before="100" w:beforeAutospacing="1" w:after="100" w:afterAutospacing="1" w:line="360" w:lineRule="auto"/>
        <w:rPr>
          <w:rFonts w:eastAsia="Times New Roman" w:cs="Times New Roman"/>
          <w:lang w:eastAsia="en-GB"/>
        </w:rPr>
      </w:pPr>
      <w:r w:rsidRPr="00CC3F5F">
        <w:rPr>
          <w:rFonts w:eastAsia="Times New Roman" w:cs="Times New Roman"/>
          <w:lang w:eastAsia="en-GB"/>
        </w:rPr>
        <w:t xml:space="preserve">Lawrence, C. (2015) </w:t>
      </w:r>
      <w:r w:rsidRPr="00CC3F5F">
        <w:rPr>
          <w:rFonts w:eastAsia="Times New Roman" w:cs="Times New Roman"/>
          <w:i/>
          <w:iCs/>
          <w:lang w:eastAsia="en-GB"/>
        </w:rPr>
        <w:t xml:space="preserve">A thematic approach. </w:t>
      </w:r>
      <w:r w:rsidRPr="00CC3F5F">
        <w:rPr>
          <w:rFonts w:eastAsia="Times New Roman" w:cs="Times New Roman"/>
          <w:lang w:eastAsia="en-GB"/>
        </w:rPr>
        <w:t xml:space="preserve">Available at: </w:t>
      </w:r>
      <w:hyperlink r:id="rId22" w:history="1">
        <w:r w:rsidRPr="00CC3F5F">
          <w:rPr>
            <w:rStyle w:val="Hyperlink"/>
            <w:rFonts w:eastAsia="Times New Roman" w:cs="Times New Roman"/>
            <w:lang w:eastAsia="en-GB"/>
          </w:rPr>
          <w:t>http://www.show-me-wow.com/a-thematic-approach/</w:t>
        </w:r>
      </w:hyperlink>
      <w:r w:rsidRPr="00CC3F5F">
        <w:rPr>
          <w:rFonts w:eastAsia="Times New Roman" w:cs="Times New Roman"/>
          <w:lang w:eastAsia="en-GB"/>
        </w:rPr>
        <w:t xml:space="preserve"> (Accessed: 6</w:t>
      </w:r>
      <w:r w:rsidRPr="00CC3F5F">
        <w:rPr>
          <w:rFonts w:eastAsia="Times New Roman" w:cs="Times New Roman"/>
          <w:vertAlign w:val="superscript"/>
          <w:lang w:eastAsia="en-GB"/>
        </w:rPr>
        <w:t>th</w:t>
      </w:r>
      <w:r w:rsidRPr="00CC3F5F">
        <w:rPr>
          <w:rFonts w:eastAsia="Times New Roman" w:cs="Times New Roman"/>
          <w:lang w:eastAsia="en-GB"/>
        </w:rPr>
        <w:t xml:space="preserve"> December 2019).</w:t>
      </w:r>
    </w:p>
    <w:p w14:paraId="151B3C42" w14:textId="77777777" w:rsidR="00CC3F5F" w:rsidRPr="00CC3F5F" w:rsidRDefault="00CC3F5F" w:rsidP="00CC3F5F">
      <w:pPr>
        <w:spacing w:before="100" w:beforeAutospacing="1" w:after="100" w:afterAutospacing="1" w:line="360" w:lineRule="auto"/>
        <w:rPr>
          <w:rFonts w:eastAsia="Times New Roman" w:cs="Times New Roman"/>
          <w:lang w:eastAsia="en-GB"/>
        </w:rPr>
      </w:pPr>
      <w:r w:rsidRPr="00CC3F5F">
        <w:rPr>
          <w:rFonts w:eastAsia="Times New Roman" w:cs="Times New Roman"/>
          <w:lang w:eastAsia="en-GB"/>
        </w:rPr>
        <w:t xml:space="preserve">Learning and Skills Improvement Service. (2010) </w:t>
      </w:r>
      <w:r w:rsidRPr="00CC3F5F">
        <w:rPr>
          <w:rFonts w:eastAsia="Times New Roman" w:cs="Times New Roman"/>
          <w:i/>
          <w:iCs/>
          <w:lang w:eastAsia="en-GB"/>
        </w:rPr>
        <w:t xml:space="preserve">Skills for Life: effective strategies to support learner persistence, progress and progression. </w:t>
      </w:r>
      <w:r w:rsidRPr="00CC3F5F">
        <w:rPr>
          <w:rFonts w:eastAsia="Times New Roman" w:cs="Times New Roman"/>
          <w:lang w:eastAsia="en-GB"/>
        </w:rPr>
        <w:t xml:space="preserve">Available at: </w:t>
      </w:r>
      <w:hyperlink r:id="rId23" w:history="1">
        <w:r w:rsidRPr="00CC3F5F">
          <w:rPr>
            <w:rStyle w:val="Hyperlink"/>
            <w:rFonts w:eastAsia="Times New Roman" w:cs="Times New Roman"/>
            <w:lang w:eastAsia="en-GB"/>
          </w:rPr>
          <w:t>https://www.google.com/url?sa=t&amp;rct=j&amp;q=&amp;esrc=s&amp;source=web&amp;cd=2&amp;ved=2ahUKEwiO5u2sranmAhUNbcAKHcwBDpMQFjABegQIARAC&amp;url=https%3A%2F%2Fapi.excellencegateway.org.uk%2Fresource%2Fimport-pdf%3A2172&amp;usg=AOvVaw0YQdx4SZC4rqZcYmhgaVz3</w:t>
        </w:r>
      </w:hyperlink>
      <w:r w:rsidRPr="00CC3F5F">
        <w:rPr>
          <w:rFonts w:eastAsia="Times New Roman" w:cs="Times New Roman"/>
          <w:lang w:eastAsia="en-GB"/>
        </w:rPr>
        <w:t xml:space="preserve"> (Accessed: 9</w:t>
      </w:r>
      <w:r w:rsidRPr="00CC3F5F">
        <w:rPr>
          <w:rFonts w:eastAsia="Times New Roman" w:cs="Times New Roman"/>
          <w:vertAlign w:val="superscript"/>
          <w:lang w:eastAsia="en-GB"/>
        </w:rPr>
        <w:t>th</w:t>
      </w:r>
      <w:r w:rsidRPr="00CC3F5F">
        <w:rPr>
          <w:rFonts w:eastAsia="Times New Roman" w:cs="Times New Roman"/>
          <w:lang w:eastAsia="en-GB"/>
        </w:rPr>
        <w:t xml:space="preserve"> December 2019).</w:t>
      </w:r>
    </w:p>
    <w:p w14:paraId="50E35EF5" w14:textId="77777777" w:rsidR="00CC3F5F" w:rsidRPr="00CC3F5F" w:rsidRDefault="00CC3F5F" w:rsidP="00CC3F5F">
      <w:pPr>
        <w:spacing w:before="100" w:beforeAutospacing="1" w:after="100" w:afterAutospacing="1" w:line="360" w:lineRule="auto"/>
        <w:rPr>
          <w:rFonts w:cs="Times New Roman"/>
        </w:rPr>
      </w:pPr>
      <w:r w:rsidRPr="00CC3F5F">
        <w:rPr>
          <w:rFonts w:cs="Times New Roman"/>
        </w:rPr>
        <w:lastRenderedPageBreak/>
        <w:t xml:space="preserve">Mellar, H. et al. (2004) </w:t>
      </w:r>
      <w:r w:rsidRPr="00CC3F5F">
        <w:rPr>
          <w:rFonts w:cs="Times New Roman"/>
          <w:i/>
          <w:iCs/>
        </w:rPr>
        <w:t xml:space="preserve">ICT and adult literacy, numeracy and ESOL. </w:t>
      </w:r>
      <w:r w:rsidRPr="00CC3F5F">
        <w:rPr>
          <w:rFonts w:cs="Times New Roman"/>
        </w:rPr>
        <w:t xml:space="preserve">London: National Research and Development Centre for Adult Literacy and Numeracy. Available at: </w:t>
      </w:r>
      <w:hyperlink r:id="rId24" w:history="1">
        <w:r w:rsidRPr="00CC3F5F">
          <w:rPr>
            <w:rStyle w:val="Hyperlink"/>
            <w:rFonts w:cs="Times New Roman"/>
          </w:rPr>
          <w:t>https://telearn.archives-ouvertes.fr/file/index/docid/197394/filename/Mellar-Harvey-2004.pdf</w:t>
        </w:r>
      </w:hyperlink>
      <w:r w:rsidRPr="00CC3F5F">
        <w:rPr>
          <w:rFonts w:cs="Times New Roman"/>
        </w:rPr>
        <w:t xml:space="preserve"> (Accessed: 20</w:t>
      </w:r>
      <w:r w:rsidRPr="00CC3F5F">
        <w:rPr>
          <w:rFonts w:cs="Times New Roman"/>
          <w:vertAlign w:val="superscript"/>
        </w:rPr>
        <w:t>th</w:t>
      </w:r>
      <w:r w:rsidRPr="00CC3F5F">
        <w:rPr>
          <w:rFonts w:cs="Times New Roman"/>
        </w:rPr>
        <w:t xml:space="preserve"> November).</w:t>
      </w:r>
    </w:p>
    <w:p w14:paraId="3DBEB293" w14:textId="77777777" w:rsidR="00CC3F5F" w:rsidRPr="00CC3F5F" w:rsidRDefault="00CC3F5F" w:rsidP="00CC3F5F">
      <w:pPr>
        <w:spacing w:before="100" w:beforeAutospacing="1" w:after="100" w:afterAutospacing="1" w:line="360" w:lineRule="auto"/>
        <w:rPr>
          <w:rFonts w:eastAsia="Times New Roman" w:cs="Times New Roman"/>
          <w:lang w:eastAsia="en-GB"/>
        </w:rPr>
      </w:pPr>
      <w:r w:rsidRPr="00CC3F5F">
        <w:rPr>
          <w:rFonts w:eastAsia="Times New Roman" w:cs="Times New Roman"/>
          <w:lang w:eastAsia="en-GB"/>
        </w:rPr>
        <w:t xml:space="preserve">Metzler, J. and Woessmann, L. (2010) </w:t>
      </w:r>
      <w:r w:rsidRPr="00CC3F5F">
        <w:rPr>
          <w:rFonts w:eastAsia="Times New Roman" w:cs="Times New Roman"/>
          <w:i/>
          <w:iCs/>
          <w:lang w:eastAsia="en-GB"/>
        </w:rPr>
        <w:t xml:space="preserve">The impact of teacher subject knowledge on student achievement: Evidence from within-teacher within-student variation, </w:t>
      </w:r>
      <w:r w:rsidRPr="00CC3F5F">
        <w:rPr>
          <w:rFonts w:eastAsia="Times New Roman" w:cs="Times New Roman"/>
          <w:lang w:eastAsia="en-GB"/>
        </w:rPr>
        <w:t xml:space="preserve">Working Paper, No. 3111, Munich: Centre for Economic Studies. Available at: </w:t>
      </w:r>
      <w:hyperlink r:id="rId25" w:history="1">
        <w:r w:rsidRPr="00CC3F5F">
          <w:rPr>
            <w:rStyle w:val="Hyperlink"/>
            <w:rFonts w:eastAsia="Times New Roman" w:cs="Times New Roman"/>
            <w:lang w:eastAsia="en-GB"/>
          </w:rPr>
          <w:t>https://www.econstor.eu/bitstream/10419/38928/1/630874581.pdf</w:t>
        </w:r>
      </w:hyperlink>
      <w:r w:rsidRPr="00CC3F5F">
        <w:rPr>
          <w:rFonts w:eastAsia="Times New Roman" w:cs="Times New Roman"/>
          <w:lang w:eastAsia="en-GB"/>
        </w:rPr>
        <w:t xml:space="preserve"> (Accessed: 29</w:t>
      </w:r>
      <w:r w:rsidRPr="00CC3F5F">
        <w:rPr>
          <w:rFonts w:eastAsia="Times New Roman" w:cs="Times New Roman"/>
          <w:vertAlign w:val="superscript"/>
          <w:lang w:eastAsia="en-GB"/>
        </w:rPr>
        <w:t>th</w:t>
      </w:r>
      <w:r w:rsidRPr="00CC3F5F">
        <w:rPr>
          <w:rFonts w:eastAsia="Times New Roman" w:cs="Times New Roman"/>
          <w:lang w:eastAsia="en-GB"/>
        </w:rPr>
        <w:t xml:space="preserve"> November 2019). </w:t>
      </w:r>
    </w:p>
    <w:p w14:paraId="57D57583" w14:textId="77777777" w:rsidR="00CC3F5F" w:rsidRPr="00CC3F5F" w:rsidRDefault="00CC3F5F" w:rsidP="00CC3F5F">
      <w:pPr>
        <w:spacing w:before="0" w:after="0" w:line="360" w:lineRule="auto"/>
        <w:rPr>
          <w:rFonts w:cs="Times New Roman"/>
        </w:rPr>
      </w:pPr>
      <w:r w:rsidRPr="00CC3F5F">
        <w:rPr>
          <w:rFonts w:eastAsia="Times New Roman" w:cs="Times New Roman"/>
          <w:lang w:eastAsia="en-GB"/>
        </w:rPr>
        <w:t xml:space="preserve">Pearce, J. (2005) ‘Engaging the Learner: How Can the Flow Experience Support E-learning?’, in Richards, G. (ed.) </w:t>
      </w:r>
      <w:r w:rsidRPr="00CC3F5F">
        <w:rPr>
          <w:rFonts w:eastAsia="Times New Roman" w:cs="Times New Roman"/>
          <w:i/>
          <w:iCs/>
          <w:lang w:eastAsia="en-GB"/>
        </w:rPr>
        <w:t>proceedings of E-Learn 2005: World Conference on E-Learning in Corporate, Government, Healthcare, and Higher Education.</w:t>
      </w:r>
      <w:r w:rsidRPr="00CC3F5F">
        <w:rPr>
          <w:rFonts w:eastAsia="Times New Roman" w:cs="Times New Roman"/>
          <w:lang w:eastAsia="en-GB"/>
        </w:rPr>
        <w:t xml:space="preserve"> Vancouver: Association for the Advancement of Computing in Education (AACE). Available at: </w:t>
      </w:r>
      <w:hyperlink r:id="rId26" w:history="1">
        <w:r w:rsidRPr="00CC3F5F">
          <w:rPr>
            <w:rStyle w:val="Hyperlink"/>
            <w:rFonts w:cs="Times New Roman"/>
          </w:rPr>
          <w:t>http://citeseerx.ist.psu.edu/viewdoc/download?doi=10.1.1.721.7096&amp;rep=rep1&amp;type=pdf</w:t>
        </w:r>
      </w:hyperlink>
      <w:r w:rsidRPr="00CC3F5F">
        <w:rPr>
          <w:rFonts w:eastAsia="Times New Roman" w:cs="Times New Roman"/>
          <w:lang w:eastAsia="en-GB"/>
        </w:rPr>
        <w:t xml:space="preserve"> (Accessed: 6</w:t>
      </w:r>
      <w:r w:rsidRPr="00CC3F5F">
        <w:rPr>
          <w:rFonts w:eastAsia="Times New Roman" w:cs="Times New Roman"/>
          <w:vertAlign w:val="superscript"/>
          <w:lang w:eastAsia="en-GB"/>
        </w:rPr>
        <w:t>th</w:t>
      </w:r>
      <w:r w:rsidRPr="00CC3F5F">
        <w:rPr>
          <w:rFonts w:eastAsia="Times New Roman" w:cs="Times New Roman"/>
          <w:lang w:eastAsia="en-GB"/>
        </w:rPr>
        <w:t xml:space="preserve"> December 2019).</w:t>
      </w:r>
    </w:p>
    <w:p w14:paraId="330A00B3" w14:textId="77777777" w:rsidR="00CC3F5F" w:rsidRPr="00CC3F5F" w:rsidRDefault="00CC3F5F" w:rsidP="00CC3F5F">
      <w:pPr>
        <w:spacing w:before="100" w:beforeAutospacing="1" w:after="100" w:afterAutospacing="1" w:line="360" w:lineRule="auto"/>
        <w:rPr>
          <w:rFonts w:eastAsia="Times New Roman" w:cs="Times New Roman"/>
          <w:color w:val="auto"/>
          <w:lang w:eastAsia="en-GB"/>
        </w:rPr>
      </w:pPr>
      <w:r w:rsidRPr="00CC3F5F">
        <w:rPr>
          <w:rFonts w:eastAsia="Times New Roman" w:cs="Times New Roman"/>
          <w:color w:val="auto"/>
          <w:lang w:eastAsia="en-GB"/>
        </w:rPr>
        <w:t xml:space="preserve">Pound, L. and Lee, T. (2010) </w:t>
      </w:r>
      <w:r w:rsidRPr="00CC3F5F">
        <w:rPr>
          <w:rFonts w:eastAsia="Times New Roman" w:cs="Times New Roman"/>
          <w:i/>
          <w:iCs/>
          <w:color w:val="auto"/>
          <w:lang w:eastAsia="en-GB"/>
        </w:rPr>
        <w:t>Teaching Mathematics Creatively</w:t>
      </w:r>
      <w:r w:rsidRPr="00CC3F5F">
        <w:rPr>
          <w:rFonts w:eastAsia="Times New Roman" w:cs="Times New Roman"/>
          <w:color w:val="auto"/>
          <w:lang w:eastAsia="en-GB"/>
        </w:rPr>
        <w:t>. Oxon: Routledge.</w:t>
      </w:r>
    </w:p>
    <w:p w14:paraId="21C9B243" w14:textId="77777777" w:rsidR="00CC3F5F" w:rsidRPr="00CC3F5F" w:rsidRDefault="00CC3F5F" w:rsidP="00CC3F5F">
      <w:pPr>
        <w:pStyle w:val="NormalWeb"/>
        <w:spacing w:line="360" w:lineRule="auto"/>
      </w:pPr>
      <w:r w:rsidRPr="00CC3F5F">
        <w:t xml:space="preserve">Robinson, K. (2015) </w:t>
      </w:r>
      <w:r w:rsidRPr="00CC3F5F">
        <w:rPr>
          <w:i/>
          <w:iCs/>
        </w:rPr>
        <w:t>Creative Schools: Revolutionizing Education form the Ground Up</w:t>
      </w:r>
      <w:r w:rsidRPr="00CC3F5F">
        <w:t>. UK: Penguin Random House.</w:t>
      </w:r>
    </w:p>
    <w:p w14:paraId="51C88902" w14:textId="77777777" w:rsidR="00CC3F5F" w:rsidRPr="00CC3F5F" w:rsidRDefault="00CC3F5F" w:rsidP="00CC3F5F">
      <w:pPr>
        <w:spacing w:before="100" w:beforeAutospacing="1" w:after="100" w:afterAutospacing="1" w:line="360" w:lineRule="auto"/>
        <w:rPr>
          <w:rFonts w:eastAsia="Times New Roman" w:cs="Times New Roman"/>
          <w:lang w:eastAsia="en-GB"/>
        </w:rPr>
      </w:pPr>
      <w:r w:rsidRPr="00CC3F5F">
        <w:rPr>
          <w:rFonts w:eastAsia="Times New Roman" w:cs="Times New Roman"/>
          <w:lang w:eastAsia="en-GB"/>
        </w:rPr>
        <w:t xml:space="preserve">Savage, J. (2011) </w:t>
      </w:r>
      <w:r w:rsidRPr="00CC3F5F">
        <w:rPr>
          <w:rFonts w:eastAsia="Times New Roman" w:cs="Times New Roman"/>
          <w:i/>
          <w:iCs/>
          <w:lang w:eastAsia="en-GB"/>
        </w:rPr>
        <w:t xml:space="preserve">Cross-curricular teaching and learning in the secondary school. </w:t>
      </w:r>
      <w:r w:rsidRPr="00CC3F5F">
        <w:rPr>
          <w:rFonts w:eastAsia="Times New Roman" w:cs="Times New Roman"/>
          <w:lang w:eastAsia="en-GB"/>
        </w:rPr>
        <w:t xml:space="preserve">Oxon: Routledge. </w:t>
      </w:r>
    </w:p>
    <w:p w14:paraId="153CF54F" w14:textId="77777777" w:rsidR="00CC3F5F" w:rsidRPr="00CC3F5F" w:rsidRDefault="00CC3F5F" w:rsidP="00CC3F5F">
      <w:pPr>
        <w:spacing w:before="100" w:beforeAutospacing="1" w:after="100" w:afterAutospacing="1" w:line="360" w:lineRule="auto"/>
        <w:rPr>
          <w:rFonts w:eastAsia="Times New Roman" w:cs="Times New Roman"/>
          <w:lang w:eastAsia="en-GB"/>
        </w:rPr>
      </w:pPr>
      <w:r w:rsidRPr="00CC3F5F">
        <w:rPr>
          <w:rFonts w:eastAsia="Times New Roman" w:cs="Times New Roman"/>
          <w:lang w:eastAsia="en-GB"/>
        </w:rPr>
        <w:t xml:space="preserve">The Digital Competence Wheel. (2019) </w:t>
      </w:r>
      <w:r w:rsidRPr="00CC3F5F">
        <w:rPr>
          <w:rFonts w:eastAsia="Times New Roman" w:cs="Times New Roman"/>
          <w:i/>
          <w:iCs/>
          <w:lang w:eastAsia="en-GB"/>
        </w:rPr>
        <w:t xml:space="preserve">The Digital Competence Wheel. </w:t>
      </w:r>
      <w:r w:rsidRPr="00CC3F5F">
        <w:rPr>
          <w:rFonts w:eastAsia="Times New Roman" w:cs="Times New Roman"/>
          <w:lang w:eastAsia="en-GB"/>
        </w:rPr>
        <w:t xml:space="preserve">Available at: </w:t>
      </w:r>
      <w:hyperlink r:id="rId27" w:history="1">
        <w:r w:rsidRPr="00CC3F5F">
          <w:rPr>
            <w:rStyle w:val="Hyperlink"/>
            <w:rFonts w:eastAsia="Times New Roman" w:cs="Times New Roman"/>
            <w:lang w:eastAsia="en-GB"/>
          </w:rPr>
          <w:t>https://digital-competence.eu</w:t>
        </w:r>
      </w:hyperlink>
      <w:r w:rsidRPr="00CC3F5F">
        <w:rPr>
          <w:rFonts w:eastAsia="Times New Roman" w:cs="Times New Roman"/>
          <w:lang w:eastAsia="en-GB"/>
        </w:rPr>
        <w:t xml:space="preserve"> (Accessed: 2</w:t>
      </w:r>
      <w:r w:rsidRPr="00CC3F5F">
        <w:rPr>
          <w:rFonts w:eastAsia="Times New Roman" w:cs="Times New Roman"/>
          <w:vertAlign w:val="superscript"/>
          <w:lang w:eastAsia="en-GB"/>
        </w:rPr>
        <w:t>nd</w:t>
      </w:r>
      <w:r w:rsidRPr="00CC3F5F">
        <w:rPr>
          <w:rFonts w:eastAsia="Times New Roman" w:cs="Times New Roman"/>
          <w:lang w:eastAsia="en-GB"/>
        </w:rPr>
        <w:t xml:space="preserve"> December 2019).</w:t>
      </w:r>
    </w:p>
    <w:p w14:paraId="5E9B9A89" w14:textId="77777777" w:rsidR="00CC3F5F" w:rsidRPr="00CC3F5F" w:rsidRDefault="00CC3F5F" w:rsidP="00CC3F5F">
      <w:pPr>
        <w:pStyle w:val="NormalWeb"/>
        <w:spacing w:line="360" w:lineRule="auto"/>
        <w:rPr>
          <w:color w:val="000000" w:themeColor="text1"/>
        </w:rPr>
      </w:pPr>
      <w:r w:rsidRPr="00CC3F5F">
        <w:rPr>
          <w:color w:val="000000" w:themeColor="text1"/>
        </w:rPr>
        <w:t xml:space="preserve">Welsh Government. (2013) </w:t>
      </w:r>
      <w:r w:rsidRPr="00CC3F5F">
        <w:rPr>
          <w:i/>
          <w:iCs/>
          <w:color w:val="000000" w:themeColor="text1"/>
        </w:rPr>
        <w:t xml:space="preserve">National Literacy and Numeracy Framework. </w:t>
      </w:r>
      <w:r w:rsidRPr="00CC3F5F">
        <w:rPr>
          <w:color w:val="000000" w:themeColor="text1"/>
        </w:rPr>
        <w:t>Cardiff: Crown.</w:t>
      </w:r>
    </w:p>
    <w:p w14:paraId="12845483" w14:textId="77777777" w:rsidR="00CC3F5F" w:rsidRPr="00CC3F5F" w:rsidRDefault="00CC3F5F" w:rsidP="00CC3F5F">
      <w:pPr>
        <w:spacing w:before="100" w:beforeAutospacing="1" w:after="100" w:afterAutospacing="1" w:line="360" w:lineRule="auto"/>
        <w:rPr>
          <w:rFonts w:eastAsia="Times New Roman" w:cs="Times New Roman"/>
          <w:lang w:eastAsia="en-GB"/>
        </w:rPr>
      </w:pPr>
      <w:r w:rsidRPr="00CC3F5F">
        <w:rPr>
          <w:rFonts w:eastAsia="Times New Roman" w:cs="Times New Roman"/>
          <w:lang w:eastAsia="en-GB"/>
        </w:rPr>
        <w:t xml:space="preserve">Welsh Government. (2015) </w:t>
      </w:r>
      <w:r w:rsidRPr="00CC3F5F">
        <w:rPr>
          <w:rFonts w:eastAsia="Times New Roman" w:cs="Times New Roman"/>
          <w:i/>
          <w:iCs/>
          <w:lang w:eastAsia="en-GB"/>
        </w:rPr>
        <w:t xml:space="preserve">A curriculum for Wales – a curriculum for life. </w:t>
      </w:r>
      <w:r w:rsidRPr="00CC3F5F">
        <w:rPr>
          <w:rFonts w:eastAsia="Times New Roman" w:cs="Times New Roman"/>
          <w:lang w:eastAsia="en-GB"/>
        </w:rPr>
        <w:t>Cardiff: Crown.</w:t>
      </w:r>
    </w:p>
    <w:p w14:paraId="79AAD7CA" w14:textId="77777777" w:rsidR="00CC3F5F" w:rsidRPr="00CC3F5F" w:rsidRDefault="00CC3F5F" w:rsidP="00CC3F5F">
      <w:pPr>
        <w:spacing w:before="100" w:beforeAutospacing="1" w:after="100" w:afterAutospacing="1" w:line="360" w:lineRule="auto"/>
        <w:rPr>
          <w:rFonts w:eastAsia="Times New Roman" w:cs="Times New Roman"/>
          <w:lang w:eastAsia="en-GB"/>
        </w:rPr>
      </w:pPr>
      <w:r w:rsidRPr="00CC3F5F">
        <w:rPr>
          <w:rFonts w:eastAsia="Times New Roman" w:cs="Times New Roman"/>
          <w:lang w:eastAsia="en-GB"/>
        </w:rPr>
        <w:t xml:space="preserve">Welsh Government. (2017) </w:t>
      </w:r>
      <w:r w:rsidRPr="00CC3F5F">
        <w:rPr>
          <w:rFonts w:eastAsia="Times New Roman" w:cs="Times New Roman"/>
          <w:i/>
          <w:iCs/>
          <w:lang w:eastAsia="en-GB"/>
        </w:rPr>
        <w:t xml:space="preserve">Literacy and numeracy: Your questions answered. </w:t>
      </w:r>
      <w:r w:rsidRPr="00CC3F5F">
        <w:rPr>
          <w:rFonts w:eastAsia="Times New Roman" w:cs="Times New Roman"/>
          <w:lang w:eastAsia="en-GB"/>
        </w:rPr>
        <w:t xml:space="preserve">Cardiff: Crown. Available at: </w:t>
      </w:r>
      <w:hyperlink r:id="rId28" w:history="1">
        <w:r w:rsidRPr="00CC3F5F">
          <w:rPr>
            <w:rStyle w:val="Hyperlink"/>
            <w:rFonts w:eastAsia="Times New Roman" w:cs="Times New Roman"/>
            <w:lang w:eastAsia="en-GB"/>
          </w:rPr>
          <w:t>https://hwb.gov.wales/storage/a625428e-9359-4981-a5a0-</w:t>
        </w:r>
        <w:r w:rsidRPr="00CC3F5F">
          <w:rPr>
            <w:rStyle w:val="Hyperlink"/>
            <w:rFonts w:eastAsia="Times New Roman" w:cs="Times New Roman"/>
            <w:lang w:eastAsia="en-GB"/>
          </w:rPr>
          <w:lastRenderedPageBreak/>
          <w:t>5accbc506b9d/literacy-and-numeracy-your-questions-answered.pdf</w:t>
        </w:r>
      </w:hyperlink>
      <w:r w:rsidRPr="00CC3F5F">
        <w:rPr>
          <w:rFonts w:eastAsia="Times New Roman" w:cs="Times New Roman"/>
          <w:lang w:eastAsia="en-GB"/>
        </w:rPr>
        <w:t xml:space="preserve"> (Accessed: 20</w:t>
      </w:r>
      <w:r w:rsidRPr="00CC3F5F">
        <w:rPr>
          <w:rFonts w:eastAsia="Times New Roman" w:cs="Times New Roman"/>
          <w:vertAlign w:val="superscript"/>
          <w:lang w:eastAsia="en-GB"/>
        </w:rPr>
        <w:t>th</w:t>
      </w:r>
      <w:r w:rsidRPr="00CC3F5F">
        <w:rPr>
          <w:rFonts w:eastAsia="Times New Roman" w:cs="Times New Roman"/>
          <w:lang w:eastAsia="en-GB"/>
        </w:rPr>
        <w:t xml:space="preserve"> November 2019).</w:t>
      </w:r>
    </w:p>
    <w:p w14:paraId="2A25550C" w14:textId="77777777" w:rsidR="00CC3F5F" w:rsidRPr="00CC3F5F" w:rsidRDefault="00CC3F5F" w:rsidP="00CC3F5F">
      <w:pPr>
        <w:spacing w:line="360" w:lineRule="auto"/>
        <w:rPr>
          <w:rFonts w:cs="Times New Roman"/>
        </w:rPr>
      </w:pPr>
      <w:r w:rsidRPr="00CC3F5F">
        <w:rPr>
          <w:rFonts w:cs="Times New Roman"/>
        </w:rPr>
        <w:t xml:space="preserve">Welsh Government. (2019) </w:t>
      </w:r>
      <w:r w:rsidRPr="00CC3F5F">
        <w:rPr>
          <w:rFonts w:cs="Times New Roman"/>
          <w:i/>
          <w:iCs/>
        </w:rPr>
        <w:t xml:space="preserve">Professional teaching standards for teaching and leadership. </w:t>
      </w:r>
      <w:r w:rsidRPr="00CC3F5F">
        <w:rPr>
          <w:rFonts w:cs="Times New Roman"/>
        </w:rPr>
        <w:t xml:space="preserve">Cardiff: Crown. Available at: </w:t>
      </w:r>
      <w:hyperlink r:id="rId29" w:history="1">
        <w:r w:rsidRPr="00CC3F5F">
          <w:rPr>
            <w:rStyle w:val="Hyperlink"/>
            <w:rFonts w:cs="Times New Roman"/>
          </w:rPr>
          <w:t>https://hwb.gov.wales/storage/19bc948b-8a3f-41e0-944a-7bf2cadf7d18/professional-standards-for-teaching-and-leadership-interactive-pdf-for-pc.pdf</w:t>
        </w:r>
      </w:hyperlink>
      <w:r w:rsidRPr="00CC3F5F">
        <w:rPr>
          <w:rFonts w:cs="Times New Roman"/>
        </w:rPr>
        <w:t xml:space="preserve"> (Accessed: 30</w:t>
      </w:r>
      <w:r w:rsidRPr="00CC3F5F">
        <w:rPr>
          <w:rFonts w:cs="Times New Roman"/>
          <w:vertAlign w:val="superscript"/>
        </w:rPr>
        <w:t>th</w:t>
      </w:r>
      <w:r w:rsidRPr="00CC3F5F">
        <w:rPr>
          <w:rFonts w:cs="Times New Roman"/>
        </w:rPr>
        <w:t xml:space="preserve"> November 2019).</w:t>
      </w:r>
    </w:p>
    <w:p w14:paraId="753C8027" w14:textId="77777777" w:rsidR="00CC3F5F" w:rsidRPr="00CC3F5F" w:rsidRDefault="00CC3F5F" w:rsidP="00CC3F5F">
      <w:pPr>
        <w:spacing w:before="100" w:beforeAutospacing="1" w:after="100" w:afterAutospacing="1" w:line="360" w:lineRule="auto"/>
        <w:rPr>
          <w:rFonts w:eastAsia="Times New Roman" w:cs="Times New Roman"/>
          <w:lang w:eastAsia="en-GB"/>
        </w:rPr>
      </w:pPr>
      <w:r w:rsidRPr="00CC3F5F">
        <w:rPr>
          <w:rFonts w:eastAsia="Times New Roman" w:cs="Times New Roman"/>
          <w:lang w:eastAsia="en-GB"/>
        </w:rPr>
        <w:t xml:space="preserve">World Economic Forum. (2016) </w:t>
      </w:r>
      <w:r w:rsidRPr="00CC3F5F">
        <w:rPr>
          <w:rFonts w:eastAsia="Times New Roman" w:cs="Times New Roman"/>
          <w:i/>
          <w:iCs/>
          <w:lang w:eastAsia="en-GB"/>
        </w:rPr>
        <w:t>What are the 21st-century skills every student needs?</w:t>
      </w:r>
      <w:r w:rsidRPr="00CC3F5F">
        <w:rPr>
          <w:rFonts w:eastAsia="Times New Roman" w:cs="Times New Roman"/>
          <w:lang w:eastAsia="en-GB"/>
        </w:rPr>
        <w:t xml:space="preserve"> Available at: </w:t>
      </w:r>
      <w:hyperlink r:id="rId30" w:history="1">
        <w:r w:rsidRPr="00CC3F5F">
          <w:rPr>
            <w:rStyle w:val="Hyperlink"/>
            <w:rFonts w:eastAsia="Times New Roman" w:cs="Times New Roman"/>
            <w:lang w:eastAsia="en-GB"/>
          </w:rPr>
          <w:t>https://www.weforum.org/agenda/2016/03/21st-century-skills-future-jobs-students/</w:t>
        </w:r>
      </w:hyperlink>
      <w:r w:rsidRPr="00CC3F5F">
        <w:rPr>
          <w:rFonts w:eastAsia="Times New Roman" w:cs="Times New Roman"/>
          <w:lang w:eastAsia="en-GB"/>
        </w:rPr>
        <w:t xml:space="preserve"> (Accessed: 25</w:t>
      </w:r>
      <w:r w:rsidRPr="00CC3F5F">
        <w:rPr>
          <w:rFonts w:eastAsia="Times New Roman" w:cs="Times New Roman"/>
          <w:vertAlign w:val="superscript"/>
          <w:lang w:eastAsia="en-GB"/>
        </w:rPr>
        <w:t>th</w:t>
      </w:r>
      <w:r w:rsidRPr="00CC3F5F">
        <w:rPr>
          <w:rFonts w:eastAsia="Times New Roman" w:cs="Times New Roman"/>
          <w:lang w:eastAsia="en-GB"/>
        </w:rPr>
        <w:t xml:space="preserve"> November 2019).</w:t>
      </w:r>
    </w:p>
    <w:p w14:paraId="2D0D4D5B" w14:textId="77777777" w:rsidR="00CC3F5F" w:rsidRPr="00CC3F5F" w:rsidRDefault="00CC3F5F" w:rsidP="00CC3F5F">
      <w:pPr>
        <w:spacing w:before="100" w:beforeAutospacing="1" w:after="100" w:afterAutospacing="1" w:line="360" w:lineRule="auto"/>
        <w:rPr>
          <w:rFonts w:eastAsia="Times New Roman" w:cs="Times New Roman"/>
          <w:lang w:eastAsia="en-GB"/>
        </w:rPr>
      </w:pPr>
      <w:r w:rsidRPr="00CC3F5F">
        <w:rPr>
          <w:rFonts w:eastAsia="Times New Roman" w:cs="Times New Roman"/>
          <w:lang w:eastAsia="en-GB"/>
        </w:rPr>
        <w:t xml:space="preserve">Zeidler, D. (2002) ‘Dancing with Maggots and Saint: Visions for Subject Matter Knowledge, Pedagogical knowledge, and Pedagogical Content Knowledge in Science Teacher Education Reform’, </w:t>
      </w:r>
      <w:r w:rsidRPr="00CC3F5F">
        <w:rPr>
          <w:rFonts w:eastAsia="Times New Roman" w:cs="Times New Roman"/>
          <w:i/>
          <w:iCs/>
          <w:lang w:eastAsia="en-GB"/>
        </w:rPr>
        <w:t xml:space="preserve">Journal of Science Teacher Education, </w:t>
      </w:r>
      <w:r w:rsidRPr="00CC3F5F">
        <w:rPr>
          <w:rFonts w:eastAsia="Times New Roman" w:cs="Times New Roman"/>
          <w:lang w:eastAsia="en-GB"/>
        </w:rPr>
        <w:t xml:space="preserve">13(1), pp. 27-42. </w:t>
      </w:r>
    </w:p>
    <w:p w14:paraId="09C6EE42" w14:textId="77777777" w:rsidR="00864339" w:rsidRPr="00864339" w:rsidRDefault="00864339" w:rsidP="00382FF3">
      <w:pPr>
        <w:spacing w:before="100" w:beforeAutospacing="1" w:after="100" w:afterAutospacing="1" w:line="360" w:lineRule="auto"/>
        <w:rPr>
          <w:rFonts w:eastAsia="Times New Roman" w:cs="Times New Roman"/>
          <w:lang w:eastAsia="en-GB"/>
        </w:rPr>
      </w:pPr>
    </w:p>
    <w:sectPr w:rsidR="00864339" w:rsidRPr="00864339" w:rsidSect="00B01761">
      <w:headerReference w:type="default" r:id="rId31"/>
      <w:footerReference w:type="even" r:id="rId32"/>
      <w:footerReference w:type="default" r:id="rId3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357F16" w14:textId="77777777" w:rsidR="0077244F" w:rsidRDefault="0077244F" w:rsidP="004F35DF">
      <w:r>
        <w:separator/>
      </w:r>
    </w:p>
  </w:endnote>
  <w:endnote w:type="continuationSeparator" w:id="0">
    <w:p w14:paraId="33B94BA6" w14:textId="77777777" w:rsidR="0077244F" w:rsidRDefault="0077244F" w:rsidP="004F35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C9B5D5" w14:textId="77777777" w:rsidR="00944F3C" w:rsidRDefault="00944F3C" w:rsidP="00944F3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C5191FC" w14:textId="77777777" w:rsidR="00944F3C" w:rsidRDefault="00944F3C" w:rsidP="002B50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E537AE" w14:textId="77777777" w:rsidR="00944F3C" w:rsidRDefault="00944F3C" w:rsidP="00944F3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2A95CA88" w14:textId="77777777" w:rsidR="00944F3C" w:rsidRDefault="00944F3C" w:rsidP="002B50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D67433" w14:textId="77777777" w:rsidR="0077244F" w:rsidRDefault="0077244F" w:rsidP="004F35DF">
      <w:r>
        <w:separator/>
      </w:r>
    </w:p>
  </w:footnote>
  <w:footnote w:type="continuationSeparator" w:id="0">
    <w:p w14:paraId="4809BB8E" w14:textId="77777777" w:rsidR="0077244F" w:rsidRDefault="0077244F" w:rsidP="004F35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C85E5C" w14:textId="44991C8D" w:rsidR="00944F3C" w:rsidRDefault="00944F3C">
    <w:pPr>
      <w:pStyle w:val="Header"/>
    </w:pPr>
    <w:r>
      <w:t>1701568</w:t>
    </w:r>
    <w:r>
      <w:tab/>
    </w:r>
    <w:r>
      <w:tab/>
    </w:r>
  </w:p>
  <w:p w14:paraId="4FD89FE6" w14:textId="77777777" w:rsidR="00944F3C" w:rsidRDefault="00944F3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4"/>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537"/>
    <w:rsid w:val="00005998"/>
    <w:rsid w:val="00007106"/>
    <w:rsid w:val="00010D68"/>
    <w:rsid w:val="0001148E"/>
    <w:rsid w:val="00013599"/>
    <w:rsid w:val="000152DB"/>
    <w:rsid w:val="00021E51"/>
    <w:rsid w:val="00037D2B"/>
    <w:rsid w:val="00041D02"/>
    <w:rsid w:val="000471EE"/>
    <w:rsid w:val="00050607"/>
    <w:rsid w:val="00050B79"/>
    <w:rsid w:val="00051F9B"/>
    <w:rsid w:val="00052C18"/>
    <w:rsid w:val="00056229"/>
    <w:rsid w:val="00057014"/>
    <w:rsid w:val="0006494A"/>
    <w:rsid w:val="000A6E1D"/>
    <w:rsid w:val="000A7513"/>
    <w:rsid w:val="000B0F72"/>
    <w:rsid w:val="000B3040"/>
    <w:rsid w:val="000B591A"/>
    <w:rsid w:val="000C1884"/>
    <w:rsid w:val="000C2E3E"/>
    <w:rsid w:val="000C4F08"/>
    <w:rsid w:val="000C5D6D"/>
    <w:rsid w:val="000D13F3"/>
    <w:rsid w:val="000D30E9"/>
    <w:rsid w:val="000D6F49"/>
    <w:rsid w:val="000E0D60"/>
    <w:rsid w:val="000E4176"/>
    <w:rsid w:val="000F09D9"/>
    <w:rsid w:val="000F5DA1"/>
    <w:rsid w:val="000F7ECC"/>
    <w:rsid w:val="001127FA"/>
    <w:rsid w:val="001174E2"/>
    <w:rsid w:val="00117941"/>
    <w:rsid w:val="00120C87"/>
    <w:rsid w:val="00123185"/>
    <w:rsid w:val="00124D4E"/>
    <w:rsid w:val="0012673A"/>
    <w:rsid w:val="00127A46"/>
    <w:rsid w:val="0013239F"/>
    <w:rsid w:val="0014260D"/>
    <w:rsid w:val="00155070"/>
    <w:rsid w:val="0015548E"/>
    <w:rsid w:val="001558A4"/>
    <w:rsid w:val="00166C07"/>
    <w:rsid w:val="00171377"/>
    <w:rsid w:val="001729F9"/>
    <w:rsid w:val="00182F54"/>
    <w:rsid w:val="001849E1"/>
    <w:rsid w:val="00192F52"/>
    <w:rsid w:val="00196356"/>
    <w:rsid w:val="001A15F9"/>
    <w:rsid w:val="001B2F32"/>
    <w:rsid w:val="001B4A5F"/>
    <w:rsid w:val="001B74E9"/>
    <w:rsid w:val="001C31B0"/>
    <w:rsid w:val="001C4310"/>
    <w:rsid w:val="001D066B"/>
    <w:rsid w:val="001D2BFB"/>
    <w:rsid w:val="001E5F3F"/>
    <w:rsid w:val="001E7A3A"/>
    <w:rsid w:val="001F4A94"/>
    <w:rsid w:val="00205451"/>
    <w:rsid w:val="00213E3F"/>
    <w:rsid w:val="002155B1"/>
    <w:rsid w:val="002158A4"/>
    <w:rsid w:val="00215C2A"/>
    <w:rsid w:val="002161A4"/>
    <w:rsid w:val="00227CCE"/>
    <w:rsid w:val="00232872"/>
    <w:rsid w:val="00247E90"/>
    <w:rsid w:val="00250466"/>
    <w:rsid w:val="00251302"/>
    <w:rsid w:val="00251FDF"/>
    <w:rsid w:val="00266A85"/>
    <w:rsid w:val="00267441"/>
    <w:rsid w:val="002714F4"/>
    <w:rsid w:val="00273BE7"/>
    <w:rsid w:val="0027561C"/>
    <w:rsid w:val="00275AFE"/>
    <w:rsid w:val="0028024C"/>
    <w:rsid w:val="00281254"/>
    <w:rsid w:val="00284069"/>
    <w:rsid w:val="002916EB"/>
    <w:rsid w:val="00292C0B"/>
    <w:rsid w:val="002A35C5"/>
    <w:rsid w:val="002A3925"/>
    <w:rsid w:val="002B4410"/>
    <w:rsid w:val="002B50A7"/>
    <w:rsid w:val="002B614A"/>
    <w:rsid w:val="002E6D86"/>
    <w:rsid w:val="002F15A6"/>
    <w:rsid w:val="002F2537"/>
    <w:rsid w:val="002F67B2"/>
    <w:rsid w:val="00302DBD"/>
    <w:rsid w:val="003061B9"/>
    <w:rsid w:val="00306991"/>
    <w:rsid w:val="0031533F"/>
    <w:rsid w:val="00317E0E"/>
    <w:rsid w:val="00340B99"/>
    <w:rsid w:val="00341242"/>
    <w:rsid w:val="003462A8"/>
    <w:rsid w:val="0035502C"/>
    <w:rsid w:val="00355F5B"/>
    <w:rsid w:val="00360F52"/>
    <w:rsid w:val="00363481"/>
    <w:rsid w:val="003648B7"/>
    <w:rsid w:val="0036525C"/>
    <w:rsid w:val="003670A8"/>
    <w:rsid w:val="00374497"/>
    <w:rsid w:val="003800E8"/>
    <w:rsid w:val="00382FF3"/>
    <w:rsid w:val="003851DB"/>
    <w:rsid w:val="003A22D9"/>
    <w:rsid w:val="003A5771"/>
    <w:rsid w:val="003B1797"/>
    <w:rsid w:val="003B2EB9"/>
    <w:rsid w:val="003B57C3"/>
    <w:rsid w:val="003C1569"/>
    <w:rsid w:val="003C1F41"/>
    <w:rsid w:val="003C6D11"/>
    <w:rsid w:val="003C7D07"/>
    <w:rsid w:val="003E18B0"/>
    <w:rsid w:val="003E6109"/>
    <w:rsid w:val="003F3FFC"/>
    <w:rsid w:val="003F65FA"/>
    <w:rsid w:val="00400558"/>
    <w:rsid w:val="00401423"/>
    <w:rsid w:val="00403B37"/>
    <w:rsid w:val="00410100"/>
    <w:rsid w:val="0041134A"/>
    <w:rsid w:val="00412D30"/>
    <w:rsid w:val="004158C4"/>
    <w:rsid w:val="00421F6F"/>
    <w:rsid w:val="00424370"/>
    <w:rsid w:val="004271D3"/>
    <w:rsid w:val="004370ED"/>
    <w:rsid w:val="00441FC3"/>
    <w:rsid w:val="00443147"/>
    <w:rsid w:val="00444EA7"/>
    <w:rsid w:val="00446CE7"/>
    <w:rsid w:val="004503F2"/>
    <w:rsid w:val="00450ABF"/>
    <w:rsid w:val="0045179E"/>
    <w:rsid w:val="00456825"/>
    <w:rsid w:val="004637F6"/>
    <w:rsid w:val="00463CFB"/>
    <w:rsid w:val="00467FAA"/>
    <w:rsid w:val="00483A69"/>
    <w:rsid w:val="00483D19"/>
    <w:rsid w:val="004862C8"/>
    <w:rsid w:val="004863B6"/>
    <w:rsid w:val="004969D6"/>
    <w:rsid w:val="004A0DE4"/>
    <w:rsid w:val="004A3F1D"/>
    <w:rsid w:val="004B185F"/>
    <w:rsid w:val="004B2DC8"/>
    <w:rsid w:val="004B341D"/>
    <w:rsid w:val="004C3D24"/>
    <w:rsid w:val="004C4D3C"/>
    <w:rsid w:val="004C5260"/>
    <w:rsid w:val="004C5CF8"/>
    <w:rsid w:val="004D1082"/>
    <w:rsid w:val="004D443A"/>
    <w:rsid w:val="004E5EA9"/>
    <w:rsid w:val="004F35DF"/>
    <w:rsid w:val="004F43CA"/>
    <w:rsid w:val="004F5DA9"/>
    <w:rsid w:val="004F78AB"/>
    <w:rsid w:val="004F7A71"/>
    <w:rsid w:val="00506078"/>
    <w:rsid w:val="005340B3"/>
    <w:rsid w:val="00534FEB"/>
    <w:rsid w:val="0054507B"/>
    <w:rsid w:val="005514F6"/>
    <w:rsid w:val="00551E45"/>
    <w:rsid w:val="005528A8"/>
    <w:rsid w:val="00556FF9"/>
    <w:rsid w:val="00563223"/>
    <w:rsid w:val="005637DE"/>
    <w:rsid w:val="00564F0B"/>
    <w:rsid w:val="005667BC"/>
    <w:rsid w:val="005710DC"/>
    <w:rsid w:val="00572AB8"/>
    <w:rsid w:val="00573759"/>
    <w:rsid w:val="005741E2"/>
    <w:rsid w:val="005741F9"/>
    <w:rsid w:val="00580AAD"/>
    <w:rsid w:val="00587585"/>
    <w:rsid w:val="00590B04"/>
    <w:rsid w:val="0059292C"/>
    <w:rsid w:val="0059726B"/>
    <w:rsid w:val="005A2B7E"/>
    <w:rsid w:val="005A4EF7"/>
    <w:rsid w:val="005B44CB"/>
    <w:rsid w:val="005D22B3"/>
    <w:rsid w:val="005D2E55"/>
    <w:rsid w:val="005E751D"/>
    <w:rsid w:val="005F0324"/>
    <w:rsid w:val="005F07C5"/>
    <w:rsid w:val="005F1D58"/>
    <w:rsid w:val="005F32B0"/>
    <w:rsid w:val="006013FC"/>
    <w:rsid w:val="0060649F"/>
    <w:rsid w:val="00612374"/>
    <w:rsid w:val="0061348D"/>
    <w:rsid w:val="00613E0E"/>
    <w:rsid w:val="00620E99"/>
    <w:rsid w:val="00622EC9"/>
    <w:rsid w:val="00630AC3"/>
    <w:rsid w:val="006517CA"/>
    <w:rsid w:val="0065345F"/>
    <w:rsid w:val="00654C5F"/>
    <w:rsid w:val="00656F56"/>
    <w:rsid w:val="00665B45"/>
    <w:rsid w:val="00666FCB"/>
    <w:rsid w:val="00667A24"/>
    <w:rsid w:val="006802CE"/>
    <w:rsid w:val="00680B96"/>
    <w:rsid w:val="00684A4E"/>
    <w:rsid w:val="006A28BC"/>
    <w:rsid w:val="006A5FB4"/>
    <w:rsid w:val="006A6018"/>
    <w:rsid w:val="006B4470"/>
    <w:rsid w:val="006B4A37"/>
    <w:rsid w:val="006C68C9"/>
    <w:rsid w:val="006D0208"/>
    <w:rsid w:val="006D0AB6"/>
    <w:rsid w:val="006D59F0"/>
    <w:rsid w:val="006D6BF6"/>
    <w:rsid w:val="006E3405"/>
    <w:rsid w:val="006E6779"/>
    <w:rsid w:val="006F2F3F"/>
    <w:rsid w:val="006F3089"/>
    <w:rsid w:val="006F47FE"/>
    <w:rsid w:val="00701D13"/>
    <w:rsid w:val="00704465"/>
    <w:rsid w:val="00713A6C"/>
    <w:rsid w:val="00727FB7"/>
    <w:rsid w:val="00743E04"/>
    <w:rsid w:val="0074567D"/>
    <w:rsid w:val="00745AFF"/>
    <w:rsid w:val="0075232E"/>
    <w:rsid w:val="007532F3"/>
    <w:rsid w:val="00755210"/>
    <w:rsid w:val="0076486D"/>
    <w:rsid w:val="00765AF1"/>
    <w:rsid w:val="007663CB"/>
    <w:rsid w:val="0077244F"/>
    <w:rsid w:val="0077454A"/>
    <w:rsid w:val="00784BA4"/>
    <w:rsid w:val="00791362"/>
    <w:rsid w:val="00791B40"/>
    <w:rsid w:val="007A132C"/>
    <w:rsid w:val="007A3034"/>
    <w:rsid w:val="007A5958"/>
    <w:rsid w:val="007A75F8"/>
    <w:rsid w:val="007B0665"/>
    <w:rsid w:val="007B09E2"/>
    <w:rsid w:val="007B500F"/>
    <w:rsid w:val="007B5A57"/>
    <w:rsid w:val="007C25A3"/>
    <w:rsid w:val="007C2F82"/>
    <w:rsid w:val="007C49E7"/>
    <w:rsid w:val="007C59FC"/>
    <w:rsid w:val="007C7A31"/>
    <w:rsid w:val="007C7E08"/>
    <w:rsid w:val="007D1FBD"/>
    <w:rsid w:val="007D4470"/>
    <w:rsid w:val="007D46F0"/>
    <w:rsid w:val="007D5BD9"/>
    <w:rsid w:val="007E010E"/>
    <w:rsid w:val="007E1701"/>
    <w:rsid w:val="007E26C7"/>
    <w:rsid w:val="007F2DB1"/>
    <w:rsid w:val="007F4329"/>
    <w:rsid w:val="00804B01"/>
    <w:rsid w:val="008064A2"/>
    <w:rsid w:val="008119C3"/>
    <w:rsid w:val="0081227E"/>
    <w:rsid w:val="00815510"/>
    <w:rsid w:val="00820615"/>
    <w:rsid w:val="00821A71"/>
    <w:rsid w:val="00825A3D"/>
    <w:rsid w:val="008362A7"/>
    <w:rsid w:val="008376C9"/>
    <w:rsid w:val="0084177C"/>
    <w:rsid w:val="00842BC9"/>
    <w:rsid w:val="00843B0D"/>
    <w:rsid w:val="0084596B"/>
    <w:rsid w:val="00851C04"/>
    <w:rsid w:val="00854DB1"/>
    <w:rsid w:val="00857B3F"/>
    <w:rsid w:val="008622EC"/>
    <w:rsid w:val="00864339"/>
    <w:rsid w:val="00866938"/>
    <w:rsid w:val="0086799E"/>
    <w:rsid w:val="00874189"/>
    <w:rsid w:val="00881836"/>
    <w:rsid w:val="00884842"/>
    <w:rsid w:val="00887782"/>
    <w:rsid w:val="008930B9"/>
    <w:rsid w:val="00893A96"/>
    <w:rsid w:val="00895659"/>
    <w:rsid w:val="008A6FA2"/>
    <w:rsid w:val="008A6FC2"/>
    <w:rsid w:val="008B17D7"/>
    <w:rsid w:val="008C076F"/>
    <w:rsid w:val="008C1124"/>
    <w:rsid w:val="008C1DCB"/>
    <w:rsid w:val="008C2862"/>
    <w:rsid w:val="008E6924"/>
    <w:rsid w:val="008F0566"/>
    <w:rsid w:val="008F57E9"/>
    <w:rsid w:val="00900EF4"/>
    <w:rsid w:val="00904C76"/>
    <w:rsid w:val="009052BC"/>
    <w:rsid w:val="009121DC"/>
    <w:rsid w:val="00913B1D"/>
    <w:rsid w:val="0091570E"/>
    <w:rsid w:val="00916AF6"/>
    <w:rsid w:val="00927194"/>
    <w:rsid w:val="009305BA"/>
    <w:rsid w:val="00942F5F"/>
    <w:rsid w:val="00944F3C"/>
    <w:rsid w:val="009546A0"/>
    <w:rsid w:val="00955257"/>
    <w:rsid w:val="00962BC4"/>
    <w:rsid w:val="00964088"/>
    <w:rsid w:val="00964AE3"/>
    <w:rsid w:val="009658E8"/>
    <w:rsid w:val="00972CBD"/>
    <w:rsid w:val="00973BF5"/>
    <w:rsid w:val="009751B2"/>
    <w:rsid w:val="0097679C"/>
    <w:rsid w:val="00976C55"/>
    <w:rsid w:val="009808D3"/>
    <w:rsid w:val="00985558"/>
    <w:rsid w:val="00995B46"/>
    <w:rsid w:val="009A015B"/>
    <w:rsid w:val="009B0682"/>
    <w:rsid w:val="009C0F43"/>
    <w:rsid w:val="009C4890"/>
    <w:rsid w:val="009C796C"/>
    <w:rsid w:val="009D0AFD"/>
    <w:rsid w:val="009D7FD7"/>
    <w:rsid w:val="009E6CEA"/>
    <w:rsid w:val="009F0670"/>
    <w:rsid w:val="00A00790"/>
    <w:rsid w:val="00A03900"/>
    <w:rsid w:val="00A11097"/>
    <w:rsid w:val="00A12680"/>
    <w:rsid w:val="00A12BE5"/>
    <w:rsid w:val="00A15B07"/>
    <w:rsid w:val="00A1700E"/>
    <w:rsid w:val="00A219BD"/>
    <w:rsid w:val="00A22E40"/>
    <w:rsid w:val="00A24FE1"/>
    <w:rsid w:val="00A27D8B"/>
    <w:rsid w:val="00A30A1F"/>
    <w:rsid w:val="00A33B04"/>
    <w:rsid w:val="00A35316"/>
    <w:rsid w:val="00A355F5"/>
    <w:rsid w:val="00A403F1"/>
    <w:rsid w:val="00A43FD6"/>
    <w:rsid w:val="00A504AD"/>
    <w:rsid w:val="00A61121"/>
    <w:rsid w:val="00A6131B"/>
    <w:rsid w:val="00A6183A"/>
    <w:rsid w:val="00A730D0"/>
    <w:rsid w:val="00A76C9E"/>
    <w:rsid w:val="00A81BFA"/>
    <w:rsid w:val="00A8257E"/>
    <w:rsid w:val="00A836A0"/>
    <w:rsid w:val="00A849E3"/>
    <w:rsid w:val="00A91B89"/>
    <w:rsid w:val="00AA26BB"/>
    <w:rsid w:val="00AA3178"/>
    <w:rsid w:val="00AA408C"/>
    <w:rsid w:val="00AA6058"/>
    <w:rsid w:val="00AB2062"/>
    <w:rsid w:val="00AB31B8"/>
    <w:rsid w:val="00AB4317"/>
    <w:rsid w:val="00AB756D"/>
    <w:rsid w:val="00AC6F9F"/>
    <w:rsid w:val="00AD1236"/>
    <w:rsid w:val="00AD671F"/>
    <w:rsid w:val="00AD795E"/>
    <w:rsid w:val="00AE1313"/>
    <w:rsid w:val="00AE1761"/>
    <w:rsid w:val="00AE4480"/>
    <w:rsid w:val="00AE60D4"/>
    <w:rsid w:val="00AF1DB3"/>
    <w:rsid w:val="00B0007D"/>
    <w:rsid w:val="00B01761"/>
    <w:rsid w:val="00B02338"/>
    <w:rsid w:val="00B05D3B"/>
    <w:rsid w:val="00B06811"/>
    <w:rsid w:val="00B06B0C"/>
    <w:rsid w:val="00B157D6"/>
    <w:rsid w:val="00B17114"/>
    <w:rsid w:val="00B174D0"/>
    <w:rsid w:val="00B2454A"/>
    <w:rsid w:val="00B3262F"/>
    <w:rsid w:val="00B37B5C"/>
    <w:rsid w:val="00B427B0"/>
    <w:rsid w:val="00B45AC2"/>
    <w:rsid w:val="00B47395"/>
    <w:rsid w:val="00B51897"/>
    <w:rsid w:val="00B53CF6"/>
    <w:rsid w:val="00B55DDB"/>
    <w:rsid w:val="00B5689D"/>
    <w:rsid w:val="00B57D54"/>
    <w:rsid w:val="00B64CE1"/>
    <w:rsid w:val="00B6560B"/>
    <w:rsid w:val="00B66C75"/>
    <w:rsid w:val="00B70CE4"/>
    <w:rsid w:val="00B723D0"/>
    <w:rsid w:val="00B82B69"/>
    <w:rsid w:val="00B83ECC"/>
    <w:rsid w:val="00B84681"/>
    <w:rsid w:val="00B86871"/>
    <w:rsid w:val="00B91A5D"/>
    <w:rsid w:val="00B942D1"/>
    <w:rsid w:val="00B95AE7"/>
    <w:rsid w:val="00BA0B3C"/>
    <w:rsid w:val="00BB54D7"/>
    <w:rsid w:val="00BB5D48"/>
    <w:rsid w:val="00BC3FE1"/>
    <w:rsid w:val="00BC5D10"/>
    <w:rsid w:val="00BD09DB"/>
    <w:rsid w:val="00BE20BF"/>
    <w:rsid w:val="00BE3248"/>
    <w:rsid w:val="00BE5AA5"/>
    <w:rsid w:val="00BE5FCA"/>
    <w:rsid w:val="00BE7464"/>
    <w:rsid w:val="00BF03E5"/>
    <w:rsid w:val="00BF112A"/>
    <w:rsid w:val="00BF2F90"/>
    <w:rsid w:val="00BF44C8"/>
    <w:rsid w:val="00BF6627"/>
    <w:rsid w:val="00C141ED"/>
    <w:rsid w:val="00C145F8"/>
    <w:rsid w:val="00C260B3"/>
    <w:rsid w:val="00C26B57"/>
    <w:rsid w:val="00C31649"/>
    <w:rsid w:val="00C32C13"/>
    <w:rsid w:val="00C378CF"/>
    <w:rsid w:val="00C5168A"/>
    <w:rsid w:val="00C5412D"/>
    <w:rsid w:val="00C624DD"/>
    <w:rsid w:val="00C71310"/>
    <w:rsid w:val="00C74870"/>
    <w:rsid w:val="00C7680D"/>
    <w:rsid w:val="00C86BC5"/>
    <w:rsid w:val="00C87A6F"/>
    <w:rsid w:val="00CA03B2"/>
    <w:rsid w:val="00CA2811"/>
    <w:rsid w:val="00CA6952"/>
    <w:rsid w:val="00CB0DF8"/>
    <w:rsid w:val="00CC35F8"/>
    <w:rsid w:val="00CC38DD"/>
    <w:rsid w:val="00CC3F5F"/>
    <w:rsid w:val="00CC421C"/>
    <w:rsid w:val="00CC7F93"/>
    <w:rsid w:val="00CD20D6"/>
    <w:rsid w:val="00CD707E"/>
    <w:rsid w:val="00CE5825"/>
    <w:rsid w:val="00CE6A6A"/>
    <w:rsid w:val="00CF3ABD"/>
    <w:rsid w:val="00CF581A"/>
    <w:rsid w:val="00CF606C"/>
    <w:rsid w:val="00D04A5C"/>
    <w:rsid w:val="00D11550"/>
    <w:rsid w:val="00D11641"/>
    <w:rsid w:val="00D1565B"/>
    <w:rsid w:val="00D164DC"/>
    <w:rsid w:val="00D17665"/>
    <w:rsid w:val="00D176E2"/>
    <w:rsid w:val="00D20170"/>
    <w:rsid w:val="00D2237F"/>
    <w:rsid w:val="00D22C7A"/>
    <w:rsid w:val="00D22FA9"/>
    <w:rsid w:val="00D346A9"/>
    <w:rsid w:val="00D47B87"/>
    <w:rsid w:val="00D47FEE"/>
    <w:rsid w:val="00D51426"/>
    <w:rsid w:val="00D52CC9"/>
    <w:rsid w:val="00D61A08"/>
    <w:rsid w:val="00D66372"/>
    <w:rsid w:val="00D75E8B"/>
    <w:rsid w:val="00D86BF2"/>
    <w:rsid w:val="00D906F1"/>
    <w:rsid w:val="00DA1430"/>
    <w:rsid w:val="00DA3D80"/>
    <w:rsid w:val="00DA4C1C"/>
    <w:rsid w:val="00DB0881"/>
    <w:rsid w:val="00DB25FE"/>
    <w:rsid w:val="00DB525D"/>
    <w:rsid w:val="00DB7CF3"/>
    <w:rsid w:val="00DC2BB3"/>
    <w:rsid w:val="00DC4F2F"/>
    <w:rsid w:val="00DC73C6"/>
    <w:rsid w:val="00DD0581"/>
    <w:rsid w:val="00DD1FA5"/>
    <w:rsid w:val="00DD626C"/>
    <w:rsid w:val="00DD6C5C"/>
    <w:rsid w:val="00DE349C"/>
    <w:rsid w:val="00DE36F5"/>
    <w:rsid w:val="00DF1215"/>
    <w:rsid w:val="00DF1376"/>
    <w:rsid w:val="00DF3141"/>
    <w:rsid w:val="00DF69C2"/>
    <w:rsid w:val="00E00879"/>
    <w:rsid w:val="00E03B59"/>
    <w:rsid w:val="00E040A6"/>
    <w:rsid w:val="00E04973"/>
    <w:rsid w:val="00E0565C"/>
    <w:rsid w:val="00E0597F"/>
    <w:rsid w:val="00E16105"/>
    <w:rsid w:val="00E22A48"/>
    <w:rsid w:val="00E25756"/>
    <w:rsid w:val="00E26B0B"/>
    <w:rsid w:val="00E32804"/>
    <w:rsid w:val="00E33E90"/>
    <w:rsid w:val="00E40BA3"/>
    <w:rsid w:val="00E42729"/>
    <w:rsid w:val="00E57B96"/>
    <w:rsid w:val="00E61DF8"/>
    <w:rsid w:val="00E72141"/>
    <w:rsid w:val="00E73E1B"/>
    <w:rsid w:val="00E75CF1"/>
    <w:rsid w:val="00E810AB"/>
    <w:rsid w:val="00E84313"/>
    <w:rsid w:val="00E877C0"/>
    <w:rsid w:val="00E87DC3"/>
    <w:rsid w:val="00E90407"/>
    <w:rsid w:val="00E90537"/>
    <w:rsid w:val="00E95791"/>
    <w:rsid w:val="00E97D29"/>
    <w:rsid w:val="00EA4E46"/>
    <w:rsid w:val="00EA5ABA"/>
    <w:rsid w:val="00EB0AE1"/>
    <w:rsid w:val="00EB1FCC"/>
    <w:rsid w:val="00EB468D"/>
    <w:rsid w:val="00EB570E"/>
    <w:rsid w:val="00EB773A"/>
    <w:rsid w:val="00EC1918"/>
    <w:rsid w:val="00EC63DF"/>
    <w:rsid w:val="00EC718F"/>
    <w:rsid w:val="00ED09E3"/>
    <w:rsid w:val="00ED0C70"/>
    <w:rsid w:val="00ED2679"/>
    <w:rsid w:val="00EF5626"/>
    <w:rsid w:val="00EF5747"/>
    <w:rsid w:val="00EF5A20"/>
    <w:rsid w:val="00F00084"/>
    <w:rsid w:val="00F05816"/>
    <w:rsid w:val="00F06295"/>
    <w:rsid w:val="00F1513B"/>
    <w:rsid w:val="00F26166"/>
    <w:rsid w:val="00F27969"/>
    <w:rsid w:val="00F30F7A"/>
    <w:rsid w:val="00F34FB6"/>
    <w:rsid w:val="00F37852"/>
    <w:rsid w:val="00F41598"/>
    <w:rsid w:val="00F42B1A"/>
    <w:rsid w:val="00F4369C"/>
    <w:rsid w:val="00F57F9C"/>
    <w:rsid w:val="00F63813"/>
    <w:rsid w:val="00F6398F"/>
    <w:rsid w:val="00F6479C"/>
    <w:rsid w:val="00F74D11"/>
    <w:rsid w:val="00F835FF"/>
    <w:rsid w:val="00F856CD"/>
    <w:rsid w:val="00F871E4"/>
    <w:rsid w:val="00F87303"/>
    <w:rsid w:val="00F87D2D"/>
    <w:rsid w:val="00F9289C"/>
    <w:rsid w:val="00F93548"/>
    <w:rsid w:val="00F97930"/>
    <w:rsid w:val="00FA33CE"/>
    <w:rsid w:val="00FA7ED4"/>
    <w:rsid w:val="00FB28B7"/>
    <w:rsid w:val="00FB5E9D"/>
    <w:rsid w:val="00FC1D81"/>
    <w:rsid w:val="00FD04C5"/>
    <w:rsid w:val="00FD27C6"/>
    <w:rsid w:val="00FD3E92"/>
    <w:rsid w:val="00FD564B"/>
    <w:rsid w:val="00FD7F2B"/>
    <w:rsid w:val="00FE1B5A"/>
    <w:rsid w:val="00FE5D7E"/>
    <w:rsid w:val="00FF188B"/>
    <w:rsid w:val="00FF458E"/>
    <w:rsid w:val="00FF68E1"/>
    <w:rsid w:val="00FF7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A884ED"/>
  <w14:defaultImageDpi w14:val="32767"/>
  <w15:chartTrackingRefBased/>
  <w15:docId w15:val="{8C855414-3F62-DA45-82DB-D591BC7C0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E90537"/>
    <w:pPr>
      <w:spacing w:before="120" w:after="120"/>
    </w:pPr>
    <w:rPr>
      <w:rFonts w:ascii="Times New Roman" w:hAnsi="Times New Roman"/>
      <w:color w:val="000000" w:themeColor="text1"/>
    </w:rPr>
  </w:style>
  <w:style w:type="paragraph" w:styleId="Heading1">
    <w:name w:val="heading 1"/>
    <w:basedOn w:val="Normal"/>
    <w:next w:val="Normal"/>
    <w:link w:val="Heading1Char"/>
    <w:uiPriority w:val="9"/>
    <w:qFormat/>
    <w:rsid w:val="005F32B0"/>
    <w:pPr>
      <w:keepNext/>
      <w:keepLines/>
      <w:spacing w:before="24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5F32B0"/>
    <w:pPr>
      <w:keepNext/>
      <w:keepLines/>
      <w:spacing w:before="4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35DF"/>
    <w:pPr>
      <w:tabs>
        <w:tab w:val="center" w:pos="4513"/>
        <w:tab w:val="right" w:pos="9026"/>
      </w:tabs>
    </w:pPr>
  </w:style>
  <w:style w:type="character" w:customStyle="1" w:styleId="HeaderChar">
    <w:name w:val="Header Char"/>
    <w:basedOn w:val="DefaultParagraphFont"/>
    <w:link w:val="Header"/>
    <w:uiPriority w:val="99"/>
    <w:rsid w:val="004F35DF"/>
  </w:style>
  <w:style w:type="paragraph" w:styleId="Footer">
    <w:name w:val="footer"/>
    <w:basedOn w:val="Normal"/>
    <w:link w:val="FooterChar"/>
    <w:uiPriority w:val="99"/>
    <w:unhideWhenUsed/>
    <w:rsid w:val="004F35DF"/>
    <w:pPr>
      <w:tabs>
        <w:tab w:val="center" w:pos="4513"/>
        <w:tab w:val="right" w:pos="9026"/>
      </w:tabs>
    </w:pPr>
  </w:style>
  <w:style w:type="character" w:customStyle="1" w:styleId="FooterChar">
    <w:name w:val="Footer Char"/>
    <w:basedOn w:val="DefaultParagraphFont"/>
    <w:link w:val="Footer"/>
    <w:uiPriority w:val="99"/>
    <w:rsid w:val="004F35DF"/>
  </w:style>
  <w:style w:type="character" w:styleId="PageNumber">
    <w:name w:val="page number"/>
    <w:basedOn w:val="DefaultParagraphFont"/>
    <w:uiPriority w:val="99"/>
    <w:semiHidden/>
    <w:unhideWhenUsed/>
    <w:rsid w:val="002B50A7"/>
  </w:style>
  <w:style w:type="character" w:customStyle="1" w:styleId="Heading2Char">
    <w:name w:val="Heading 2 Char"/>
    <w:basedOn w:val="DefaultParagraphFont"/>
    <w:link w:val="Heading2"/>
    <w:uiPriority w:val="9"/>
    <w:semiHidden/>
    <w:rsid w:val="005F32B0"/>
    <w:rPr>
      <w:rFonts w:ascii="Times New Roman" w:eastAsiaTheme="majorEastAsia" w:hAnsi="Times New Roman" w:cstheme="majorBidi"/>
      <w:color w:val="2F5496" w:themeColor="accent1" w:themeShade="BF"/>
      <w:sz w:val="26"/>
      <w:szCs w:val="26"/>
    </w:rPr>
  </w:style>
  <w:style w:type="paragraph" w:styleId="NoSpacing">
    <w:name w:val="No Spacing"/>
    <w:uiPriority w:val="1"/>
    <w:qFormat/>
    <w:rsid w:val="005F32B0"/>
    <w:rPr>
      <w:rFonts w:ascii="Times New Roman" w:hAnsi="Times New Roman"/>
    </w:rPr>
  </w:style>
  <w:style w:type="character" w:customStyle="1" w:styleId="Heading1Char">
    <w:name w:val="Heading 1 Char"/>
    <w:basedOn w:val="DefaultParagraphFont"/>
    <w:link w:val="Heading1"/>
    <w:uiPriority w:val="9"/>
    <w:rsid w:val="005F32B0"/>
    <w:rPr>
      <w:rFonts w:ascii="Times New Roman" w:eastAsiaTheme="majorEastAsia" w:hAnsi="Times New Roman" w:cstheme="majorBidi"/>
      <w:b/>
      <w:color w:val="2F5496" w:themeColor="accent1" w:themeShade="BF"/>
      <w:sz w:val="32"/>
      <w:szCs w:val="32"/>
    </w:rPr>
  </w:style>
  <w:style w:type="paragraph" w:styleId="Title">
    <w:name w:val="Title"/>
    <w:basedOn w:val="Normal"/>
    <w:next w:val="Normal"/>
    <w:link w:val="TitleChar"/>
    <w:uiPriority w:val="10"/>
    <w:qFormat/>
    <w:rsid w:val="005F32B0"/>
    <w:pPr>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5F32B0"/>
    <w:rPr>
      <w:rFonts w:ascii="Times New Roman" w:eastAsiaTheme="majorEastAsia" w:hAnsi="Times New Roman" w:cstheme="majorBidi"/>
      <w:b/>
      <w:spacing w:val="-10"/>
      <w:kern w:val="28"/>
      <w:sz w:val="56"/>
      <w:szCs w:val="56"/>
    </w:rPr>
  </w:style>
  <w:style w:type="paragraph" w:styleId="Subtitle">
    <w:name w:val="Subtitle"/>
    <w:basedOn w:val="Normal"/>
    <w:next w:val="Normal"/>
    <w:link w:val="SubtitleChar"/>
    <w:uiPriority w:val="11"/>
    <w:qFormat/>
    <w:rsid w:val="005F32B0"/>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5F32B0"/>
    <w:rPr>
      <w:rFonts w:ascii="Times New Roman" w:eastAsiaTheme="minorEastAsia" w:hAnsi="Times New Roman"/>
      <w:color w:val="5A5A5A" w:themeColor="text1" w:themeTint="A5"/>
      <w:spacing w:val="15"/>
      <w:sz w:val="22"/>
      <w:szCs w:val="22"/>
    </w:rPr>
  </w:style>
  <w:style w:type="character" w:styleId="Hyperlink">
    <w:name w:val="Hyperlink"/>
    <w:basedOn w:val="DefaultParagraphFont"/>
    <w:uiPriority w:val="99"/>
    <w:unhideWhenUsed/>
    <w:rsid w:val="00E90537"/>
    <w:rPr>
      <w:color w:val="0563C1" w:themeColor="hyperlink"/>
      <w:u w:val="single"/>
    </w:rPr>
  </w:style>
  <w:style w:type="paragraph" w:styleId="NormalWeb">
    <w:name w:val="Normal (Web)"/>
    <w:basedOn w:val="Normal"/>
    <w:uiPriority w:val="99"/>
    <w:unhideWhenUsed/>
    <w:rsid w:val="005741F9"/>
    <w:pPr>
      <w:spacing w:before="100" w:beforeAutospacing="1" w:after="100" w:afterAutospacing="1"/>
    </w:pPr>
    <w:rPr>
      <w:rFonts w:eastAsia="Times New Roman" w:cs="Times New Roman"/>
      <w:color w:val="auto"/>
    </w:rPr>
  </w:style>
  <w:style w:type="character" w:styleId="UnresolvedMention">
    <w:name w:val="Unresolved Mention"/>
    <w:basedOn w:val="DefaultParagraphFont"/>
    <w:uiPriority w:val="99"/>
    <w:rsid w:val="00BC3FE1"/>
    <w:rPr>
      <w:color w:val="605E5C"/>
      <w:shd w:val="clear" w:color="auto" w:fill="E1DFDD"/>
    </w:rPr>
  </w:style>
  <w:style w:type="character" w:styleId="FollowedHyperlink">
    <w:name w:val="FollowedHyperlink"/>
    <w:basedOn w:val="DefaultParagraphFont"/>
    <w:uiPriority w:val="99"/>
    <w:semiHidden/>
    <w:unhideWhenUsed/>
    <w:rsid w:val="004158C4"/>
    <w:rPr>
      <w:color w:val="954F72" w:themeColor="followedHyperlink"/>
      <w:u w:val="single"/>
    </w:rPr>
  </w:style>
  <w:style w:type="character" w:styleId="Strong">
    <w:name w:val="Strong"/>
    <w:basedOn w:val="DefaultParagraphFont"/>
    <w:uiPriority w:val="22"/>
    <w:qFormat/>
    <w:rsid w:val="007A303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8181908">
      <w:bodyDiv w:val="1"/>
      <w:marLeft w:val="0"/>
      <w:marRight w:val="0"/>
      <w:marTop w:val="0"/>
      <w:marBottom w:val="0"/>
      <w:divBdr>
        <w:top w:val="none" w:sz="0" w:space="0" w:color="auto"/>
        <w:left w:val="none" w:sz="0" w:space="0" w:color="auto"/>
        <w:bottom w:val="none" w:sz="0" w:space="0" w:color="auto"/>
        <w:right w:val="none" w:sz="0" w:space="0" w:color="auto"/>
      </w:divBdr>
      <w:divsChild>
        <w:div w:id="1908758610">
          <w:marLeft w:val="0"/>
          <w:marRight w:val="0"/>
          <w:marTop w:val="0"/>
          <w:marBottom w:val="0"/>
          <w:divBdr>
            <w:top w:val="none" w:sz="0" w:space="0" w:color="auto"/>
            <w:left w:val="none" w:sz="0" w:space="0" w:color="auto"/>
            <w:bottom w:val="none" w:sz="0" w:space="0" w:color="auto"/>
            <w:right w:val="none" w:sz="0" w:space="0" w:color="auto"/>
          </w:divBdr>
          <w:divsChild>
            <w:div w:id="1189563884">
              <w:marLeft w:val="0"/>
              <w:marRight w:val="0"/>
              <w:marTop w:val="0"/>
              <w:marBottom w:val="0"/>
              <w:divBdr>
                <w:top w:val="none" w:sz="0" w:space="0" w:color="auto"/>
                <w:left w:val="none" w:sz="0" w:space="0" w:color="auto"/>
                <w:bottom w:val="none" w:sz="0" w:space="0" w:color="auto"/>
                <w:right w:val="none" w:sz="0" w:space="0" w:color="auto"/>
              </w:divBdr>
              <w:divsChild>
                <w:div w:id="1891569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0456817">
      <w:bodyDiv w:val="1"/>
      <w:marLeft w:val="0"/>
      <w:marRight w:val="0"/>
      <w:marTop w:val="0"/>
      <w:marBottom w:val="0"/>
      <w:divBdr>
        <w:top w:val="none" w:sz="0" w:space="0" w:color="auto"/>
        <w:left w:val="none" w:sz="0" w:space="0" w:color="auto"/>
        <w:bottom w:val="none" w:sz="0" w:space="0" w:color="auto"/>
        <w:right w:val="none" w:sz="0" w:space="0" w:color="auto"/>
      </w:divBdr>
      <w:divsChild>
        <w:div w:id="62141389">
          <w:marLeft w:val="0"/>
          <w:marRight w:val="0"/>
          <w:marTop w:val="0"/>
          <w:marBottom w:val="0"/>
          <w:divBdr>
            <w:top w:val="none" w:sz="0" w:space="0" w:color="auto"/>
            <w:left w:val="none" w:sz="0" w:space="0" w:color="auto"/>
            <w:bottom w:val="none" w:sz="0" w:space="0" w:color="auto"/>
            <w:right w:val="none" w:sz="0" w:space="0" w:color="auto"/>
          </w:divBdr>
          <w:divsChild>
            <w:div w:id="29687841">
              <w:marLeft w:val="0"/>
              <w:marRight w:val="0"/>
              <w:marTop w:val="0"/>
              <w:marBottom w:val="0"/>
              <w:divBdr>
                <w:top w:val="none" w:sz="0" w:space="0" w:color="auto"/>
                <w:left w:val="none" w:sz="0" w:space="0" w:color="auto"/>
                <w:bottom w:val="none" w:sz="0" w:space="0" w:color="auto"/>
                <w:right w:val="none" w:sz="0" w:space="0" w:color="auto"/>
              </w:divBdr>
              <w:divsChild>
                <w:div w:id="830220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9608409">
      <w:bodyDiv w:val="1"/>
      <w:marLeft w:val="0"/>
      <w:marRight w:val="0"/>
      <w:marTop w:val="0"/>
      <w:marBottom w:val="0"/>
      <w:divBdr>
        <w:top w:val="none" w:sz="0" w:space="0" w:color="auto"/>
        <w:left w:val="none" w:sz="0" w:space="0" w:color="auto"/>
        <w:bottom w:val="none" w:sz="0" w:space="0" w:color="auto"/>
        <w:right w:val="none" w:sz="0" w:space="0" w:color="auto"/>
      </w:divBdr>
      <w:divsChild>
        <w:div w:id="1321347495">
          <w:marLeft w:val="0"/>
          <w:marRight w:val="0"/>
          <w:marTop w:val="0"/>
          <w:marBottom w:val="0"/>
          <w:divBdr>
            <w:top w:val="none" w:sz="0" w:space="0" w:color="auto"/>
            <w:left w:val="none" w:sz="0" w:space="0" w:color="auto"/>
            <w:bottom w:val="none" w:sz="0" w:space="0" w:color="auto"/>
            <w:right w:val="none" w:sz="0" w:space="0" w:color="auto"/>
          </w:divBdr>
          <w:divsChild>
            <w:div w:id="1696542552">
              <w:marLeft w:val="0"/>
              <w:marRight w:val="0"/>
              <w:marTop w:val="0"/>
              <w:marBottom w:val="0"/>
              <w:divBdr>
                <w:top w:val="none" w:sz="0" w:space="0" w:color="auto"/>
                <w:left w:val="none" w:sz="0" w:space="0" w:color="auto"/>
                <w:bottom w:val="none" w:sz="0" w:space="0" w:color="auto"/>
                <w:right w:val="none" w:sz="0" w:space="0" w:color="auto"/>
              </w:divBdr>
              <w:divsChild>
                <w:div w:id="524442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wb.gov.wales/storage/b447d1fe-5463-4382-9726-e68623a05dd2/assessment-for-learning-and-the-national-literacy-and-numeracy-framework.pdf" TargetMode="External"/><Relationship Id="rId18" Type="http://schemas.openxmlformats.org/officeDocument/2006/relationships/hyperlink" Target="https://www.estyn.gov.wales/sites/www.estyn.gov.wales/files/documents/ESTYN_Annual%20Report_Accessible_English__2018.pdf" TargetMode="External"/><Relationship Id="rId26" Type="http://schemas.openxmlformats.org/officeDocument/2006/relationships/hyperlink" Target="http://citeseerx.ist.psu.edu/viewdoc/download?doi=10.1.1.721.7096&amp;rep=rep1&amp;type=pdf" TargetMode="External"/><Relationship Id="rId3" Type="http://schemas.openxmlformats.org/officeDocument/2006/relationships/settings" Target="settings.xml"/><Relationship Id="rId21" Type="http://schemas.openxmlformats.org/officeDocument/2006/relationships/hyperlink" Target="https://files.eric.ed.gov/fulltext/ED448455.pdf"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gov.wales/sites/default/files/publications/2018-03/requirements-for-initial-school-teacher-training-courses-at-higher-education-institutions-in-wales.pdf" TargetMode="External"/><Relationship Id="rId17" Type="http://schemas.openxmlformats.org/officeDocument/2006/relationships/hyperlink" Target="https://www.estyn.gov.wales/sites/www.estyn.gov.wales/files/documents/Estyn%20Active%20and%20experiential%20learning_E_Accessible_1.pdf" TargetMode="External"/><Relationship Id="rId25" Type="http://schemas.openxmlformats.org/officeDocument/2006/relationships/hyperlink" Target="https://www.econstor.eu/bitstream/10419/38928/1/630874581.pdf" TargetMode="External"/><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hwb.gov.wales/storage/337437b8-cfe3-4305-ae32-f47ad82f3e76/digital-competence-framework-guidance-2018.pdf" TargetMode="External"/><Relationship Id="rId20" Type="http://schemas.openxmlformats.org/officeDocument/2006/relationships/hyperlink" Target="https://hwb.gov.wales/draft-curriculum-for-wales-2022/assessment-and-evaluation-framework/assessment-proposals/" TargetMode="External"/><Relationship Id="rId29" Type="http://schemas.openxmlformats.org/officeDocument/2006/relationships/hyperlink" Target="https://hwb.gov.wales/storage/19bc948b-8a3f-41e0-944a-7bf2cadf7d18/professional-standards-for-teaching-and-leadership-interactive-pdf-for-pc.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files.eric.ed.gov/fulltext/ED340683.pdf" TargetMode="External"/><Relationship Id="rId24" Type="http://schemas.openxmlformats.org/officeDocument/2006/relationships/hyperlink" Target="https://telearn.archives-ouvertes.fr/file/index/docid/197394/filename/Mellar-Harvey-2004.pdf"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pdfs.semanticscholar.org/8501/b17d47d1b365fc75c0acb949a04e2d1aae88.pdf" TargetMode="External"/><Relationship Id="rId23" Type="http://schemas.openxmlformats.org/officeDocument/2006/relationships/hyperlink" Target="https://www.google.com/url?sa=t&amp;rct=j&amp;q=&amp;esrc=s&amp;source=web&amp;cd=2&amp;ved=2ahUKEwiO5u2sranmAhUNbcAKHcwBDpMQFjABegQIARAC&amp;url=https%3A%2F%2Fapi.excellencegateway.org.uk%2Fresource%2Fimport-pdf%3A2172&amp;usg=AOvVaw0YQdx4SZC4rqZcYmhgaVz3" TargetMode="External"/><Relationship Id="rId28" Type="http://schemas.openxmlformats.org/officeDocument/2006/relationships/hyperlink" Target="https://hwb.gov.wales/storage/a625428e-9359-4981-a5a0-5accbc506b9d/literacy-and-numeracy-your-questions-answered.pdf" TargetMode="External"/><Relationship Id="rId10" Type="http://schemas.openxmlformats.org/officeDocument/2006/relationships/hyperlink" Target="https://files.eric.ed.gov/fulltext/ED473579.pdf" TargetMode="External"/><Relationship Id="rId19" Type="http://schemas.openxmlformats.org/officeDocument/2006/relationships/hyperlink" Target="https://www.estyn.gov.wales/effective-practice/preparing-implement-new-curriculum-through-involving-pupils"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books.google.co.uk/books?hl=en&amp;lr=&amp;id=piKJCwAAQBAJ&amp;oi=fnd&amp;pg=PP1&amp;dq=cross-curricular+learning&amp;ots=Ve0OJFWizp&amp;sig=4tUmJAZDLM1RQfbIaORcTVisQS0" TargetMode="External"/><Relationship Id="rId14" Type="http://schemas.openxmlformats.org/officeDocument/2006/relationships/hyperlink" Target="http://gov.wales/docs/dcells/publications/150317-successful-futures-en.pdf" TargetMode="External"/><Relationship Id="rId22" Type="http://schemas.openxmlformats.org/officeDocument/2006/relationships/hyperlink" Target="http://www.show-me-wow.com/a-thematic-approach/" TargetMode="External"/><Relationship Id="rId27" Type="http://schemas.openxmlformats.org/officeDocument/2006/relationships/hyperlink" Target="https://digital-competence.eu" TargetMode="External"/><Relationship Id="rId30" Type="http://schemas.openxmlformats.org/officeDocument/2006/relationships/hyperlink" Target="https://www.weforum.org/agenda/2016/03/21st-century-skills-future-jobs-students/" TargetMode="External"/><Relationship Id="rId35" Type="http://schemas.openxmlformats.org/officeDocument/2006/relationships/theme" Target="theme/theme1.xml"/><Relationship Id="rId8" Type="http://schemas.openxmlformats.org/officeDocument/2006/relationships/hyperlink" Target="https://reader.elsevier.com/reader/sd/pii/S0960982209021332?token=F9B92B803813E97FF558818A7E8307B3EFC6CF9B19575AB9A8AA4037935CC1EB1385A512936BBD0E70B7E7009038E1C2"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morganbutcher/Library/Group%20Containers/UBF8T346G9.Office/User%20Content.localized/Templates.localized/Morgan's%20Template%20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D8F560-ADFC-5149-B7D5-BAD8615CE7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Morgan's Template 2.dotx</Template>
  <TotalTime>1449</TotalTime>
  <Pages>14</Pages>
  <Words>4587</Words>
  <Characters>26146</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Butcher (1701568)</dc:creator>
  <cp:keywords/>
  <dc:description/>
  <cp:lastModifiedBy>Morgan Butcher (1701568)</cp:lastModifiedBy>
  <cp:revision>441</cp:revision>
  <dcterms:created xsi:type="dcterms:W3CDTF">2019-11-17T12:06:00Z</dcterms:created>
  <dcterms:modified xsi:type="dcterms:W3CDTF">2019-12-10T19:36:00Z</dcterms:modified>
</cp:coreProperties>
</file>