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10BC" w:rsidRDefault="00D610BC"/>
    <w:tbl>
      <w:tblPr>
        <w:tblStyle w:val="TableGrid"/>
        <w:tblpPr w:leftFromText="141" w:rightFromText="141" w:vertAnchor="text" w:horzAnchor="margin" w:tblpXSpec="center" w:tblpY="392"/>
        <w:tblW w:w="10490" w:type="dxa"/>
        <w:tblInd w:w="0" w:type="dxa"/>
        <w:tblCellMar>
          <w:top w:w="11" w:type="dxa"/>
          <w:left w:w="108" w:type="dxa"/>
          <w:right w:w="115" w:type="dxa"/>
        </w:tblCellMar>
        <w:tblLook w:val="04A0" w:firstRow="1" w:lastRow="0" w:firstColumn="1" w:lastColumn="0" w:noHBand="0" w:noVBand="1"/>
      </w:tblPr>
      <w:tblGrid>
        <w:gridCol w:w="10490"/>
      </w:tblGrid>
      <w:tr w:rsidR="00D610BC" w:rsidTr="00D610BC">
        <w:trPr>
          <w:trHeight w:val="541"/>
        </w:trPr>
        <w:tc>
          <w:tcPr>
            <w:tcW w:w="10490" w:type="dxa"/>
            <w:tcBorders>
              <w:top w:val="single" w:sz="6" w:space="0" w:color="000000"/>
              <w:left w:val="single" w:sz="4" w:space="0" w:color="000000"/>
              <w:bottom w:val="single" w:sz="4" w:space="0" w:color="000000"/>
              <w:right w:val="single" w:sz="4" w:space="0" w:color="000000"/>
            </w:tcBorders>
          </w:tcPr>
          <w:p w:rsidR="00D610BC" w:rsidRPr="00D45B53" w:rsidRDefault="00D610BC" w:rsidP="007C769C">
            <w:pPr>
              <w:rPr>
                <w:rFonts w:ascii="Times New Roman" w:hAnsi="Times New Roman" w:cs="Times New Roman"/>
                <w:b/>
                <w:sz w:val="24"/>
                <w:szCs w:val="24"/>
                <w:lang w:val="en-US"/>
              </w:rPr>
            </w:pPr>
            <w:r w:rsidRPr="00D45B53">
              <w:rPr>
                <w:rFonts w:ascii="Times New Roman" w:hAnsi="Times New Roman" w:cs="Times New Roman"/>
                <w:b/>
                <w:sz w:val="24"/>
                <w:szCs w:val="24"/>
                <w:lang w:val="en-US"/>
              </w:rPr>
              <w:t>Title</w:t>
            </w:r>
          </w:p>
          <w:p w:rsidR="00D610BC" w:rsidRPr="00D610BC" w:rsidRDefault="00D610BC" w:rsidP="00D45B53">
            <w:pPr>
              <w:rPr>
                <w:rFonts w:ascii="Times New Roman" w:hAnsi="Times New Roman" w:cs="Times New Roman"/>
                <w:sz w:val="24"/>
                <w:szCs w:val="24"/>
                <w:lang w:val="en-US"/>
              </w:rPr>
            </w:pPr>
            <w:r w:rsidRPr="00D45B53">
              <w:rPr>
                <w:rFonts w:ascii="Times New Roman" w:hAnsi="Times New Roman" w:cs="Times New Roman"/>
                <w:sz w:val="24"/>
                <w:szCs w:val="24"/>
                <w:lang w:val="en-US"/>
              </w:rPr>
              <w:t>“</w:t>
            </w:r>
            <w:r w:rsidR="00D45B53" w:rsidRPr="00D45B53">
              <w:rPr>
                <w:rFonts w:ascii="Times New Roman" w:hAnsi="Times New Roman" w:cs="Times New Roman"/>
                <w:sz w:val="24"/>
                <w:szCs w:val="24"/>
              </w:rPr>
              <w:t xml:space="preserve"> </w:t>
            </w:r>
            <w:r w:rsidR="00D45B53" w:rsidRPr="00D45B53">
              <w:rPr>
                <w:rFonts w:ascii="Times New Roman" w:hAnsi="Times New Roman" w:cs="Times New Roman"/>
                <w:sz w:val="24"/>
                <w:szCs w:val="24"/>
                <w:lang w:val="en-US"/>
              </w:rPr>
              <w:t xml:space="preserve">Cook, eat, chill and feel”- a mobile app campaign using the </w:t>
            </w:r>
            <w:r w:rsidR="00D45B53" w:rsidRPr="00D45B53">
              <w:rPr>
                <w:rFonts w:ascii="Times New Roman" w:hAnsi="Times New Roman" w:cs="Times New Roman"/>
                <w:sz w:val="24"/>
                <w:szCs w:val="24"/>
                <w:lang w:val="en"/>
              </w:rPr>
              <w:t xml:space="preserve"> </w:t>
            </w:r>
            <w:r w:rsidR="00D45B53" w:rsidRPr="00D45B53">
              <w:rPr>
                <w:rStyle w:val="tlid-translation"/>
                <w:rFonts w:ascii="Times New Roman" w:hAnsi="Times New Roman" w:cs="Times New Roman"/>
                <w:sz w:val="24"/>
                <w:szCs w:val="24"/>
                <w:lang w:val="en"/>
              </w:rPr>
              <w:t>theoretical</w:t>
            </w:r>
            <w:r w:rsidR="00D45B53" w:rsidRPr="00D45B53">
              <w:rPr>
                <w:rFonts w:ascii="Times New Roman" w:hAnsi="Times New Roman" w:cs="Times New Roman"/>
                <w:sz w:val="24"/>
                <w:szCs w:val="24"/>
                <w:lang w:val="en-US"/>
              </w:rPr>
              <w:t xml:space="preserve">  frame work of Theory of Planed Behavior</w:t>
            </w:r>
            <w:r w:rsidR="00D45B53">
              <w:rPr>
                <w:rFonts w:ascii="Times New Roman" w:hAnsi="Times New Roman" w:cs="Times New Roman"/>
                <w:sz w:val="24"/>
                <w:szCs w:val="24"/>
                <w:lang w:val="en-US"/>
              </w:rPr>
              <w:t xml:space="preserve"> </w:t>
            </w:r>
          </w:p>
        </w:tc>
      </w:tr>
    </w:tbl>
    <w:p w:rsidR="00D610BC" w:rsidRDefault="00D610BC"/>
    <w:tbl>
      <w:tblPr>
        <w:tblStyle w:val="TableGrid"/>
        <w:tblpPr w:leftFromText="141" w:rightFromText="141" w:vertAnchor="text" w:horzAnchor="margin" w:tblpXSpec="center" w:tblpY="392"/>
        <w:tblW w:w="10490" w:type="dxa"/>
        <w:tblInd w:w="0" w:type="dxa"/>
        <w:tblCellMar>
          <w:top w:w="11" w:type="dxa"/>
          <w:left w:w="108" w:type="dxa"/>
          <w:right w:w="115" w:type="dxa"/>
        </w:tblCellMar>
        <w:tblLook w:val="04A0" w:firstRow="1" w:lastRow="0" w:firstColumn="1" w:lastColumn="0" w:noHBand="0" w:noVBand="1"/>
      </w:tblPr>
      <w:tblGrid>
        <w:gridCol w:w="10490"/>
      </w:tblGrid>
      <w:tr w:rsidR="00D610BC" w:rsidRPr="000E6AE3" w:rsidTr="007C769C">
        <w:trPr>
          <w:trHeight w:val="14149"/>
        </w:trPr>
        <w:tc>
          <w:tcPr>
            <w:tcW w:w="10490" w:type="dxa"/>
            <w:tcBorders>
              <w:top w:val="single" w:sz="6" w:space="0" w:color="000000"/>
              <w:left w:val="single" w:sz="4" w:space="0" w:color="000000"/>
              <w:bottom w:val="single" w:sz="4" w:space="0" w:color="000000"/>
              <w:right w:val="single" w:sz="4" w:space="0" w:color="000000"/>
            </w:tcBorders>
          </w:tcPr>
          <w:p w:rsidR="00D610BC" w:rsidRPr="000E6AE3" w:rsidRDefault="00D610BC" w:rsidP="007C769C">
            <w:pPr>
              <w:spacing w:after="191"/>
              <w:rPr>
                <w:rFonts w:ascii="Times New Roman" w:hAnsi="Times New Roman" w:cs="Times New Roman"/>
                <w:sz w:val="24"/>
                <w:szCs w:val="24"/>
              </w:rPr>
            </w:pPr>
            <w:r w:rsidRPr="000E6AE3">
              <w:rPr>
                <w:rFonts w:ascii="Times New Roman" w:eastAsia="Arial" w:hAnsi="Times New Roman" w:cs="Times New Roman"/>
                <w:b/>
                <w:sz w:val="24"/>
                <w:szCs w:val="24"/>
              </w:rPr>
              <w:lastRenderedPageBreak/>
              <w:t xml:space="preserve">Background </w:t>
            </w:r>
            <w:r w:rsidRPr="000E6AE3">
              <w:rPr>
                <w:rFonts w:ascii="Times New Roman" w:eastAsia="Arial" w:hAnsi="Times New Roman" w:cs="Times New Roman"/>
                <w:sz w:val="24"/>
                <w:szCs w:val="24"/>
              </w:rPr>
              <w:t xml:space="preserve"> </w:t>
            </w:r>
          </w:p>
          <w:p w:rsidR="0079648E" w:rsidRPr="00190754" w:rsidRDefault="0079648E" w:rsidP="0079648E">
            <w:pPr>
              <w:rPr>
                <w:rFonts w:ascii="Times New Roman" w:hAnsi="Times New Roman" w:cs="Times New Roman"/>
                <w:sz w:val="24"/>
                <w:szCs w:val="24"/>
                <w:lang w:val="en-US"/>
              </w:rPr>
            </w:pPr>
            <w:r w:rsidRPr="00190754">
              <w:rPr>
                <w:rFonts w:ascii="Times New Roman" w:hAnsi="Times New Roman" w:cs="Times New Roman"/>
                <w:sz w:val="24"/>
                <w:szCs w:val="24"/>
              </w:rPr>
              <w:t>Noncommunicable diseases (NCDs)</w:t>
            </w:r>
            <w:r w:rsidRPr="00190754">
              <w:rPr>
                <w:rFonts w:ascii="Times New Roman" w:hAnsi="Times New Roman" w:cs="Times New Roman"/>
                <w:sz w:val="24"/>
                <w:szCs w:val="24"/>
                <w:lang w:val="en-US"/>
              </w:rPr>
              <w:t xml:space="preserve">, such as cardiovascular diseases, cancer, respiratory diseases and diabetes are response for the 63 % of deaths worldwide ( WHO, 2013).  Out of them unhealthy dietary behavior has become the major preventable risk factor in the </w:t>
            </w:r>
            <w:r w:rsidRPr="00190754">
              <w:rPr>
                <w:rStyle w:val="tlid-translation"/>
                <w:rFonts w:ascii="Times New Roman" w:hAnsi="Times New Roman" w:cs="Times New Roman"/>
                <w:sz w:val="24"/>
                <w:szCs w:val="24"/>
                <w:lang w:val="en"/>
              </w:rPr>
              <w:t>development of diseases around the globe (</w:t>
            </w:r>
            <w:r w:rsidRPr="00190754">
              <w:rPr>
                <w:rFonts w:ascii="Times New Roman" w:hAnsi="Times New Roman" w:cs="Times New Roman"/>
                <w:sz w:val="24"/>
                <w:szCs w:val="24"/>
              </w:rPr>
              <w:t>Lee</w:t>
            </w:r>
            <w:r w:rsidRPr="00190754">
              <w:rPr>
                <w:rFonts w:ascii="Times New Roman" w:hAnsi="Times New Roman" w:cs="Times New Roman"/>
                <w:sz w:val="24"/>
                <w:szCs w:val="24"/>
                <w:lang w:val="en-US"/>
              </w:rPr>
              <w:t xml:space="preserve"> et al., 2010).  In the UK approximately 30% of the population between the age of 16 and 24 are considered to be obeys or overweight, with this presented steadily increasing in subsequent age groups – 60% for people between 35-44 years of age (CRU, 2015).  This drastic increase can be suggestive for the need of establishing healthy dietary behavior from a younger age in order to combat preventable health conditions. In fact, increase in weight during young adulthood has been shown to a significant predictor of obesity in later point in life (</w:t>
            </w:r>
            <w:r w:rsidRPr="00190754">
              <w:rPr>
                <w:rFonts w:ascii="Times New Roman" w:hAnsi="Times New Roman" w:cs="Times New Roman"/>
                <w:sz w:val="24"/>
                <w:szCs w:val="24"/>
              </w:rPr>
              <w:t>Guo</w:t>
            </w:r>
            <w:r w:rsidRPr="00190754">
              <w:rPr>
                <w:rFonts w:ascii="Times New Roman" w:hAnsi="Times New Roman" w:cs="Times New Roman"/>
                <w:sz w:val="24"/>
                <w:szCs w:val="24"/>
                <w:lang w:val="en-US"/>
              </w:rPr>
              <w:t xml:space="preserve"> et al., 2000). This should be especially true for individuals who move any from home in pursuit of higher education. Indeed weight gain has been observed in first year of university students</w:t>
            </w:r>
            <w:r w:rsidRPr="00190754">
              <w:rPr>
                <w:rFonts w:ascii="Times New Roman" w:hAnsi="Times New Roman" w:cs="Times New Roman"/>
                <w:sz w:val="24"/>
                <w:szCs w:val="24"/>
              </w:rPr>
              <w:t xml:space="preserve"> </w:t>
            </w:r>
            <w:r w:rsidRPr="00190754">
              <w:rPr>
                <w:rFonts w:ascii="Times New Roman" w:hAnsi="Times New Roman" w:cs="Times New Roman"/>
                <w:sz w:val="24"/>
                <w:szCs w:val="24"/>
                <w:lang w:val="en-US"/>
              </w:rPr>
              <w:t>(</w:t>
            </w:r>
            <w:r w:rsidRPr="00190754">
              <w:rPr>
                <w:rFonts w:ascii="Times New Roman" w:hAnsi="Times New Roman" w:cs="Times New Roman"/>
                <w:sz w:val="24"/>
                <w:szCs w:val="24"/>
              </w:rPr>
              <w:t>Sprake</w:t>
            </w:r>
            <w:r w:rsidRPr="00190754">
              <w:rPr>
                <w:rFonts w:ascii="Times New Roman" w:hAnsi="Times New Roman" w:cs="Times New Roman"/>
                <w:sz w:val="24"/>
                <w:szCs w:val="24"/>
                <w:lang w:val="en-US"/>
              </w:rPr>
              <w:t xml:space="preserve"> et al., 2018). It is suggested that the formation unhealthy eating habits in this period can have a negative effect to eating behavior in later stages in their lives (</w:t>
            </w:r>
            <w:r w:rsidRPr="00190754">
              <w:rPr>
                <w:rFonts w:ascii="Times New Roman" w:hAnsi="Times New Roman" w:cs="Times New Roman"/>
                <w:sz w:val="24"/>
                <w:szCs w:val="24"/>
              </w:rPr>
              <w:t>Sprake</w:t>
            </w:r>
            <w:r w:rsidRPr="00190754">
              <w:rPr>
                <w:rFonts w:ascii="Times New Roman" w:hAnsi="Times New Roman" w:cs="Times New Roman"/>
                <w:sz w:val="24"/>
                <w:szCs w:val="24"/>
                <w:lang w:val="en-US"/>
              </w:rPr>
              <w:t xml:space="preserve"> et al., 2018; </w:t>
            </w:r>
            <w:r w:rsidRPr="00190754">
              <w:rPr>
                <w:rFonts w:ascii="Times New Roman" w:hAnsi="Times New Roman" w:cs="Times New Roman"/>
                <w:sz w:val="24"/>
                <w:szCs w:val="24"/>
              </w:rPr>
              <w:t>Deliens</w:t>
            </w:r>
            <w:r w:rsidRPr="00190754">
              <w:rPr>
                <w:rFonts w:ascii="Times New Roman" w:hAnsi="Times New Roman" w:cs="Times New Roman"/>
                <w:sz w:val="24"/>
                <w:szCs w:val="24"/>
                <w:lang w:val="en-US"/>
              </w:rPr>
              <w:t xml:space="preserve"> et al., 2014).  UK students are reported not to meet the recommended minimum intake of five portions of fruit and vegetables (</w:t>
            </w:r>
            <w:proofErr w:type="spellStart"/>
            <w:r w:rsidRPr="00190754">
              <w:rPr>
                <w:rFonts w:ascii="Times New Roman" w:hAnsi="Times New Roman" w:cs="Times New Roman"/>
                <w:sz w:val="24"/>
                <w:szCs w:val="24"/>
                <w:lang w:val="en-US"/>
              </w:rPr>
              <w:t>Tanton</w:t>
            </w:r>
            <w:proofErr w:type="spellEnd"/>
            <w:r w:rsidRPr="00190754">
              <w:rPr>
                <w:rFonts w:ascii="Times New Roman" w:hAnsi="Times New Roman" w:cs="Times New Roman"/>
                <w:sz w:val="24"/>
                <w:szCs w:val="24"/>
                <w:lang w:val="en-US"/>
              </w:rPr>
              <w:t>, 2015).On the other hand, a large proportion of students report a substantial consumption of fast foods, snack foods, and convenience foods (D</w:t>
            </w:r>
            <w:r w:rsidRPr="00190754">
              <w:rPr>
                <w:rFonts w:ascii="Times New Roman" w:hAnsi="Times New Roman" w:cs="Times New Roman"/>
                <w:sz w:val="24"/>
                <w:szCs w:val="24"/>
              </w:rPr>
              <w:t>evine</w:t>
            </w:r>
            <w:r w:rsidRPr="00190754">
              <w:rPr>
                <w:rFonts w:ascii="Times New Roman" w:hAnsi="Times New Roman" w:cs="Times New Roman"/>
                <w:sz w:val="24"/>
                <w:szCs w:val="24"/>
                <w:lang w:val="en-US"/>
              </w:rPr>
              <w:t xml:space="preserve"> et al., 2006;</w:t>
            </w:r>
            <w:r w:rsidRPr="00190754">
              <w:rPr>
                <w:rFonts w:ascii="Times New Roman" w:hAnsi="Times New Roman" w:cs="Times New Roman"/>
                <w:sz w:val="24"/>
                <w:szCs w:val="24"/>
              </w:rPr>
              <w:t xml:space="preserve"> </w:t>
            </w:r>
            <w:proofErr w:type="spellStart"/>
            <w:r w:rsidRPr="00190754">
              <w:rPr>
                <w:rFonts w:ascii="Times New Roman" w:hAnsi="Times New Roman" w:cs="Times New Roman"/>
                <w:sz w:val="24"/>
                <w:szCs w:val="24"/>
                <w:lang w:val="en-US"/>
              </w:rPr>
              <w:t>Tanton</w:t>
            </w:r>
            <w:proofErr w:type="spellEnd"/>
            <w:r w:rsidRPr="00190754">
              <w:rPr>
                <w:rFonts w:ascii="Times New Roman" w:hAnsi="Times New Roman" w:cs="Times New Roman"/>
                <w:sz w:val="24"/>
                <w:szCs w:val="24"/>
                <w:lang w:val="en-US"/>
              </w:rPr>
              <w:t xml:space="preserve"> et al, 2015 as cited in </w:t>
            </w:r>
            <w:r w:rsidRPr="00190754">
              <w:rPr>
                <w:rFonts w:ascii="Times New Roman" w:hAnsi="Times New Roman" w:cs="Times New Roman"/>
                <w:sz w:val="24"/>
                <w:szCs w:val="24"/>
              </w:rPr>
              <w:t>Sprake</w:t>
            </w:r>
            <w:r w:rsidRPr="00190754">
              <w:rPr>
                <w:rFonts w:ascii="Times New Roman" w:hAnsi="Times New Roman" w:cs="Times New Roman"/>
                <w:sz w:val="24"/>
                <w:szCs w:val="24"/>
                <w:lang w:val="en-US"/>
              </w:rPr>
              <w:t xml:space="preserve"> et al., 2018). Even though evidence about university students dietary behavior are relatively </w:t>
            </w:r>
            <w:r w:rsidR="00190754">
              <w:rPr>
                <w:rFonts w:ascii="Times New Roman" w:hAnsi="Times New Roman" w:cs="Times New Roman"/>
                <w:sz w:val="24"/>
                <w:szCs w:val="24"/>
                <w:lang w:val="en-US"/>
              </w:rPr>
              <w:t>few</w:t>
            </w:r>
            <w:r w:rsidRPr="00190754">
              <w:rPr>
                <w:rFonts w:ascii="Times New Roman" w:hAnsi="Times New Roman" w:cs="Times New Roman"/>
                <w:sz w:val="24"/>
                <w:szCs w:val="24"/>
                <w:lang w:val="en-US"/>
              </w:rPr>
              <w:t>, those habits are generally consistent with previous data gathered across globe (</w:t>
            </w:r>
            <w:r w:rsidRPr="00190754">
              <w:rPr>
                <w:rFonts w:ascii="Times New Roman" w:hAnsi="Times New Roman" w:cs="Times New Roman"/>
                <w:sz w:val="24"/>
                <w:szCs w:val="24"/>
              </w:rPr>
              <w:t>Deliens</w:t>
            </w:r>
            <w:r w:rsidRPr="00190754">
              <w:rPr>
                <w:rFonts w:ascii="Times New Roman" w:hAnsi="Times New Roman" w:cs="Times New Roman"/>
                <w:sz w:val="24"/>
                <w:szCs w:val="24"/>
                <w:lang w:val="en-US"/>
              </w:rPr>
              <w:t xml:space="preserve"> et al., 2014; D</w:t>
            </w:r>
            <w:r w:rsidRPr="00190754">
              <w:rPr>
                <w:rFonts w:ascii="Times New Roman" w:hAnsi="Times New Roman" w:cs="Times New Roman"/>
                <w:sz w:val="24"/>
                <w:szCs w:val="24"/>
              </w:rPr>
              <w:t>evine</w:t>
            </w:r>
            <w:r w:rsidRPr="00190754">
              <w:rPr>
                <w:rFonts w:ascii="Times New Roman" w:hAnsi="Times New Roman" w:cs="Times New Roman"/>
                <w:sz w:val="24"/>
                <w:szCs w:val="24"/>
                <w:lang w:val="en-US"/>
              </w:rPr>
              <w:t xml:space="preserve"> et al., 2006; </w:t>
            </w:r>
            <w:r w:rsidRPr="00190754">
              <w:rPr>
                <w:rFonts w:ascii="Times New Roman" w:hAnsi="Times New Roman" w:cs="Times New Roman"/>
                <w:sz w:val="24"/>
                <w:szCs w:val="24"/>
              </w:rPr>
              <w:t>Dodd</w:t>
            </w:r>
            <w:r w:rsidRPr="00190754">
              <w:rPr>
                <w:rFonts w:ascii="Times New Roman" w:hAnsi="Times New Roman" w:cs="Times New Roman"/>
                <w:sz w:val="24"/>
                <w:szCs w:val="24"/>
                <w:lang w:val="en-US"/>
              </w:rPr>
              <w:t xml:space="preserve"> et al., 2006; </w:t>
            </w:r>
            <w:r w:rsidRPr="00190754">
              <w:rPr>
                <w:rFonts w:ascii="Times New Roman" w:hAnsi="Times New Roman" w:cs="Times New Roman"/>
                <w:sz w:val="24"/>
                <w:szCs w:val="24"/>
              </w:rPr>
              <w:t>Li</w:t>
            </w:r>
            <w:r w:rsidRPr="00190754">
              <w:rPr>
                <w:rFonts w:ascii="Times New Roman" w:hAnsi="Times New Roman" w:cs="Times New Roman"/>
                <w:sz w:val="24"/>
                <w:szCs w:val="24"/>
                <w:lang w:val="en-US"/>
              </w:rPr>
              <w:t xml:space="preserve"> et al ., 2012).  Approximately half of the young adults in Britain attend </w:t>
            </w:r>
            <w:r w:rsidR="00190754" w:rsidRPr="00190754">
              <w:rPr>
                <w:rFonts w:ascii="Times New Roman" w:hAnsi="Times New Roman" w:cs="Times New Roman"/>
                <w:sz w:val="24"/>
                <w:szCs w:val="24"/>
                <w:lang w:val="en-US"/>
              </w:rPr>
              <w:t>university (</w:t>
            </w:r>
            <w:r w:rsidRPr="00190754">
              <w:rPr>
                <w:rFonts w:ascii="Times New Roman" w:hAnsi="Times New Roman" w:cs="Times New Roman"/>
                <w:sz w:val="24"/>
                <w:szCs w:val="24"/>
              </w:rPr>
              <w:t>Department for Education, 2017)</w:t>
            </w:r>
            <w:r w:rsidRPr="00190754">
              <w:rPr>
                <w:rFonts w:ascii="Times New Roman" w:hAnsi="Times New Roman" w:cs="Times New Roman"/>
                <w:sz w:val="24"/>
                <w:szCs w:val="24"/>
                <w:lang w:val="en-US"/>
              </w:rPr>
              <w:t>.</w:t>
            </w:r>
            <w:r w:rsidR="00D45B53" w:rsidRPr="00190754">
              <w:rPr>
                <w:rFonts w:ascii="Times New Roman" w:hAnsi="Times New Roman" w:cs="Times New Roman"/>
                <w:sz w:val="24"/>
                <w:szCs w:val="24"/>
                <w:lang w:val="en-US"/>
              </w:rPr>
              <w:t xml:space="preserve"> </w:t>
            </w:r>
            <w:r w:rsidR="00190754" w:rsidRPr="00190754">
              <w:rPr>
                <w:rFonts w:ascii="Times New Roman" w:hAnsi="Times New Roman" w:cs="Times New Roman"/>
                <w:sz w:val="24"/>
                <w:szCs w:val="24"/>
                <w:lang w:val="en-US"/>
              </w:rPr>
              <w:t xml:space="preserve">Those, </w:t>
            </w:r>
            <w:r w:rsidR="00190754" w:rsidRPr="00190754">
              <w:rPr>
                <w:rStyle w:val="tlid-translation"/>
                <w:rFonts w:ascii="Times New Roman" w:hAnsi="Times New Roman" w:cs="Times New Roman"/>
                <w:sz w:val="24"/>
                <w:szCs w:val="24"/>
                <w:lang w:val="en"/>
              </w:rPr>
              <w:t xml:space="preserve">failure for development of </w:t>
            </w:r>
            <w:r w:rsidR="00C15177">
              <w:rPr>
                <w:rStyle w:val="tlid-translation"/>
                <w:rFonts w:ascii="Times New Roman" w:hAnsi="Times New Roman" w:cs="Times New Roman"/>
                <w:sz w:val="24"/>
                <w:szCs w:val="24"/>
                <w:lang w:val="en"/>
              </w:rPr>
              <w:t>good</w:t>
            </w:r>
            <w:r w:rsidR="00190754" w:rsidRPr="00190754">
              <w:rPr>
                <w:rStyle w:val="tlid-translation"/>
                <w:rFonts w:ascii="Times New Roman" w:hAnsi="Times New Roman" w:cs="Times New Roman"/>
                <w:sz w:val="24"/>
                <w:szCs w:val="24"/>
                <w:lang w:val="en"/>
              </w:rPr>
              <w:t xml:space="preserve"> eating habits in the stage of their lives may have </w:t>
            </w:r>
            <w:r w:rsidR="00C15177">
              <w:rPr>
                <w:rStyle w:val="tlid-translation"/>
                <w:rFonts w:ascii="Times New Roman" w:hAnsi="Times New Roman" w:cs="Times New Roman"/>
                <w:sz w:val="24"/>
                <w:szCs w:val="24"/>
                <w:lang w:val="en"/>
              </w:rPr>
              <w:t>significant consequences for the overall health of the nation.</w:t>
            </w:r>
          </w:p>
          <w:p w:rsidR="00D45B53" w:rsidRPr="00190754" w:rsidRDefault="00D45B53" w:rsidP="0079648E">
            <w:pPr>
              <w:rPr>
                <w:rFonts w:ascii="Times New Roman" w:hAnsi="Times New Roman" w:cs="Times New Roman"/>
                <w:sz w:val="24"/>
                <w:szCs w:val="24"/>
                <w:lang w:val="en-US"/>
              </w:rPr>
            </w:pPr>
          </w:p>
          <w:p w:rsidR="0079648E" w:rsidRPr="00190754" w:rsidRDefault="0079648E" w:rsidP="0079648E">
            <w:pPr>
              <w:rPr>
                <w:rFonts w:ascii="Times New Roman" w:hAnsi="Times New Roman" w:cs="Times New Roman"/>
                <w:sz w:val="24"/>
                <w:szCs w:val="24"/>
                <w:lang w:val="en-US"/>
              </w:rPr>
            </w:pPr>
            <w:r w:rsidRPr="00190754">
              <w:rPr>
                <w:rFonts w:ascii="Times New Roman" w:hAnsi="Times New Roman" w:cs="Times New Roman"/>
                <w:sz w:val="24"/>
                <w:szCs w:val="24"/>
                <w:lang w:val="en-US"/>
              </w:rPr>
              <w:t xml:space="preserve">In order to develop an effective heathy eating campaign, it is first important to identify to the factors influencing dietary behaviors in university students. A qualitative study conducted by </w:t>
            </w:r>
            <w:r w:rsidRPr="00190754">
              <w:rPr>
                <w:rFonts w:ascii="Times New Roman" w:hAnsi="Times New Roman" w:cs="Times New Roman"/>
                <w:sz w:val="24"/>
                <w:szCs w:val="24"/>
              </w:rPr>
              <w:t>Deliens</w:t>
            </w:r>
            <w:r w:rsidRPr="00190754">
              <w:rPr>
                <w:rFonts w:ascii="Times New Roman" w:hAnsi="Times New Roman" w:cs="Times New Roman"/>
                <w:sz w:val="24"/>
                <w:szCs w:val="24"/>
                <w:lang w:val="en-US"/>
              </w:rPr>
              <w:t xml:space="preserve"> et al (2014) that self-control, drinking, time management, budgetary considerations and flavor preferences as important predictors of eating behavior. Individuals that are more self-reliant before coming to university believe to have greater control over their dietary patterns (</w:t>
            </w:r>
            <w:r w:rsidRPr="00190754">
              <w:rPr>
                <w:rFonts w:ascii="Times New Roman" w:hAnsi="Times New Roman" w:cs="Times New Roman"/>
                <w:sz w:val="24"/>
                <w:szCs w:val="24"/>
              </w:rPr>
              <w:t>Deliens</w:t>
            </w:r>
            <w:r w:rsidRPr="00190754">
              <w:rPr>
                <w:rFonts w:ascii="Times New Roman" w:hAnsi="Times New Roman" w:cs="Times New Roman"/>
                <w:sz w:val="24"/>
                <w:szCs w:val="24"/>
                <w:lang w:val="en-US"/>
              </w:rPr>
              <w:t xml:space="preserve"> et al., 2014). Those students view self-prepaid food not only as healthier but also as more affordable. However, other consider fast-food to be cheaper alternative to home cocking, vegetables and fruits, and to taste better than the food they can prepare. Students also consider a lack of time especially in examination periods as a reason for consumption of fast food and snacks (</w:t>
            </w:r>
            <w:r w:rsidRPr="00190754">
              <w:rPr>
                <w:rFonts w:ascii="Times New Roman" w:hAnsi="Times New Roman" w:cs="Times New Roman"/>
                <w:sz w:val="24"/>
                <w:szCs w:val="24"/>
              </w:rPr>
              <w:t>Deliens</w:t>
            </w:r>
            <w:r w:rsidRPr="00190754">
              <w:rPr>
                <w:rFonts w:ascii="Times New Roman" w:hAnsi="Times New Roman" w:cs="Times New Roman"/>
                <w:sz w:val="24"/>
                <w:szCs w:val="24"/>
                <w:lang w:val="en-US"/>
              </w:rPr>
              <w:t xml:space="preserve"> et al., 2014). Therefore, heathy eating campaign</w:t>
            </w:r>
            <w:r w:rsidR="00D45B53" w:rsidRPr="00190754">
              <w:rPr>
                <w:rFonts w:ascii="Times New Roman" w:hAnsi="Times New Roman" w:cs="Times New Roman"/>
                <w:sz w:val="24"/>
                <w:szCs w:val="24"/>
                <w:lang w:val="en-US"/>
              </w:rPr>
              <w:t>,</w:t>
            </w:r>
            <w:r w:rsidRPr="00190754">
              <w:rPr>
                <w:rFonts w:ascii="Times New Roman" w:hAnsi="Times New Roman" w:cs="Times New Roman"/>
                <w:sz w:val="24"/>
                <w:szCs w:val="24"/>
                <w:lang w:val="en-US"/>
              </w:rPr>
              <w:t xml:space="preserve"> which enhances </w:t>
            </w:r>
            <w:proofErr w:type="gramStart"/>
            <w:r w:rsidRPr="00190754">
              <w:rPr>
                <w:rFonts w:ascii="Times New Roman" w:hAnsi="Times New Roman" w:cs="Times New Roman"/>
                <w:sz w:val="24"/>
                <w:szCs w:val="24"/>
                <w:lang w:val="en-US"/>
              </w:rPr>
              <w:t>students</w:t>
            </w:r>
            <w:proofErr w:type="gramEnd"/>
            <w:r w:rsidRPr="00190754">
              <w:rPr>
                <w:rFonts w:ascii="Times New Roman" w:hAnsi="Times New Roman" w:cs="Times New Roman"/>
                <w:sz w:val="24"/>
                <w:szCs w:val="24"/>
                <w:lang w:val="en-US"/>
              </w:rPr>
              <w:t xml:space="preserve"> ability to prepare satisfying food in a timely fashion. As well as to debunk some possible misconceptions about the monetary advantages of fast food (</w:t>
            </w:r>
            <w:r w:rsidRPr="00190754">
              <w:rPr>
                <w:rFonts w:ascii="Times New Roman" w:hAnsi="Times New Roman" w:cs="Times New Roman"/>
                <w:sz w:val="24"/>
                <w:szCs w:val="24"/>
              </w:rPr>
              <w:t>Lee</w:t>
            </w:r>
            <w:r w:rsidRPr="00190754">
              <w:rPr>
                <w:rFonts w:ascii="Times New Roman" w:hAnsi="Times New Roman" w:cs="Times New Roman"/>
                <w:sz w:val="24"/>
                <w:szCs w:val="24"/>
                <w:lang w:val="en-US"/>
              </w:rPr>
              <w:t xml:space="preserve"> et al., 2016). Result in reduction of unhealthy eating habits across the student population.</w:t>
            </w:r>
          </w:p>
          <w:p w:rsidR="00D45B53" w:rsidRPr="00190754" w:rsidRDefault="00D45B53" w:rsidP="0079648E">
            <w:pPr>
              <w:rPr>
                <w:rFonts w:ascii="Times New Roman" w:hAnsi="Times New Roman" w:cs="Times New Roman"/>
                <w:sz w:val="24"/>
                <w:szCs w:val="24"/>
                <w:lang w:val="en-US"/>
              </w:rPr>
            </w:pPr>
          </w:p>
          <w:p w:rsidR="00D45B53" w:rsidRPr="00190754" w:rsidRDefault="0079648E" w:rsidP="0079648E">
            <w:pPr>
              <w:rPr>
                <w:rFonts w:ascii="Times New Roman" w:hAnsi="Times New Roman" w:cs="Times New Roman"/>
                <w:sz w:val="24"/>
                <w:szCs w:val="24"/>
                <w:lang w:val="en-US"/>
              </w:rPr>
            </w:pPr>
            <w:r w:rsidRPr="00190754">
              <w:rPr>
                <w:rFonts w:ascii="Times New Roman" w:hAnsi="Times New Roman" w:cs="Times New Roman"/>
                <w:sz w:val="24"/>
                <w:szCs w:val="24"/>
                <w:lang w:val="en-US"/>
              </w:rPr>
              <w:t xml:space="preserve">In previous literature review estimating the associations between eating behavior and the predictive capacity of Theory of Planed Behavior. </w:t>
            </w:r>
            <w:r w:rsidRPr="00190754">
              <w:rPr>
                <w:rFonts w:ascii="Times New Roman" w:hAnsi="Times New Roman" w:cs="Times New Roman"/>
                <w:sz w:val="24"/>
                <w:szCs w:val="24"/>
              </w:rPr>
              <w:t>McDermott</w:t>
            </w:r>
            <w:r w:rsidRPr="00190754">
              <w:rPr>
                <w:rFonts w:ascii="Times New Roman" w:hAnsi="Times New Roman" w:cs="Times New Roman"/>
                <w:sz w:val="24"/>
                <w:szCs w:val="24"/>
                <w:lang w:val="en-US"/>
              </w:rPr>
              <w:t xml:space="preserve"> et al. (2015) have found eating behavior to be most associated with intention (r=.61) followed by PBC (r=. 46) and SN (r= .35). Associations between Intention and PBC were stronger in younger age groups (</w:t>
            </w:r>
            <w:r w:rsidRPr="00190754">
              <w:rPr>
                <w:rFonts w:ascii="Times New Roman" w:hAnsi="Times New Roman" w:cs="Times New Roman"/>
                <w:sz w:val="24"/>
                <w:szCs w:val="24"/>
              </w:rPr>
              <w:t>McDermott</w:t>
            </w:r>
            <w:r w:rsidRPr="00190754">
              <w:rPr>
                <w:rFonts w:ascii="Times New Roman" w:hAnsi="Times New Roman" w:cs="Times New Roman"/>
                <w:sz w:val="24"/>
                <w:szCs w:val="24"/>
                <w:lang w:val="en-US"/>
              </w:rPr>
              <w:t xml:space="preserve"> et al. 2015). In a study testing the relationship between fruit and vegetable consumption young adults, Intention and PBC have found to be responsible for 69% percent of the variances, with intention being the biggest predictor of F&amp;V intake (</w:t>
            </w:r>
            <w:r w:rsidRPr="00190754">
              <w:rPr>
                <w:rFonts w:ascii="Times New Roman" w:hAnsi="Times New Roman" w:cs="Times New Roman"/>
                <w:sz w:val="24"/>
                <w:szCs w:val="24"/>
              </w:rPr>
              <w:t xml:space="preserve">Menozzi </w:t>
            </w:r>
            <w:r w:rsidRPr="00190754">
              <w:rPr>
                <w:rFonts w:ascii="Times New Roman" w:hAnsi="Times New Roman" w:cs="Times New Roman"/>
                <w:sz w:val="24"/>
                <w:szCs w:val="24"/>
                <w:lang w:val="en-US"/>
              </w:rPr>
              <w:t xml:space="preserve">et al., 2015). PBC comes as the second major predictor. According </w:t>
            </w:r>
            <w:proofErr w:type="spellStart"/>
            <w:r w:rsidRPr="00190754">
              <w:rPr>
                <w:rFonts w:ascii="Times New Roman" w:hAnsi="Times New Roman" w:cs="Times New Roman"/>
                <w:sz w:val="24"/>
                <w:szCs w:val="24"/>
                <w:lang w:val="en-US"/>
              </w:rPr>
              <w:t>Menozzi</w:t>
            </w:r>
            <w:proofErr w:type="spellEnd"/>
            <w:r w:rsidRPr="00190754">
              <w:rPr>
                <w:rFonts w:ascii="Times New Roman" w:hAnsi="Times New Roman" w:cs="Times New Roman"/>
                <w:sz w:val="24"/>
                <w:szCs w:val="24"/>
                <w:lang w:val="en-US"/>
              </w:rPr>
              <w:t xml:space="preserve"> et al (2015) this is not surprising due to the major role PBC plays in determination of intention.  Indicating that the priced difficulty to perform the behavior strongly influences the overall likelihood to perform the behavior (</w:t>
            </w:r>
            <w:r w:rsidRPr="00190754">
              <w:rPr>
                <w:rFonts w:ascii="Times New Roman" w:hAnsi="Times New Roman" w:cs="Times New Roman"/>
                <w:sz w:val="24"/>
                <w:szCs w:val="24"/>
              </w:rPr>
              <w:t xml:space="preserve">Menozzi </w:t>
            </w:r>
            <w:r w:rsidRPr="00190754">
              <w:rPr>
                <w:rFonts w:ascii="Times New Roman" w:hAnsi="Times New Roman" w:cs="Times New Roman"/>
                <w:sz w:val="24"/>
                <w:szCs w:val="24"/>
                <w:lang w:val="en-US"/>
              </w:rPr>
              <w:t xml:space="preserve">et al., 2015). </w:t>
            </w:r>
          </w:p>
          <w:p w:rsidR="00D45B53" w:rsidRPr="00190754" w:rsidRDefault="00D45B53" w:rsidP="0079648E">
            <w:pPr>
              <w:rPr>
                <w:rFonts w:ascii="Times New Roman" w:hAnsi="Times New Roman" w:cs="Times New Roman"/>
                <w:sz w:val="24"/>
                <w:szCs w:val="24"/>
                <w:lang w:val="en-US"/>
              </w:rPr>
            </w:pPr>
          </w:p>
          <w:p w:rsidR="0079648E" w:rsidRPr="00190754" w:rsidRDefault="00D45B53" w:rsidP="0079648E">
            <w:pPr>
              <w:rPr>
                <w:rFonts w:ascii="Times New Roman" w:hAnsi="Times New Roman" w:cs="Times New Roman"/>
                <w:sz w:val="24"/>
                <w:szCs w:val="24"/>
                <w:lang w:val="en-US"/>
              </w:rPr>
            </w:pPr>
            <w:r w:rsidRPr="00190754">
              <w:rPr>
                <w:rFonts w:ascii="Times New Roman" w:hAnsi="Times New Roman" w:cs="Times New Roman"/>
                <w:sz w:val="24"/>
                <w:szCs w:val="24"/>
                <w:lang w:val="en-US"/>
              </w:rPr>
              <w:lastRenderedPageBreak/>
              <w:t>Therefore</w:t>
            </w:r>
            <w:r w:rsidR="00C15177">
              <w:rPr>
                <w:rFonts w:ascii="Times New Roman" w:hAnsi="Times New Roman" w:cs="Times New Roman"/>
                <w:sz w:val="24"/>
                <w:szCs w:val="24"/>
                <w:lang w:val="en-US"/>
              </w:rPr>
              <w:t>:</w:t>
            </w:r>
            <w:r w:rsidR="00C15177" w:rsidRPr="00190754">
              <w:rPr>
                <w:rFonts w:ascii="Times New Roman" w:hAnsi="Times New Roman" w:cs="Times New Roman"/>
                <w:sz w:val="24"/>
                <w:szCs w:val="24"/>
                <w:lang w:val="en-US"/>
              </w:rPr>
              <w:t xml:space="preserve"> 1</w:t>
            </w:r>
            <w:r w:rsidRPr="00190754">
              <w:rPr>
                <w:rFonts w:ascii="Times New Roman" w:hAnsi="Times New Roman" w:cs="Times New Roman"/>
                <w:sz w:val="24"/>
                <w:szCs w:val="24"/>
                <w:lang w:val="en-US"/>
              </w:rPr>
              <w:t xml:space="preserve">) Decrease </w:t>
            </w:r>
            <w:proofErr w:type="gramStart"/>
            <w:r w:rsidRPr="00190754">
              <w:rPr>
                <w:rFonts w:ascii="Times New Roman" w:hAnsi="Times New Roman" w:cs="Times New Roman"/>
                <w:sz w:val="24"/>
                <w:szCs w:val="24"/>
                <w:lang w:val="en-US"/>
              </w:rPr>
              <w:t>in  perceived</w:t>
            </w:r>
            <w:proofErr w:type="gramEnd"/>
            <w:r w:rsidRPr="00190754">
              <w:rPr>
                <w:rFonts w:ascii="Times New Roman" w:hAnsi="Times New Roman" w:cs="Times New Roman"/>
                <w:sz w:val="24"/>
                <w:szCs w:val="24"/>
                <w:lang w:val="en-US"/>
              </w:rPr>
              <w:t xml:space="preserve"> lack of behavior control will increase the intention of student to eat healthier 2) Increase in behavioral intention may result in increase of healthier </w:t>
            </w:r>
            <w:r w:rsidR="00190754" w:rsidRPr="00190754">
              <w:rPr>
                <w:rFonts w:ascii="Times New Roman" w:hAnsi="Times New Roman" w:cs="Times New Roman"/>
                <w:sz w:val="24"/>
                <w:szCs w:val="24"/>
                <w:lang w:val="en-US"/>
              </w:rPr>
              <w:t>eating behavior.</w:t>
            </w:r>
          </w:p>
          <w:p w:rsidR="00D610BC" w:rsidRPr="00190754" w:rsidRDefault="00D610BC" w:rsidP="007C769C">
            <w:pPr>
              <w:rPr>
                <w:rFonts w:ascii="Times New Roman" w:hAnsi="Times New Roman" w:cs="Times New Roman"/>
                <w:sz w:val="24"/>
                <w:szCs w:val="24"/>
              </w:rPr>
            </w:pPr>
          </w:p>
          <w:p w:rsidR="0079648E" w:rsidRPr="00190754" w:rsidRDefault="0079648E" w:rsidP="007C769C">
            <w:pPr>
              <w:rPr>
                <w:rFonts w:ascii="Times New Roman" w:hAnsi="Times New Roman" w:cs="Times New Roman"/>
                <w:sz w:val="24"/>
                <w:szCs w:val="24"/>
              </w:rPr>
            </w:pPr>
          </w:p>
          <w:p w:rsidR="0079648E" w:rsidRPr="00190754" w:rsidRDefault="0079648E" w:rsidP="007C769C">
            <w:pPr>
              <w:rPr>
                <w:rFonts w:ascii="Times New Roman" w:hAnsi="Times New Roman" w:cs="Times New Roman"/>
                <w:sz w:val="24"/>
                <w:szCs w:val="24"/>
              </w:rPr>
            </w:pPr>
          </w:p>
          <w:p w:rsidR="0079648E" w:rsidRPr="00190754" w:rsidRDefault="0079648E" w:rsidP="007C769C">
            <w:pPr>
              <w:rPr>
                <w:rFonts w:ascii="Times New Roman" w:hAnsi="Times New Roman" w:cs="Times New Roman"/>
                <w:sz w:val="24"/>
                <w:szCs w:val="24"/>
              </w:rPr>
            </w:pPr>
          </w:p>
          <w:p w:rsidR="0079648E" w:rsidRPr="00190754" w:rsidRDefault="0079648E" w:rsidP="007C769C">
            <w:pPr>
              <w:rPr>
                <w:rFonts w:ascii="Times New Roman" w:hAnsi="Times New Roman" w:cs="Times New Roman"/>
                <w:sz w:val="24"/>
                <w:szCs w:val="24"/>
              </w:rPr>
            </w:pPr>
          </w:p>
          <w:p w:rsidR="0079648E" w:rsidRPr="00190754" w:rsidRDefault="0079648E" w:rsidP="007C769C">
            <w:pPr>
              <w:rPr>
                <w:rFonts w:ascii="Times New Roman" w:hAnsi="Times New Roman" w:cs="Times New Roman"/>
                <w:sz w:val="24"/>
                <w:szCs w:val="24"/>
              </w:rPr>
            </w:pPr>
          </w:p>
          <w:p w:rsidR="0079648E" w:rsidRPr="00190754" w:rsidRDefault="0079648E" w:rsidP="007C769C">
            <w:pPr>
              <w:rPr>
                <w:rFonts w:ascii="Times New Roman" w:hAnsi="Times New Roman" w:cs="Times New Roman"/>
                <w:sz w:val="24"/>
                <w:szCs w:val="24"/>
              </w:rPr>
            </w:pPr>
          </w:p>
          <w:p w:rsidR="00D610BC" w:rsidRPr="00190754" w:rsidRDefault="00D610BC" w:rsidP="007C769C">
            <w:pPr>
              <w:rPr>
                <w:rFonts w:ascii="Times New Roman" w:eastAsia="Times New Roman" w:hAnsi="Times New Roman" w:cs="Times New Roman"/>
                <w:b/>
                <w:sz w:val="24"/>
                <w:szCs w:val="24"/>
              </w:rPr>
            </w:pPr>
            <w:r w:rsidRPr="00190754">
              <w:rPr>
                <w:rFonts w:ascii="Times New Roman" w:eastAsia="Times New Roman" w:hAnsi="Times New Roman" w:cs="Times New Roman"/>
                <w:b/>
                <w:sz w:val="24"/>
                <w:szCs w:val="24"/>
              </w:rPr>
              <w:t xml:space="preserve">Proposed methodology </w:t>
            </w:r>
          </w:p>
          <w:p w:rsidR="00D610BC" w:rsidRPr="00190754" w:rsidRDefault="00D610BC" w:rsidP="007C769C">
            <w:pPr>
              <w:rPr>
                <w:rFonts w:ascii="Times New Roman" w:eastAsia="Times New Roman" w:hAnsi="Times New Roman" w:cs="Times New Roman"/>
                <w:sz w:val="24"/>
                <w:szCs w:val="24"/>
              </w:rPr>
            </w:pPr>
          </w:p>
          <w:p w:rsidR="0079648E" w:rsidRPr="00190754" w:rsidRDefault="0079648E" w:rsidP="0079648E">
            <w:pPr>
              <w:rPr>
                <w:rFonts w:ascii="Times New Roman" w:hAnsi="Times New Roman" w:cs="Times New Roman"/>
                <w:sz w:val="24"/>
                <w:szCs w:val="24"/>
                <w:lang w:val="en-US"/>
              </w:rPr>
            </w:pPr>
          </w:p>
          <w:p w:rsidR="0079648E" w:rsidRPr="00190754" w:rsidRDefault="0079648E" w:rsidP="0079648E">
            <w:pPr>
              <w:rPr>
                <w:rFonts w:ascii="Times New Roman" w:hAnsi="Times New Roman" w:cs="Times New Roman"/>
                <w:sz w:val="24"/>
                <w:szCs w:val="24"/>
                <w:lang w:val="en-US"/>
              </w:rPr>
            </w:pPr>
            <w:r w:rsidRPr="00190754">
              <w:rPr>
                <w:rFonts w:ascii="Times New Roman" w:hAnsi="Times New Roman" w:cs="Times New Roman"/>
                <w:sz w:val="24"/>
                <w:szCs w:val="24"/>
              </w:rPr>
              <w:t>The intervention</w:t>
            </w:r>
          </w:p>
          <w:p w:rsidR="0079648E" w:rsidRPr="00190754" w:rsidRDefault="0079648E" w:rsidP="0079648E">
            <w:pPr>
              <w:rPr>
                <w:rFonts w:ascii="Times New Roman" w:hAnsi="Times New Roman" w:cs="Times New Roman"/>
                <w:sz w:val="24"/>
                <w:szCs w:val="24"/>
                <w:lang w:val="en-US"/>
              </w:rPr>
            </w:pPr>
          </w:p>
          <w:p w:rsidR="0079648E" w:rsidRPr="00190754" w:rsidRDefault="0079648E" w:rsidP="0079648E">
            <w:pPr>
              <w:rPr>
                <w:rFonts w:ascii="Times New Roman" w:hAnsi="Times New Roman" w:cs="Times New Roman"/>
                <w:sz w:val="24"/>
                <w:szCs w:val="24"/>
                <w:lang w:val="en-US"/>
              </w:rPr>
            </w:pPr>
            <w:r w:rsidRPr="00190754">
              <w:rPr>
                <w:rFonts w:ascii="Times New Roman" w:hAnsi="Times New Roman" w:cs="Times New Roman"/>
                <w:sz w:val="24"/>
                <w:szCs w:val="24"/>
                <w:lang w:val="en-US"/>
              </w:rPr>
              <w:t xml:space="preserve">The intervention consist of a mobile application with the intent of decreasing unhealthy eating habits in university students. Diet and nutrition-related mobile apps have shown to positively impact dietary behavior </w:t>
            </w:r>
            <w:r w:rsidRPr="00190754">
              <w:rPr>
                <w:rFonts w:ascii="Times New Roman" w:hAnsi="Times New Roman" w:cs="Times New Roman"/>
                <w:color w:val="000000" w:themeColor="text1"/>
                <w:sz w:val="24"/>
                <w:szCs w:val="24"/>
                <w:lang w:val="en-US"/>
              </w:rPr>
              <w:t>(</w:t>
            </w:r>
            <w:r w:rsidRPr="00190754">
              <w:rPr>
                <w:rFonts w:ascii="Times New Roman" w:hAnsi="Times New Roman" w:cs="Times New Roman"/>
                <w:color w:val="000000" w:themeColor="text1"/>
                <w:sz w:val="24"/>
                <w:szCs w:val="24"/>
              </w:rPr>
              <w:t>West</w:t>
            </w:r>
            <w:r w:rsidRPr="00190754">
              <w:rPr>
                <w:rFonts w:ascii="Times New Roman" w:hAnsi="Times New Roman" w:cs="Times New Roman"/>
                <w:color w:val="000000" w:themeColor="text1"/>
                <w:sz w:val="24"/>
                <w:szCs w:val="24"/>
                <w:lang w:val="en-US"/>
              </w:rPr>
              <w:t xml:space="preserve"> et al., 2017; </w:t>
            </w:r>
            <w:hyperlink r:id="rId4" w:history="1">
              <w:r w:rsidRPr="00190754">
                <w:rPr>
                  <w:rStyle w:val="Hyperlink"/>
                  <w:rFonts w:ascii="Times New Roman" w:hAnsi="Times New Roman" w:cs="Times New Roman"/>
                  <w:color w:val="000000" w:themeColor="text1"/>
                  <w:sz w:val="24"/>
                  <w:szCs w:val="24"/>
                  <w:u w:val="none"/>
                </w:rPr>
                <w:t>Coughlin</w:t>
              </w:r>
            </w:hyperlink>
            <w:r w:rsidRPr="00190754">
              <w:rPr>
                <w:rFonts w:ascii="Times New Roman" w:hAnsi="Times New Roman" w:cs="Times New Roman"/>
                <w:color w:val="000000" w:themeColor="text1"/>
                <w:sz w:val="24"/>
                <w:szCs w:val="24"/>
                <w:lang w:val="en-US"/>
              </w:rPr>
              <w:t xml:space="preserve"> et al, 2015). </w:t>
            </w:r>
            <w:r w:rsidRPr="00190754">
              <w:rPr>
                <w:rFonts w:ascii="Times New Roman" w:hAnsi="Times New Roman" w:cs="Times New Roman"/>
                <w:sz w:val="24"/>
                <w:szCs w:val="24"/>
                <w:lang w:val="en-US"/>
              </w:rPr>
              <w:t xml:space="preserve">The functions of the application will allow for: 1) list of easy and more complex meals-including detailed preparation tutorials, with included option for creation of shopping lists 2) calorie and nutrition tracker-keeping account of past food intake and suggesting subsequent meal options 3) value estimator- which compeers the prices of products that can be found in nearby shops 4) an option for comparison of price and food properties between fast/snack food and healthier food options 5) an option for creation of a time table for establishing of food preparation and intake habits. </w:t>
            </w:r>
          </w:p>
          <w:p w:rsidR="00D45B53" w:rsidRPr="00190754" w:rsidRDefault="00D45B53" w:rsidP="0079648E">
            <w:pPr>
              <w:rPr>
                <w:rFonts w:ascii="Times New Roman" w:hAnsi="Times New Roman" w:cs="Times New Roman"/>
                <w:sz w:val="24"/>
                <w:szCs w:val="24"/>
                <w:lang w:val="en-US"/>
              </w:rPr>
            </w:pPr>
          </w:p>
          <w:p w:rsidR="0079648E" w:rsidRPr="00190754" w:rsidRDefault="0079648E" w:rsidP="0079648E">
            <w:pPr>
              <w:rPr>
                <w:rFonts w:ascii="Times New Roman" w:hAnsi="Times New Roman" w:cs="Times New Roman"/>
                <w:sz w:val="24"/>
                <w:szCs w:val="24"/>
                <w:lang w:val="en-US"/>
              </w:rPr>
            </w:pPr>
            <w:r w:rsidRPr="00190754">
              <w:rPr>
                <w:rFonts w:ascii="Times New Roman" w:hAnsi="Times New Roman" w:cs="Times New Roman"/>
                <w:sz w:val="24"/>
                <w:szCs w:val="24"/>
                <w:lang w:val="en-US"/>
              </w:rPr>
              <w:t xml:space="preserve">Based on the construct of the subcategories in TPB, the options provided by the application should: 1) positive increase the individual attitudes by highlighting the financial and health benefits of cocked meals and  F&amp;V in comparison to fast food and snack alternatives. 2) </w:t>
            </w:r>
            <w:proofErr w:type="gramStart"/>
            <w:r w:rsidRPr="00190754">
              <w:rPr>
                <w:rFonts w:ascii="Times New Roman" w:hAnsi="Times New Roman" w:cs="Times New Roman"/>
                <w:sz w:val="24"/>
                <w:szCs w:val="24"/>
                <w:lang w:val="en-US"/>
              </w:rPr>
              <w:t>decrease</w:t>
            </w:r>
            <w:proofErr w:type="gramEnd"/>
            <w:r w:rsidRPr="00190754">
              <w:rPr>
                <w:rFonts w:ascii="Times New Roman" w:hAnsi="Times New Roman" w:cs="Times New Roman"/>
                <w:sz w:val="24"/>
                <w:szCs w:val="24"/>
                <w:lang w:val="en-US"/>
              </w:rPr>
              <w:t xml:space="preserve"> perceived lack of behavioral control mainly due to time constrains and novelty in food preparation, with the help of a stream lined preparation tutorials, access to value offers, quick creation of shopping lists and time tables.</w:t>
            </w:r>
          </w:p>
          <w:p w:rsidR="00D610BC" w:rsidRPr="00190754" w:rsidRDefault="00D610BC" w:rsidP="007C769C">
            <w:pPr>
              <w:pStyle w:val="Heading1"/>
              <w:outlineLvl w:val="0"/>
              <w:rPr>
                <w:b w:val="0"/>
                <w:sz w:val="24"/>
                <w:szCs w:val="24"/>
                <w:lang w:val="en-US"/>
              </w:rPr>
            </w:pPr>
          </w:p>
          <w:p w:rsidR="0079648E" w:rsidRPr="00190754" w:rsidRDefault="0079648E" w:rsidP="0079648E">
            <w:pPr>
              <w:pStyle w:val="Heading1"/>
              <w:outlineLvl w:val="0"/>
              <w:rPr>
                <w:sz w:val="24"/>
                <w:szCs w:val="24"/>
                <w:lang w:val="en-US"/>
              </w:rPr>
            </w:pPr>
            <w:r w:rsidRPr="00190754">
              <w:rPr>
                <w:sz w:val="24"/>
                <w:szCs w:val="24"/>
                <w:lang w:val="en-US"/>
              </w:rPr>
              <w:t>T</w:t>
            </w:r>
            <w:r w:rsidRPr="00190754">
              <w:rPr>
                <w:sz w:val="24"/>
                <w:szCs w:val="24"/>
              </w:rPr>
              <w:t>arget population and participant recruitment strategy</w:t>
            </w:r>
            <w:r w:rsidRPr="00190754">
              <w:rPr>
                <w:sz w:val="24"/>
                <w:szCs w:val="24"/>
                <w:lang w:val="en-US"/>
              </w:rPr>
              <w:t xml:space="preserve"> </w:t>
            </w:r>
          </w:p>
          <w:p w:rsidR="0079648E" w:rsidRPr="00190754" w:rsidRDefault="0079648E" w:rsidP="0079648E">
            <w:pPr>
              <w:rPr>
                <w:rFonts w:ascii="Times New Roman" w:hAnsi="Times New Roman" w:cs="Times New Roman"/>
                <w:sz w:val="24"/>
                <w:szCs w:val="24"/>
              </w:rPr>
            </w:pPr>
            <w:r w:rsidRPr="00190754">
              <w:rPr>
                <w:rFonts w:ascii="Times New Roman" w:hAnsi="Times New Roman" w:cs="Times New Roman"/>
                <w:sz w:val="24"/>
                <w:szCs w:val="24"/>
                <w:lang w:val="en-US"/>
              </w:rPr>
              <w:t xml:space="preserve">The target population of the program will consists of first, second and third year undergraduate students attending UWTSD. The mobile application will be presented to the student during induction week at the beginning of academic. Registration link will be send to all students during the induction week via email. Potential participants will be required to have a mobile device able to support application. In the week following the opening of the registration process a minimum of 30 students (90 participants in total) from every academic year will be selected on an automatic </w:t>
            </w:r>
            <w:r w:rsidRPr="00190754">
              <w:rPr>
                <w:rStyle w:val="tlid-translation"/>
                <w:rFonts w:ascii="Times New Roman" w:hAnsi="Times New Roman" w:cs="Times New Roman"/>
                <w:sz w:val="24"/>
                <w:szCs w:val="24"/>
                <w:lang w:val="en"/>
              </w:rPr>
              <w:t>principle with the use of computer software. The selected candidates will receive activation code and a download link for the application. The recruitment is estimated to last 1 week. However, an extension may be applied if the number of applicants is not meeting the necessity minimum. A draw for a small gift price will be included to stimulate registration.</w:t>
            </w:r>
          </w:p>
          <w:p w:rsidR="00D610BC" w:rsidRPr="00190754" w:rsidRDefault="00D610BC" w:rsidP="007C769C">
            <w:pPr>
              <w:pStyle w:val="Heading1"/>
              <w:outlineLvl w:val="0"/>
              <w:rPr>
                <w:b w:val="0"/>
                <w:sz w:val="24"/>
                <w:szCs w:val="24"/>
                <w:lang w:val="en-US"/>
              </w:rPr>
            </w:pPr>
          </w:p>
          <w:p w:rsidR="0079648E" w:rsidRPr="00190754" w:rsidRDefault="0079648E" w:rsidP="0079648E">
            <w:pPr>
              <w:rPr>
                <w:rFonts w:ascii="Times New Roman" w:hAnsi="Times New Roman" w:cs="Times New Roman"/>
                <w:sz w:val="24"/>
                <w:szCs w:val="24"/>
              </w:rPr>
            </w:pPr>
            <w:r w:rsidRPr="00190754">
              <w:rPr>
                <w:rFonts w:ascii="Times New Roman" w:hAnsi="Times New Roman" w:cs="Times New Roman"/>
                <w:sz w:val="24"/>
                <w:szCs w:val="24"/>
              </w:rPr>
              <w:t>Data collection and evaluation method</w:t>
            </w:r>
          </w:p>
          <w:p w:rsidR="0079648E" w:rsidRPr="00190754" w:rsidRDefault="0079648E" w:rsidP="0079648E">
            <w:pPr>
              <w:rPr>
                <w:rFonts w:ascii="Times New Roman" w:hAnsi="Times New Roman" w:cs="Times New Roman"/>
                <w:sz w:val="24"/>
                <w:szCs w:val="24"/>
              </w:rPr>
            </w:pPr>
          </w:p>
          <w:p w:rsidR="0079648E" w:rsidRPr="00190754" w:rsidRDefault="0079648E" w:rsidP="0079648E">
            <w:pPr>
              <w:rPr>
                <w:rFonts w:ascii="Times New Roman" w:hAnsi="Times New Roman" w:cs="Times New Roman"/>
                <w:sz w:val="24"/>
                <w:szCs w:val="24"/>
                <w:lang w:val="en-US"/>
              </w:rPr>
            </w:pPr>
            <w:r w:rsidRPr="00190754">
              <w:rPr>
                <w:rFonts w:ascii="Times New Roman" w:hAnsi="Times New Roman" w:cs="Times New Roman"/>
                <w:sz w:val="24"/>
                <w:szCs w:val="24"/>
                <w:lang w:val="en-US"/>
              </w:rPr>
              <w:t xml:space="preserve">Any data will be recorded through the use of the mobile application. Almost all the data will be collected with the use of the application.  Baseline data collection (time 1) will consist of the Age, Gender, Ethnicity </w:t>
            </w:r>
            <w:r w:rsidRPr="00190754">
              <w:rPr>
                <w:rFonts w:ascii="Times New Roman" w:hAnsi="Times New Roman" w:cs="Times New Roman"/>
                <w:sz w:val="24"/>
                <w:szCs w:val="24"/>
                <w:lang w:val="en-US"/>
              </w:rPr>
              <w:lastRenderedPageBreak/>
              <w:t xml:space="preserve">and Nationality. Measure of </w:t>
            </w:r>
            <w:r w:rsidRPr="00190754">
              <w:rPr>
                <w:rFonts w:ascii="Times New Roman" w:hAnsi="Times New Roman" w:cs="Times New Roman"/>
                <w:sz w:val="24"/>
                <w:szCs w:val="24"/>
              </w:rPr>
              <w:t>dietary habits</w:t>
            </w:r>
            <w:r w:rsidRPr="00190754">
              <w:rPr>
                <w:rFonts w:ascii="Times New Roman" w:hAnsi="Times New Roman" w:cs="Times New Roman"/>
                <w:sz w:val="24"/>
                <w:szCs w:val="24"/>
                <w:lang w:val="en-US"/>
              </w:rPr>
              <w:t xml:space="preserve">, self-reported </w:t>
            </w:r>
            <w:r w:rsidRPr="00190754">
              <w:rPr>
                <w:rFonts w:ascii="Times New Roman" w:hAnsi="Times New Roman" w:cs="Times New Roman"/>
                <w:sz w:val="24"/>
                <w:szCs w:val="24"/>
              </w:rPr>
              <w:t>food preference and food consumption frequency</w:t>
            </w:r>
            <w:r w:rsidRPr="00190754">
              <w:rPr>
                <w:rFonts w:ascii="Times New Roman" w:hAnsi="Times New Roman" w:cs="Times New Roman"/>
                <w:sz w:val="24"/>
                <w:szCs w:val="24"/>
                <w:lang w:val="en-US"/>
              </w:rPr>
              <w:t xml:space="preserve"> will be measured with the use of, the </w:t>
            </w:r>
            <w:r w:rsidRPr="00190754">
              <w:rPr>
                <w:rFonts w:ascii="Times New Roman" w:hAnsi="Times New Roman" w:cs="Times New Roman"/>
                <w:sz w:val="24"/>
                <w:szCs w:val="24"/>
              </w:rPr>
              <w:t>Assessment of weight status, dietary habits and beliefs, physical activity, and nutritional knowledge</w:t>
            </w:r>
            <w:r w:rsidRPr="00190754">
              <w:rPr>
                <w:rFonts w:ascii="Times New Roman" w:hAnsi="Times New Roman" w:cs="Times New Roman"/>
                <w:sz w:val="24"/>
                <w:szCs w:val="24"/>
                <w:lang w:val="en-US"/>
              </w:rPr>
              <w:t xml:space="preserve"> scale (</w:t>
            </w:r>
            <w:r w:rsidRPr="00190754">
              <w:rPr>
                <w:rFonts w:ascii="Times New Roman" w:hAnsi="Times New Roman" w:cs="Times New Roman"/>
                <w:sz w:val="24"/>
                <w:szCs w:val="24"/>
              </w:rPr>
              <w:t>Yahia</w:t>
            </w:r>
            <w:r w:rsidRPr="00190754">
              <w:rPr>
                <w:rFonts w:ascii="Times New Roman" w:hAnsi="Times New Roman" w:cs="Times New Roman"/>
                <w:sz w:val="24"/>
                <w:szCs w:val="24"/>
                <w:lang w:val="en-US"/>
              </w:rPr>
              <w:t xml:space="preserve"> et al., 2016) Only the food preference and consumption measures in this scale will be applied. A self-</w:t>
            </w:r>
            <w:r w:rsidRPr="00190754">
              <w:rPr>
                <w:rFonts w:ascii="Times New Roman" w:hAnsi="Times New Roman" w:cs="Times New Roman"/>
                <w:sz w:val="24"/>
                <w:szCs w:val="24"/>
              </w:rPr>
              <w:t xml:space="preserve"> administered</w:t>
            </w:r>
            <w:r w:rsidRPr="00190754">
              <w:rPr>
                <w:rFonts w:ascii="Times New Roman" w:hAnsi="Times New Roman" w:cs="Times New Roman"/>
                <w:sz w:val="24"/>
                <w:szCs w:val="24"/>
                <w:lang w:val="en-US"/>
              </w:rPr>
              <w:t xml:space="preserve"> questionnaire will be used to test the intention to eat healthy food and the theoretical constructs of intention, perceived behavioral control and attitudes (</w:t>
            </w:r>
            <w:bookmarkStart w:id="0" w:name="_GoBack"/>
            <w:r w:rsidR="009E2E71" w:rsidRPr="009E2E71">
              <w:rPr>
                <w:rStyle w:val="Hyperlink"/>
                <w:rFonts w:ascii="Times New Roman" w:hAnsi="Times New Roman" w:cs="Times New Roman"/>
                <w:color w:val="000000" w:themeColor="text1"/>
                <w:sz w:val="24"/>
                <w:szCs w:val="24"/>
                <w:u w:val="none"/>
              </w:rPr>
              <w:fldChar w:fldCharType="begin"/>
            </w:r>
            <w:r w:rsidR="009E2E71" w:rsidRPr="009E2E71">
              <w:rPr>
                <w:rStyle w:val="Hyperlink"/>
                <w:rFonts w:ascii="Times New Roman" w:eastAsiaTheme="minorHAnsi" w:hAnsi="Times New Roman" w:cs="Times New Roman"/>
                <w:color w:val="000000" w:themeColor="text1"/>
                <w:sz w:val="24"/>
                <w:szCs w:val="24"/>
                <w:u w:val="none"/>
                <w:lang w:eastAsia="en-US"/>
              </w:rPr>
              <w:instrText xml:space="preserve"> HYPERLINK "https://www.researchgate.net/profile/Anne_Astrom3" </w:instrText>
            </w:r>
            <w:r w:rsidR="009E2E71" w:rsidRPr="009E2E71">
              <w:rPr>
                <w:rStyle w:val="Hyperlink"/>
                <w:rFonts w:ascii="Times New Roman" w:eastAsiaTheme="minorHAnsi" w:hAnsi="Times New Roman" w:cs="Times New Roman"/>
                <w:color w:val="000000" w:themeColor="text1"/>
                <w:sz w:val="24"/>
                <w:szCs w:val="24"/>
                <w:u w:val="none"/>
                <w:lang w:eastAsia="en-US"/>
              </w:rPr>
              <w:fldChar w:fldCharType="separate"/>
            </w:r>
            <w:r w:rsidRPr="009E2E71">
              <w:rPr>
                <w:rStyle w:val="Hyperlink"/>
                <w:rFonts w:ascii="Times New Roman" w:hAnsi="Times New Roman" w:cs="Times New Roman"/>
                <w:color w:val="000000" w:themeColor="text1"/>
                <w:sz w:val="24"/>
                <w:szCs w:val="24"/>
                <w:u w:val="none"/>
              </w:rPr>
              <w:t>Astrøm</w:t>
            </w:r>
            <w:r w:rsidR="009E2E71" w:rsidRPr="009E2E71">
              <w:rPr>
                <w:rStyle w:val="Hyperlink"/>
                <w:rFonts w:ascii="Times New Roman" w:hAnsi="Times New Roman" w:cs="Times New Roman"/>
                <w:color w:val="000000" w:themeColor="text1"/>
                <w:sz w:val="24"/>
                <w:szCs w:val="24"/>
                <w:u w:val="none"/>
              </w:rPr>
              <w:fldChar w:fldCharType="end"/>
            </w:r>
            <w:bookmarkEnd w:id="0"/>
            <w:r w:rsidRPr="00190754">
              <w:rPr>
                <w:rFonts w:ascii="Times New Roman" w:hAnsi="Times New Roman" w:cs="Times New Roman"/>
                <w:sz w:val="24"/>
                <w:szCs w:val="24"/>
                <w:lang w:val="en-US"/>
              </w:rPr>
              <w:t xml:space="preserve"> and Rise, 2007). Frequency of usage data, downloaded from the applications with the use of computer software packed at the end of the study. Final measure (times 2) will consist of the frequency data, the self-reported </w:t>
            </w:r>
            <w:r w:rsidRPr="00190754">
              <w:rPr>
                <w:rFonts w:ascii="Times New Roman" w:hAnsi="Times New Roman" w:cs="Times New Roman"/>
                <w:sz w:val="24"/>
                <w:szCs w:val="24"/>
              </w:rPr>
              <w:t>food preference and food consumption</w:t>
            </w:r>
            <w:r w:rsidRPr="00190754">
              <w:rPr>
                <w:rFonts w:ascii="Times New Roman" w:hAnsi="Times New Roman" w:cs="Times New Roman"/>
                <w:sz w:val="24"/>
                <w:szCs w:val="24"/>
                <w:lang w:val="en-US"/>
              </w:rPr>
              <w:t xml:space="preserve"> and the self-</w:t>
            </w:r>
            <w:r w:rsidRPr="00190754">
              <w:rPr>
                <w:rFonts w:ascii="Times New Roman" w:hAnsi="Times New Roman" w:cs="Times New Roman"/>
                <w:sz w:val="24"/>
                <w:szCs w:val="24"/>
              </w:rPr>
              <w:t xml:space="preserve"> administered</w:t>
            </w:r>
            <w:r w:rsidRPr="00190754">
              <w:rPr>
                <w:rFonts w:ascii="Times New Roman" w:hAnsi="Times New Roman" w:cs="Times New Roman"/>
                <w:sz w:val="24"/>
                <w:szCs w:val="24"/>
                <w:lang w:val="en-US"/>
              </w:rPr>
              <w:t xml:space="preserve"> questionnaire testing the intention to eat healthy food and the theoretical constructs of intention and perceived behavioral control. At this point a selected group of participants will be asked to take part in focus group in order to discuss and provide any evaluation and feedback from the use of the application. The collected qualitative that will be included in the evaluation process. Data collection is estimated to have a duration of approximately eight months. All data besides from the one collected from the focus group will be collected with the use of the online application.</w:t>
            </w:r>
          </w:p>
          <w:p w:rsidR="0079648E" w:rsidRPr="00190754" w:rsidRDefault="0079648E" w:rsidP="007C769C">
            <w:pPr>
              <w:rPr>
                <w:rFonts w:ascii="Times New Roman" w:eastAsia="Times New Roman" w:hAnsi="Times New Roman" w:cs="Times New Roman"/>
                <w:sz w:val="24"/>
                <w:szCs w:val="24"/>
              </w:rPr>
            </w:pPr>
          </w:p>
          <w:p w:rsidR="0079648E" w:rsidRPr="00190754" w:rsidRDefault="0079648E" w:rsidP="0079648E">
            <w:pPr>
              <w:rPr>
                <w:rFonts w:ascii="Times New Roman" w:hAnsi="Times New Roman" w:cs="Times New Roman"/>
                <w:sz w:val="24"/>
                <w:szCs w:val="24"/>
              </w:rPr>
            </w:pPr>
            <w:r w:rsidRPr="00190754">
              <w:rPr>
                <w:rFonts w:ascii="Times New Roman" w:hAnsi="Times New Roman" w:cs="Times New Roman"/>
                <w:sz w:val="24"/>
                <w:szCs w:val="24"/>
              </w:rPr>
              <w:t>Primary and secondary outcome measures</w:t>
            </w:r>
          </w:p>
          <w:p w:rsidR="0079648E" w:rsidRPr="00190754" w:rsidRDefault="0079648E" w:rsidP="0079648E">
            <w:pPr>
              <w:rPr>
                <w:rFonts w:ascii="Times New Roman" w:hAnsi="Times New Roman" w:cs="Times New Roman"/>
                <w:sz w:val="24"/>
                <w:szCs w:val="24"/>
                <w:lang w:val="en-US"/>
              </w:rPr>
            </w:pPr>
            <w:r w:rsidRPr="00190754">
              <w:rPr>
                <w:rFonts w:ascii="Times New Roman" w:hAnsi="Times New Roman" w:cs="Times New Roman"/>
                <w:sz w:val="24"/>
                <w:szCs w:val="24"/>
                <w:lang w:val="en-US"/>
              </w:rPr>
              <w:t xml:space="preserve">The primary outcome of the study is the measure of intervention efficacy and health eating behavioral change. This will measured by self-reported </w:t>
            </w:r>
            <w:r w:rsidRPr="00190754">
              <w:rPr>
                <w:rFonts w:ascii="Times New Roman" w:hAnsi="Times New Roman" w:cs="Times New Roman"/>
                <w:sz w:val="24"/>
                <w:szCs w:val="24"/>
              </w:rPr>
              <w:t>food preference and food consumption</w:t>
            </w:r>
            <w:r w:rsidRPr="00190754">
              <w:rPr>
                <w:rFonts w:ascii="Times New Roman" w:hAnsi="Times New Roman" w:cs="Times New Roman"/>
                <w:sz w:val="24"/>
                <w:szCs w:val="24"/>
                <w:lang w:val="en-US"/>
              </w:rPr>
              <w:t xml:space="preserve"> and the self-</w:t>
            </w:r>
            <w:r w:rsidRPr="00190754">
              <w:rPr>
                <w:rFonts w:ascii="Times New Roman" w:hAnsi="Times New Roman" w:cs="Times New Roman"/>
                <w:sz w:val="24"/>
                <w:szCs w:val="24"/>
              </w:rPr>
              <w:t xml:space="preserve"> administered</w:t>
            </w:r>
            <w:r w:rsidRPr="00190754">
              <w:rPr>
                <w:rFonts w:ascii="Times New Roman" w:hAnsi="Times New Roman" w:cs="Times New Roman"/>
                <w:sz w:val="24"/>
                <w:szCs w:val="24"/>
                <w:lang w:val="en-US"/>
              </w:rPr>
              <w:t xml:space="preserve"> questionnaire at time 1 and 4. The predictive ability of the TPB will be tested at time 1 and 4. In order to test the predictability of the theory in relation to any changes indicated in the food consumption questioner. Secondary outcome measure will be obtained through the demographic information and the focus group, with the intention to explore </w:t>
            </w:r>
            <w:proofErr w:type="gramStart"/>
            <w:r w:rsidRPr="00190754">
              <w:rPr>
                <w:rFonts w:ascii="Times New Roman" w:hAnsi="Times New Roman" w:cs="Times New Roman"/>
                <w:sz w:val="24"/>
                <w:szCs w:val="24"/>
                <w:lang w:val="en-US"/>
              </w:rPr>
              <w:t>students</w:t>
            </w:r>
            <w:proofErr w:type="gramEnd"/>
            <w:r w:rsidRPr="00190754">
              <w:rPr>
                <w:rFonts w:ascii="Times New Roman" w:hAnsi="Times New Roman" w:cs="Times New Roman"/>
                <w:sz w:val="24"/>
                <w:szCs w:val="24"/>
                <w:lang w:val="en-US"/>
              </w:rPr>
              <w:t xml:space="preserve"> demographic differences, the groups who are most likely to benefit from the intervention and possible reasons for participant attrition. Frequency will be analyzed to exclude students who fall below a usage cut-off point. </w:t>
            </w:r>
          </w:p>
          <w:p w:rsidR="0079648E" w:rsidRPr="00190754" w:rsidRDefault="0079648E" w:rsidP="007C769C">
            <w:pPr>
              <w:rPr>
                <w:rFonts w:ascii="Times New Roman" w:eastAsia="Times New Roman" w:hAnsi="Times New Roman" w:cs="Times New Roman"/>
                <w:sz w:val="24"/>
                <w:szCs w:val="24"/>
              </w:rPr>
            </w:pPr>
          </w:p>
          <w:p w:rsidR="0079648E" w:rsidRPr="00190754" w:rsidRDefault="0079648E" w:rsidP="007C769C">
            <w:pPr>
              <w:rPr>
                <w:rFonts w:ascii="Times New Roman" w:eastAsia="Times New Roman" w:hAnsi="Times New Roman" w:cs="Times New Roman"/>
                <w:sz w:val="24"/>
                <w:szCs w:val="24"/>
              </w:rPr>
            </w:pPr>
          </w:p>
          <w:p w:rsidR="0079648E" w:rsidRPr="00190754" w:rsidRDefault="0079648E" w:rsidP="007C769C">
            <w:pPr>
              <w:rPr>
                <w:rFonts w:ascii="Times New Roman" w:eastAsia="Times New Roman" w:hAnsi="Times New Roman" w:cs="Times New Roman"/>
                <w:sz w:val="24"/>
                <w:szCs w:val="24"/>
              </w:rPr>
            </w:pPr>
          </w:p>
          <w:p w:rsidR="0079648E" w:rsidRPr="00190754" w:rsidRDefault="0079648E" w:rsidP="0079648E">
            <w:pPr>
              <w:rPr>
                <w:rFonts w:ascii="Times New Roman" w:hAnsi="Times New Roman" w:cs="Times New Roman"/>
                <w:sz w:val="24"/>
                <w:szCs w:val="24"/>
              </w:rPr>
            </w:pPr>
            <w:r w:rsidRPr="00190754">
              <w:rPr>
                <w:rFonts w:ascii="Times New Roman" w:hAnsi="Times New Roman" w:cs="Times New Roman"/>
                <w:sz w:val="24"/>
                <w:szCs w:val="24"/>
              </w:rPr>
              <w:t>Planned analyses</w:t>
            </w:r>
          </w:p>
          <w:p w:rsidR="0079648E" w:rsidRPr="00190754" w:rsidRDefault="0079648E" w:rsidP="0079648E">
            <w:pPr>
              <w:rPr>
                <w:rFonts w:ascii="Times New Roman" w:hAnsi="Times New Roman" w:cs="Times New Roman"/>
                <w:sz w:val="24"/>
                <w:szCs w:val="24"/>
                <w:lang w:val="en-US"/>
              </w:rPr>
            </w:pPr>
            <w:r w:rsidRPr="00190754">
              <w:rPr>
                <w:rFonts w:ascii="Times New Roman" w:hAnsi="Times New Roman" w:cs="Times New Roman"/>
                <w:sz w:val="24"/>
                <w:szCs w:val="24"/>
                <w:lang w:val="en-US"/>
              </w:rPr>
              <w:t xml:space="preserve">A mixed Analysis will examine the differences in </w:t>
            </w:r>
            <w:r w:rsidRPr="00190754">
              <w:rPr>
                <w:rFonts w:ascii="Times New Roman" w:hAnsi="Times New Roman" w:cs="Times New Roman"/>
                <w:sz w:val="24"/>
                <w:szCs w:val="24"/>
              </w:rPr>
              <w:t>food preference and food consumption</w:t>
            </w:r>
            <w:r w:rsidRPr="00190754">
              <w:rPr>
                <w:rFonts w:ascii="Times New Roman" w:hAnsi="Times New Roman" w:cs="Times New Roman"/>
                <w:sz w:val="24"/>
                <w:szCs w:val="24"/>
                <w:lang w:val="en-US"/>
              </w:rPr>
              <w:t>, between the three sample groups (years of study), and intervention efficacy at the star (time 1) and the end of the intervention (time 2). Regression analyses will examine the predictive potential of TPB and demographic variables. Thematic analysis will any important themes from the focus group and evaluate the perceived efficacy, usefulness and potential further use of the intervention.</w:t>
            </w:r>
          </w:p>
          <w:p w:rsidR="0079648E" w:rsidRPr="00190754" w:rsidRDefault="0079648E" w:rsidP="007C769C">
            <w:pPr>
              <w:rPr>
                <w:rFonts w:ascii="Times New Roman" w:hAnsi="Times New Roman" w:cs="Times New Roman"/>
                <w:b/>
                <w:sz w:val="24"/>
                <w:szCs w:val="24"/>
              </w:rPr>
            </w:pPr>
          </w:p>
          <w:p w:rsidR="00D610BC" w:rsidRPr="00190754" w:rsidRDefault="00D610BC" w:rsidP="007C769C">
            <w:pPr>
              <w:rPr>
                <w:rFonts w:ascii="Times New Roman" w:hAnsi="Times New Roman" w:cs="Times New Roman"/>
                <w:b/>
                <w:sz w:val="24"/>
                <w:szCs w:val="24"/>
              </w:rPr>
            </w:pPr>
            <w:r w:rsidRPr="00190754">
              <w:rPr>
                <w:rFonts w:ascii="Times New Roman" w:hAnsi="Times New Roman" w:cs="Times New Roman"/>
                <w:b/>
                <w:sz w:val="24"/>
                <w:szCs w:val="24"/>
              </w:rPr>
              <w:t>Main Ethical considerations</w:t>
            </w:r>
          </w:p>
          <w:p w:rsidR="00D610BC" w:rsidRPr="00190754" w:rsidRDefault="00D610BC" w:rsidP="007C769C">
            <w:pPr>
              <w:rPr>
                <w:rFonts w:ascii="Times New Roman" w:hAnsi="Times New Roman" w:cs="Times New Roman"/>
                <w:sz w:val="24"/>
                <w:szCs w:val="24"/>
              </w:rPr>
            </w:pPr>
          </w:p>
          <w:p w:rsidR="00D610BC" w:rsidRPr="00190754" w:rsidRDefault="00D610BC" w:rsidP="007C769C">
            <w:pPr>
              <w:rPr>
                <w:rFonts w:ascii="Times New Roman" w:hAnsi="Times New Roman" w:cs="Times New Roman"/>
                <w:sz w:val="24"/>
                <w:szCs w:val="24"/>
                <w:lang w:val="en-US"/>
              </w:rPr>
            </w:pPr>
            <w:r w:rsidRPr="00190754">
              <w:rPr>
                <w:rFonts w:ascii="Times New Roman" w:hAnsi="Times New Roman" w:cs="Times New Roman"/>
                <w:sz w:val="24"/>
                <w:szCs w:val="24"/>
                <w:lang w:val="en-US"/>
              </w:rPr>
              <w:t>The British Psychological Society (BPS) eth</w:t>
            </w:r>
            <w:r w:rsidR="001F2965" w:rsidRPr="00190754">
              <w:rPr>
                <w:rFonts w:ascii="Times New Roman" w:hAnsi="Times New Roman" w:cs="Times New Roman"/>
                <w:sz w:val="24"/>
                <w:szCs w:val="24"/>
                <w:lang w:val="en-US"/>
              </w:rPr>
              <w:t xml:space="preserve">ical guidelines will be </w:t>
            </w:r>
            <w:r w:rsidRPr="00190754">
              <w:rPr>
                <w:rFonts w:ascii="Times New Roman" w:hAnsi="Times New Roman" w:cs="Times New Roman"/>
                <w:sz w:val="24"/>
                <w:szCs w:val="24"/>
                <w:lang w:val="en-US"/>
              </w:rPr>
              <w:t xml:space="preserve">followed at all stages of the study.  Consentience form as well as full information package will be available at all times on the mobile application. </w:t>
            </w:r>
          </w:p>
          <w:p w:rsidR="00D610BC" w:rsidRPr="00190754" w:rsidRDefault="00D610BC" w:rsidP="007C769C">
            <w:pPr>
              <w:rPr>
                <w:rFonts w:ascii="Times New Roman" w:hAnsi="Times New Roman" w:cs="Times New Roman"/>
                <w:sz w:val="24"/>
                <w:szCs w:val="24"/>
                <w:lang w:val="en-US"/>
              </w:rPr>
            </w:pPr>
            <w:r w:rsidRPr="00190754">
              <w:rPr>
                <w:rFonts w:ascii="Times New Roman" w:hAnsi="Times New Roman" w:cs="Times New Roman"/>
                <w:sz w:val="24"/>
                <w:szCs w:val="24"/>
                <w:lang w:val="en-US"/>
              </w:rPr>
              <w:t xml:space="preserve">The participants will be given exact information about how to quit the study. The collected data from the participants will be anonymous, with each participant being assigned a randomly generated code representing his presence on the system. The manuscripts from the focused group will be stored on a password secured file.  Any identifying information such as names will be et…, will be replaced. Up on it transcription the data from the focus group will be destroyed. </w:t>
            </w:r>
          </w:p>
          <w:p w:rsidR="00D610BC" w:rsidRPr="00190754" w:rsidRDefault="00D610BC" w:rsidP="007C769C">
            <w:pPr>
              <w:pStyle w:val="Heading1"/>
              <w:outlineLvl w:val="0"/>
              <w:rPr>
                <w:b w:val="0"/>
                <w:sz w:val="24"/>
                <w:szCs w:val="24"/>
                <w:lang w:val="en-US"/>
              </w:rPr>
            </w:pPr>
          </w:p>
          <w:p w:rsidR="00D610BC" w:rsidRPr="00190754" w:rsidRDefault="00D610BC" w:rsidP="007C769C">
            <w:pPr>
              <w:pStyle w:val="Heading1"/>
              <w:outlineLvl w:val="0"/>
              <w:rPr>
                <w:b w:val="0"/>
                <w:sz w:val="24"/>
                <w:szCs w:val="24"/>
                <w:lang w:val="en-US"/>
              </w:rPr>
            </w:pPr>
          </w:p>
          <w:p w:rsidR="0079648E" w:rsidRPr="00190754" w:rsidRDefault="0079648E" w:rsidP="0079648E">
            <w:pPr>
              <w:rPr>
                <w:rFonts w:ascii="Times New Roman" w:hAnsi="Times New Roman" w:cs="Times New Roman"/>
                <w:sz w:val="24"/>
                <w:szCs w:val="24"/>
              </w:rPr>
            </w:pPr>
          </w:p>
          <w:p w:rsidR="0079648E" w:rsidRPr="00190754" w:rsidRDefault="0079648E" w:rsidP="0079648E">
            <w:pPr>
              <w:rPr>
                <w:rFonts w:ascii="Times New Roman" w:hAnsi="Times New Roman" w:cs="Times New Roman"/>
                <w:sz w:val="24"/>
                <w:szCs w:val="24"/>
              </w:rPr>
            </w:pPr>
          </w:p>
          <w:p w:rsidR="0079648E" w:rsidRPr="00190754" w:rsidRDefault="0079648E" w:rsidP="0079648E">
            <w:pPr>
              <w:rPr>
                <w:rFonts w:ascii="Times New Roman" w:hAnsi="Times New Roman" w:cs="Times New Roman"/>
                <w:sz w:val="24"/>
                <w:szCs w:val="24"/>
              </w:rPr>
            </w:pPr>
            <w:r w:rsidRPr="00190754">
              <w:rPr>
                <w:rFonts w:ascii="Times New Roman" w:hAnsi="Times New Roman" w:cs="Times New Roman"/>
                <w:sz w:val="24"/>
                <w:szCs w:val="24"/>
              </w:rPr>
              <w:t>Main Ethical considerations</w:t>
            </w:r>
          </w:p>
          <w:p w:rsidR="0079648E" w:rsidRPr="00190754" w:rsidRDefault="0079648E" w:rsidP="0079648E">
            <w:pPr>
              <w:rPr>
                <w:rFonts w:ascii="Times New Roman" w:hAnsi="Times New Roman" w:cs="Times New Roman"/>
                <w:sz w:val="24"/>
                <w:szCs w:val="24"/>
                <w:lang w:val="en-US"/>
              </w:rPr>
            </w:pPr>
          </w:p>
          <w:p w:rsidR="0079648E" w:rsidRPr="00190754" w:rsidRDefault="0079648E" w:rsidP="0079648E">
            <w:pPr>
              <w:rPr>
                <w:rFonts w:ascii="Times New Roman" w:hAnsi="Times New Roman" w:cs="Times New Roman"/>
                <w:sz w:val="24"/>
                <w:szCs w:val="24"/>
                <w:lang w:val="en-US"/>
              </w:rPr>
            </w:pPr>
            <w:r w:rsidRPr="00190754">
              <w:rPr>
                <w:rFonts w:ascii="Times New Roman" w:hAnsi="Times New Roman" w:cs="Times New Roman"/>
                <w:sz w:val="24"/>
                <w:szCs w:val="24"/>
                <w:lang w:val="en-US"/>
              </w:rPr>
              <w:t>The British Psychological Society (BPS) ethical guidelines will be followed at all stages of the study. All participants will be provided with a full information pack. Before agreeing to take part in the research students will be required to convey their understanding and consent by signing an online consent form. The participants will be provided with a contact of a study representative in case of any risen concerns. The participants will be reminded that they have the right to withdraw at any given time. They will be shown how to delete the mobile application at any time. The information about the deletion process, the withdraw information and the consent information will be available to the at all times and can be found on the online application. The participants will be guaranteed full confidentiality, as well as inference that the mobile application will collect information only related to the study and will not record or interfere with any personal information, which can be found on their mobile devices. The manuscripts from the focused group will be stored on a password secured file.  Any identifying information such as names will be replaced. Up on its, transcription the data from the focus group will be destroyed.</w:t>
            </w:r>
          </w:p>
          <w:p w:rsidR="00D610BC" w:rsidRPr="00190754" w:rsidRDefault="00D610BC" w:rsidP="007C769C">
            <w:pPr>
              <w:rPr>
                <w:rFonts w:ascii="Times New Roman" w:hAnsi="Times New Roman" w:cs="Times New Roman"/>
                <w:sz w:val="24"/>
                <w:szCs w:val="24"/>
              </w:rPr>
            </w:pPr>
          </w:p>
          <w:p w:rsidR="00190754" w:rsidRPr="00190754" w:rsidRDefault="00190754" w:rsidP="007C769C">
            <w:pPr>
              <w:rPr>
                <w:rFonts w:ascii="Times New Roman" w:hAnsi="Times New Roman" w:cs="Times New Roman"/>
                <w:sz w:val="24"/>
                <w:szCs w:val="24"/>
              </w:rPr>
            </w:pPr>
          </w:p>
          <w:p w:rsidR="00190754" w:rsidRPr="00190754" w:rsidRDefault="00190754" w:rsidP="007C769C">
            <w:pPr>
              <w:rPr>
                <w:rFonts w:ascii="Times New Roman" w:hAnsi="Times New Roman" w:cs="Times New Roman"/>
                <w:sz w:val="24"/>
                <w:szCs w:val="24"/>
              </w:rPr>
            </w:pPr>
            <w:r w:rsidRPr="00190754">
              <w:rPr>
                <w:rFonts w:ascii="Times New Roman" w:hAnsi="Times New Roman" w:cs="Times New Roman"/>
                <w:sz w:val="24"/>
                <w:szCs w:val="24"/>
              </w:rPr>
              <w:t>What are the expected outputs from this project?</w:t>
            </w:r>
          </w:p>
          <w:p w:rsidR="00190754" w:rsidRPr="00190754" w:rsidRDefault="00190754" w:rsidP="007C769C">
            <w:pPr>
              <w:rPr>
                <w:rFonts w:ascii="Times New Roman" w:hAnsi="Times New Roman" w:cs="Times New Roman"/>
                <w:sz w:val="24"/>
                <w:szCs w:val="24"/>
              </w:rPr>
            </w:pPr>
          </w:p>
          <w:p w:rsidR="00190754" w:rsidRPr="00190754" w:rsidRDefault="00190754" w:rsidP="007C769C">
            <w:pPr>
              <w:rPr>
                <w:rFonts w:ascii="Times New Roman" w:hAnsi="Times New Roman" w:cs="Times New Roman"/>
                <w:sz w:val="24"/>
                <w:szCs w:val="24"/>
                <w:lang w:val="en-US"/>
              </w:rPr>
            </w:pPr>
            <w:r w:rsidRPr="00190754">
              <w:rPr>
                <w:rFonts w:ascii="Times New Roman" w:hAnsi="Times New Roman" w:cs="Times New Roman"/>
                <w:sz w:val="24"/>
                <w:szCs w:val="24"/>
                <w:lang w:val="en-US"/>
              </w:rPr>
              <w:t>It is hoped that the results from this study will contribute to the development economically viable mobile application targeting health behavior in students and providing them with the bases for development of healthy eating habits, which will translate in a heathy eating behavior in the later stages of their lives.</w:t>
            </w:r>
            <w:r>
              <w:rPr>
                <w:rFonts w:ascii="Arial" w:hAnsi="Arial" w:cs="Arial"/>
                <w:sz w:val="28"/>
                <w:szCs w:val="28"/>
                <w:lang w:val="en-US"/>
              </w:rPr>
              <w:t xml:space="preserve"> </w:t>
            </w:r>
          </w:p>
        </w:tc>
      </w:tr>
    </w:tbl>
    <w:p w:rsidR="00D610BC" w:rsidRPr="0079648E" w:rsidRDefault="0079648E" w:rsidP="0079648E">
      <w:pPr>
        <w:spacing w:line="480" w:lineRule="auto"/>
        <w:ind w:hanging="709"/>
        <w:jc w:val="center"/>
        <w:rPr>
          <w:lang w:val="en-US"/>
        </w:rPr>
      </w:pPr>
      <w:r>
        <w:rPr>
          <w:lang w:val="en-US"/>
        </w:rPr>
        <w:lastRenderedPageBreak/>
        <w:t>References</w:t>
      </w:r>
    </w:p>
    <w:p w:rsidR="000B747C" w:rsidRDefault="000B747C" w:rsidP="0079648E">
      <w:pPr>
        <w:spacing w:line="480" w:lineRule="auto"/>
        <w:ind w:hanging="709"/>
      </w:pPr>
    </w:p>
    <w:p w:rsidR="0079648E" w:rsidRDefault="0079648E" w:rsidP="0079648E">
      <w:pPr>
        <w:spacing w:line="480" w:lineRule="auto"/>
        <w:ind w:hanging="709"/>
      </w:pPr>
    </w:p>
    <w:p w:rsidR="0079648E" w:rsidRPr="0079648E" w:rsidRDefault="009E2E71" w:rsidP="0079648E">
      <w:pPr>
        <w:spacing w:line="480" w:lineRule="auto"/>
        <w:ind w:hanging="709"/>
        <w:rPr>
          <w:rFonts w:ascii="Times New Roman" w:hAnsi="Times New Roman" w:cs="Times New Roman"/>
          <w:color w:val="000000" w:themeColor="text1"/>
          <w:sz w:val="24"/>
          <w:szCs w:val="24"/>
        </w:rPr>
      </w:pPr>
      <w:hyperlink r:id="rId5" w:history="1">
        <w:r w:rsidR="0079648E" w:rsidRPr="0079648E">
          <w:rPr>
            <w:rStyle w:val="Hyperlink"/>
            <w:rFonts w:ascii="Times New Roman" w:hAnsi="Times New Roman" w:cs="Times New Roman"/>
            <w:color w:val="000000" w:themeColor="text1"/>
            <w:sz w:val="24"/>
            <w:szCs w:val="24"/>
            <w:u w:val="none"/>
          </w:rPr>
          <w:t>Astrøm</w:t>
        </w:r>
      </w:hyperlink>
      <w:r w:rsidR="0079648E" w:rsidRPr="0079648E">
        <w:rPr>
          <w:rFonts w:ascii="Times New Roman" w:hAnsi="Times New Roman" w:cs="Times New Roman"/>
          <w:color w:val="000000" w:themeColor="text1"/>
          <w:sz w:val="24"/>
          <w:szCs w:val="24"/>
        </w:rPr>
        <w:t xml:space="preserve">, A. N., &amp; Rise, J. (2001). Young adults' intention to eat healthy food: Extending the theory of planned behaviour. </w:t>
      </w:r>
      <w:r w:rsidR="0079648E" w:rsidRPr="0079648E">
        <w:rPr>
          <w:rFonts w:ascii="Times New Roman" w:hAnsi="Times New Roman" w:cs="Times New Roman"/>
          <w:i/>
          <w:iCs/>
          <w:color w:val="000000" w:themeColor="text1"/>
          <w:sz w:val="24"/>
          <w:szCs w:val="24"/>
        </w:rPr>
        <w:t>Psychology and Health</w:t>
      </w:r>
      <w:r w:rsidR="0079648E" w:rsidRPr="0079648E">
        <w:rPr>
          <w:rFonts w:ascii="Times New Roman" w:hAnsi="Times New Roman" w:cs="Times New Roman"/>
          <w:color w:val="000000" w:themeColor="text1"/>
          <w:sz w:val="24"/>
          <w:szCs w:val="24"/>
        </w:rPr>
        <w:t xml:space="preserve">, </w:t>
      </w:r>
      <w:r w:rsidR="0079648E" w:rsidRPr="0079648E">
        <w:rPr>
          <w:rFonts w:ascii="Times New Roman" w:hAnsi="Times New Roman" w:cs="Times New Roman"/>
          <w:i/>
          <w:iCs/>
          <w:color w:val="000000" w:themeColor="text1"/>
          <w:sz w:val="24"/>
          <w:szCs w:val="24"/>
        </w:rPr>
        <w:t>16</w:t>
      </w:r>
      <w:r w:rsidR="0079648E" w:rsidRPr="0079648E">
        <w:rPr>
          <w:rFonts w:ascii="Times New Roman" w:hAnsi="Times New Roman" w:cs="Times New Roman"/>
          <w:color w:val="000000" w:themeColor="text1"/>
          <w:sz w:val="24"/>
          <w:szCs w:val="24"/>
        </w:rPr>
        <w:t>(2), 223-237.</w:t>
      </w:r>
    </w:p>
    <w:p w:rsidR="0079648E" w:rsidRPr="0079648E" w:rsidRDefault="0079648E" w:rsidP="0079648E">
      <w:pPr>
        <w:spacing w:line="480" w:lineRule="auto"/>
        <w:ind w:hanging="709"/>
        <w:rPr>
          <w:rFonts w:ascii="Times New Roman" w:hAnsi="Times New Roman" w:cs="Times New Roman"/>
          <w:color w:val="000000" w:themeColor="text1"/>
          <w:sz w:val="24"/>
          <w:szCs w:val="24"/>
          <w:lang w:val="en-US"/>
        </w:rPr>
      </w:pPr>
      <w:r w:rsidRPr="0079648E">
        <w:rPr>
          <w:rFonts w:ascii="Times New Roman" w:hAnsi="Times New Roman" w:cs="Times New Roman"/>
          <w:color w:val="000000" w:themeColor="text1"/>
          <w:sz w:val="24"/>
          <w:szCs w:val="24"/>
          <w:lang w:val="en-US"/>
        </w:rPr>
        <w:t xml:space="preserve">Retrieved from </w:t>
      </w: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rPr>
        <w:t>https://www.researchgate.net/publication/232499540_Young_adults'_intention_to_eat_healthy_food_Extending_the_theory_of_planned_behaviour</w:t>
      </w: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rPr>
        <w:t xml:space="preserve">Coughlin, S. S., Whitehead, M., Sheats, J. Q., Mastromonico, J., Hardy, D., &amp; Smith, S. A. (2015). Smartphone applications for promoting healthy diet and nutrition: a literature review. </w:t>
      </w:r>
      <w:r w:rsidRPr="0079648E">
        <w:rPr>
          <w:rFonts w:ascii="Times New Roman" w:hAnsi="Times New Roman" w:cs="Times New Roman"/>
          <w:i/>
          <w:iCs/>
          <w:color w:val="000000" w:themeColor="text1"/>
          <w:sz w:val="24"/>
          <w:szCs w:val="24"/>
        </w:rPr>
        <w:t>Jacobs journal of food and nutrition</w:t>
      </w:r>
      <w:r w:rsidRPr="0079648E">
        <w:rPr>
          <w:rFonts w:ascii="Times New Roman" w:hAnsi="Times New Roman" w:cs="Times New Roman"/>
          <w:color w:val="000000" w:themeColor="text1"/>
          <w:sz w:val="24"/>
          <w:szCs w:val="24"/>
        </w:rPr>
        <w:t xml:space="preserve">, </w:t>
      </w:r>
      <w:r w:rsidRPr="0079648E">
        <w:rPr>
          <w:rFonts w:ascii="Times New Roman" w:hAnsi="Times New Roman" w:cs="Times New Roman"/>
          <w:i/>
          <w:iCs/>
          <w:color w:val="000000" w:themeColor="text1"/>
          <w:sz w:val="24"/>
          <w:szCs w:val="24"/>
        </w:rPr>
        <w:t>2</w:t>
      </w:r>
      <w:r w:rsidRPr="0079648E">
        <w:rPr>
          <w:rFonts w:ascii="Times New Roman" w:hAnsi="Times New Roman" w:cs="Times New Roman"/>
          <w:color w:val="000000" w:themeColor="text1"/>
          <w:sz w:val="24"/>
          <w:szCs w:val="24"/>
        </w:rPr>
        <w:t>(3), 021.</w:t>
      </w:r>
    </w:p>
    <w:p w:rsidR="0079648E" w:rsidRPr="0079648E" w:rsidRDefault="0079648E" w:rsidP="0079648E">
      <w:pPr>
        <w:spacing w:line="480" w:lineRule="auto"/>
        <w:ind w:hanging="709"/>
        <w:rPr>
          <w:rFonts w:ascii="Times New Roman" w:hAnsi="Times New Roman" w:cs="Times New Roman"/>
          <w:color w:val="000000" w:themeColor="text1"/>
          <w:sz w:val="24"/>
          <w:szCs w:val="24"/>
          <w:lang w:val="en-US"/>
        </w:rPr>
      </w:pPr>
      <w:r w:rsidRPr="0079648E">
        <w:rPr>
          <w:rFonts w:ascii="Times New Roman" w:hAnsi="Times New Roman" w:cs="Times New Roman"/>
          <w:color w:val="000000" w:themeColor="text1"/>
          <w:sz w:val="24"/>
          <w:szCs w:val="24"/>
          <w:lang w:val="en-US"/>
        </w:rPr>
        <w:t xml:space="preserve">Retrieved from </w:t>
      </w:r>
      <w:hyperlink r:id="rId6" w:history="1">
        <w:r w:rsidRPr="0079648E">
          <w:rPr>
            <w:rStyle w:val="Hyperlink"/>
            <w:rFonts w:ascii="Times New Roman" w:hAnsi="Times New Roman" w:cs="Times New Roman"/>
            <w:color w:val="000000" w:themeColor="text1"/>
            <w:sz w:val="24"/>
            <w:szCs w:val="24"/>
            <w:u w:val="none"/>
            <w:lang w:val="en-US"/>
          </w:rPr>
          <w:t>https://www.ncbi.nlm.nih.gov/pmc/articles/PMC4725321/</w:t>
        </w:r>
      </w:hyperlink>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rPr>
        <w:t xml:space="preserve">Deliens, T., Clarys, P., De Bourdeaudhuij, I., &amp; Deforche, B. (2014). Determinants of eating behaviour in university students: a qualitative study using focus group discussions. </w:t>
      </w:r>
      <w:r w:rsidRPr="0079648E">
        <w:rPr>
          <w:rFonts w:ascii="Times New Roman" w:hAnsi="Times New Roman" w:cs="Times New Roman"/>
          <w:i/>
          <w:iCs/>
          <w:color w:val="000000" w:themeColor="text1"/>
          <w:sz w:val="24"/>
          <w:szCs w:val="24"/>
        </w:rPr>
        <w:t>BMC public health</w:t>
      </w:r>
      <w:r w:rsidRPr="0079648E">
        <w:rPr>
          <w:rFonts w:ascii="Times New Roman" w:hAnsi="Times New Roman" w:cs="Times New Roman"/>
          <w:color w:val="000000" w:themeColor="text1"/>
          <w:sz w:val="24"/>
          <w:szCs w:val="24"/>
        </w:rPr>
        <w:t xml:space="preserve">, </w:t>
      </w:r>
      <w:r w:rsidRPr="0079648E">
        <w:rPr>
          <w:rFonts w:ascii="Times New Roman" w:hAnsi="Times New Roman" w:cs="Times New Roman"/>
          <w:i/>
          <w:iCs/>
          <w:color w:val="000000" w:themeColor="text1"/>
          <w:sz w:val="24"/>
          <w:szCs w:val="24"/>
        </w:rPr>
        <w:t>14</w:t>
      </w:r>
      <w:r w:rsidRPr="0079648E">
        <w:rPr>
          <w:rFonts w:ascii="Times New Roman" w:hAnsi="Times New Roman" w:cs="Times New Roman"/>
          <w:color w:val="000000" w:themeColor="text1"/>
          <w:sz w:val="24"/>
          <w:szCs w:val="24"/>
        </w:rPr>
        <w:t>(1), 53.</w:t>
      </w: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lang w:val="en-US"/>
        </w:rPr>
        <w:t xml:space="preserve">Retrieved from </w:t>
      </w:r>
      <w:hyperlink r:id="rId7" w:history="1">
        <w:r w:rsidRPr="0079648E">
          <w:rPr>
            <w:rStyle w:val="Hyperlink"/>
            <w:rFonts w:ascii="Times New Roman" w:hAnsi="Times New Roman" w:cs="Times New Roman"/>
            <w:color w:val="000000" w:themeColor="text1"/>
            <w:sz w:val="24"/>
            <w:szCs w:val="24"/>
            <w:u w:val="none"/>
          </w:rPr>
          <w:t>https://doi.org/10.1186/1471-2458-14-53</w:t>
        </w:r>
      </w:hyperlink>
    </w:p>
    <w:p w:rsidR="0079648E" w:rsidRPr="0079648E" w:rsidRDefault="0079648E" w:rsidP="0079648E">
      <w:pPr>
        <w:spacing w:line="480" w:lineRule="auto"/>
        <w:ind w:hanging="709"/>
        <w:rPr>
          <w:rFonts w:ascii="Times New Roman" w:hAnsi="Times New Roman" w:cs="Times New Roman"/>
          <w:color w:val="000000" w:themeColor="text1"/>
          <w:sz w:val="24"/>
          <w:szCs w:val="24"/>
        </w:rPr>
      </w:pPr>
    </w:p>
    <w:p w:rsidR="0079648E" w:rsidRPr="0079648E" w:rsidRDefault="0079648E" w:rsidP="0079648E">
      <w:pPr>
        <w:spacing w:line="480" w:lineRule="auto"/>
        <w:ind w:hanging="709"/>
        <w:rPr>
          <w:rFonts w:ascii="Times New Roman" w:hAnsi="Times New Roman" w:cs="Times New Roman"/>
          <w:color w:val="000000" w:themeColor="text1"/>
          <w:sz w:val="24"/>
          <w:szCs w:val="24"/>
        </w:rPr>
      </w:pPr>
    </w:p>
    <w:p w:rsidR="0079648E" w:rsidRPr="0079648E" w:rsidRDefault="0079648E" w:rsidP="0079648E">
      <w:pPr>
        <w:spacing w:line="480" w:lineRule="auto"/>
        <w:ind w:hanging="709"/>
        <w:rPr>
          <w:rFonts w:ascii="Times New Roman" w:hAnsi="Times New Roman" w:cs="Times New Roman"/>
          <w:color w:val="000000" w:themeColor="text1"/>
          <w:sz w:val="24"/>
          <w:szCs w:val="24"/>
        </w:rPr>
      </w:pPr>
    </w:p>
    <w:p w:rsidR="0079648E" w:rsidRPr="0079648E" w:rsidRDefault="0079648E" w:rsidP="0079648E">
      <w:pPr>
        <w:spacing w:line="480" w:lineRule="auto"/>
        <w:ind w:hanging="709"/>
        <w:rPr>
          <w:rFonts w:ascii="Times New Roman" w:hAnsi="Times New Roman" w:cs="Times New Roman"/>
          <w:color w:val="000000" w:themeColor="text1"/>
          <w:sz w:val="24"/>
          <w:szCs w:val="24"/>
          <w:lang w:val="en-US"/>
        </w:rPr>
      </w:pPr>
      <w:r w:rsidRPr="0079648E">
        <w:rPr>
          <w:rFonts w:ascii="Times New Roman" w:hAnsi="Times New Roman" w:cs="Times New Roman"/>
          <w:color w:val="000000" w:themeColor="text1"/>
          <w:sz w:val="24"/>
          <w:szCs w:val="24"/>
          <w:lang w:val="en-US"/>
        </w:rPr>
        <w:t>Department of Education</w:t>
      </w:r>
      <w:r w:rsidRPr="0079648E">
        <w:rPr>
          <w:rFonts w:ascii="Times New Roman" w:hAnsi="Times New Roman" w:cs="Times New Roman"/>
          <w:color w:val="000000" w:themeColor="text1"/>
          <w:sz w:val="24"/>
          <w:szCs w:val="24"/>
        </w:rPr>
        <w:t>. Participation Rates in Higher Education: Academic Years 2006/2007 –2016/2017. London: British Government; 2018</w:t>
      </w:r>
      <w:r w:rsidRPr="0079648E">
        <w:rPr>
          <w:rFonts w:ascii="Times New Roman" w:hAnsi="Times New Roman" w:cs="Times New Roman"/>
          <w:color w:val="000000" w:themeColor="text1"/>
          <w:sz w:val="24"/>
          <w:szCs w:val="24"/>
          <w:lang w:val="en-US"/>
        </w:rPr>
        <w:t>.</w:t>
      </w: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lang w:val="en-US"/>
        </w:rPr>
        <w:lastRenderedPageBreak/>
        <w:t xml:space="preserve">Retrieved from </w:t>
      </w:r>
      <w:hyperlink r:id="rId8" w:history="1">
        <w:r w:rsidRPr="0079648E">
          <w:rPr>
            <w:rStyle w:val="Hyperlink"/>
            <w:rFonts w:ascii="Times New Roman" w:hAnsi="Times New Roman" w:cs="Times New Roman"/>
            <w:color w:val="000000" w:themeColor="text1"/>
            <w:sz w:val="24"/>
            <w:szCs w:val="24"/>
            <w:u w:val="none"/>
            <w:lang w:val="en-US"/>
          </w:rPr>
          <w:t>https://assets.publishing.service.gov.uk/government/uploads/system/uploads/attachment_data/file/744087/Main_text_participation_rates_in_higher_education_2006_to_2017_.pdf</w:t>
        </w:r>
      </w:hyperlink>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rPr>
        <w:t xml:space="preserve">Dodd, L. J., Al-Nakeeb, Y., Nevill, A., &amp; Forshaw, M. J. (2010). Lifestyle risk factors of students: a cluster analytical approach. </w:t>
      </w:r>
      <w:r w:rsidRPr="0079648E">
        <w:rPr>
          <w:rFonts w:ascii="Times New Roman" w:hAnsi="Times New Roman" w:cs="Times New Roman"/>
          <w:i/>
          <w:iCs/>
          <w:color w:val="000000" w:themeColor="text1"/>
          <w:sz w:val="24"/>
          <w:szCs w:val="24"/>
        </w:rPr>
        <w:t>Preventive medicine</w:t>
      </w:r>
      <w:r w:rsidRPr="0079648E">
        <w:rPr>
          <w:rFonts w:ascii="Times New Roman" w:hAnsi="Times New Roman" w:cs="Times New Roman"/>
          <w:color w:val="000000" w:themeColor="text1"/>
          <w:sz w:val="24"/>
          <w:szCs w:val="24"/>
        </w:rPr>
        <w:t xml:space="preserve">, </w:t>
      </w:r>
      <w:r w:rsidRPr="0079648E">
        <w:rPr>
          <w:rFonts w:ascii="Times New Roman" w:hAnsi="Times New Roman" w:cs="Times New Roman"/>
          <w:i/>
          <w:iCs/>
          <w:color w:val="000000" w:themeColor="text1"/>
          <w:sz w:val="24"/>
          <w:szCs w:val="24"/>
        </w:rPr>
        <w:t>51</w:t>
      </w:r>
      <w:r w:rsidRPr="0079648E">
        <w:rPr>
          <w:rFonts w:ascii="Times New Roman" w:hAnsi="Times New Roman" w:cs="Times New Roman"/>
          <w:color w:val="000000" w:themeColor="text1"/>
          <w:sz w:val="24"/>
          <w:szCs w:val="24"/>
        </w:rPr>
        <w:t>(1), 73-77.</w:t>
      </w: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lang w:val="en-US"/>
        </w:rPr>
        <w:t xml:space="preserve">Retrieved from </w:t>
      </w:r>
      <w:hyperlink r:id="rId9" w:tgtFrame="_blank" w:tooltip="Persistent link using digital object identifier" w:history="1">
        <w:r w:rsidRPr="0079648E">
          <w:rPr>
            <w:rStyle w:val="Hyperlink"/>
            <w:rFonts w:ascii="Times New Roman" w:hAnsi="Times New Roman" w:cs="Times New Roman"/>
            <w:color w:val="000000" w:themeColor="text1"/>
            <w:sz w:val="24"/>
            <w:szCs w:val="24"/>
            <w:u w:val="none"/>
          </w:rPr>
          <w:t>https://doi.org/10.1016/j.ypmed.2010.04.005</w:t>
        </w:r>
      </w:hyperlink>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rPr>
        <w:t>Guo SS, Huang C, Maynard LM, Demerath E, Towne B, Chumlea WC, et al.Body mass index during childhood , adolescence and young adulthood inrelation to adult overweight and adiposity: the Fels longitudinal study. Int JObes. 2000;24:1628–35</w:t>
      </w: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lang w:val="en-US"/>
        </w:rPr>
        <w:t xml:space="preserve">Retrieved from </w:t>
      </w:r>
      <w:r w:rsidRPr="0079648E">
        <w:rPr>
          <w:rFonts w:ascii="Times New Roman" w:hAnsi="Times New Roman" w:cs="Times New Roman"/>
          <w:color w:val="000000" w:themeColor="text1"/>
          <w:sz w:val="24"/>
          <w:szCs w:val="24"/>
        </w:rPr>
        <w:t xml:space="preserve">DOI: </w:t>
      </w:r>
      <w:hyperlink r:id="rId10" w:tgtFrame="_blank" w:history="1">
        <w:r w:rsidRPr="0079648E">
          <w:rPr>
            <w:rStyle w:val="Hyperlink"/>
            <w:rFonts w:ascii="Times New Roman" w:hAnsi="Times New Roman" w:cs="Times New Roman"/>
            <w:color w:val="000000" w:themeColor="text1"/>
            <w:sz w:val="24"/>
            <w:szCs w:val="24"/>
            <w:u w:val="none"/>
          </w:rPr>
          <w:t>10.1038/sj.ijo.0801461</w:t>
        </w:r>
      </w:hyperlink>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rPr>
        <w:t xml:space="preserve">Lee, A. J., Kane, S., Ramsey, R., Good, E., &amp; Dick, M. (2016). Testing the price and affordability of healthy and current (unhealthy) diets and the potential impacts of policy change in Australia. </w:t>
      </w:r>
      <w:r w:rsidRPr="0079648E">
        <w:rPr>
          <w:rFonts w:ascii="Times New Roman" w:hAnsi="Times New Roman" w:cs="Times New Roman"/>
          <w:i/>
          <w:iCs/>
          <w:color w:val="000000" w:themeColor="text1"/>
          <w:sz w:val="24"/>
          <w:szCs w:val="24"/>
        </w:rPr>
        <w:t>BMC Public Health</w:t>
      </w:r>
      <w:r w:rsidRPr="0079648E">
        <w:rPr>
          <w:rFonts w:ascii="Times New Roman" w:hAnsi="Times New Roman" w:cs="Times New Roman"/>
          <w:color w:val="000000" w:themeColor="text1"/>
          <w:sz w:val="24"/>
          <w:szCs w:val="24"/>
        </w:rPr>
        <w:t xml:space="preserve">, </w:t>
      </w:r>
      <w:r w:rsidRPr="0079648E">
        <w:rPr>
          <w:rFonts w:ascii="Times New Roman" w:hAnsi="Times New Roman" w:cs="Times New Roman"/>
          <w:i/>
          <w:iCs/>
          <w:color w:val="000000" w:themeColor="text1"/>
          <w:sz w:val="24"/>
          <w:szCs w:val="24"/>
        </w:rPr>
        <w:t>16</w:t>
      </w:r>
      <w:r w:rsidRPr="0079648E">
        <w:rPr>
          <w:rFonts w:ascii="Times New Roman" w:hAnsi="Times New Roman" w:cs="Times New Roman"/>
          <w:color w:val="000000" w:themeColor="text1"/>
          <w:sz w:val="24"/>
          <w:szCs w:val="24"/>
        </w:rPr>
        <w:t>(1), 315.</w:t>
      </w:r>
    </w:p>
    <w:p w:rsidR="0079648E" w:rsidRPr="0079648E" w:rsidRDefault="0079648E" w:rsidP="0079648E">
      <w:pPr>
        <w:spacing w:line="480" w:lineRule="auto"/>
        <w:ind w:hanging="709"/>
        <w:rPr>
          <w:rStyle w:val="Hyperlink"/>
          <w:rFonts w:ascii="Times New Roman" w:hAnsi="Times New Roman" w:cs="Times New Roman"/>
          <w:color w:val="000000" w:themeColor="text1"/>
          <w:sz w:val="24"/>
          <w:szCs w:val="24"/>
          <w:u w:val="none"/>
        </w:rPr>
      </w:pPr>
      <w:r w:rsidRPr="0079648E">
        <w:rPr>
          <w:rFonts w:ascii="Times New Roman" w:hAnsi="Times New Roman" w:cs="Times New Roman"/>
          <w:color w:val="000000" w:themeColor="text1"/>
          <w:sz w:val="24"/>
          <w:szCs w:val="24"/>
          <w:lang w:val="en-US"/>
        </w:rPr>
        <w:t xml:space="preserve">Retrieved from </w:t>
      </w:r>
      <w:hyperlink r:id="rId11" w:history="1">
        <w:r w:rsidRPr="0079648E">
          <w:rPr>
            <w:rStyle w:val="Hyperlink"/>
            <w:rFonts w:ascii="Times New Roman" w:hAnsi="Times New Roman" w:cs="Times New Roman"/>
            <w:color w:val="000000" w:themeColor="text1"/>
            <w:sz w:val="24"/>
            <w:szCs w:val="24"/>
            <w:u w:val="none"/>
          </w:rPr>
          <w:t>https://doi.org/10.1186/s12889-016-2996-y</w:t>
        </w:r>
      </w:hyperlink>
    </w:p>
    <w:p w:rsidR="0079648E" w:rsidRPr="0079648E" w:rsidRDefault="0079648E" w:rsidP="0079648E">
      <w:pPr>
        <w:spacing w:line="480" w:lineRule="auto"/>
        <w:ind w:hanging="709"/>
        <w:rPr>
          <w:rStyle w:val="Hyperlink"/>
          <w:rFonts w:ascii="Times New Roman" w:hAnsi="Times New Roman" w:cs="Times New Roman"/>
          <w:color w:val="000000" w:themeColor="text1"/>
          <w:sz w:val="24"/>
          <w:szCs w:val="24"/>
          <w:u w:val="none"/>
        </w:rPr>
      </w:pP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rPr>
        <w:t xml:space="preserve">Li, K. K., Concepcion, R. Y., Lee, H., Cardinal, B. J., Ebbeck, V., Woekel, E., &amp; Readdy, R. T. (2012). An examination of sex differences in relation to the eating habits and nutrient intakes of university students. </w:t>
      </w:r>
      <w:r w:rsidRPr="0079648E">
        <w:rPr>
          <w:rFonts w:ascii="Times New Roman" w:hAnsi="Times New Roman" w:cs="Times New Roman"/>
          <w:i/>
          <w:iCs/>
          <w:color w:val="000000" w:themeColor="text1"/>
          <w:sz w:val="24"/>
          <w:szCs w:val="24"/>
        </w:rPr>
        <w:t>Journal of nutrition education and behavior</w:t>
      </w:r>
      <w:r w:rsidRPr="0079648E">
        <w:rPr>
          <w:rFonts w:ascii="Times New Roman" w:hAnsi="Times New Roman" w:cs="Times New Roman"/>
          <w:color w:val="000000" w:themeColor="text1"/>
          <w:sz w:val="24"/>
          <w:szCs w:val="24"/>
        </w:rPr>
        <w:t xml:space="preserve">, </w:t>
      </w:r>
      <w:r w:rsidRPr="0079648E">
        <w:rPr>
          <w:rFonts w:ascii="Times New Roman" w:hAnsi="Times New Roman" w:cs="Times New Roman"/>
          <w:i/>
          <w:iCs/>
          <w:color w:val="000000" w:themeColor="text1"/>
          <w:sz w:val="24"/>
          <w:szCs w:val="24"/>
        </w:rPr>
        <w:t>44</w:t>
      </w:r>
      <w:r w:rsidRPr="0079648E">
        <w:rPr>
          <w:rFonts w:ascii="Times New Roman" w:hAnsi="Times New Roman" w:cs="Times New Roman"/>
          <w:color w:val="000000" w:themeColor="text1"/>
          <w:sz w:val="24"/>
          <w:szCs w:val="24"/>
        </w:rPr>
        <w:t>(3), 246-250.</w:t>
      </w: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lang w:val="en-US"/>
        </w:rPr>
        <w:t xml:space="preserve">Retrieved from </w:t>
      </w:r>
      <w:hyperlink r:id="rId12" w:tgtFrame="_blank" w:tooltip="Persistent link using digital object identifier" w:history="1">
        <w:r w:rsidRPr="0079648E">
          <w:rPr>
            <w:rStyle w:val="Hyperlink"/>
            <w:rFonts w:ascii="Times New Roman" w:hAnsi="Times New Roman" w:cs="Times New Roman"/>
            <w:color w:val="000000" w:themeColor="text1"/>
            <w:sz w:val="24"/>
            <w:szCs w:val="24"/>
            <w:u w:val="none"/>
          </w:rPr>
          <w:t>https://doi.org/10.1016/j.jneb.2010.10.002</w:t>
        </w:r>
      </w:hyperlink>
    </w:p>
    <w:p w:rsidR="0079648E" w:rsidRPr="0079648E" w:rsidRDefault="0079648E" w:rsidP="0079648E">
      <w:pPr>
        <w:spacing w:line="480" w:lineRule="auto"/>
        <w:ind w:hanging="709"/>
        <w:rPr>
          <w:rFonts w:ascii="Times New Roman" w:hAnsi="Times New Roman" w:cs="Times New Roman"/>
          <w:color w:val="000000" w:themeColor="text1"/>
          <w:sz w:val="24"/>
          <w:szCs w:val="24"/>
        </w:rPr>
      </w:pP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rPr>
        <w:lastRenderedPageBreak/>
        <w:t xml:space="preserve">McDermott, M. S., Oliver, M., Simnadis, T., Beck, E. J., Coltman, T., Iverson, D., ... &amp; Sharma, R. (2015). The Theory of Planned Behaviour and dietary patterns: A systematic review and meta-analysis. </w:t>
      </w:r>
      <w:r w:rsidRPr="0079648E">
        <w:rPr>
          <w:rFonts w:ascii="Times New Roman" w:hAnsi="Times New Roman" w:cs="Times New Roman"/>
          <w:i/>
          <w:iCs/>
          <w:color w:val="000000" w:themeColor="text1"/>
          <w:sz w:val="24"/>
          <w:szCs w:val="24"/>
        </w:rPr>
        <w:t>Preventive Medicine</w:t>
      </w:r>
      <w:r w:rsidRPr="0079648E">
        <w:rPr>
          <w:rFonts w:ascii="Times New Roman" w:hAnsi="Times New Roman" w:cs="Times New Roman"/>
          <w:color w:val="000000" w:themeColor="text1"/>
          <w:sz w:val="24"/>
          <w:szCs w:val="24"/>
        </w:rPr>
        <w:t xml:space="preserve">, </w:t>
      </w:r>
      <w:r w:rsidRPr="0079648E">
        <w:rPr>
          <w:rFonts w:ascii="Times New Roman" w:hAnsi="Times New Roman" w:cs="Times New Roman"/>
          <w:i/>
          <w:iCs/>
          <w:color w:val="000000" w:themeColor="text1"/>
          <w:sz w:val="24"/>
          <w:szCs w:val="24"/>
        </w:rPr>
        <w:t>81</w:t>
      </w:r>
      <w:r w:rsidRPr="0079648E">
        <w:rPr>
          <w:rFonts w:ascii="Times New Roman" w:hAnsi="Times New Roman" w:cs="Times New Roman"/>
          <w:color w:val="000000" w:themeColor="text1"/>
          <w:sz w:val="24"/>
          <w:szCs w:val="24"/>
        </w:rPr>
        <w:t>, 150-156.</w:t>
      </w: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lang w:val="en-US"/>
        </w:rPr>
        <w:t xml:space="preserve">Retrieved from </w:t>
      </w:r>
      <w:hyperlink r:id="rId13" w:tgtFrame="_blank" w:tooltip="Persistent link using digital object identifier" w:history="1">
        <w:r w:rsidRPr="0079648E">
          <w:rPr>
            <w:rStyle w:val="Hyperlink"/>
            <w:rFonts w:ascii="Times New Roman" w:hAnsi="Times New Roman" w:cs="Times New Roman"/>
            <w:color w:val="000000" w:themeColor="text1"/>
            <w:sz w:val="24"/>
            <w:szCs w:val="24"/>
            <w:u w:val="none"/>
          </w:rPr>
          <w:t>https://doi.org/10.1016/j.ypmed.2015.08.020</w:t>
        </w:r>
      </w:hyperlink>
    </w:p>
    <w:p w:rsidR="0079648E" w:rsidRPr="0079648E" w:rsidRDefault="0079648E" w:rsidP="0079648E">
      <w:pPr>
        <w:spacing w:line="480" w:lineRule="auto"/>
        <w:ind w:hanging="709"/>
        <w:rPr>
          <w:rFonts w:ascii="Times New Roman" w:hAnsi="Times New Roman" w:cs="Times New Roman"/>
          <w:color w:val="000000" w:themeColor="text1"/>
          <w:sz w:val="24"/>
          <w:szCs w:val="24"/>
          <w:lang w:val="en-US"/>
        </w:rPr>
      </w:pPr>
      <w:r w:rsidRPr="0079648E">
        <w:rPr>
          <w:rFonts w:ascii="Times New Roman" w:hAnsi="Times New Roman" w:cs="Times New Roman"/>
          <w:color w:val="000000" w:themeColor="text1"/>
          <w:sz w:val="24"/>
          <w:szCs w:val="24"/>
        </w:rPr>
        <w:t xml:space="preserve">Menozzi, D., Sogari, G., &amp; Mora, C. (2015). Explaining vegetable consumption among young adults: An application of the theory of planned behaviour. </w:t>
      </w:r>
      <w:r w:rsidRPr="0079648E">
        <w:rPr>
          <w:rFonts w:ascii="Times New Roman" w:hAnsi="Times New Roman" w:cs="Times New Roman"/>
          <w:i/>
          <w:iCs/>
          <w:color w:val="000000" w:themeColor="text1"/>
          <w:sz w:val="24"/>
          <w:szCs w:val="24"/>
        </w:rPr>
        <w:t>Nutrients</w:t>
      </w:r>
      <w:r w:rsidRPr="0079648E">
        <w:rPr>
          <w:rFonts w:ascii="Times New Roman" w:hAnsi="Times New Roman" w:cs="Times New Roman"/>
          <w:color w:val="000000" w:themeColor="text1"/>
          <w:sz w:val="24"/>
          <w:szCs w:val="24"/>
        </w:rPr>
        <w:t xml:space="preserve">, </w:t>
      </w:r>
      <w:r w:rsidRPr="0079648E">
        <w:rPr>
          <w:rFonts w:ascii="Times New Roman" w:hAnsi="Times New Roman" w:cs="Times New Roman"/>
          <w:i/>
          <w:iCs/>
          <w:color w:val="000000" w:themeColor="text1"/>
          <w:sz w:val="24"/>
          <w:szCs w:val="24"/>
        </w:rPr>
        <w:t>7</w:t>
      </w:r>
      <w:r w:rsidRPr="0079648E">
        <w:rPr>
          <w:rFonts w:ascii="Times New Roman" w:hAnsi="Times New Roman" w:cs="Times New Roman"/>
          <w:color w:val="000000" w:themeColor="text1"/>
          <w:sz w:val="24"/>
          <w:szCs w:val="24"/>
        </w:rPr>
        <w:t>(9), 7633-7650</w:t>
      </w: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lang w:val="en-US"/>
        </w:rPr>
        <w:t xml:space="preserve">Retrieved from </w:t>
      </w:r>
      <w:hyperlink r:id="rId14" w:history="1">
        <w:r w:rsidRPr="0079648E">
          <w:rPr>
            <w:rStyle w:val="Hyperlink"/>
            <w:rFonts w:ascii="Times New Roman" w:hAnsi="Times New Roman" w:cs="Times New Roman"/>
            <w:color w:val="000000" w:themeColor="text1"/>
            <w:sz w:val="24"/>
            <w:szCs w:val="24"/>
            <w:u w:val="none"/>
          </w:rPr>
          <w:t>https://doi.org/10.3390/nu7095357</w:t>
        </w:r>
      </w:hyperlink>
    </w:p>
    <w:p w:rsidR="0079648E" w:rsidRPr="0079648E" w:rsidRDefault="0079648E" w:rsidP="0079648E">
      <w:pPr>
        <w:spacing w:before="100" w:beforeAutospacing="1" w:after="100" w:afterAutospacing="1" w:line="480" w:lineRule="auto"/>
        <w:ind w:hanging="709"/>
        <w:outlineLvl w:val="0"/>
        <w:rPr>
          <w:rFonts w:ascii="Times New Roman" w:eastAsia="Times New Roman" w:hAnsi="Times New Roman" w:cs="Times New Roman"/>
          <w:bCs/>
          <w:color w:val="000000" w:themeColor="text1"/>
          <w:kern w:val="36"/>
          <w:sz w:val="24"/>
          <w:szCs w:val="24"/>
          <w:lang w:val="en-US" w:eastAsia="bg-BG"/>
        </w:rPr>
      </w:pPr>
      <w:r>
        <w:rPr>
          <w:rFonts w:ascii="Times New Roman" w:eastAsia="Times New Roman" w:hAnsi="Times New Roman" w:cs="Times New Roman"/>
          <w:bCs/>
          <w:color w:val="000000" w:themeColor="text1"/>
          <w:kern w:val="36"/>
          <w:sz w:val="24"/>
          <w:szCs w:val="24"/>
          <w:lang w:val="en-US" w:eastAsia="bg-BG"/>
        </w:rPr>
        <w:t xml:space="preserve">Censer Research UK. </w:t>
      </w:r>
      <w:r w:rsidRPr="0079648E">
        <w:rPr>
          <w:rFonts w:ascii="Times New Roman" w:eastAsia="Times New Roman" w:hAnsi="Times New Roman" w:cs="Times New Roman"/>
          <w:bCs/>
          <w:color w:val="000000" w:themeColor="text1"/>
          <w:kern w:val="36"/>
          <w:sz w:val="24"/>
          <w:szCs w:val="24"/>
          <w:lang w:eastAsia="bg-BG"/>
        </w:rPr>
        <w:t>Overweight and obesity statistics</w:t>
      </w:r>
      <w:r>
        <w:rPr>
          <w:rFonts w:ascii="Times New Roman" w:eastAsia="Times New Roman" w:hAnsi="Times New Roman" w:cs="Times New Roman"/>
          <w:bCs/>
          <w:color w:val="000000" w:themeColor="text1"/>
          <w:kern w:val="36"/>
          <w:sz w:val="24"/>
          <w:szCs w:val="24"/>
          <w:lang w:val="en-US" w:eastAsia="bg-BG"/>
        </w:rPr>
        <w:t>.2015.</w:t>
      </w: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lang w:val="en-US"/>
        </w:rPr>
        <w:t xml:space="preserve">Retrieved from </w:t>
      </w:r>
      <w:hyperlink r:id="rId15" w:anchor="heading-Two" w:history="1">
        <w:r w:rsidRPr="0079648E">
          <w:rPr>
            <w:rStyle w:val="Hyperlink"/>
            <w:rFonts w:ascii="Times New Roman" w:hAnsi="Times New Roman" w:cs="Times New Roman"/>
            <w:color w:val="000000" w:themeColor="text1"/>
            <w:sz w:val="24"/>
            <w:szCs w:val="24"/>
            <w:u w:val="none"/>
          </w:rPr>
          <w:t>https://www.cancerresearchuk.org/health-professional/cancer-statistics/risk/overweight-and-obesity#heading-Two</w:t>
        </w:r>
      </w:hyperlink>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rPr>
        <w:t xml:space="preserve">Sprake, E. F., Russell, J. M., Cecil, J. E., Cooper, R. J., Grabowski, P., Pourshahidi, L. K., &amp; Barker, M. E. (2018). Dietary patterns of university students in the UK: a cross-sectional study. </w:t>
      </w:r>
      <w:r w:rsidRPr="0079648E">
        <w:rPr>
          <w:rFonts w:ascii="Times New Roman" w:hAnsi="Times New Roman" w:cs="Times New Roman"/>
          <w:i/>
          <w:iCs/>
          <w:color w:val="000000" w:themeColor="text1"/>
          <w:sz w:val="24"/>
          <w:szCs w:val="24"/>
        </w:rPr>
        <w:t>Nutrition journal</w:t>
      </w:r>
      <w:r w:rsidRPr="0079648E">
        <w:rPr>
          <w:rFonts w:ascii="Times New Roman" w:hAnsi="Times New Roman" w:cs="Times New Roman"/>
          <w:color w:val="000000" w:themeColor="text1"/>
          <w:sz w:val="24"/>
          <w:szCs w:val="24"/>
        </w:rPr>
        <w:t xml:space="preserve">, </w:t>
      </w:r>
      <w:r w:rsidRPr="0079648E">
        <w:rPr>
          <w:rFonts w:ascii="Times New Roman" w:hAnsi="Times New Roman" w:cs="Times New Roman"/>
          <w:i/>
          <w:iCs/>
          <w:color w:val="000000" w:themeColor="text1"/>
          <w:sz w:val="24"/>
          <w:szCs w:val="24"/>
        </w:rPr>
        <w:t>17</w:t>
      </w:r>
      <w:r w:rsidRPr="0079648E">
        <w:rPr>
          <w:rFonts w:ascii="Times New Roman" w:hAnsi="Times New Roman" w:cs="Times New Roman"/>
          <w:color w:val="000000" w:themeColor="text1"/>
          <w:sz w:val="24"/>
          <w:szCs w:val="24"/>
        </w:rPr>
        <w:t>(1), 90.</w:t>
      </w: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lang w:val="en-US"/>
        </w:rPr>
        <w:t xml:space="preserve">Retrieved from </w:t>
      </w:r>
      <w:hyperlink r:id="rId16" w:history="1">
        <w:r w:rsidRPr="0079648E">
          <w:rPr>
            <w:rStyle w:val="Hyperlink"/>
            <w:rFonts w:ascii="Times New Roman" w:hAnsi="Times New Roman" w:cs="Times New Roman"/>
            <w:color w:val="000000" w:themeColor="text1"/>
            <w:sz w:val="24"/>
            <w:szCs w:val="24"/>
            <w:u w:val="none"/>
          </w:rPr>
          <w:t>https://doi.org/10.1186/s12937-018-0398-y</w:t>
        </w:r>
      </w:hyperlink>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rPr>
        <w:t xml:space="preserve">West, J. H., Belvedere, L. M., Andreasen, R., Frandsen, C., Hall, P. C., &amp; Crookston, B. T. (2017). Controlling your “App” etite: how diet and nutrition-related mobile apps lead to behavior change. </w:t>
      </w:r>
      <w:r w:rsidRPr="0079648E">
        <w:rPr>
          <w:rFonts w:ascii="Times New Roman" w:hAnsi="Times New Roman" w:cs="Times New Roman"/>
          <w:i/>
          <w:iCs/>
          <w:color w:val="000000" w:themeColor="text1"/>
          <w:sz w:val="24"/>
          <w:szCs w:val="24"/>
        </w:rPr>
        <w:t>JMIR mHealth and uHealth</w:t>
      </w:r>
      <w:r w:rsidRPr="0079648E">
        <w:rPr>
          <w:rFonts w:ascii="Times New Roman" w:hAnsi="Times New Roman" w:cs="Times New Roman"/>
          <w:color w:val="000000" w:themeColor="text1"/>
          <w:sz w:val="24"/>
          <w:szCs w:val="24"/>
        </w:rPr>
        <w:t xml:space="preserve">, </w:t>
      </w:r>
      <w:r w:rsidRPr="0079648E">
        <w:rPr>
          <w:rFonts w:ascii="Times New Roman" w:hAnsi="Times New Roman" w:cs="Times New Roman"/>
          <w:i/>
          <w:iCs/>
          <w:color w:val="000000" w:themeColor="text1"/>
          <w:sz w:val="24"/>
          <w:szCs w:val="24"/>
        </w:rPr>
        <w:t>5</w:t>
      </w:r>
      <w:r w:rsidRPr="0079648E">
        <w:rPr>
          <w:rFonts w:ascii="Times New Roman" w:hAnsi="Times New Roman" w:cs="Times New Roman"/>
          <w:color w:val="000000" w:themeColor="text1"/>
          <w:sz w:val="24"/>
          <w:szCs w:val="24"/>
        </w:rPr>
        <w:t>(7), e95.</w:t>
      </w: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lang w:val="en-US"/>
        </w:rPr>
        <w:t xml:space="preserve">Retrieved from </w:t>
      </w:r>
      <w:r w:rsidRPr="0079648E">
        <w:rPr>
          <w:rFonts w:ascii="Times New Roman" w:hAnsi="Times New Roman" w:cs="Times New Roman"/>
          <w:color w:val="000000" w:themeColor="text1"/>
          <w:sz w:val="24"/>
          <w:szCs w:val="24"/>
        </w:rPr>
        <w:t xml:space="preserve">DOI: </w:t>
      </w:r>
      <w:hyperlink r:id="rId17" w:history="1">
        <w:r w:rsidRPr="0079648E">
          <w:rPr>
            <w:rStyle w:val="Hyperlink"/>
            <w:rFonts w:ascii="Times New Roman" w:hAnsi="Times New Roman" w:cs="Times New Roman"/>
            <w:color w:val="000000" w:themeColor="text1"/>
            <w:sz w:val="24"/>
            <w:szCs w:val="24"/>
            <w:u w:val="none"/>
          </w:rPr>
          <w:t>10.2196/mhealth.7410</w:t>
        </w:r>
      </w:hyperlink>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rPr>
        <w:t>WHO, Global Action Plan for the Prevention and Control of Noncommunicable Diseases 2013–2020, World Health Organization, Geneva, Switzerland, 2013.</w:t>
      </w:r>
    </w:p>
    <w:p w:rsidR="0079648E" w:rsidRPr="0079648E" w:rsidRDefault="0079648E" w:rsidP="0079648E">
      <w:pPr>
        <w:spacing w:line="480" w:lineRule="auto"/>
        <w:ind w:hanging="709"/>
        <w:rPr>
          <w:rStyle w:val="Hyperlink"/>
          <w:rFonts w:ascii="Times New Roman" w:hAnsi="Times New Roman" w:cs="Times New Roman"/>
          <w:color w:val="000000" w:themeColor="text1"/>
          <w:sz w:val="24"/>
          <w:szCs w:val="24"/>
          <w:u w:val="none"/>
        </w:rPr>
      </w:pPr>
      <w:r w:rsidRPr="0079648E">
        <w:rPr>
          <w:rFonts w:ascii="Times New Roman" w:hAnsi="Times New Roman" w:cs="Times New Roman"/>
          <w:color w:val="000000" w:themeColor="text1"/>
          <w:sz w:val="24"/>
          <w:szCs w:val="24"/>
          <w:lang w:val="en-US"/>
        </w:rPr>
        <w:t xml:space="preserve">Retrieved from </w:t>
      </w:r>
      <w:hyperlink r:id="rId18" w:history="1">
        <w:r w:rsidRPr="0079648E">
          <w:rPr>
            <w:rStyle w:val="Hyperlink"/>
            <w:rFonts w:ascii="Times New Roman" w:hAnsi="Times New Roman" w:cs="Times New Roman"/>
            <w:color w:val="000000" w:themeColor="text1"/>
            <w:sz w:val="24"/>
            <w:szCs w:val="24"/>
            <w:u w:val="none"/>
          </w:rPr>
          <w:t>https://www.who.int/nmh/events/ncd_action_plan/en/</w:t>
        </w:r>
      </w:hyperlink>
    </w:p>
    <w:p w:rsidR="0079648E" w:rsidRPr="0079648E" w:rsidRDefault="0079648E" w:rsidP="0079648E">
      <w:pPr>
        <w:spacing w:line="480" w:lineRule="auto"/>
        <w:ind w:hanging="709"/>
        <w:rPr>
          <w:rStyle w:val="Hyperlink"/>
          <w:rFonts w:ascii="Times New Roman" w:hAnsi="Times New Roman" w:cs="Times New Roman"/>
          <w:color w:val="000000" w:themeColor="text1"/>
          <w:sz w:val="24"/>
          <w:szCs w:val="24"/>
          <w:u w:val="none"/>
        </w:rPr>
      </w:pPr>
    </w:p>
    <w:p w:rsidR="0079648E" w:rsidRPr="0079648E" w:rsidRDefault="0079648E" w:rsidP="0079648E">
      <w:pPr>
        <w:spacing w:line="480" w:lineRule="auto"/>
        <w:ind w:hanging="709"/>
        <w:rPr>
          <w:rFonts w:ascii="Times New Roman" w:hAnsi="Times New Roman" w:cs="Times New Roman"/>
          <w:color w:val="000000" w:themeColor="text1"/>
          <w:sz w:val="24"/>
          <w:szCs w:val="24"/>
        </w:rPr>
      </w:pPr>
      <w:r w:rsidRPr="0079648E">
        <w:rPr>
          <w:rFonts w:ascii="Times New Roman" w:hAnsi="Times New Roman" w:cs="Times New Roman"/>
          <w:color w:val="000000" w:themeColor="text1"/>
          <w:sz w:val="24"/>
          <w:szCs w:val="24"/>
        </w:rPr>
        <w:t xml:space="preserve">Yahia, N., Wang, D., Rapley, M., &amp; Dey, R. (2016). Assessment of weight status, dietary habits and beliefs, physical activity, and nutritional knowledge among university students. </w:t>
      </w:r>
      <w:r w:rsidRPr="0079648E">
        <w:rPr>
          <w:rFonts w:ascii="Times New Roman" w:hAnsi="Times New Roman" w:cs="Times New Roman"/>
          <w:i/>
          <w:iCs/>
          <w:color w:val="000000" w:themeColor="text1"/>
          <w:sz w:val="24"/>
          <w:szCs w:val="24"/>
        </w:rPr>
        <w:t>Perspectives in public health</w:t>
      </w:r>
      <w:r w:rsidRPr="0079648E">
        <w:rPr>
          <w:rFonts w:ascii="Times New Roman" w:hAnsi="Times New Roman" w:cs="Times New Roman"/>
          <w:color w:val="000000" w:themeColor="text1"/>
          <w:sz w:val="24"/>
          <w:szCs w:val="24"/>
        </w:rPr>
        <w:t xml:space="preserve">, </w:t>
      </w:r>
      <w:r w:rsidRPr="0079648E">
        <w:rPr>
          <w:rFonts w:ascii="Times New Roman" w:hAnsi="Times New Roman" w:cs="Times New Roman"/>
          <w:i/>
          <w:iCs/>
          <w:color w:val="000000" w:themeColor="text1"/>
          <w:sz w:val="24"/>
          <w:szCs w:val="24"/>
        </w:rPr>
        <w:t>136</w:t>
      </w:r>
      <w:r w:rsidRPr="0079648E">
        <w:rPr>
          <w:rFonts w:ascii="Times New Roman" w:hAnsi="Times New Roman" w:cs="Times New Roman"/>
          <w:color w:val="000000" w:themeColor="text1"/>
          <w:sz w:val="24"/>
          <w:szCs w:val="24"/>
        </w:rPr>
        <w:t>(4), 231-244.</w:t>
      </w:r>
    </w:p>
    <w:p w:rsidR="0079648E" w:rsidRPr="0079648E" w:rsidRDefault="0079648E" w:rsidP="0079648E">
      <w:pPr>
        <w:spacing w:line="480" w:lineRule="auto"/>
        <w:ind w:hanging="709"/>
        <w:rPr>
          <w:rFonts w:ascii="Times New Roman" w:hAnsi="Times New Roman" w:cs="Times New Roman"/>
          <w:color w:val="000000" w:themeColor="text1"/>
          <w:sz w:val="24"/>
          <w:szCs w:val="24"/>
          <w:lang w:val="en-US"/>
        </w:rPr>
      </w:pPr>
      <w:r w:rsidRPr="0079648E">
        <w:rPr>
          <w:rFonts w:ascii="Times New Roman" w:hAnsi="Times New Roman" w:cs="Times New Roman"/>
          <w:color w:val="000000" w:themeColor="text1"/>
          <w:sz w:val="24"/>
          <w:szCs w:val="24"/>
          <w:lang w:val="en-US"/>
        </w:rPr>
        <w:t xml:space="preserve">Retrieved from </w:t>
      </w:r>
      <w:hyperlink r:id="rId19" w:history="1">
        <w:r w:rsidRPr="0079648E">
          <w:rPr>
            <w:rStyle w:val="Hyperlink"/>
            <w:rFonts w:ascii="Times New Roman" w:hAnsi="Times New Roman" w:cs="Times New Roman"/>
            <w:color w:val="000000" w:themeColor="text1"/>
            <w:sz w:val="24"/>
            <w:szCs w:val="24"/>
            <w:u w:val="none"/>
          </w:rPr>
          <w:t>https://doi.org/10.1177/1757913915609945</w:t>
        </w:r>
      </w:hyperlink>
    </w:p>
    <w:p w:rsidR="0079648E" w:rsidRDefault="0079648E" w:rsidP="0079648E">
      <w:pPr>
        <w:spacing w:line="480" w:lineRule="auto"/>
        <w:ind w:hanging="709"/>
      </w:pPr>
    </w:p>
    <w:sectPr w:rsidR="007964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3E8"/>
    <w:rsid w:val="000B747C"/>
    <w:rsid w:val="00190754"/>
    <w:rsid w:val="001C4EFA"/>
    <w:rsid w:val="001F2965"/>
    <w:rsid w:val="0079648E"/>
    <w:rsid w:val="008A2F04"/>
    <w:rsid w:val="009C53E8"/>
    <w:rsid w:val="009E2E71"/>
    <w:rsid w:val="00C15177"/>
    <w:rsid w:val="00D45B53"/>
    <w:rsid w:val="00D610B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F43E39-CF48-45DD-A739-BD610233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0BC"/>
  </w:style>
  <w:style w:type="paragraph" w:styleId="Heading1">
    <w:name w:val="heading 1"/>
    <w:basedOn w:val="Normal"/>
    <w:link w:val="Heading1Char"/>
    <w:uiPriority w:val="9"/>
    <w:qFormat/>
    <w:rsid w:val="00D610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D610BC"/>
    <w:pPr>
      <w:spacing w:after="0" w:line="240" w:lineRule="auto"/>
    </w:pPr>
    <w:rPr>
      <w:rFonts w:eastAsiaTheme="minorEastAsia"/>
      <w:lang w:eastAsia="bg-BG"/>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D610BC"/>
    <w:rPr>
      <w:rFonts w:ascii="Times New Roman" w:eastAsia="Times New Roman" w:hAnsi="Times New Roman" w:cs="Times New Roman"/>
      <w:b/>
      <w:bCs/>
      <w:kern w:val="36"/>
      <w:sz w:val="48"/>
      <w:szCs w:val="48"/>
      <w:lang w:eastAsia="bg-BG"/>
    </w:rPr>
  </w:style>
  <w:style w:type="character" w:customStyle="1" w:styleId="tlid-translation">
    <w:name w:val="tlid-translation"/>
    <w:basedOn w:val="DefaultParagraphFont"/>
    <w:rsid w:val="00D610BC"/>
  </w:style>
  <w:style w:type="character" w:customStyle="1" w:styleId="inverted">
    <w:name w:val="inverted"/>
    <w:basedOn w:val="DefaultParagraphFont"/>
    <w:rsid w:val="00D610BC"/>
  </w:style>
  <w:style w:type="character" w:styleId="Hyperlink">
    <w:name w:val="Hyperlink"/>
    <w:basedOn w:val="DefaultParagraphFont"/>
    <w:uiPriority w:val="99"/>
    <w:unhideWhenUsed/>
    <w:rsid w:val="00D610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67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44087/Main_text_participation_rates_in_higher_education_2006_to_2017_.pdf" TargetMode="External"/><Relationship Id="rId13" Type="http://schemas.openxmlformats.org/officeDocument/2006/relationships/hyperlink" Target="https://doi.org/10.1016/j.ypmed.2015.08.020" TargetMode="External"/><Relationship Id="rId18" Type="http://schemas.openxmlformats.org/officeDocument/2006/relationships/hyperlink" Target="https://www.who.int/nmh/events/ncd_action_plan/en/"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1186/1471-2458-14-53" TargetMode="External"/><Relationship Id="rId12" Type="http://schemas.openxmlformats.org/officeDocument/2006/relationships/hyperlink" Target="https://doi.org/10.1016/j.jneb.2010.10.002" TargetMode="External"/><Relationship Id="rId17" Type="http://schemas.openxmlformats.org/officeDocument/2006/relationships/hyperlink" Target="https://doi.org/10.2196/mhealth.7410" TargetMode="External"/><Relationship Id="rId2" Type="http://schemas.openxmlformats.org/officeDocument/2006/relationships/settings" Target="settings.xml"/><Relationship Id="rId16" Type="http://schemas.openxmlformats.org/officeDocument/2006/relationships/hyperlink" Target="https://doi.org/10.1186/s12937-018-0398-y"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ncbi.nlm.nih.gov/pmc/articles/PMC4725321/" TargetMode="External"/><Relationship Id="rId11" Type="http://schemas.openxmlformats.org/officeDocument/2006/relationships/hyperlink" Target="https://doi.org/10.1186/s12889-016-2996-y" TargetMode="External"/><Relationship Id="rId5" Type="http://schemas.openxmlformats.org/officeDocument/2006/relationships/hyperlink" Target="https://www.researchgate.net/profile/Anne_Astrom3" TargetMode="External"/><Relationship Id="rId15" Type="http://schemas.openxmlformats.org/officeDocument/2006/relationships/hyperlink" Target="https://www.cancerresearchuk.org/health-professional/cancer-statistics/risk/overweight-and-obesity" TargetMode="External"/><Relationship Id="rId10" Type="http://schemas.openxmlformats.org/officeDocument/2006/relationships/hyperlink" Target="http://dx.doi.org/10.1038/sj.ijo.0801461" TargetMode="External"/><Relationship Id="rId19" Type="http://schemas.openxmlformats.org/officeDocument/2006/relationships/hyperlink" Target="https://doi.org/10.1177%2F1757913915609945" TargetMode="External"/><Relationship Id="rId4" Type="http://schemas.openxmlformats.org/officeDocument/2006/relationships/hyperlink" Target="https://www.ncbi.nlm.nih.gov/pubmed/?term=Coughlin%20SS%5BAuthor%5D&amp;cauthor=true&amp;cauthor_uid=26819969" TargetMode="External"/><Relationship Id="rId9" Type="http://schemas.openxmlformats.org/officeDocument/2006/relationships/hyperlink" Target="https://doi.org/10.1016/j.ypmed.2010.04.005" TargetMode="External"/><Relationship Id="rId14" Type="http://schemas.openxmlformats.org/officeDocument/2006/relationships/hyperlink" Target="https://doi.org/10.3390/nu70953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2680</Words>
  <Characters>15278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2019-05-23T22:56:00Z</dcterms:created>
  <dcterms:modified xsi:type="dcterms:W3CDTF">2019-05-23T22:58:00Z</dcterms:modified>
</cp:coreProperties>
</file>