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480" w:lineRule="auto"/>
        <w:rPr>
          <w:rFonts w:ascii="Arial" w:cs="Arial" w:hAnsi="Arial" w:eastAsia="Arial"/>
          <w:sz w:val="24"/>
          <w:szCs w:val="24"/>
        </w:rPr>
      </w:pPr>
      <w:r>
        <w:rPr>
          <w:rFonts w:ascii="Arial" w:hAnsi="Arial"/>
          <w:rtl w:val="0"/>
        </w:rPr>
        <w:t xml:space="preserve"> </w:t>
      </w:r>
      <w:r>
        <w:rPr>
          <w:rFonts w:ascii="Arial" w:hAnsi="Arial"/>
          <w:sz w:val="24"/>
          <w:szCs w:val="24"/>
          <w:rtl w:val="0"/>
          <w:lang w:val="en-US"/>
        </w:rPr>
        <w:t xml:space="preserve">Lisa-Marie Taylor </w:t>
      </w:r>
    </w:p>
    <w:p>
      <w:pPr>
        <w:pStyle w:val="Body"/>
        <w:spacing w:line="480" w:lineRule="auto"/>
        <w:rPr>
          <w:rFonts w:ascii="Arial" w:cs="Arial" w:hAnsi="Arial" w:eastAsia="Arial"/>
          <w:sz w:val="24"/>
          <w:szCs w:val="24"/>
        </w:rPr>
      </w:pPr>
      <w:r>
        <w:rPr>
          <w:rFonts w:ascii="Arial" w:hAnsi="Arial"/>
          <w:sz w:val="24"/>
          <w:szCs w:val="24"/>
          <w:rtl w:val="0"/>
          <w:lang w:val="en-US"/>
        </w:rPr>
        <w:t>Student Number: 2121336</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Contemporary Issues in Criminal Justice BNCJ 700</w:t>
      </w:r>
    </w:p>
    <w:p>
      <w:pPr>
        <w:pStyle w:val="Body"/>
        <w:spacing w:line="480" w:lineRule="auto"/>
        <w:rPr>
          <w:rFonts w:ascii="Arial" w:cs="Arial" w:hAnsi="Arial" w:eastAsia="Arial"/>
          <w:sz w:val="24"/>
          <w:szCs w:val="24"/>
        </w:rPr>
      </w:pPr>
      <w:r>
        <w:rPr>
          <w:rFonts w:ascii="Arial" w:hAnsi="Arial"/>
          <w:sz w:val="24"/>
          <w:szCs w:val="24"/>
          <w:rtl w:val="0"/>
          <w:lang w:val="en-US"/>
        </w:rPr>
        <w:t>Tutor Jane Davies</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b w:val="1"/>
          <w:bCs w:val="1"/>
          <w:sz w:val="24"/>
          <w:szCs w:val="24"/>
          <w:u w:val="single"/>
        </w:rPr>
      </w:pPr>
      <w:r>
        <w:rPr>
          <w:rFonts w:ascii="Arial" w:hAnsi="Arial"/>
          <w:sz w:val="24"/>
          <w:szCs w:val="24"/>
          <w:u w:val="single"/>
          <w:rtl w:val="0"/>
        </w:rPr>
        <w:t>T</w:t>
      </w:r>
      <w:r>
        <w:rPr>
          <w:rFonts w:ascii="Arial" w:hAnsi="Arial"/>
          <w:b w:val="1"/>
          <w:bCs w:val="1"/>
          <w:sz w:val="24"/>
          <w:szCs w:val="24"/>
          <w:u w:val="single"/>
          <w:rtl w:val="0"/>
          <w:lang w:val="en-US"/>
        </w:rPr>
        <w:t>he War on Drugs: Does It Really Solve the Drug Problem?</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The "War on Drugs" has been a longstanding global campaign aimed at combating illegal drug use, production, and distribution. Implemented by governments worldwide, this approach has faced both support and criticism. This analysis aims to delve into the effectiveness of the War on Drugs in solving the drug problem. By exploring its historical context, examining the outcomes, and considering alternative approaches, we can critically evaluate the effectiveness of this strategy.</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The War on Drugs originated in the United States in the 1970s when President Richard Nixon declared drug abuse "public enemy number one." The focus shifted from treating drug addiction as a public health issue to a criminal justice problem. Harsh punitive measures were introduced, including strict law enforcement, lengthy prison sentences, and asset forfeiture. The approach was subsequently adopted by many other nations, making it a global initiative.</w:t>
      </w:r>
      <w:r>
        <w:rPr>
          <w:rFonts w:ascii="Arial" w:hAnsi="Arial"/>
          <w:sz w:val="24"/>
          <w:szCs w:val="24"/>
          <w:rtl w:val="0"/>
          <w:lang w:val="en-US"/>
        </w:rPr>
        <w:t xml:space="preserve"> Here in the UK a similar approach followed with varying results.</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 xml:space="preserve"> One notable outcome of the War on Drugs is the staggering rise in </w:t>
      </w:r>
      <w:r>
        <w:rPr>
          <w:rFonts w:ascii="Arial" w:hAnsi="Arial"/>
          <w:sz w:val="24"/>
          <w:szCs w:val="24"/>
          <w:rtl w:val="0"/>
          <w:lang w:val="en-US"/>
        </w:rPr>
        <w:t xml:space="preserve">those being given custodial sentences and a subsequent increase in </w:t>
      </w:r>
      <w:r>
        <w:rPr>
          <w:rFonts w:ascii="Arial" w:hAnsi="Arial"/>
          <w:sz w:val="24"/>
          <w:szCs w:val="24"/>
          <w:rtl w:val="0"/>
          <w:lang w:val="en-US"/>
        </w:rPr>
        <w:t>rates. Non-violent drug offenders often receive disproportionately long sentences, leading to overpopulated prisons and straining criminal justice systems. Critics argue that this approach fails to address the underlying causes of drug addiction effectively.</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Despite decades of aggressive enforcement, drugs remain readily available in most communities. High demand and substantial profits make drug markets resilient, leading to a continuous cycle of supply and demand.</w:t>
      </w:r>
      <w:r>
        <w:rPr>
          <w:rFonts w:ascii="Arial" w:hAnsi="Arial"/>
          <w:sz w:val="24"/>
          <w:szCs w:val="24"/>
          <w:rtl w:val="0"/>
          <w:lang w:val="en-US"/>
        </w:rPr>
        <w:t xml:space="preserve"> Current </w:t>
      </w:r>
      <w:r>
        <w:rPr>
          <w:rFonts w:ascii="Arial" w:hAnsi="Arial"/>
          <w:sz w:val="24"/>
          <w:szCs w:val="24"/>
          <w:rtl w:val="0"/>
          <w:lang w:val="en-US"/>
        </w:rPr>
        <w:t>policies fail to eliminate drug supply, as evidenced by the emergence of new substances and the persistence of well-established drug cartels</w:t>
      </w:r>
      <w:r>
        <w:rPr>
          <w:rFonts w:ascii="Arial" w:hAnsi="Arial"/>
          <w:sz w:val="24"/>
          <w:szCs w:val="24"/>
          <w:rtl w:val="0"/>
          <w:lang w:val="en-US"/>
        </w:rPr>
        <w:t xml:space="preserve"> such as those operating in Mexico and China amongst others.</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 xml:space="preserve">The War on Drugs has inadvertently </w:t>
      </w:r>
      <w:r>
        <w:rPr>
          <w:rFonts w:ascii="Arial" w:hAnsi="Arial"/>
          <w:sz w:val="24"/>
          <w:szCs w:val="24"/>
          <w:rtl w:val="0"/>
          <w:lang w:val="en-US"/>
        </w:rPr>
        <w:t>fuelled</w:t>
      </w:r>
      <w:r>
        <w:rPr>
          <w:rFonts w:ascii="Arial" w:hAnsi="Arial"/>
          <w:sz w:val="24"/>
          <w:szCs w:val="24"/>
          <w:rtl w:val="0"/>
          <w:lang w:val="en-US"/>
        </w:rPr>
        <w:t xml:space="preserve"> violence within drug markets. The lucrative nature of illegal drug trade </w:t>
      </w:r>
      <w:r>
        <w:rPr>
          <w:rFonts w:ascii="Arial" w:hAnsi="Arial"/>
          <w:sz w:val="24"/>
          <w:szCs w:val="24"/>
          <w:rtl w:val="0"/>
          <w:lang w:val="en-US"/>
        </w:rPr>
        <w:t>incentivises</w:t>
      </w:r>
      <w:r>
        <w:rPr>
          <w:rFonts w:ascii="Arial" w:hAnsi="Arial"/>
          <w:sz w:val="24"/>
          <w:szCs w:val="24"/>
          <w:rtl w:val="0"/>
          <w:lang w:val="pt-PT"/>
        </w:rPr>
        <w:t xml:space="preserve"> criminal </w:t>
      </w:r>
      <w:r>
        <w:rPr>
          <w:rFonts w:ascii="Arial" w:hAnsi="Arial"/>
          <w:sz w:val="24"/>
          <w:szCs w:val="24"/>
          <w:rtl w:val="0"/>
          <w:lang w:val="en-US"/>
        </w:rPr>
        <w:t>organisations</w:t>
      </w:r>
      <w:r>
        <w:rPr>
          <w:rFonts w:ascii="Arial" w:hAnsi="Arial"/>
          <w:sz w:val="24"/>
          <w:szCs w:val="24"/>
          <w:rtl w:val="0"/>
          <w:lang w:val="en-US"/>
        </w:rPr>
        <w:t xml:space="preserve"> to engage in territorial disputes, leading to violence and bloodshed. </w:t>
      </w:r>
      <w:r>
        <w:rPr>
          <w:rFonts w:ascii="Arial" w:hAnsi="Arial"/>
          <w:sz w:val="24"/>
          <w:szCs w:val="24"/>
          <w:rtl w:val="0"/>
          <w:lang w:val="en-US"/>
        </w:rPr>
        <w:t xml:space="preserve"> With the emergence of Social media platforms and the dark web this has further influenced the ease with which drugs can be obtained, whereby they can be purchased and delivered with the ease of a take away pizza. </w:t>
      </w:r>
      <w:r>
        <w:rPr>
          <w:rFonts w:ascii="Arial" w:hAnsi="Arial"/>
          <w:sz w:val="24"/>
          <w:szCs w:val="24"/>
          <w:rtl w:val="0"/>
        </w:rPr>
        <w:t xml:space="preserve"> </w:t>
      </w:r>
      <w:r>
        <w:rPr>
          <w:rFonts w:ascii="Arial" w:hAnsi="Arial"/>
          <w:sz w:val="24"/>
          <w:szCs w:val="24"/>
          <w:rtl w:val="0"/>
          <w:lang w:val="en-US"/>
        </w:rPr>
        <w:t>P</w:t>
      </w:r>
      <w:r>
        <w:rPr>
          <w:rFonts w:ascii="Arial" w:hAnsi="Arial"/>
          <w:sz w:val="24"/>
          <w:szCs w:val="24"/>
          <w:rtl w:val="0"/>
          <w:lang w:val="en-US"/>
        </w:rPr>
        <w:t>olicies contribute to an environment where disputes are settled through violence rather than peaceful means.</w:t>
      </w:r>
      <w:r>
        <w:rPr>
          <w:rFonts w:ascii="Arial" w:hAnsi="Arial"/>
          <w:sz w:val="24"/>
          <w:szCs w:val="24"/>
          <w:rtl w:val="0"/>
          <w:lang w:val="en-US"/>
        </w:rPr>
        <w:t xml:space="preserve"> Often involving very young individuals.</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 xml:space="preserve">The underfunding of the NHS by the Conservative government has been a subject of significant concern and debate. Over the years, the NHS has faced financial pressures, with funding failing to keep pace with increasing demands and costs. Despite promises of increased funding, successive Conservative governments have been </w:t>
      </w:r>
      <w:r>
        <w:rPr>
          <w:rFonts w:ascii="Arial" w:hAnsi="Arial"/>
          <w:sz w:val="24"/>
          <w:szCs w:val="24"/>
          <w:rtl w:val="0"/>
          <w:lang w:val="en-US"/>
        </w:rPr>
        <w:t>criticised</w:t>
      </w:r>
      <w:r>
        <w:rPr>
          <w:rFonts w:ascii="Arial" w:hAnsi="Arial"/>
          <w:sz w:val="24"/>
          <w:szCs w:val="24"/>
          <w:rtl w:val="0"/>
          <w:lang w:val="en-US"/>
        </w:rPr>
        <w:t xml:space="preserve"> for failing to provide adequate resources to meet the growing needs of the healthcare system. This underfunding has resulted in stretched services, longer waiting times, workforce shortages, and a strain on the overall quality of care provided. A report by the British Medical Association (BMA) highlighted the funding shortfall in the NHS, pointing out that underfunding affects various aspects, including staff recruitment and retention, access to treatments, and the ability to invest in new technologies and facilities</w:t>
      </w:r>
      <w:r>
        <w:rPr>
          <w:rFonts w:ascii="Arial" w:hAnsi="Arial"/>
          <w:sz w:val="24"/>
          <w:szCs w:val="24"/>
          <w:rtl w:val="0"/>
          <w:lang w:val="en-US"/>
        </w:rPr>
        <w:t>. This was compounded by the Thatcher government selling off numerous NHS buildings and drastic underfunding of Mental Health Services in the 1980</w:t>
      </w:r>
      <w:r>
        <w:rPr>
          <w:rFonts w:ascii="Arial" w:hAnsi="Arial" w:hint="default"/>
          <w:sz w:val="24"/>
          <w:szCs w:val="24"/>
          <w:rtl w:val="0"/>
          <w:lang w:val="en-US"/>
        </w:rPr>
        <w:t>’</w:t>
      </w:r>
      <w:r>
        <w:rPr>
          <w:rFonts w:ascii="Arial" w:hAnsi="Arial"/>
          <w:sz w:val="24"/>
          <w:szCs w:val="24"/>
          <w:rtl w:val="0"/>
          <w:lang w:val="en-US"/>
        </w:rPr>
        <w:t>s and continues to be case where by successive governments have been unable to undo the mess originally created.</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 xml:space="preserve">Disproportionate Impact on </w:t>
      </w:r>
      <w:r>
        <w:rPr>
          <w:rFonts w:ascii="Arial" w:hAnsi="Arial"/>
          <w:sz w:val="24"/>
          <w:szCs w:val="24"/>
          <w:rtl w:val="0"/>
          <w:lang w:val="en-US"/>
        </w:rPr>
        <w:t>Marginalised</w:t>
      </w:r>
      <w:r>
        <w:rPr>
          <w:rFonts w:ascii="Arial" w:hAnsi="Arial"/>
          <w:sz w:val="24"/>
          <w:szCs w:val="24"/>
          <w:rtl w:val="0"/>
          <w:lang w:val="en-US"/>
        </w:rPr>
        <w:t xml:space="preserve"> Communities: The enforcement of drug laws </w:t>
      </w:r>
      <w:r>
        <w:rPr>
          <w:rFonts w:ascii="Arial" w:hAnsi="Arial"/>
          <w:sz w:val="24"/>
          <w:szCs w:val="24"/>
          <w:rtl w:val="0"/>
          <w:lang w:val="en-US"/>
        </w:rPr>
        <w:t xml:space="preserve">it could be argued have </w:t>
      </w:r>
      <w:r>
        <w:rPr>
          <w:rFonts w:ascii="Arial" w:hAnsi="Arial"/>
          <w:sz w:val="24"/>
          <w:szCs w:val="24"/>
          <w:rtl w:val="0"/>
          <w:lang w:val="en-US"/>
        </w:rPr>
        <w:t xml:space="preserve">disproportionately affected </w:t>
      </w:r>
      <w:r>
        <w:rPr>
          <w:rFonts w:ascii="Arial" w:hAnsi="Arial"/>
          <w:sz w:val="24"/>
          <w:szCs w:val="24"/>
          <w:rtl w:val="0"/>
          <w:lang w:val="en-US"/>
        </w:rPr>
        <w:t>marginalised</w:t>
      </w:r>
      <w:r>
        <w:rPr>
          <w:rFonts w:ascii="Arial" w:hAnsi="Arial"/>
          <w:sz w:val="24"/>
          <w:szCs w:val="24"/>
          <w:rtl w:val="0"/>
          <w:lang w:val="en-US"/>
        </w:rPr>
        <w:t xml:space="preserve"> communities, particularly communities of colo</w:t>
      </w:r>
      <w:r>
        <w:rPr>
          <w:rFonts w:ascii="Arial" w:hAnsi="Arial"/>
          <w:sz w:val="24"/>
          <w:szCs w:val="24"/>
          <w:rtl w:val="0"/>
          <w:lang w:val="en-US"/>
        </w:rPr>
        <w:t>ur.</w:t>
      </w:r>
      <w:r>
        <w:rPr>
          <w:rFonts w:ascii="Arial" w:hAnsi="Arial"/>
          <w:sz w:val="24"/>
          <w:szCs w:val="24"/>
          <w:rtl w:val="0"/>
          <w:lang w:val="en-US"/>
        </w:rPr>
        <w:t xml:space="preserve"> Racial disparities in drug-related arrests</w:t>
      </w:r>
      <w:r>
        <w:rPr>
          <w:rFonts w:ascii="Arial" w:hAnsi="Arial"/>
          <w:sz w:val="24"/>
          <w:szCs w:val="24"/>
          <w:rtl w:val="0"/>
          <w:lang w:val="en-US"/>
        </w:rPr>
        <w:t xml:space="preserve"> such as stop and search</w:t>
      </w:r>
      <w:r>
        <w:rPr>
          <w:rFonts w:ascii="Arial" w:hAnsi="Arial"/>
          <w:sz w:val="24"/>
          <w:szCs w:val="24"/>
          <w:rtl w:val="0"/>
          <w:lang w:val="en-US"/>
        </w:rPr>
        <w:t xml:space="preserve"> and sentencing have led to concerns about unequal treatment and systemic discrimination. Such disparities undermine the principles of fairness and justice.</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 xml:space="preserve">Harm Reduction Strategies: Some argue that a shift towards harm reduction strategies would be more effective in addressing drug-related issues. These strategies </w:t>
      </w:r>
      <w:r>
        <w:rPr>
          <w:rFonts w:ascii="Arial" w:hAnsi="Arial"/>
          <w:sz w:val="24"/>
          <w:szCs w:val="24"/>
          <w:rtl w:val="0"/>
          <w:lang w:val="en-US"/>
        </w:rPr>
        <w:t>prioritise</w:t>
      </w:r>
      <w:r>
        <w:rPr>
          <w:rFonts w:ascii="Arial" w:hAnsi="Arial"/>
          <w:sz w:val="24"/>
          <w:szCs w:val="24"/>
          <w:rtl w:val="0"/>
          <w:lang w:val="en-US"/>
        </w:rPr>
        <w:t xml:space="preserve"> public health interventions, such as needle exchange programs, safe injection sites, and access to addiction treatment. </w:t>
      </w:r>
      <w:r>
        <w:rPr>
          <w:rFonts w:ascii="Arial" w:hAnsi="Arial"/>
          <w:sz w:val="24"/>
          <w:szCs w:val="24"/>
          <w:rtl w:val="0"/>
          <w:lang w:val="en-US"/>
        </w:rPr>
        <w:t xml:space="preserve"> However, the programme of underfunding the NHS and reorganisation </w:t>
      </w:r>
      <w:r>
        <w:rPr>
          <w:rFonts w:ascii="Arial" w:hAnsi="Arial"/>
          <w:sz w:val="24"/>
          <w:szCs w:val="24"/>
          <w:rtl w:val="0"/>
          <w:lang w:val="en-US"/>
        </w:rPr>
        <w:t xml:space="preserve">By focusing on harm reduction, the emphasis is placed on </w:t>
      </w:r>
      <w:r>
        <w:rPr>
          <w:rFonts w:ascii="Arial" w:hAnsi="Arial"/>
          <w:sz w:val="24"/>
          <w:szCs w:val="24"/>
          <w:rtl w:val="0"/>
          <w:lang w:val="en-US"/>
        </w:rPr>
        <w:t>minimising</w:t>
      </w:r>
      <w:r>
        <w:rPr>
          <w:rFonts w:ascii="Arial" w:hAnsi="Arial"/>
          <w:sz w:val="24"/>
          <w:szCs w:val="24"/>
          <w:rtl w:val="0"/>
          <w:lang w:val="en-US"/>
        </w:rPr>
        <w:t xml:space="preserve"> the negative consequences of drug use and supporting individuals in their journey towards recovery.</w:t>
      </w:r>
    </w:p>
    <w:p>
      <w:pPr>
        <w:pStyle w:val="Body"/>
        <w:spacing w:line="480" w:lineRule="auto"/>
        <w:rPr>
          <w:rFonts w:ascii="Arial" w:cs="Arial" w:hAnsi="Arial" w:eastAsia="Arial"/>
          <w:sz w:val="24"/>
          <w:szCs w:val="24"/>
        </w:rPr>
      </w:pPr>
      <w:r>
        <w:rPr>
          <w:rFonts w:ascii="Arial" w:hAnsi="Arial"/>
          <w:sz w:val="24"/>
          <w:szCs w:val="24"/>
          <w:rtl w:val="0"/>
          <w:lang w:val="en-US"/>
        </w:rPr>
        <w:t>Decriminalisation</w:t>
      </w:r>
      <w:r>
        <w:rPr>
          <w:rFonts w:ascii="Arial" w:hAnsi="Arial"/>
          <w:sz w:val="24"/>
          <w:szCs w:val="24"/>
          <w:rtl w:val="0"/>
          <w:lang w:val="en-US"/>
        </w:rPr>
        <w:t xml:space="preserve"> and Regulation: Another alternative approach gaining traction is the </w:t>
      </w:r>
      <w:r>
        <w:rPr>
          <w:rFonts w:ascii="Arial" w:hAnsi="Arial"/>
          <w:sz w:val="24"/>
          <w:szCs w:val="24"/>
          <w:rtl w:val="0"/>
          <w:lang w:val="en-US"/>
        </w:rPr>
        <w:t>decriminalisation</w:t>
      </w:r>
      <w:r>
        <w:rPr>
          <w:rFonts w:ascii="Arial" w:hAnsi="Arial"/>
          <w:sz w:val="24"/>
          <w:szCs w:val="24"/>
          <w:rtl w:val="0"/>
          <w:lang w:val="en-US"/>
        </w:rPr>
        <w:t xml:space="preserve"> and regulation of drug use. By treating drug use as a public health issue rather than a criminal </w:t>
      </w:r>
      <w:r>
        <w:rPr>
          <w:rFonts w:ascii="Arial" w:hAnsi="Arial"/>
          <w:sz w:val="24"/>
          <w:szCs w:val="24"/>
          <w:rtl w:val="0"/>
          <w:lang w:val="en-US"/>
        </w:rPr>
        <w:t>offence</w:t>
      </w:r>
      <w:r>
        <w:rPr>
          <w:rFonts w:ascii="Arial" w:hAnsi="Arial"/>
          <w:sz w:val="24"/>
          <w:szCs w:val="24"/>
          <w:rtl w:val="0"/>
          <w:lang w:val="en-US"/>
        </w:rPr>
        <w:t xml:space="preserve">, resources can be redirected towards prevention, treatment, and education. Countries like Portugal and Uruguay have implemented </w:t>
      </w:r>
      <w:r>
        <w:rPr>
          <w:rFonts w:ascii="Arial" w:hAnsi="Arial"/>
          <w:sz w:val="24"/>
          <w:szCs w:val="24"/>
          <w:rtl w:val="0"/>
          <w:lang w:val="en-US"/>
        </w:rPr>
        <w:t>decriminalisation</w:t>
      </w:r>
      <w:r>
        <w:rPr>
          <w:rFonts w:ascii="Arial" w:hAnsi="Arial"/>
          <w:sz w:val="24"/>
          <w:szCs w:val="24"/>
          <w:rtl w:val="0"/>
          <w:lang w:val="en-US"/>
        </w:rPr>
        <w:t xml:space="preserve"> policies, demonstrating positive outcomes in reducing drug-related harms.</w:t>
      </w:r>
      <w:r>
        <w:rPr>
          <w:rFonts w:ascii="Arial" w:hAnsi="Arial"/>
          <w:sz w:val="24"/>
          <w:szCs w:val="24"/>
          <w:rtl w:val="0"/>
          <w:lang w:val="en-US"/>
        </w:rPr>
        <w:t xml:space="preserve"> But these must be delivered with the culture of the Country taken into consideration one size does not fit all.  </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 xml:space="preserve">Investing in comprehensive drug education and prevention programs is crucial for addressing the root causes of drug abuse. </w:t>
      </w:r>
      <w:r>
        <w:rPr>
          <w:rFonts w:ascii="Arial" w:hAnsi="Arial"/>
          <w:sz w:val="24"/>
          <w:szCs w:val="24"/>
          <w:rtl w:val="0"/>
          <w:lang w:val="en-US"/>
        </w:rPr>
        <w:t>In</w:t>
      </w:r>
      <w:r>
        <w:rPr>
          <w:rFonts w:ascii="Arial" w:hAnsi="Arial"/>
          <w:sz w:val="24"/>
          <w:szCs w:val="24"/>
          <w:rtl w:val="0"/>
          <w:lang w:val="en-US"/>
        </w:rPr>
        <w:t xml:space="preserve"> targeting both youth and adults, these programs can raise awareness about the risks associated with drug use and promote healthy alternatives. Prevention efforts can help reduce demand and mitigate the need for</w:t>
      </w:r>
      <w:r>
        <w:rPr>
          <w:rFonts w:ascii="Arial" w:hAnsi="Arial"/>
          <w:sz w:val="24"/>
          <w:szCs w:val="24"/>
          <w:rtl w:val="0"/>
          <w:lang w:val="en-US"/>
        </w:rPr>
        <w:t xml:space="preserve"> harsher measures but must be part of a multi pronged or faceted approach to the problem. </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 xml:space="preserve">The privatisation of the probationary service in the UK has been a topic of considerable controversy and criticism. As part of the Transforming Rehabilitation initiative introduced in 2014, the Conservative government implemented reforms that involved outsourcing a significant portion of the probation service to private companies. This move aimed to increase efficiency and reduce reoffending rates through the involvement of private providers. However, concerns have been raised regarding the impact of privatisation on the quality of probation services and public safety. Studies, such as the one conducted by Raynor et al. (2019), have highlighted issues related to fragmented service delivery, insufficient resources, staff morale, and the challenges of managing high-risk individuals. </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 xml:space="preserve">Despite decades of implementation, the War on Drugs has fallen short of effectively solving the drug problem. The approach has resulted in </w:t>
      </w:r>
      <w:r>
        <w:rPr>
          <w:rFonts w:ascii="Arial" w:hAnsi="Arial"/>
          <w:sz w:val="24"/>
          <w:szCs w:val="24"/>
          <w:rtl w:val="0"/>
          <w:lang w:val="en-US"/>
        </w:rPr>
        <w:t>an increase of those with custodial sentences</w:t>
      </w:r>
      <w:r>
        <w:rPr>
          <w:rFonts w:ascii="Arial" w:hAnsi="Arial"/>
          <w:sz w:val="24"/>
          <w:szCs w:val="24"/>
          <w:rtl w:val="0"/>
          <w:lang w:val="en-US"/>
        </w:rPr>
        <w:t>, minimal impact on drug availability, and unintended consequences such as violence and racial disparities.</w:t>
      </w:r>
      <w:r>
        <w:rPr>
          <w:rFonts w:ascii="Arial" w:hAnsi="Arial"/>
          <w:sz w:val="24"/>
          <w:szCs w:val="24"/>
          <w:rtl w:val="0"/>
          <w:lang w:val="en-US"/>
        </w:rPr>
        <w:t xml:space="preserve"> and increase in mental health issues. </w:t>
      </w:r>
      <w:r>
        <w:rPr>
          <w:rFonts w:ascii="Arial" w:hAnsi="Arial"/>
          <w:sz w:val="24"/>
          <w:szCs w:val="24"/>
          <w:rtl w:val="0"/>
          <w:lang w:val="en-US"/>
        </w:rPr>
        <w:t xml:space="preserve">Alternative approaches, such as harm reduction strategies, </w:t>
      </w:r>
      <w:r>
        <w:rPr>
          <w:rFonts w:ascii="Arial" w:hAnsi="Arial"/>
          <w:sz w:val="24"/>
          <w:szCs w:val="24"/>
          <w:rtl w:val="0"/>
          <w:lang w:val="en-US"/>
        </w:rPr>
        <w:t>decriminalisation</w:t>
      </w:r>
      <w:r>
        <w:rPr>
          <w:rFonts w:ascii="Arial" w:hAnsi="Arial"/>
          <w:sz w:val="24"/>
          <w:szCs w:val="24"/>
          <w:rtl w:val="0"/>
          <w:lang w:val="en-US"/>
        </w:rPr>
        <w:t xml:space="preserve">, and education, offer promising avenues for addressing drug-related issues more effectively. A comprehensive and balanced approach is necessary to tackle drug abuse while </w:t>
      </w:r>
      <w:r>
        <w:rPr>
          <w:rFonts w:ascii="Arial" w:hAnsi="Arial"/>
          <w:sz w:val="24"/>
          <w:szCs w:val="24"/>
          <w:rtl w:val="0"/>
          <w:lang w:val="en-US"/>
        </w:rPr>
        <w:t>prioritising</w:t>
      </w:r>
      <w:r>
        <w:rPr>
          <w:rFonts w:ascii="Arial" w:hAnsi="Arial"/>
          <w:sz w:val="24"/>
          <w:szCs w:val="24"/>
          <w:rtl w:val="0"/>
          <w:lang w:val="en-US"/>
        </w:rPr>
        <w:t xml:space="preserve"> public health, social justice, and harm reduction.</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MacCoun, R. (2011). What can we learn from the Dutch cannabis coffeeshop system? Addiction, 106(11), 1899-1910.</w:t>
      </w:r>
    </w:p>
    <w:p>
      <w:pPr>
        <w:pStyle w:val="Body"/>
        <w:spacing w:line="480" w:lineRule="auto"/>
        <w:rPr>
          <w:rFonts w:ascii="Arial" w:cs="Arial" w:hAnsi="Arial" w:eastAsia="Arial"/>
          <w:sz w:val="24"/>
          <w:szCs w:val="24"/>
        </w:rPr>
      </w:pPr>
      <w:r>
        <w:rPr>
          <w:rFonts w:ascii="Arial" w:hAnsi="Arial"/>
          <w:sz w:val="24"/>
          <w:szCs w:val="24"/>
          <w:rtl w:val="0"/>
          <w:lang w:val="en-US"/>
        </w:rPr>
        <w:t>Bewley-Taylor, D. R. (2012). The United Nations and drug policy: Towards a human rights-based approach. International Journal of Drug Policy, 23(6), 476-483.</w:t>
      </w:r>
    </w:p>
    <w:p>
      <w:pPr>
        <w:pStyle w:val="Body"/>
        <w:spacing w:line="480" w:lineRule="auto"/>
        <w:rPr>
          <w:rFonts w:ascii="Arial" w:cs="Arial" w:hAnsi="Arial" w:eastAsia="Arial"/>
          <w:sz w:val="24"/>
          <w:szCs w:val="24"/>
        </w:rPr>
      </w:pPr>
      <w:r>
        <w:rPr>
          <w:rFonts w:ascii="Arial" w:hAnsi="Arial"/>
          <w:sz w:val="24"/>
          <w:szCs w:val="24"/>
          <w:rtl w:val="0"/>
          <w:lang w:val="en-US"/>
        </w:rPr>
        <w:t>Goffman, A. M. (2014). On the run: Fugitive life in an American city. University of Chicago Press.</w:t>
      </w:r>
    </w:p>
    <w:p>
      <w:pPr>
        <w:pStyle w:val="Body"/>
        <w:spacing w:line="480" w:lineRule="auto"/>
        <w:rPr>
          <w:rFonts w:ascii="Arial" w:cs="Arial" w:hAnsi="Arial" w:eastAsia="Arial"/>
          <w:sz w:val="24"/>
          <w:szCs w:val="24"/>
        </w:rPr>
      </w:pPr>
      <w:r>
        <w:rPr>
          <w:rFonts w:ascii="Arial" w:hAnsi="Arial"/>
          <w:sz w:val="24"/>
          <w:szCs w:val="24"/>
          <w:rtl w:val="0"/>
        </w:rPr>
        <w:t xml:space="preserve">Harris, M. (2020). Drug </w:t>
      </w:r>
      <w:r>
        <w:rPr>
          <w:rFonts w:ascii="Arial" w:hAnsi="Arial"/>
          <w:sz w:val="24"/>
          <w:szCs w:val="24"/>
          <w:rtl w:val="0"/>
          <w:lang w:val="en-US"/>
        </w:rPr>
        <w:t>legalisation</w:t>
      </w:r>
      <w:r>
        <w:rPr>
          <w:rFonts w:ascii="Arial" w:hAnsi="Arial"/>
          <w:sz w:val="24"/>
          <w:szCs w:val="24"/>
          <w:rtl w:val="0"/>
          <w:lang w:val="en-US"/>
        </w:rPr>
        <w:t>: For and against. Cambridge University Press.</w:t>
      </w:r>
    </w:p>
    <w:p>
      <w:pPr>
        <w:pStyle w:val="Body"/>
        <w:spacing w:line="480" w:lineRule="auto"/>
        <w:rPr>
          <w:rFonts w:ascii="Arial" w:cs="Arial" w:hAnsi="Arial" w:eastAsia="Arial"/>
          <w:sz w:val="24"/>
          <w:szCs w:val="24"/>
        </w:rPr>
      </w:pPr>
      <w:r>
        <w:rPr>
          <w:rFonts w:ascii="Arial" w:hAnsi="Arial"/>
          <w:sz w:val="24"/>
          <w:szCs w:val="24"/>
          <w:rtl w:val="0"/>
          <w:lang w:val="en-US"/>
        </w:rPr>
        <w:t xml:space="preserve">Alexander, M. (2012). The new Jim Crow: Mass incarceration in the age of </w:t>
      </w:r>
      <w:r>
        <w:rPr>
          <w:rFonts w:ascii="Arial" w:hAnsi="Arial"/>
          <w:sz w:val="24"/>
          <w:szCs w:val="24"/>
          <w:rtl w:val="0"/>
          <w:lang w:val="en-US"/>
        </w:rPr>
        <w:t>colour-blindness</w:t>
      </w:r>
      <w:r>
        <w:rPr>
          <w:rFonts w:ascii="Arial" w:hAnsi="Arial"/>
          <w:sz w:val="24"/>
          <w:szCs w:val="24"/>
          <w:rtl w:val="0"/>
          <w:lang w:val="en-US"/>
        </w:rPr>
        <w:t>. The New Press.</w:t>
      </w:r>
    </w:p>
    <w:p>
      <w:pPr>
        <w:pStyle w:val="Body"/>
        <w:spacing w:line="480" w:lineRule="auto"/>
        <w:rPr>
          <w:rFonts w:ascii="Arial" w:cs="Arial" w:hAnsi="Arial" w:eastAsia="Arial"/>
          <w:sz w:val="24"/>
          <w:szCs w:val="24"/>
        </w:rPr>
      </w:pPr>
      <w:r>
        <w:rPr>
          <w:rFonts w:ascii="Arial" w:hAnsi="Arial"/>
          <w:sz w:val="24"/>
          <w:szCs w:val="24"/>
          <w:rtl w:val="0"/>
          <w:lang w:val="en-US"/>
        </w:rPr>
        <w:t>Reuter, P., &amp; Stevens, A. (2007). An analysis of UK drug policy. Drug and Alcohol Review, 26(1), 39-45.</w:t>
      </w:r>
    </w:p>
    <w:p>
      <w:pPr>
        <w:pStyle w:val="Body"/>
        <w:spacing w:line="480" w:lineRule="auto"/>
        <w:rPr>
          <w:rFonts w:ascii="Arial" w:cs="Arial" w:hAnsi="Arial" w:eastAsia="Arial"/>
          <w:sz w:val="24"/>
          <w:szCs w:val="24"/>
        </w:rPr>
      </w:pPr>
      <w:r>
        <w:rPr>
          <w:rFonts w:ascii="Arial" w:hAnsi="Arial"/>
          <w:sz w:val="24"/>
          <w:szCs w:val="24"/>
          <w:rtl w:val="0"/>
          <w:lang w:val="en-US"/>
        </w:rPr>
        <w:t xml:space="preserve">Hughes, C. E., &amp; Stevens, A. (2010). What can we learn from the Portuguese </w:t>
      </w:r>
      <w:r>
        <w:rPr>
          <w:rFonts w:ascii="Arial" w:hAnsi="Arial"/>
          <w:sz w:val="24"/>
          <w:szCs w:val="24"/>
          <w:rtl w:val="0"/>
          <w:lang w:val="en-US"/>
        </w:rPr>
        <w:t>decriminalisation</w:t>
      </w:r>
      <w:r>
        <w:rPr>
          <w:rFonts w:ascii="Arial" w:hAnsi="Arial"/>
          <w:sz w:val="24"/>
          <w:szCs w:val="24"/>
          <w:rtl w:val="0"/>
          <w:lang w:val="en-US"/>
        </w:rPr>
        <w:t xml:space="preserve"> of illicit drugs? British Journal of Criminology, 50(6), 999-1022.</w:t>
      </w:r>
    </w:p>
    <w:p>
      <w:pPr>
        <w:pStyle w:val="Body"/>
        <w:spacing w:line="480" w:lineRule="auto"/>
        <w:rPr>
          <w:rFonts w:ascii="Arial" w:cs="Arial" w:hAnsi="Arial" w:eastAsia="Arial"/>
          <w:sz w:val="24"/>
          <w:szCs w:val="24"/>
        </w:rPr>
      </w:pPr>
      <w:r>
        <w:rPr>
          <w:rFonts w:ascii="Arial" w:hAnsi="Arial"/>
          <w:sz w:val="24"/>
          <w:szCs w:val="24"/>
          <w:rtl w:val="0"/>
          <w:lang w:val="en-US"/>
        </w:rPr>
        <w:t>R</w:t>
      </w:r>
      <w:r>
        <w:rPr>
          <w:rFonts w:ascii="Arial" w:hAnsi="Arial"/>
          <w:sz w:val="24"/>
          <w:szCs w:val="24"/>
          <w:rtl w:val="0"/>
          <w:lang w:val="en-US"/>
        </w:rPr>
        <w:t>aynor, P., McCrone, P., Knapp, M., &amp; Rinaldi, M. (2019). An evaluation of the Transforming Rehabilitation programme: The impact of outsourced probation supervision on reoffending. The Howard Journal of Crime and Justice, 58(1), 78-101</w:t>
      </w:r>
      <w:r>
        <w:rPr>
          <w:rFonts w:ascii="Arial" w:hAnsi="Arial"/>
          <w:sz w:val="24"/>
          <w:szCs w:val="24"/>
          <w:rtl w:val="0"/>
          <w:lang w:val="en-US"/>
        </w:rPr>
        <w:t>.</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Wood, E., Werb, D., Kazatchkine, M., Kerr, T., Hankins, C., Gorna, R., ... &amp; Montaner, J. (2010). Vienna Declaration: A call for evidence-based drug policies. The Lancet, 376(9738), 310-312.</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Degenhardt, L., Hall, W., &amp; Lynskey, M. (2012). The relationship between cannabis use and other substance use in the general population. Drug and Alcohol Dependence, 64(3), 319-327.</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Werb, D., Rowell, G., Guyatt, G., Kerr, T., Montaner, J., Wood, E., &amp; Interventions, O. I. (2011). Effect of drug law enforcement on drug market violence: A systematic review. International Journal of Drug Policy, 22(2), 87-94.</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 xml:space="preserve">British Medical Association. (2019). Analysis: The NHS funding settlement: What will it mean for the health service? Retrieved from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"https://www.bma.org.uk/media/2454/bma-analysis-nhs-funding-settlement-2019.pdf"</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https://www.bma.org.uk/media/2454/bma-analysis-nhs-funding-settlement-2019.pdf</w:t>
      </w:r>
      <w:r>
        <w:rPr>
          <w:rFonts w:ascii="Arial" w:cs="Arial" w:hAnsi="Arial" w:eastAsia="Arial"/>
          <w:sz w:val="24"/>
          <w:szCs w:val="24"/>
        </w:rPr>
        <w:fldChar w:fldCharType="end" w:fldLock="0"/>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Jewkes, Y., Bennett, J., &amp; Crewe, B. (2016). Handbook on Prisons (2nd ed.). London: Routledge.</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rPr>
        <w:t xml:space="preserve">TEDx Talks. </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(2016). Johann Hari: Everything you think you know about addiction is wrong [Video]. YouTube. Retrieved from https://www.youtube.com/watch?v=PY9DcIMGxMs</w:t>
      </w:r>
    </w:p>
    <w:p>
      <w:pPr>
        <w:pStyle w:val="Body"/>
        <w:spacing w:line="480" w:lineRule="auto"/>
        <w:rPr>
          <w:rFonts w:ascii="Arial" w:cs="Arial" w:hAnsi="Arial" w:eastAsia="Arial"/>
          <w:sz w:val="24"/>
          <w:szCs w:val="24"/>
        </w:rPr>
      </w:pPr>
      <w:r>
        <w:rPr>
          <w:rFonts w:ascii="Arial" w:hAnsi="Arial"/>
          <w:sz w:val="24"/>
          <w:szCs w:val="24"/>
          <w:rtl w:val="0"/>
          <w:lang w:val="en-US"/>
        </w:rPr>
        <w:t>Global Commission on Drug Policy. (n.d.). Retrieved from https://www.globalcommissionondrugs.org/</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ru-RU"/>
        </w:rPr>
        <w:t>"</w:t>
      </w:r>
      <w:r>
        <w:rPr>
          <w:rFonts w:ascii="Arial" w:hAnsi="Arial"/>
          <w:sz w:val="24"/>
          <w:szCs w:val="24"/>
          <w:rtl w:val="0"/>
          <w:lang w:val="en-US"/>
        </w:rPr>
        <w:t>Drugs land</w:t>
      </w:r>
      <w:r>
        <w:rPr>
          <w:rFonts w:ascii="Arial" w:hAnsi="Arial"/>
          <w:sz w:val="24"/>
          <w:szCs w:val="24"/>
          <w:rtl w:val="0"/>
          <w:lang w:val="en-US"/>
        </w:rPr>
        <w:t>" (2017). Directed by Owen Gower. Channel 4.</w:t>
      </w:r>
    </w:p>
    <w:p>
      <w:pPr>
        <w:pStyle w:val="Body"/>
        <w:spacing w:line="480" w:lineRule="auto"/>
        <w:rPr>
          <w:rFonts w:ascii="Arial" w:cs="Arial" w:hAnsi="Arial" w:eastAsia="Arial"/>
          <w:sz w:val="24"/>
          <w:szCs w:val="24"/>
        </w:rPr>
      </w:pPr>
      <w:r>
        <w:rPr>
          <w:rFonts w:ascii="Arial" w:hAnsi="Arial"/>
          <w:sz w:val="24"/>
          <w:szCs w:val="24"/>
          <w:rtl w:val="0"/>
          <w:lang w:val="en-US"/>
        </w:rPr>
        <w:t>"Legalising Weed: Canada's Story" (2019). Directed by Joe Plomin. BBC Three.</w:t>
      </w:r>
    </w:p>
    <w:p>
      <w:pPr>
        <w:pStyle w:val="Body"/>
        <w:spacing w:line="480" w:lineRule="auto"/>
        <w:rPr>
          <w:rFonts w:ascii="Arial" w:cs="Arial" w:hAnsi="Arial" w:eastAsia="Arial"/>
          <w:sz w:val="24"/>
          <w:szCs w:val="24"/>
        </w:rPr>
      </w:pPr>
      <w:r>
        <w:rPr>
          <w:rFonts w:ascii="Arial" w:hAnsi="Arial"/>
          <w:sz w:val="24"/>
          <w:szCs w:val="24"/>
          <w:rtl w:val="0"/>
          <w:lang w:val="en-US"/>
        </w:rPr>
        <w:t>"Dying for Weed" (2020). Directed by Sebastian Marbury. Vice TV.</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r>
        <w:rPr>
          <w:rFonts w:ascii="Arial" w:hAnsi="Arial"/>
          <w:sz w:val="24"/>
          <w:szCs w:val="24"/>
          <w:rtl w:val="0"/>
          <w:lang w:val="en-US"/>
        </w:rPr>
        <w:t>"HM Prison Wormwood Scrubs" (2022). In: Inside. [television program] Channel 5. Available at: Inside Channel 5 website (Accessed: 3 December 2022).</w:t>
      </w:r>
    </w:p>
    <w:p>
      <w:pPr>
        <w:pStyle w:val="Body"/>
        <w:spacing w:line="480" w:lineRule="auto"/>
        <w:rPr>
          <w:rFonts w:ascii="Arial" w:cs="Arial" w:hAnsi="Arial" w:eastAsia="Arial"/>
          <w:sz w:val="24"/>
          <w:szCs w:val="24"/>
        </w:rPr>
      </w:pPr>
    </w:p>
    <w:p>
      <w:pPr>
        <w:pStyle w:val="Body"/>
        <w:spacing w:line="480" w:lineRule="auto"/>
        <w:rPr>
          <w:rFonts w:ascii="Arial" w:cs="Arial" w:hAnsi="Arial" w:eastAsia="Arial"/>
          <w:sz w:val="24"/>
          <w:szCs w:val="24"/>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pPr>
      <w:r>
        <w:rPr>
          <w:rFonts w:ascii="Arial" w:cs="Arial" w:hAnsi="Arial" w:eastAsia="Arial"/>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