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8ED74" w14:textId="053A2855" w:rsidR="00966ADA" w:rsidRPr="00363046" w:rsidRDefault="00966ADA" w:rsidP="00363046">
      <w:pPr>
        <w:pStyle w:val="NormalWeb"/>
        <w:spacing w:line="360" w:lineRule="auto"/>
        <w:jc w:val="center"/>
        <w:rPr>
          <w:rFonts w:ascii="Arial" w:eastAsiaTheme="majorEastAsia" w:hAnsi="Arial" w:cs="Arial"/>
          <w:color w:val="262626" w:themeColor="text1" w:themeTint="D9"/>
          <w:kern w:val="24"/>
          <w:sz w:val="22"/>
          <w:szCs w:val="22"/>
          <w:lang w:val="en-US"/>
        </w:rPr>
      </w:pPr>
      <w:r w:rsidRPr="00363046">
        <w:rPr>
          <w:rFonts w:ascii="Arial" w:eastAsiaTheme="majorEastAsia" w:hAnsi="Arial" w:cs="Arial"/>
          <w:color w:val="262626" w:themeColor="text1" w:themeTint="D9"/>
          <w:kern w:val="24"/>
          <w:sz w:val="22"/>
          <w:szCs w:val="22"/>
          <w:lang w:val="en-US"/>
        </w:rPr>
        <w:t>Adele McCann - 2416685</w:t>
      </w:r>
      <w:r w:rsidRPr="00363046">
        <w:rPr>
          <w:rFonts w:ascii="Arial" w:eastAsiaTheme="majorEastAsia" w:hAnsi="Arial" w:cs="Arial"/>
          <w:color w:val="262626" w:themeColor="text1" w:themeTint="D9"/>
          <w:kern w:val="24"/>
          <w:sz w:val="22"/>
          <w:szCs w:val="22"/>
          <w:lang w:val="en-US"/>
        </w:rPr>
        <w:br/>
        <w:t>(</w:t>
      </w:r>
      <w:r w:rsidRPr="00363046">
        <w:rPr>
          <w:rFonts w:ascii="Arial" w:hAnsi="Arial" w:cs="Arial"/>
          <w:spacing w:val="-2"/>
          <w:sz w:val="22"/>
          <w:szCs w:val="22"/>
        </w:rPr>
        <w:t>LCHS4009</w:t>
      </w:r>
      <w:r w:rsidRPr="00363046">
        <w:rPr>
          <w:rFonts w:ascii="Arial" w:eastAsiaTheme="majorEastAsia" w:hAnsi="Arial" w:cs="Arial"/>
          <w:color w:val="262626" w:themeColor="text1" w:themeTint="D9"/>
          <w:kern w:val="24"/>
          <w:sz w:val="22"/>
          <w:szCs w:val="22"/>
          <w:lang w:val="en-US"/>
        </w:rPr>
        <w:t>_BIRM)</w:t>
      </w:r>
      <w:r w:rsidRPr="00363046">
        <w:rPr>
          <w:rFonts w:ascii="Arial" w:eastAsiaTheme="majorEastAsia" w:hAnsi="Arial" w:cs="Arial"/>
          <w:color w:val="262626" w:themeColor="text1" w:themeTint="D9"/>
          <w:kern w:val="24"/>
          <w:sz w:val="22"/>
          <w:szCs w:val="22"/>
          <w:lang w:val="en-US"/>
        </w:rPr>
        <w:br/>
        <w:t>Category: Birmingham Campus</w:t>
      </w:r>
      <w:r w:rsidRPr="00363046">
        <w:rPr>
          <w:rFonts w:ascii="Arial" w:eastAsiaTheme="majorEastAsia" w:hAnsi="Arial" w:cs="Arial"/>
          <w:color w:val="262626" w:themeColor="text1" w:themeTint="D9"/>
          <w:kern w:val="24"/>
          <w:sz w:val="22"/>
          <w:szCs w:val="22"/>
          <w:lang w:val="en-US"/>
        </w:rPr>
        <w:br/>
        <w:t xml:space="preserve">Lecturer – Vivian </w:t>
      </w:r>
      <w:proofErr w:type="spellStart"/>
      <w:r w:rsidRPr="00363046">
        <w:rPr>
          <w:rFonts w:ascii="Arial" w:eastAsiaTheme="majorEastAsia" w:hAnsi="Arial" w:cs="Arial"/>
          <w:color w:val="262626" w:themeColor="text1" w:themeTint="D9"/>
          <w:kern w:val="24"/>
          <w:sz w:val="22"/>
          <w:szCs w:val="22"/>
          <w:lang w:val="en-US"/>
        </w:rPr>
        <w:t>Osuchukwu</w:t>
      </w:r>
      <w:proofErr w:type="spellEnd"/>
      <w:r w:rsidRPr="00363046">
        <w:rPr>
          <w:rFonts w:ascii="Arial" w:eastAsiaTheme="majorEastAsia" w:hAnsi="Arial" w:cs="Arial"/>
          <w:color w:val="262626" w:themeColor="text1" w:themeTint="D9"/>
          <w:kern w:val="24"/>
          <w:sz w:val="22"/>
          <w:szCs w:val="22"/>
          <w:lang w:val="en-US"/>
        </w:rPr>
        <w:br/>
        <w:t>Component 2</w:t>
      </w:r>
    </w:p>
    <w:p w14:paraId="2EEA3942" w14:textId="77777777" w:rsidR="00966ADA" w:rsidRPr="00363046" w:rsidRDefault="00966ADA" w:rsidP="00363046">
      <w:pPr>
        <w:pStyle w:val="NormalWeb"/>
        <w:spacing w:line="360" w:lineRule="auto"/>
        <w:jc w:val="center"/>
        <w:rPr>
          <w:rFonts w:ascii="Arial" w:eastAsiaTheme="majorEastAsia" w:hAnsi="Arial" w:cs="Arial"/>
          <w:color w:val="262626" w:themeColor="text1" w:themeTint="D9"/>
          <w:kern w:val="24"/>
          <w:sz w:val="22"/>
          <w:szCs w:val="22"/>
          <w:lang w:val="en-US"/>
        </w:rPr>
      </w:pPr>
    </w:p>
    <w:p w14:paraId="6AA362B4" w14:textId="77777777" w:rsidR="00966ADA" w:rsidRPr="00363046" w:rsidRDefault="00966ADA" w:rsidP="00363046">
      <w:pPr>
        <w:pStyle w:val="NormalWeb"/>
        <w:spacing w:line="360" w:lineRule="auto"/>
        <w:jc w:val="center"/>
        <w:rPr>
          <w:rFonts w:ascii="Arial" w:eastAsiaTheme="majorEastAsia" w:hAnsi="Arial" w:cs="Arial"/>
          <w:color w:val="262626" w:themeColor="text1" w:themeTint="D9"/>
          <w:kern w:val="24"/>
          <w:sz w:val="22"/>
          <w:szCs w:val="22"/>
          <w:lang w:val="en-US"/>
        </w:rPr>
      </w:pPr>
      <w:r w:rsidRPr="00363046">
        <w:rPr>
          <w:rFonts w:ascii="Arial" w:hAnsi="Arial" w:cs="Arial"/>
          <w:kern w:val="36"/>
          <w:sz w:val="22"/>
          <w:szCs w:val="22"/>
        </w:rPr>
        <w:t>Professional Development within Health and Social Care</w:t>
      </w:r>
    </w:p>
    <w:p w14:paraId="44B24D38"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1EC87865"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4CF77681"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679D40FB"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322AD4A6"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3B9C3040"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310F838F"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412AD2C8"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4AB6C37B"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2EF4A5BB"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20E74EE6"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4820DD71"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2612073F"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2BCFA66B"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1C6EA09F"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36D917DA" w14:textId="77777777" w:rsidR="00B52827" w:rsidRDefault="00B52827" w:rsidP="00363046">
      <w:pPr>
        <w:pStyle w:val="NormalWeb"/>
        <w:spacing w:line="360" w:lineRule="auto"/>
        <w:rPr>
          <w:rStyle w:val="Strong"/>
          <w:rFonts w:ascii="Arial" w:eastAsiaTheme="majorEastAsia" w:hAnsi="Arial" w:cs="Arial"/>
          <w:sz w:val="22"/>
          <w:szCs w:val="22"/>
        </w:rPr>
      </w:pPr>
    </w:p>
    <w:p w14:paraId="63936017" w14:textId="46FEC504" w:rsidR="004274DD" w:rsidRPr="00363046" w:rsidRDefault="004274DD"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lastRenderedPageBreak/>
        <w:t>Personal Action Plan for a Social Worker Role in Health and Social Care</w:t>
      </w:r>
    </w:p>
    <w:p w14:paraId="27DA46DF"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As I prepare to apply for a role as a social worker within the UK Health and Social Care sector, it is essential to evaluate my current skill set, identify areas for development, and establish a clear plan to enhance my employability. Social work is a demanding yet rewarding profession that requires a combination of interpersonal, analytical, and organisational skills. This personal action plan outlines how I meet the key requirements of the role, the skill gaps I have recognised, and the steps I will take to address them. It also includes three potential interview questions and my prepared responses.</w:t>
      </w:r>
    </w:p>
    <w:p w14:paraId="7BDD9DCB"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Social workers play a vital role in supporting vulnerable individuals and communities, promoting wellbeing, and safeguarding rights. According to Prospects.ac.uk, the key skills required for social work include emotional resilience, empathy, adaptability, communication, leadership, and a commitment to helping others. In addition, the Professional Capabilities Framework (PCF) emphasises critical reflection, ethical practice, and cultural competence as core attributes for effective social work.</w:t>
      </w:r>
    </w:p>
    <w:p w14:paraId="7FFB6B34"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I believe I possess several of these essential skills. My academic background in public health has equipped me with strong analytical abilities, particularly in evaluating health strategies and policies. I have demonstrated emotional resilience through my coursework and group projects, often managing competing deadlines and complex topics with composure. My empathy and commitment to helping others are evident in my interest in adult development and community health services, as well as my long-term goal of supporting vulnerable adults through social care. I also excel in organisation and task structuring, which allows me to manage responsibilities efficiently and contribute meaningfully to collaborative learning environments.</w:t>
      </w:r>
    </w:p>
    <w:p w14:paraId="6B4CB0D6"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Despite these strengths, I recognise several skill gaps that I must address to succeed in a social worker role. Firstly, I have limited experience in direct crisis intervention, which is a critical aspect of frontline social work. Secondly, I occasionally struggle with public speaking, particularly in formal settings such as interviews or presentations. Thirdly, while I am familiar with key legislation such as the Care Act 2014, I need to deepen my understanding of legal frameworks and safeguarding protocols to ensure I am fully prepared for practice.</w:t>
      </w:r>
    </w:p>
    <w:p w14:paraId="7828E0D3"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 xml:space="preserve">To address these gaps, I have developed a Personal Development Plan with specific, measurable actions. To build crisis intervention skills, I will seek volunteer opportunities with local support services, such as adult safeguarding teams or mental health charities. This hands-on experience will allow me to observe and participate in real-life scenarios, </w:t>
      </w:r>
      <w:r w:rsidRPr="00363046">
        <w:rPr>
          <w:rFonts w:ascii="Arial" w:hAnsi="Arial" w:cs="Arial"/>
          <w:sz w:val="22"/>
          <w:szCs w:val="22"/>
        </w:rPr>
        <w:lastRenderedPageBreak/>
        <w:t>enhancing my confidence and competence. To improve public speaking, I will join a student-led discussion group and attend workshops focused on presentation delivery and communication. Recording and reviewing my practice sessions will help me refine my pacing, tone, and engagement. To strengthen my legal knowledge, I will undertake online CPD modules on social work legislation and attend webinars hosted by organisations such as the Social Care Institute for Excellence (SCIE).</w:t>
      </w:r>
    </w:p>
    <w:p w14:paraId="5345EBD2"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In addition to these steps, I will continue to reflect on my progress through journaling and feedback from peers and tutors. Setting monthly goals and reviewing achievements will help me stay accountable and motivated. I will also consult with professionals in the field to gain insights into best practices and career pathways.</w:t>
      </w:r>
    </w:p>
    <w:p w14:paraId="3C74CA28"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As part of my interview preparation, I have considered three common questions that may arise and formulated responses that reflect my values, experience, and readiness for the role.</w:t>
      </w:r>
    </w:p>
    <w:p w14:paraId="677C2577" w14:textId="77777777" w:rsidR="004274DD" w:rsidRPr="00363046" w:rsidRDefault="004274DD"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Question 1: Why have you chosen social work as a career?</w:t>
      </w:r>
      <w:r w:rsidRPr="00363046">
        <w:rPr>
          <w:rFonts w:ascii="Arial" w:hAnsi="Arial" w:cs="Arial"/>
          <w:sz w:val="22"/>
          <w:szCs w:val="22"/>
        </w:rPr>
        <w:t xml:space="preserve"> I have chosen social work because I am passionate about supporting vulnerable individuals and promoting social justice. My academic studies in public health have deepened my understanding of the challenges faced by older adults, people with disabilities, and those experiencing mental health conditions. I believe social work allows me to apply psychological theory to practice, make a meaningful difference in people’s lives, and advocate for those who may not have a voice. My personal experiences and volunteer work have reinforced my commitment to this path.</w:t>
      </w:r>
    </w:p>
    <w:p w14:paraId="20B62445" w14:textId="77777777" w:rsidR="004274DD" w:rsidRPr="00363046" w:rsidRDefault="004274DD"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Question 2: How do you handle emotionally challenging situations?</w:t>
      </w:r>
      <w:r w:rsidRPr="00363046">
        <w:rPr>
          <w:rFonts w:ascii="Arial" w:hAnsi="Arial" w:cs="Arial"/>
          <w:sz w:val="22"/>
          <w:szCs w:val="22"/>
        </w:rPr>
        <w:t xml:space="preserve"> I approach emotionally challenging situations with empathy, professionalism, and self-awareness. I understand that social work involves complex emotions, and I have developed resilience through academic and personal experiences. I use reflective practice to process difficult encounters and seek supervision or peer support when needed. I also prioritise self-care to maintain my wellbeing and ensure I can provide consistent, compassionate support to others.</w:t>
      </w:r>
    </w:p>
    <w:p w14:paraId="069A1CF9" w14:textId="77777777" w:rsidR="004274DD" w:rsidRPr="00363046" w:rsidRDefault="004274DD"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Question 3: What legislation is important to this role, and how would you apply it?</w:t>
      </w:r>
      <w:r w:rsidRPr="00363046">
        <w:rPr>
          <w:rFonts w:ascii="Arial" w:hAnsi="Arial" w:cs="Arial"/>
          <w:sz w:val="22"/>
          <w:szCs w:val="22"/>
        </w:rPr>
        <w:t xml:space="preserve"> The Care Act 2014 is fundamental to adult social work, as it outlines the duty to promote wellbeing, prevent needs, and safeguard individuals from harm. I would apply this legislation by conducting thorough assessments, involving service users in decision-making, and working collaboratively with other professionals. I also recognise the importance of the </w:t>
      </w:r>
      <w:r w:rsidRPr="00363046">
        <w:rPr>
          <w:rFonts w:ascii="Arial" w:hAnsi="Arial" w:cs="Arial"/>
          <w:sz w:val="22"/>
          <w:szCs w:val="22"/>
        </w:rPr>
        <w:lastRenderedPageBreak/>
        <w:t>Mental Capacity Act 2005 in supporting individuals to make informed choices. Staying up to date with policy changes and legal guidance is essential to ethical and effective practice.</w:t>
      </w:r>
    </w:p>
    <w:p w14:paraId="61562EE2" w14:textId="77777777" w:rsidR="004274DD" w:rsidRPr="00363046" w:rsidRDefault="004274DD" w:rsidP="00363046">
      <w:pPr>
        <w:pStyle w:val="NormalWeb"/>
        <w:spacing w:line="360" w:lineRule="auto"/>
        <w:rPr>
          <w:rFonts w:ascii="Arial" w:hAnsi="Arial" w:cs="Arial"/>
          <w:sz w:val="22"/>
          <w:szCs w:val="22"/>
        </w:rPr>
      </w:pPr>
      <w:r w:rsidRPr="00363046">
        <w:rPr>
          <w:rFonts w:ascii="Arial" w:hAnsi="Arial" w:cs="Arial"/>
          <w:sz w:val="22"/>
          <w:szCs w:val="22"/>
        </w:rPr>
        <w:t>In conclusion, preparing for a social worker role requires a clear understanding of the skills required, honest reflection on areas for growth, and a proactive approach to development. Through targeted actions and continuous learning, I am committed to becoming a confident, competent, and compassionate social care professional. This personal action plan serves as a roadmap for my journey toward employment and long-term success in the health and social care sector.</w:t>
      </w:r>
    </w:p>
    <w:p w14:paraId="3DE445B8" w14:textId="77777777" w:rsidR="00E27ADC" w:rsidRPr="00363046" w:rsidRDefault="00E27ADC" w:rsidP="00363046">
      <w:pPr>
        <w:pStyle w:val="NormalWeb"/>
        <w:spacing w:line="360" w:lineRule="auto"/>
        <w:rPr>
          <w:rFonts w:ascii="Arial" w:hAnsi="Arial" w:cs="Arial"/>
          <w:sz w:val="22"/>
          <w:szCs w:val="22"/>
        </w:rPr>
      </w:pPr>
    </w:p>
    <w:p w14:paraId="11FE2047" w14:textId="77777777" w:rsidR="00E27ADC" w:rsidRPr="00363046" w:rsidRDefault="00E27ADC" w:rsidP="00363046">
      <w:pPr>
        <w:pStyle w:val="NormalWeb"/>
        <w:spacing w:line="360" w:lineRule="auto"/>
        <w:rPr>
          <w:rFonts w:ascii="Arial" w:hAnsi="Arial" w:cs="Arial"/>
          <w:sz w:val="22"/>
          <w:szCs w:val="22"/>
        </w:rPr>
      </w:pPr>
    </w:p>
    <w:p w14:paraId="07862509" w14:textId="77777777" w:rsidR="00E27ADC" w:rsidRPr="00363046" w:rsidRDefault="00E27ADC" w:rsidP="00363046">
      <w:pPr>
        <w:pStyle w:val="NormalWeb"/>
        <w:spacing w:line="360" w:lineRule="auto"/>
        <w:rPr>
          <w:rFonts w:ascii="Arial" w:hAnsi="Arial" w:cs="Arial"/>
          <w:sz w:val="22"/>
          <w:szCs w:val="22"/>
        </w:rPr>
      </w:pPr>
    </w:p>
    <w:p w14:paraId="120BD5EC" w14:textId="77777777" w:rsidR="00E27ADC" w:rsidRPr="00363046" w:rsidRDefault="00E27ADC" w:rsidP="00363046">
      <w:pPr>
        <w:pStyle w:val="NormalWeb"/>
        <w:spacing w:line="360" w:lineRule="auto"/>
        <w:rPr>
          <w:rFonts w:ascii="Arial" w:hAnsi="Arial" w:cs="Arial"/>
          <w:sz w:val="22"/>
          <w:szCs w:val="22"/>
        </w:rPr>
      </w:pPr>
    </w:p>
    <w:p w14:paraId="73C6EED1" w14:textId="77777777" w:rsidR="00E27ADC" w:rsidRPr="00363046" w:rsidRDefault="00E27ADC" w:rsidP="00363046">
      <w:pPr>
        <w:pStyle w:val="NormalWeb"/>
        <w:spacing w:line="360" w:lineRule="auto"/>
        <w:rPr>
          <w:rFonts w:ascii="Arial" w:hAnsi="Arial" w:cs="Arial"/>
          <w:sz w:val="22"/>
          <w:szCs w:val="22"/>
        </w:rPr>
      </w:pPr>
    </w:p>
    <w:p w14:paraId="637DFFE8" w14:textId="77777777" w:rsidR="00E27ADC" w:rsidRPr="00363046" w:rsidRDefault="00E27ADC" w:rsidP="00363046">
      <w:pPr>
        <w:pStyle w:val="NormalWeb"/>
        <w:spacing w:line="360" w:lineRule="auto"/>
        <w:rPr>
          <w:rFonts w:ascii="Arial" w:hAnsi="Arial" w:cs="Arial"/>
          <w:sz w:val="22"/>
          <w:szCs w:val="22"/>
        </w:rPr>
      </w:pPr>
    </w:p>
    <w:p w14:paraId="76577680" w14:textId="77777777" w:rsidR="00E27ADC" w:rsidRPr="00363046" w:rsidRDefault="00E27ADC" w:rsidP="00363046">
      <w:pPr>
        <w:pStyle w:val="NormalWeb"/>
        <w:spacing w:line="360" w:lineRule="auto"/>
        <w:rPr>
          <w:rFonts w:ascii="Arial" w:hAnsi="Arial" w:cs="Arial"/>
          <w:sz w:val="22"/>
          <w:szCs w:val="22"/>
        </w:rPr>
      </w:pPr>
    </w:p>
    <w:p w14:paraId="43426977" w14:textId="77777777" w:rsidR="00E27ADC" w:rsidRPr="00363046" w:rsidRDefault="00E27ADC" w:rsidP="00363046">
      <w:pPr>
        <w:pStyle w:val="NormalWeb"/>
        <w:spacing w:line="360" w:lineRule="auto"/>
        <w:rPr>
          <w:rFonts w:ascii="Arial" w:hAnsi="Arial" w:cs="Arial"/>
          <w:sz w:val="22"/>
          <w:szCs w:val="22"/>
        </w:rPr>
      </w:pPr>
    </w:p>
    <w:p w14:paraId="20AB2A90" w14:textId="77777777" w:rsidR="00B52827" w:rsidRDefault="00B52827" w:rsidP="00363046">
      <w:pPr>
        <w:pStyle w:val="NormalWeb"/>
        <w:spacing w:line="360" w:lineRule="auto"/>
        <w:rPr>
          <w:rStyle w:val="Strong"/>
          <w:rFonts w:ascii="Arial" w:eastAsiaTheme="majorEastAsia" w:hAnsi="Arial" w:cs="Arial"/>
          <w:sz w:val="22"/>
          <w:szCs w:val="22"/>
        </w:rPr>
      </w:pPr>
    </w:p>
    <w:p w14:paraId="682A1512" w14:textId="77777777" w:rsidR="00B52827" w:rsidRDefault="00B52827" w:rsidP="00363046">
      <w:pPr>
        <w:pStyle w:val="NormalWeb"/>
        <w:spacing w:line="360" w:lineRule="auto"/>
        <w:rPr>
          <w:rStyle w:val="Strong"/>
          <w:rFonts w:ascii="Arial" w:eastAsiaTheme="majorEastAsia" w:hAnsi="Arial" w:cs="Arial"/>
          <w:sz w:val="22"/>
          <w:szCs w:val="22"/>
        </w:rPr>
      </w:pPr>
    </w:p>
    <w:p w14:paraId="4528A77F" w14:textId="77777777" w:rsidR="00B52827" w:rsidRDefault="00B52827" w:rsidP="00363046">
      <w:pPr>
        <w:pStyle w:val="NormalWeb"/>
        <w:spacing w:line="360" w:lineRule="auto"/>
        <w:rPr>
          <w:rStyle w:val="Strong"/>
          <w:rFonts w:ascii="Arial" w:eastAsiaTheme="majorEastAsia" w:hAnsi="Arial" w:cs="Arial"/>
          <w:sz w:val="22"/>
          <w:szCs w:val="22"/>
        </w:rPr>
      </w:pPr>
    </w:p>
    <w:p w14:paraId="1885F9F7" w14:textId="77777777" w:rsidR="00B52827" w:rsidRDefault="00B52827" w:rsidP="00363046">
      <w:pPr>
        <w:pStyle w:val="NormalWeb"/>
        <w:spacing w:line="360" w:lineRule="auto"/>
        <w:rPr>
          <w:rStyle w:val="Strong"/>
          <w:rFonts w:ascii="Arial" w:eastAsiaTheme="majorEastAsia" w:hAnsi="Arial" w:cs="Arial"/>
          <w:sz w:val="22"/>
          <w:szCs w:val="22"/>
        </w:rPr>
      </w:pPr>
    </w:p>
    <w:p w14:paraId="4D4B4AD3" w14:textId="77777777" w:rsidR="00B52827" w:rsidRDefault="00B52827" w:rsidP="00363046">
      <w:pPr>
        <w:pStyle w:val="NormalWeb"/>
        <w:spacing w:line="360" w:lineRule="auto"/>
        <w:rPr>
          <w:rStyle w:val="Strong"/>
          <w:rFonts w:ascii="Arial" w:eastAsiaTheme="majorEastAsia" w:hAnsi="Arial" w:cs="Arial"/>
          <w:sz w:val="22"/>
          <w:szCs w:val="22"/>
        </w:rPr>
      </w:pPr>
    </w:p>
    <w:p w14:paraId="0F18ADFC" w14:textId="77777777" w:rsidR="00B52827" w:rsidRDefault="00B52827" w:rsidP="00363046">
      <w:pPr>
        <w:pStyle w:val="NormalWeb"/>
        <w:spacing w:line="360" w:lineRule="auto"/>
        <w:rPr>
          <w:rStyle w:val="Strong"/>
          <w:rFonts w:ascii="Arial" w:eastAsiaTheme="majorEastAsia" w:hAnsi="Arial" w:cs="Arial"/>
          <w:sz w:val="22"/>
          <w:szCs w:val="22"/>
        </w:rPr>
      </w:pPr>
    </w:p>
    <w:p w14:paraId="1F98C2AE" w14:textId="77777777" w:rsidR="00B52827" w:rsidRDefault="00B52827" w:rsidP="00363046">
      <w:pPr>
        <w:pStyle w:val="NormalWeb"/>
        <w:spacing w:line="360" w:lineRule="auto"/>
        <w:rPr>
          <w:rStyle w:val="Strong"/>
          <w:rFonts w:ascii="Arial" w:eastAsiaTheme="majorEastAsia" w:hAnsi="Arial" w:cs="Arial"/>
          <w:sz w:val="22"/>
          <w:szCs w:val="22"/>
        </w:rPr>
      </w:pPr>
    </w:p>
    <w:p w14:paraId="11C503D5" w14:textId="77777777" w:rsidR="00B52827" w:rsidRDefault="00B52827" w:rsidP="00363046">
      <w:pPr>
        <w:pStyle w:val="NormalWeb"/>
        <w:spacing w:line="360" w:lineRule="auto"/>
        <w:rPr>
          <w:rStyle w:val="Strong"/>
          <w:rFonts w:ascii="Arial" w:eastAsiaTheme="majorEastAsia" w:hAnsi="Arial" w:cs="Arial"/>
          <w:sz w:val="22"/>
          <w:szCs w:val="22"/>
        </w:rPr>
      </w:pPr>
    </w:p>
    <w:p w14:paraId="2E5D2115" w14:textId="42715B36" w:rsidR="00E27ADC" w:rsidRPr="00363046" w:rsidRDefault="00E27ADC"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lastRenderedPageBreak/>
        <w:t>The Importance of Communication in Health and Social Care</w:t>
      </w:r>
    </w:p>
    <w:p w14:paraId="45CAF773"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Effective communication is a cornerstone of professional practice in health and social care. It underpins every aspect of service delivery, from building trust with service users to coordinating care across multidisciplinary teams. As a key skill taught and discussed throughout the LCHS4009 module, communication is not only vital for ensuring safety and quality but also for promoting dignity, autonomy, and person-centred care.</w:t>
      </w:r>
    </w:p>
    <w:p w14:paraId="1683C1EF"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Communication in health and social care involves the exchange of information, emotions, and intentions between professionals, service users, and their families. It encompasses verbal, non-verbal, written, and visual forms, each of which plays a critical role depending on the context and individual needs. According to Care Skills Training (2025), effective communication requires clarity, empathy, active listening, and cultural awareness. These principles ensure that messages are not only delivered but also understood and respected.</w:t>
      </w:r>
    </w:p>
    <w:p w14:paraId="57B3A86B"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In practice, communication enables professionals to assess needs, explain procedures, provide emotional support, and advocate for service users. For example, a social worker supporting an older adult with dementia must use clear and compassionate language, adapt their tone and pace, and interpret non-verbal cues such as facial expressions or body language. This approach helps reduce anxiety and fosters a sense of safety and trust. Similarly, written communication—such as care plans and referral letters—must be accurate, concise, and accessible to ensure continuity of care and legal compliance.</w:t>
      </w:r>
    </w:p>
    <w:p w14:paraId="2250EC5C"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The importance of communication is further reinforced by legal and ethical frameworks. The NHS Constitution states that patients have the right to be involved in decisions about their care and to receive information in a format they understand. This highlights the ethical obligation of professionals to communicate in ways that empower individuals and uphold their rights. Poor communication, by contrast, can lead to misunderstandings, dissatisfaction, and even harm. For instance, failing to explain medication instructions clearly may result in incorrect usage and adverse health outcomes.</w:t>
      </w:r>
    </w:p>
    <w:p w14:paraId="158856F2"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 xml:space="preserve">Despite its significance, communication in health and social care is not without challenges. Barriers such as language differences, sensory impairments, emotional distress, and institutional pressures can hinder effective interaction. Professionals must be equipped to recognise and overcome these obstacles. Strategies include using visual aids, interpreters, and assistive technologies, as well as creating calm and private environments for sensitive conversations. Reflective practice also plays a role, allowing practitioners to evaluate their communication style and </w:t>
      </w:r>
      <w:proofErr w:type="gramStart"/>
      <w:r w:rsidRPr="00363046">
        <w:rPr>
          <w:rFonts w:ascii="Arial" w:hAnsi="Arial" w:cs="Arial"/>
          <w:sz w:val="22"/>
          <w:szCs w:val="22"/>
        </w:rPr>
        <w:t>make adjustments</w:t>
      </w:r>
      <w:proofErr w:type="gramEnd"/>
      <w:r w:rsidRPr="00363046">
        <w:rPr>
          <w:rFonts w:ascii="Arial" w:hAnsi="Arial" w:cs="Arial"/>
          <w:sz w:val="22"/>
          <w:szCs w:val="22"/>
        </w:rPr>
        <w:t xml:space="preserve"> based on feedback and experience.</w:t>
      </w:r>
    </w:p>
    <w:p w14:paraId="2A7C4D5E"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lastRenderedPageBreak/>
        <w:t>Developing strong communication skills is essential for employability in the health and social care sector. Employers seek candidates who can engage respectfully with diverse populations, collaborate with colleagues, and document care accurately. As highlighted in the Professional Capabilities Framework, communication is integral to ethical practice, critical reflection, and professional development. For students and early-career professionals, building this skill involves both theoretical learning and practical application. Classroom discussions, role-play exercises, and placement experiences all contribute to a deeper understanding of how communication shapes care outcomes.</w:t>
      </w:r>
    </w:p>
    <w:p w14:paraId="7DB0E59D"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In conclusion, communication is a fundamental skill for health and social care professionals. It enables effective service delivery, supports ethical practice, and enhances the wellbeing of service users. By mastering this skill, professionals can foster trust, promote autonomy, and contribute to a culture of compassionate and person-centred care. As I continue my journey toward a career in social work, I recognise the importance of refining my communication abilities through ongoing learning, reflection, and engagement with diverse communities.</w:t>
      </w:r>
    </w:p>
    <w:p w14:paraId="3170E15C" w14:textId="77777777" w:rsidR="00E27ADC" w:rsidRPr="00363046" w:rsidRDefault="00E27ADC" w:rsidP="00363046">
      <w:pPr>
        <w:pStyle w:val="NormalWeb"/>
        <w:spacing w:line="360" w:lineRule="auto"/>
        <w:rPr>
          <w:rFonts w:ascii="Arial" w:hAnsi="Arial" w:cs="Arial"/>
          <w:sz w:val="22"/>
          <w:szCs w:val="22"/>
        </w:rPr>
      </w:pPr>
    </w:p>
    <w:p w14:paraId="02531EA7" w14:textId="77777777" w:rsidR="003A4E79" w:rsidRPr="00363046" w:rsidRDefault="003A4E79" w:rsidP="00363046">
      <w:pPr>
        <w:spacing w:line="360" w:lineRule="auto"/>
        <w:rPr>
          <w:rFonts w:ascii="Arial" w:hAnsi="Arial" w:cs="Arial"/>
          <w:sz w:val="22"/>
          <w:szCs w:val="22"/>
        </w:rPr>
      </w:pPr>
    </w:p>
    <w:p w14:paraId="43B584CA" w14:textId="77777777" w:rsidR="00E27ADC" w:rsidRPr="00363046" w:rsidRDefault="00E27ADC" w:rsidP="00363046">
      <w:pPr>
        <w:spacing w:line="360" w:lineRule="auto"/>
        <w:rPr>
          <w:rFonts w:ascii="Arial" w:hAnsi="Arial" w:cs="Arial"/>
          <w:sz w:val="22"/>
          <w:szCs w:val="22"/>
        </w:rPr>
      </w:pPr>
    </w:p>
    <w:p w14:paraId="09497843" w14:textId="77777777" w:rsidR="00E27ADC" w:rsidRPr="00363046" w:rsidRDefault="00E27ADC" w:rsidP="00363046">
      <w:pPr>
        <w:spacing w:line="360" w:lineRule="auto"/>
        <w:rPr>
          <w:rFonts w:ascii="Arial" w:hAnsi="Arial" w:cs="Arial"/>
          <w:sz w:val="22"/>
          <w:szCs w:val="22"/>
        </w:rPr>
      </w:pPr>
    </w:p>
    <w:p w14:paraId="61541526" w14:textId="77777777" w:rsidR="00E27ADC" w:rsidRPr="00363046" w:rsidRDefault="00E27ADC" w:rsidP="00363046">
      <w:pPr>
        <w:spacing w:line="360" w:lineRule="auto"/>
        <w:rPr>
          <w:rFonts w:ascii="Arial" w:hAnsi="Arial" w:cs="Arial"/>
          <w:sz w:val="22"/>
          <w:szCs w:val="22"/>
        </w:rPr>
      </w:pPr>
    </w:p>
    <w:p w14:paraId="681E48A7" w14:textId="77777777" w:rsidR="00966ADA" w:rsidRPr="00363046" w:rsidRDefault="00966ADA" w:rsidP="00363046">
      <w:pPr>
        <w:pStyle w:val="NormalWeb"/>
        <w:spacing w:line="360" w:lineRule="auto"/>
        <w:rPr>
          <w:rStyle w:val="Strong"/>
          <w:rFonts w:ascii="Arial" w:eastAsiaTheme="majorEastAsia" w:hAnsi="Arial" w:cs="Arial"/>
          <w:sz w:val="22"/>
          <w:szCs w:val="22"/>
        </w:rPr>
      </w:pPr>
    </w:p>
    <w:p w14:paraId="3A95B885" w14:textId="77777777" w:rsidR="00B52827" w:rsidRDefault="00B52827" w:rsidP="00363046">
      <w:pPr>
        <w:pStyle w:val="NormalWeb"/>
        <w:spacing w:line="360" w:lineRule="auto"/>
        <w:rPr>
          <w:rStyle w:val="Strong"/>
          <w:rFonts w:ascii="Arial" w:eastAsiaTheme="majorEastAsia" w:hAnsi="Arial" w:cs="Arial"/>
          <w:sz w:val="22"/>
          <w:szCs w:val="22"/>
        </w:rPr>
      </w:pPr>
    </w:p>
    <w:p w14:paraId="259ABE7D" w14:textId="77777777" w:rsidR="00B52827" w:rsidRDefault="00B52827" w:rsidP="00363046">
      <w:pPr>
        <w:pStyle w:val="NormalWeb"/>
        <w:spacing w:line="360" w:lineRule="auto"/>
        <w:rPr>
          <w:rStyle w:val="Strong"/>
          <w:rFonts w:ascii="Arial" w:eastAsiaTheme="majorEastAsia" w:hAnsi="Arial" w:cs="Arial"/>
          <w:sz w:val="22"/>
          <w:szCs w:val="22"/>
        </w:rPr>
      </w:pPr>
    </w:p>
    <w:p w14:paraId="2842882A" w14:textId="77777777" w:rsidR="00B52827" w:rsidRDefault="00B52827" w:rsidP="00363046">
      <w:pPr>
        <w:pStyle w:val="NormalWeb"/>
        <w:spacing w:line="360" w:lineRule="auto"/>
        <w:rPr>
          <w:rStyle w:val="Strong"/>
          <w:rFonts w:ascii="Arial" w:eastAsiaTheme="majorEastAsia" w:hAnsi="Arial" w:cs="Arial"/>
          <w:sz w:val="22"/>
          <w:szCs w:val="22"/>
        </w:rPr>
      </w:pPr>
    </w:p>
    <w:p w14:paraId="75BB6837" w14:textId="77777777" w:rsidR="00B52827" w:rsidRDefault="00B52827" w:rsidP="00363046">
      <w:pPr>
        <w:pStyle w:val="NormalWeb"/>
        <w:spacing w:line="360" w:lineRule="auto"/>
        <w:rPr>
          <w:rStyle w:val="Strong"/>
          <w:rFonts w:ascii="Arial" w:eastAsiaTheme="majorEastAsia" w:hAnsi="Arial" w:cs="Arial"/>
          <w:sz w:val="22"/>
          <w:szCs w:val="22"/>
        </w:rPr>
      </w:pPr>
    </w:p>
    <w:p w14:paraId="7C31334C" w14:textId="77777777" w:rsidR="00B52827" w:rsidRDefault="00B52827" w:rsidP="00363046">
      <w:pPr>
        <w:pStyle w:val="NormalWeb"/>
        <w:spacing w:line="360" w:lineRule="auto"/>
        <w:rPr>
          <w:rStyle w:val="Strong"/>
          <w:rFonts w:ascii="Arial" w:eastAsiaTheme="majorEastAsia" w:hAnsi="Arial" w:cs="Arial"/>
          <w:sz w:val="22"/>
          <w:szCs w:val="22"/>
        </w:rPr>
      </w:pPr>
    </w:p>
    <w:p w14:paraId="75ED8944" w14:textId="77777777" w:rsidR="00B52827" w:rsidRDefault="00B52827" w:rsidP="00363046">
      <w:pPr>
        <w:pStyle w:val="NormalWeb"/>
        <w:spacing w:line="360" w:lineRule="auto"/>
        <w:rPr>
          <w:rStyle w:val="Strong"/>
          <w:rFonts w:ascii="Arial" w:eastAsiaTheme="majorEastAsia" w:hAnsi="Arial" w:cs="Arial"/>
          <w:sz w:val="22"/>
          <w:szCs w:val="22"/>
        </w:rPr>
      </w:pPr>
    </w:p>
    <w:p w14:paraId="1047B845" w14:textId="77777777" w:rsidR="00B52827" w:rsidRDefault="00B52827" w:rsidP="00363046">
      <w:pPr>
        <w:pStyle w:val="NormalWeb"/>
        <w:spacing w:line="360" w:lineRule="auto"/>
        <w:rPr>
          <w:rStyle w:val="Strong"/>
          <w:rFonts w:ascii="Arial" w:eastAsiaTheme="majorEastAsia" w:hAnsi="Arial" w:cs="Arial"/>
          <w:sz w:val="22"/>
          <w:szCs w:val="22"/>
        </w:rPr>
      </w:pPr>
    </w:p>
    <w:p w14:paraId="62F84B16" w14:textId="77777777" w:rsidR="00B52827" w:rsidRDefault="00B52827" w:rsidP="00363046">
      <w:pPr>
        <w:pStyle w:val="NormalWeb"/>
        <w:spacing w:line="360" w:lineRule="auto"/>
        <w:rPr>
          <w:rStyle w:val="Strong"/>
          <w:rFonts w:ascii="Arial" w:eastAsiaTheme="majorEastAsia" w:hAnsi="Arial" w:cs="Arial"/>
          <w:sz w:val="22"/>
          <w:szCs w:val="22"/>
        </w:rPr>
      </w:pPr>
    </w:p>
    <w:p w14:paraId="519A515D" w14:textId="77777777" w:rsidR="00B52827" w:rsidRDefault="00B52827" w:rsidP="00363046">
      <w:pPr>
        <w:pStyle w:val="NormalWeb"/>
        <w:spacing w:line="360" w:lineRule="auto"/>
        <w:rPr>
          <w:rStyle w:val="Strong"/>
          <w:rFonts w:ascii="Arial" w:eastAsiaTheme="majorEastAsia" w:hAnsi="Arial" w:cs="Arial"/>
          <w:sz w:val="22"/>
          <w:szCs w:val="22"/>
        </w:rPr>
      </w:pPr>
    </w:p>
    <w:p w14:paraId="60865D70" w14:textId="77777777" w:rsidR="00B52827" w:rsidRDefault="00B52827" w:rsidP="00363046">
      <w:pPr>
        <w:pStyle w:val="NormalWeb"/>
        <w:spacing w:line="360" w:lineRule="auto"/>
        <w:rPr>
          <w:rStyle w:val="Strong"/>
          <w:rFonts w:ascii="Arial" w:eastAsiaTheme="majorEastAsia" w:hAnsi="Arial" w:cs="Arial"/>
          <w:sz w:val="22"/>
          <w:szCs w:val="22"/>
        </w:rPr>
      </w:pPr>
    </w:p>
    <w:p w14:paraId="3AEAC246" w14:textId="77777777" w:rsidR="00B52827" w:rsidRDefault="00B52827" w:rsidP="00363046">
      <w:pPr>
        <w:pStyle w:val="NormalWeb"/>
        <w:spacing w:line="360" w:lineRule="auto"/>
        <w:rPr>
          <w:rStyle w:val="Strong"/>
          <w:rFonts w:ascii="Arial" w:eastAsiaTheme="majorEastAsia" w:hAnsi="Arial" w:cs="Arial"/>
          <w:sz w:val="22"/>
          <w:szCs w:val="22"/>
        </w:rPr>
      </w:pPr>
    </w:p>
    <w:p w14:paraId="3BDFAC0A" w14:textId="77777777" w:rsidR="00B52827" w:rsidRDefault="00B52827" w:rsidP="00363046">
      <w:pPr>
        <w:pStyle w:val="NormalWeb"/>
        <w:spacing w:line="360" w:lineRule="auto"/>
        <w:rPr>
          <w:rStyle w:val="Strong"/>
          <w:rFonts w:ascii="Arial" w:eastAsiaTheme="majorEastAsia" w:hAnsi="Arial" w:cs="Arial"/>
          <w:sz w:val="22"/>
          <w:szCs w:val="22"/>
        </w:rPr>
      </w:pPr>
    </w:p>
    <w:p w14:paraId="08C0B929" w14:textId="77777777" w:rsidR="00B52827" w:rsidRDefault="00B52827" w:rsidP="00363046">
      <w:pPr>
        <w:pStyle w:val="NormalWeb"/>
        <w:spacing w:line="360" w:lineRule="auto"/>
        <w:rPr>
          <w:rStyle w:val="Strong"/>
          <w:rFonts w:ascii="Arial" w:eastAsiaTheme="majorEastAsia" w:hAnsi="Arial" w:cs="Arial"/>
          <w:sz w:val="22"/>
          <w:szCs w:val="22"/>
        </w:rPr>
      </w:pPr>
    </w:p>
    <w:p w14:paraId="6A76F7DD" w14:textId="77777777" w:rsidR="00B52827" w:rsidRDefault="00B52827" w:rsidP="00363046">
      <w:pPr>
        <w:pStyle w:val="NormalWeb"/>
        <w:spacing w:line="360" w:lineRule="auto"/>
        <w:rPr>
          <w:rStyle w:val="Strong"/>
          <w:rFonts w:ascii="Arial" w:eastAsiaTheme="majorEastAsia" w:hAnsi="Arial" w:cs="Arial"/>
          <w:sz w:val="22"/>
          <w:szCs w:val="22"/>
        </w:rPr>
      </w:pPr>
    </w:p>
    <w:p w14:paraId="6224D7F6" w14:textId="77777777" w:rsidR="00B52827" w:rsidRDefault="00B52827" w:rsidP="00363046">
      <w:pPr>
        <w:pStyle w:val="NormalWeb"/>
        <w:spacing w:line="360" w:lineRule="auto"/>
        <w:rPr>
          <w:rStyle w:val="Strong"/>
          <w:rFonts w:ascii="Arial" w:eastAsiaTheme="majorEastAsia" w:hAnsi="Arial" w:cs="Arial"/>
          <w:sz w:val="22"/>
          <w:szCs w:val="22"/>
        </w:rPr>
      </w:pPr>
    </w:p>
    <w:p w14:paraId="2077C6C9" w14:textId="2BA488E7" w:rsidR="00E27ADC" w:rsidRPr="00363046" w:rsidRDefault="00E27ADC"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Critical Reflection on Component 1 Presentation Using the ERA Model</w:t>
      </w:r>
    </w:p>
    <w:p w14:paraId="2E11C7FD"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Delivering my Component 1 presentation for the LCHS4009 module was a formative experience that allowed me to explore my personal and professional development through a structured SWOT analysis. Using the ERA reflective model—Experience, Reflection, and Action—I will critically evaluate my performance, thoughts, and feelings during the presentation, and outline how I intend to improve based on the verbal feedback received from my lecturer.</w:t>
      </w:r>
    </w:p>
    <w:p w14:paraId="7B320CDF"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The experience of preparing and presenting my PowerPoint was both challenging and enlightening. The presentation focused on my personal SWOT analysis as a Level 4 Public Health student preparing for a career in social work. I structured the slides to highlight my strengths, such as analytical thinking, organisation, and creativity, followed by weaknesses including limited crisis intervention experience and public speaking anxiety. I then explored opportunities available to me, such as CPD programmes and integrated care systems, and identified external threats like funding cuts and burnout. The final slides demonstrated how I could leverage my strengths to overcome weaknesses and minimise threats, using practical examples to support my analysis.</w:t>
      </w:r>
    </w:p>
    <w:p w14:paraId="4A24D0A8"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 xml:space="preserve">During the presentation, I felt a mixture of nervousness and determination. I was confident in the content I had prepared, especially the examples that linked theory to practice, such as my involvement in group discussions and my interest in community health services. However, I was aware of my discomfort with public speaking, which affected my delivery. I spoke quickly at times and relied heavily on my speaker notes, which limited my eye contact </w:t>
      </w:r>
      <w:r w:rsidRPr="00363046">
        <w:rPr>
          <w:rFonts w:ascii="Arial" w:hAnsi="Arial" w:cs="Arial"/>
          <w:sz w:val="22"/>
          <w:szCs w:val="22"/>
        </w:rPr>
        <w:lastRenderedPageBreak/>
        <w:t>and engagement with the audience. Despite these challenges, I remained focused and aimed to communicate my ideas clearly and professionally.</w:t>
      </w:r>
    </w:p>
    <w:p w14:paraId="01658A70"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Reflecting on the presentation, I recognise that while my content was well-structured and relevant, my delivery could be improved. My lecturer’s verbal feedback highlighted that I demonstrated a strong understanding of the SWOT framework and used appropriate examples to support my points. However, they also noted that my pacing was too fast and that I appeared hesitant when transitioning between slides. This feedback aligns with my own observations, as I felt rushed and occasionally lost my rhythm. I also noticed that my tone lacked variation, which may have affected the audience’s ability to stay engaged.</w:t>
      </w:r>
    </w:p>
    <w:p w14:paraId="2F7C9027"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 xml:space="preserve">The feedback and my own reflection have prompted me to take specific actions to improve my presentation skills. First, I will engage in regular public speaking practice, both in academic settings and informal environments. Participating in student-led discussions and volunteering to present in group projects will help build my confidence. Second, I plan to record myself during rehearsals to evaluate my pacing, tone, and body language. This will allow me to identify areas for improvement and </w:t>
      </w:r>
      <w:proofErr w:type="gramStart"/>
      <w:r w:rsidRPr="00363046">
        <w:rPr>
          <w:rFonts w:ascii="Arial" w:hAnsi="Arial" w:cs="Arial"/>
          <w:sz w:val="22"/>
          <w:szCs w:val="22"/>
        </w:rPr>
        <w:t>make adjustments</w:t>
      </w:r>
      <w:proofErr w:type="gramEnd"/>
      <w:r w:rsidRPr="00363046">
        <w:rPr>
          <w:rFonts w:ascii="Arial" w:hAnsi="Arial" w:cs="Arial"/>
          <w:sz w:val="22"/>
          <w:szCs w:val="22"/>
        </w:rPr>
        <w:t xml:space="preserve"> before future presentations. Third, I will attend workshops focused on communication and presentation delivery, such as those offered by the university’s careers service. These sessions will provide practical strategies for engaging audiences and managing anxiety.</w:t>
      </w:r>
    </w:p>
    <w:p w14:paraId="58B2FB1D"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In addition to these actions, I will continue to reflect on my progress using the ERA model. Each presentation or speaking opportunity will serve as a new experience, followed by reflection and further action. This cyclical process will support my growth as a communicator and prepare me for professional roles where clear and confident communication is essential.</w:t>
      </w:r>
    </w:p>
    <w:p w14:paraId="65586FCC" w14:textId="77777777" w:rsidR="00E27ADC" w:rsidRPr="00363046" w:rsidRDefault="00E27ADC" w:rsidP="00363046">
      <w:pPr>
        <w:pStyle w:val="NormalWeb"/>
        <w:spacing w:line="360" w:lineRule="auto"/>
        <w:rPr>
          <w:rFonts w:ascii="Arial" w:hAnsi="Arial" w:cs="Arial"/>
          <w:sz w:val="22"/>
          <w:szCs w:val="22"/>
        </w:rPr>
      </w:pPr>
      <w:r w:rsidRPr="00363046">
        <w:rPr>
          <w:rFonts w:ascii="Arial" w:hAnsi="Arial" w:cs="Arial"/>
          <w:sz w:val="22"/>
          <w:szCs w:val="22"/>
        </w:rPr>
        <w:t>In conclusion, my Component 1 presentation was a valuable opportunity to assess my readiness for employability and personal advancement. Using the ERA model, I have critically evaluated my performance, acknowledged my strengths and weaknesses, and developed a plan for improvement. As I continue my journey toward a career in social work, I will apply these lessons to future assessments and professional interactions, ensuring that I communicate with clarity, empathy, and confidence.</w:t>
      </w:r>
    </w:p>
    <w:p w14:paraId="597E7AE1" w14:textId="77777777" w:rsidR="00966ADA" w:rsidRPr="00363046" w:rsidRDefault="00966ADA" w:rsidP="00363046">
      <w:pPr>
        <w:pStyle w:val="NormalWeb"/>
        <w:spacing w:line="360" w:lineRule="auto"/>
        <w:rPr>
          <w:rFonts w:ascii="Arial" w:hAnsi="Arial" w:cs="Arial"/>
          <w:sz w:val="22"/>
          <w:szCs w:val="22"/>
        </w:rPr>
      </w:pPr>
    </w:p>
    <w:p w14:paraId="0ED9979B" w14:textId="77777777" w:rsidR="00966ADA" w:rsidRPr="00363046" w:rsidRDefault="00966ADA" w:rsidP="00363046">
      <w:pPr>
        <w:pStyle w:val="NormalWeb"/>
        <w:spacing w:line="360" w:lineRule="auto"/>
        <w:rPr>
          <w:rFonts w:ascii="Arial" w:hAnsi="Arial" w:cs="Arial"/>
          <w:sz w:val="22"/>
          <w:szCs w:val="22"/>
        </w:rPr>
      </w:pPr>
    </w:p>
    <w:p w14:paraId="42767BAB" w14:textId="77777777" w:rsidR="00966ADA" w:rsidRPr="00363046" w:rsidRDefault="00966ADA" w:rsidP="00363046">
      <w:pPr>
        <w:pStyle w:val="NormalWeb"/>
        <w:spacing w:line="360" w:lineRule="auto"/>
        <w:rPr>
          <w:rFonts w:ascii="Arial" w:hAnsi="Arial" w:cs="Arial"/>
          <w:sz w:val="22"/>
          <w:szCs w:val="22"/>
        </w:rPr>
      </w:pPr>
    </w:p>
    <w:p w14:paraId="17DAFADD" w14:textId="77777777" w:rsidR="00966ADA" w:rsidRPr="00363046" w:rsidRDefault="00966ADA" w:rsidP="00363046">
      <w:pPr>
        <w:pStyle w:val="NormalWeb"/>
        <w:spacing w:line="360" w:lineRule="auto"/>
        <w:rPr>
          <w:rFonts w:ascii="Arial" w:hAnsi="Arial" w:cs="Arial"/>
          <w:sz w:val="22"/>
          <w:szCs w:val="22"/>
        </w:rPr>
      </w:pPr>
    </w:p>
    <w:p w14:paraId="6C3BFBF0" w14:textId="77777777" w:rsidR="00966ADA" w:rsidRPr="00363046" w:rsidRDefault="00966ADA" w:rsidP="00363046">
      <w:pPr>
        <w:pStyle w:val="NormalWeb"/>
        <w:spacing w:line="360" w:lineRule="auto"/>
        <w:rPr>
          <w:rFonts w:ascii="Arial" w:hAnsi="Arial" w:cs="Arial"/>
          <w:sz w:val="22"/>
          <w:szCs w:val="22"/>
        </w:rPr>
      </w:pPr>
    </w:p>
    <w:p w14:paraId="0D1D7192" w14:textId="77777777" w:rsidR="00B52827" w:rsidRDefault="00B52827" w:rsidP="00363046">
      <w:pPr>
        <w:pStyle w:val="NormalWeb"/>
        <w:spacing w:line="360" w:lineRule="auto"/>
        <w:rPr>
          <w:rStyle w:val="Strong"/>
          <w:rFonts w:ascii="Arial" w:eastAsiaTheme="majorEastAsia" w:hAnsi="Arial" w:cs="Arial"/>
          <w:sz w:val="22"/>
          <w:szCs w:val="22"/>
        </w:rPr>
      </w:pPr>
    </w:p>
    <w:p w14:paraId="6E5E8BB4" w14:textId="77777777" w:rsidR="00B52827" w:rsidRDefault="00B52827" w:rsidP="00363046">
      <w:pPr>
        <w:pStyle w:val="NormalWeb"/>
        <w:spacing w:line="360" w:lineRule="auto"/>
        <w:rPr>
          <w:rStyle w:val="Strong"/>
          <w:rFonts w:ascii="Arial" w:eastAsiaTheme="majorEastAsia" w:hAnsi="Arial" w:cs="Arial"/>
          <w:sz w:val="22"/>
          <w:szCs w:val="22"/>
        </w:rPr>
      </w:pPr>
    </w:p>
    <w:p w14:paraId="0E967248" w14:textId="77777777" w:rsidR="00B52827" w:rsidRDefault="00B52827" w:rsidP="00363046">
      <w:pPr>
        <w:pStyle w:val="NormalWeb"/>
        <w:spacing w:line="360" w:lineRule="auto"/>
        <w:rPr>
          <w:rStyle w:val="Strong"/>
          <w:rFonts w:ascii="Arial" w:eastAsiaTheme="majorEastAsia" w:hAnsi="Arial" w:cs="Arial"/>
          <w:sz w:val="22"/>
          <w:szCs w:val="22"/>
        </w:rPr>
      </w:pPr>
    </w:p>
    <w:p w14:paraId="0348A63E" w14:textId="77777777" w:rsidR="00B52827" w:rsidRDefault="00B52827" w:rsidP="00363046">
      <w:pPr>
        <w:pStyle w:val="NormalWeb"/>
        <w:spacing w:line="360" w:lineRule="auto"/>
        <w:rPr>
          <w:rStyle w:val="Strong"/>
          <w:rFonts w:ascii="Arial" w:eastAsiaTheme="majorEastAsia" w:hAnsi="Arial" w:cs="Arial"/>
          <w:sz w:val="22"/>
          <w:szCs w:val="22"/>
        </w:rPr>
      </w:pPr>
    </w:p>
    <w:p w14:paraId="47BDBD82" w14:textId="77777777" w:rsidR="00B52827" w:rsidRDefault="00B52827" w:rsidP="00363046">
      <w:pPr>
        <w:pStyle w:val="NormalWeb"/>
        <w:spacing w:line="360" w:lineRule="auto"/>
        <w:rPr>
          <w:rStyle w:val="Strong"/>
          <w:rFonts w:ascii="Arial" w:eastAsiaTheme="majorEastAsia" w:hAnsi="Arial" w:cs="Arial"/>
          <w:sz w:val="22"/>
          <w:szCs w:val="22"/>
        </w:rPr>
      </w:pPr>
    </w:p>
    <w:p w14:paraId="2EDA593F" w14:textId="77777777" w:rsidR="00B52827" w:rsidRDefault="00B52827" w:rsidP="00363046">
      <w:pPr>
        <w:pStyle w:val="NormalWeb"/>
        <w:spacing w:line="360" w:lineRule="auto"/>
        <w:rPr>
          <w:rStyle w:val="Strong"/>
          <w:rFonts w:ascii="Arial" w:eastAsiaTheme="majorEastAsia" w:hAnsi="Arial" w:cs="Arial"/>
          <w:sz w:val="22"/>
          <w:szCs w:val="22"/>
        </w:rPr>
      </w:pPr>
    </w:p>
    <w:p w14:paraId="5877509F" w14:textId="551C0435" w:rsidR="00966ADA" w:rsidRPr="00363046" w:rsidRDefault="00966ADA" w:rsidP="00363046">
      <w:pPr>
        <w:pStyle w:val="NormalWeb"/>
        <w:spacing w:line="360" w:lineRule="auto"/>
        <w:rPr>
          <w:rStyle w:val="Strong"/>
          <w:rFonts w:ascii="Arial" w:eastAsiaTheme="majorEastAsia" w:hAnsi="Arial" w:cs="Arial"/>
          <w:sz w:val="22"/>
          <w:szCs w:val="22"/>
        </w:rPr>
      </w:pPr>
      <w:r w:rsidRPr="00363046">
        <w:rPr>
          <w:rStyle w:val="Strong"/>
          <w:rFonts w:ascii="Arial" w:eastAsiaTheme="majorEastAsia" w:hAnsi="Arial" w:cs="Arial"/>
          <w:sz w:val="22"/>
          <w:szCs w:val="22"/>
        </w:rPr>
        <w:t xml:space="preserve">References </w:t>
      </w:r>
    </w:p>
    <w:p w14:paraId="4F326D71" w14:textId="3E90EA3F" w:rsidR="00966ADA" w:rsidRPr="00363046" w:rsidRDefault="00966ADA"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Task 1: Personal Action Plan</w:t>
      </w:r>
    </w:p>
    <w:p w14:paraId="5C9D5D78" w14:textId="4A65B51F"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British Association of Social Workers (2023) </w:t>
      </w:r>
      <w:r w:rsidRPr="00363046">
        <w:rPr>
          <w:rStyle w:val="Emphasis"/>
          <w:rFonts w:ascii="Arial" w:eastAsiaTheme="majorEastAsia" w:hAnsi="Arial" w:cs="Arial"/>
          <w:sz w:val="22"/>
          <w:szCs w:val="22"/>
        </w:rPr>
        <w:t>Professional Capabilities Framework</w:t>
      </w:r>
      <w:r w:rsidRPr="00363046">
        <w:rPr>
          <w:rFonts w:ascii="Arial" w:hAnsi="Arial" w:cs="Arial"/>
          <w:sz w:val="22"/>
          <w:szCs w:val="22"/>
        </w:rPr>
        <w:t>. Available at: https://www.basw.co.uk/professional-development/professional-capabilities-framework-pcf (Accessed: 12 November 2025).</w:t>
      </w:r>
    </w:p>
    <w:p w14:paraId="1C17A122" w14:textId="51260243"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Prospects (2025) </w:t>
      </w:r>
      <w:r w:rsidRPr="00363046">
        <w:rPr>
          <w:rStyle w:val="Emphasis"/>
          <w:rFonts w:ascii="Arial" w:eastAsiaTheme="majorEastAsia" w:hAnsi="Arial" w:cs="Arial"/>
          <w:sz w:val="22"/>
          <w:szCs w:val="22"/>
        </w:rPr>
        <w:t>Social Worker Job Profile</w:t>
      </w:r>
      <w:r w:rsidRPr="00363046">
        <w:rPr>
          <w:rFonts w:ascii="Arial" w:hAnsi="Arial" w:cs="Arial"/>
          <w:sz w:val="22"/>
          <w:szCs w:val="22"/>
        </w:rPr>
        <w:t>. Available at: https://www.prospects.ac.uk/job-profiles/social-worker (Accessed: 12 November 2025).</w:t>
      </w:r>
    </w:p>
    <w:p w14:paraId="518D5557" w14:textId="4FA2A7AE"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Social Care Institute for Excellence (2024) </w:t>
      </w:r>
      <w:r w:rsidRPr="00363046">
        <w:rPr>
          <w:rStyle w:val="Emphasis"/>
          <w:rFonts w:ascii="Arial" w:eastAsiaTheme="majorEastAsia" w:hAnsi="Arial" w:cs="Arial"/>
          <w:sz w:val="22"/>
          <w:szCs w:val="22"/>
        </w:rPr>
        <w:t>Safeguarding Adults: Online CPD Resources</w:t>
      </w:r>
      <w:r w:rsidRPr="00363046">
        <w:rPr>
          <w:rFonts w:ascii="Arial" w:hAnsi="Arial" w:cs="Arial"/>
          <w:sz w:val="22"/>
          <w:szCs w:val="22"/>
        </w:rPr>
        <w:t>. Available at: https://www.scie.org.uk/safeguarding/adults (Accessed: 12 November 2025).</w:t>
      </w:r>
    </w:p>
    <w:p w14:paraId="360FC917" w14:textId="77777777" w:rsidR="00966ADA" w:rsidRPr="00363046" w:rsidRDefault="00966ADA"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Task 2: Communication in Health and Social Care</w:t>
      </w:r>
    </w:p>
    <w:p w14:paraId="16A25312" w14:textId="4C67BDB9"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Care Skills Training (2025) </w:t>
      </w:r>
      <w:r w:rsidRPr="00363046">
        <w:rPr>
          <w:rStyle w:val="Emphasis"/>
          <w:rFonts w:ascii="Arial" w:eastAsiaTheme="majorEastAsia" w:hAnsi="Arial" w:cs="Arial"/>
          <w:sz w:val="22"/>
          <w:szCs w:val="22"/>
        </w:rPr>
        <w:t>What is Effective Communication in Health and Social Care? A Guide to the Heartbeat of Great Care</w:t>
      </w:r>
      <w:r w:rsidRPr="00363046">
        <w:rPr>
          <w:rFonts w:ascii="Arial" w:hAnsi="Arial" w:cs="Arial"/>
          <w:sz w:val="22"/>
          <w:szCs w:val="22"/>
        </w:rPr>
        <w:t>. Available at: https://careskillstraining.org/blog/what-is-effective-communication-in-health-and-social-care/ (Accessed: 13 November 2025).</w:t>
      </w:r>
    </w:p>
    <w:p w14:paraId="6C59999A" w14:textId="4484333D"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High Speed Training (2021) </w:t>
      </w:r>
      <w:r w:rsidRPr="00363046">
        <w:rPr>
          <w:rStyle w:val="Emphasis"/>
          <w:rFonts w:ascii="Arial" w:eastAsiaTheme="majorEastAsia" w:hAnsi="Arial" w:cs="Arial"/>
          <w:sz w:val="22"/>
          <w:szCs w:val="22"/>
        </w:rPr>
        <w:t>Promoting Effective Communication in Health and Social Care</w:t>
      </w:r>
      <w:r w:rsidRPr="00363046">
        <w:rPr>
          <w:rFonts w:ascii="Arial" w:hAnsi="Arial" w:cs="Arial"/>
          <w:sz w:val="22"/>
          <w:szCs w:val="22"/>
        </w:rPr>
        <w:t>. Available at: https://www.highspeedtraining.co.uk/hub/effective-communication-in-health-and-social-care/ (Accessed: 13 November 2025).</w:t>
      </w:r>
    </w:p>
    <w:p w14:paraId="44668E66" w14:textId="1A6B600B"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lastRenderedPageBreak/>
        <w:t xml:space="preserve">Care Learning (2024) </w:t>
      </w:r>
      <w:r w:rsidRPr="00363046">
        <w:rPr>
          <w:rStyle w:val="Emphasis"/>
          <w:rFonts w:ascii="Arial" w:eastAsiaTheme="majorEastAsia" w:hAnsi="Arial" w:cs="Arial"/>
          <w:sz w:val="22"/>
          <w:szCs w:val="22"/>
        </w:rPr>
        <w:t>Explain the Use of Communication in Health and Social Care Settings</w:t>
      </w:r>
      <w:r w:rsidRPr="00363046">
        <w:rPr>
          <w:rFonts w:ascii="Arial" w:hAnsi="Arial" w:cs="Arial"/>
          <w:sz w:val="22"/>
          <w:szCs w:val="22"/>
        </w:rPr>
        <w:t>. Available at: https://carelearning.org.uk/qualifications/level-3-extended-hsc/hsc-cm4/1-1-explain-the-use-of-communication-in-health-and-social-care-settings/ (Accessed: 13 November 2025).</w:t>
      </w:r>
    </w:p>
    <w:p w14:paraId="2D71B6CC" w14:textId="77777777" w:rsidR="00966ADA" w:rsidRPr="00363046" w:rsidRDefault="00966ADA" w:rsidP="00363046">
      <w:pPr>
        <w:pStyle w:val="NormalWeb"/>
        <w:spacing w:line="360" w:lineRule="auto"/>
        <w:rPr>
          <w:rFonts w:ascii="Arial" w:hAnsi="Arial" w:cs="Arial"/>
          <w:sz w:val="22"/>
          <w:szCs w:val="22"/>
        </w:rPr>
      </w:pPr>
      <w:r w:rsidRPr="00363046">
        <w:rPr>
          <w:rStyle w:val="Strong"/>
          <w:rFonts w:ascii="Arial" w:eastAsiaTheme="majorEastAsia" w:hAnsi="Arial" w:cs="Arial"/>
          <w:sz w:val="22"/>
          <w:szCs w:val="22"/>
        </w:rPr>
        <w:t>Task 3: Reflective Essay on Presentation</w:t>
      </w:r>
    </w:p>
    <w:p w14:paraId="7E7E7E7B" w14:textId="77777777"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Erikson, E.H. and Erikson, J.M. (1998) </w:t>
      </w:r>
      <w:r w:rsidRPr="00363046">
        <w:rPr>
          <w:rStyle w:val="Emphasis"/>
          <w:rFonts w:ascii="Arial" w:eastAsiaTheme="majorEastAsia" w:hAnsi="Arial" w:cs="Arial"/>
          <w:sz w:val="22"/>
          <w:szCs w:val="22"/>
        </w:rPr>
        <w:t>The Life Cycle Completed (Extended Version)</w:t>
      </w:r>
      <w:r w:rsidRPr="00363046">
        <w:rPr>
          <w:rFonts w:ascii="Arial" w:hAnsi="Arial" w:cs="Arial"/>
          <w:sz w:val="22"/>
          <w:szCs w:val="22"/>
        </w:rPr>
        <w:t>. New York: W.W. Norton &amp; Company. pp. 105–123.</w:t>
      </w:r>
    </w:p>
    <w:p w14:paraId="55C734BC" w14:textId="77777777"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Rogers, C.R. (1951) </w:t>
      </w:r>
      <w:r w:rsidRPr="00363046">
        <w:rPr>
          <w:rStyle w:val="Emphasis"/>
          <w:rFonts w:ascii="Arial" w:eastAsiaTheme="majorEastAsia" w:hAnsi="Arial" w:cs="Arial"/>
          <w:sz w:val="22"/>
          <w:szCs w:val="22"/>
        </w:rPr>
        <w:t>Client-</w:t>
      </w:r>
      <w:proofErr w:type="spellStart"/>
      <w:r w:rsidRPr="00363046">
        <w:rPr>
          <w:rStyle w:val="Emphasis"/>
          <w:rFonts w:ascii="Arial" w:eastAsiaTheme="majorEastAsia" w:hAnsi="Arial" w:cs="Arial"/>
          <w:sz w:val="22"/>
          <w:szCs w:val="22"/>
        </w:rPr>
        <w:t>Centered</w:t>
      </w:r>
      <w:proofErr w:type="spellEnd"/>
      <w:r w:rsidRPr="00363046">
        <w:rPr>
          <w:rStyle w:val="Emphasis"/>
          <w:rFonts w:ascii="Arial" w:eastAsiaTheme="majorEastAsia" w:hAnsi="Arial" w:cs="Arial"/>
          <w:sz w:val="22"/>
          <w:szCs w:val="22"/>
        </w:rPr>
        <w:t xml:space="preserve"> Therapy: Its Current Practice, Implications and Theory</w:t>
      </w:r>
      <w:r w:rsidRPr="00363046">
        <w:rPr>
          <w:rFonts w:ascii="Arial" w:hAnsi="Arial" w:cs="Arial"/>
          <w:sz w:val="22"/>
          <w:szCs w:val="22"/>
        </w:rPr>
        <w:t>. Boston: Houghton Mifflin. pp. 25–87.</w:t>
      </w:r>
    </w:p>
    <w:p w14:paraId="563EFA78" w14:textId="77777777" w:rsidR="00966ADA" w:rsidRPr="00363046" w:rsidRDefault="00966ADA" w:rsidP="00363046">
      <w:pPr>
        <w:pStyle w:val="NormalWeb"/>
        <w:spacing w:line="360" w:lineRule="auto"/>
        <w:rPr>
          <w:rFonts w:ascii="Arial" w:hAnsi="Arial" w:cs="Arial"/>
          <w:sz w:val="22"/>
          <w:szCs w:val="22"/>
        </w:rPr>
      </w:pPr>
      <w:proofErr w:type="spellStart"/>
      <w:r w:rsidRPr="00363046">
        <w:rPr>
          <w:rFonts w:ascii="Arial" w:hAnsi="Arial" w:cs="Arial"/>
          <w:sz w:val="22"/>
          <w:szCs w:val="22"/>
        </w:rPr>
        <w:t>Kitwood</w:t>
      </w:r>
      <w:proofErr w:type="spellEnd"/>
      <w:r w:rsidRPr="00363046">
        <w:rPr>
          <w:rFonts w:ascii="Arial" w:hAnsi="Arial" w:cs="Arial"/>
          <w:sz w:val="22"/>
          <w:szCs w:val="22"/>
        </w:rPr>
        <w:t xml:space="preserve">, T. (1997) </w:t>
      </w:r>
      <w:r w:rsidRPr="00363046">
        <w:rPr>
          <w:rStyle w:val="Emphasis"/>
          <w:rFonts w:ascii="Arial" w:eastAsiaTheme="majorEastAsia" w:hAnsi="Arial" w:cs="Arial"/>
          <w:sz w:val="22"/>
          <w:szCs w:val="22"/>
        </w:rPr>
        <w:t>Dementia Reconsidered: The Person Comes First</w:t>
      </w:r>
      <w:r w:rsidRPr="00363046">
        <w:rPr>
          <w:rFonts w:ascii="Arial" w:hAnsi="Arial" w:cs="Arial"/>
          <w:sz w:val="22"/>
          <w:szCs w:val="22"/>
        </w:rPr>
        <w:t>. Buckingham: Open University Press. pp. 37–55.</w:t>
      </w:r>
    </w:p>
    <w:p w14:paraId="491BB632" w14:textId="47EB9DA5"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British Psychological Society (2016) </w:t>
      </w:r>
      <w:r w:rsidRPr="00363046">
        <w:rPr>
          <w:rStyle w:val="Emphasis"/>
          <w:rFonts w:ascii="Arial" w:eastAsiaTheme="majorEastAsia" w:hAnsi="Arial" w:cs="Arial"/>
          <w:sz w:val="22"/>
          <w:szCs w:val="22"/>
        </w:rPr>
        <w:t>Psychological Dimensions of Dementia: Putting the Person at the Centre of Care</w:t>
      </w:r>
      <w:r w:rsidRPr="00363046">
        <w:rPr>
          <w:rFonts w:ascii="Arial" w:hAnsi="Arial" w:cs="Arial"/>
          <w:sz w:val="22"/>
          <w:szCs w:val="22"/>
        </w:rPr>
        <w:t>. Available at: https://www.dementiauk.org/wp-content/uploads/british-psychological-society-psychological-dimensions-of-dementia_Putting-the-person-at-the-centre-of-care.pdf (Accessed: 14 November 2025). [See pp. 4–12]</w:t>
      </w:r>
    </w:p>
    <w:p w14:paraId="47296585" w14:textId="6E52EE3D"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Cambridge University Press (2018) </w:t>
      </w:r>
      <w:r w:rsidRPr="00363046">
        <w:rPr>
          <w:rStyle w:val="Emphasis"/>
          <w:rFonts w:ascii="Arial" w:eastAsiaTheme="majorEastAsia" w:hAnsi="Arial" w:cs="Arial"/>
          <w:sz w:val="22"/>
          <w:szCs w:val="22"/>
        </w:rPr>
        <w:t>Psychosocial Interventions for Dementia: From Evidence to Practice</w:t>
      </w:r>
      <w:r w:rsidRPr="00363046">
        <w:rPr>
          <w:rFonts w:ascii="Arial" w:hAnsi="Arial" w:cs="Arial"/>
          <w:sz w:val="22"/>
          <w:szCs w:val="22"/>
        </w:rPr>
        <w:t xml:space="preserve">. </w:t>
      </w:r>
      <w:r w:rsidRPr="00363046">
        <w:rPr>
          <w:rStyle w:val="Emphasis"/>
          <w:rFonts w:ascii="Arial" w:eastAsiaTheme="majorEastAsia" w:hAnsi="Arial" w:cs="Arial"/>
          <w:sz w:val="22"/>
          <w:szCs w:val="22"/>
        </w:rPr>
        <w:t>Advances in Psychiatric Treatment</w:t>
      </w:r>
      <w:r w:rsidRPr="00363046">
        <w:rPr>
          <w:rFonts w:ascii="Arial" w:hAnsi="Arial" w:cs="Arial"/>
          <w:sz w:val="22"/>
          <w:szCs w:val="22"/>
        </w:rPr>
        <w:t>, 24(3), pp. 168–176. Available at: https://www.cambridge.org/core/journals/advances-in-psychiatric-treatment/article/psychosocial-interventions-for-dementia-from-evidence-to-practice/7D06AD3D2097AFB9384F010A132F4D70 (Accessed: 14 November 2025).</w:t>
      </w:r>
    </w:p>
    <w:p w14:paraId="1A28727D" w14:textId="0A16CB67" w:rsidR="00966ADA" w:rsidRPr="00363046" w:rsidRDefault="00966ADA" w:rsidP="00363046">
      <w:pPr>
        <w:pStyle w:val="NormalWeb"/>
        <w:spacing w:line="360" w:lineRule="auto"/>
        <w:rPr>
          <w:rFonts w:ascii="Arial" w:hAnsi="Arial" w:cs="Arial"/>
          <w:sz w:val="22"/>
          <w:szCs w:val="22"/>
        </w:rPr>
      </w:pPr>
      <w:r w:rsidRPr="00363046">
        <w:rPr>
          <w:rFonts w:ascii="Arial" w:hAnsi="Arial" w:cs="Arial"/>
          <w:sz w:val="22"/>
          <w:szCs w:val="22"/>
        </w:rPr>
        <w:t xml:space="preserve">Javed, S. and Kakul, F. (2023) ‘Psychological Theories of Dementia’, </w:t>
      </w:r>
      <w:r w:rsidRPr="00363046">
        <w:rPr>
          <w:rStyle w:val="Emphasis"/>
          <w:rFonts w:ascii="Arial" w:eastAsiaTheme="majorEastAsia" w:hAnsi="Arial" w:cs="Arial"/>
          <w:sz w:val="22"/>
          <w:szCs w:val="22"/>
        </w:rPr>
        <w:t>Journal of Gerontology and Geriatrics</w:t>
      </w:r>
      <w:r w:rsidRPr="00363046">
        <w:rPr>
          <w:rFonts w:ascii="Arial" w:hAnsi="Arial" w:cs="Arial"/>
          <w:sz w:val="22"/>
          <w:szCs w:val="22"/>
        </w:rPr>
        <w:t>, 71(2), pp. 45–58. Available at: https://www.jgerontology-geriatrics.com/article/view/610 (Accessed: 14 November 2025).</w:t>
      </w:r>
    </w:p>
    <w:p w14:paraId="22497D07" w14:textId="77777777" w:rsidR="00966ADA" w:rsidRDefault="00966ADA" w:rsidP="00E27ADC">
      <w:pPr>
        <w:pStyle w:val="NormalWeb"/>
      </w:pPr>
    </w:p>
    <w:p w14:paraId="00DFB1FF" w14:textId="77777777" w:rsidR="00E27ADC" w:rsidRDefault="00E27ADC"/>
    <w:sectPr w:rsidR="00E27AD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83316" w14:textId="77777777" w:rsidR="00B52827" w:rsidRDefault="00B52827" w:rsidP="00B52827">
      <w:r>
        <w:separator/>
      </w:r>
    </w:p>
  </w:endnote>
  <w:endnote w:type="continuationSeparator" w:id="0">
    <w:p w14:paraId="350B0559" w14:textId="77777777" w:rsidR="00B52827" w:rsidRDefault="00B52827" w:rsidP="00B5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6808926"/>
      <w:docPartObj>
        <w:docPartGallery w:val="Page Numbers (Bottom of Page)"/>
        <w:docPartUnique/>
      </w:docPartObj>
    </w:sdtPr>
    <w:sdtContent>
      <w:p w14:paraId="32AC6ED7" w14:textId="79114722" w:rsidR="00B52827" w:rsidRDefault="00B52827">
        <w:pPr>
          <w:pStyle w:val="Footer"/>
          <w:jc w:val="center"/>
        </w:pPr>
        <w:r>
          <w:fldChar w:fldCharType="begin"/>
        </w:r>
        <w:r>
          <w:instrText>PAGE   \* MERGEFORMAT</w:instrText>
        </w:r>
        <w:r>
          <w:fldChar w:fldCharType="separate"/>
        </w:r>
        <w:r>
          <w:t>2</w:t>
        </w:r>
        <w:r>
          <w:fldChar w:fldCharType="end"/>
        </w:r>
      </w:p>
    </w:sdtContent>
  </w:sdt>
  <w:p w14:paraId="693F6DD3" w14:textId="77777777" w:rsidR="00B52827" w:rsidRDefault="00B52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29CCE" w14:textId="77777777" w:rsidR="00B52827" w:rsidRDefault="00B52827" w:rsidP="00B52827">
      <w:r>
        <w:separator/>
      </w:r>
    </w:p>
  </w:footnote>
  <w:footnote w:type="continuationSeparator" w:id="0">
    <w:p w14:paraId="3EF9368A" w14:textId="77777777" w:rsidR="00B52827" w:rsidRDefault="00B52827" w:rsidP="00B528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02AA9"/>
    <w:multiLevelType w:val="multilevel"/>
    <w:tmpl w:val="933A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8D05E5"/>
    <w:multiLevelType w:val="multilevel"/>
    <w:tmpl w:val="A8EE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A130A"/>
    <w:multiLevelType w:val="multilevel"/>
    <w:tmpl w:val="4A4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4" w15:restartNumberingAfterBreak="0">
    <w:nsid w:val="720D2F67"/>
    <w:multiLevelType w:val="multilevel"/>
    <w:tmpl w:val="720D2F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23777140">
    <w:abstractNumId w:val="4"/>
  </w:num>
  <w:num w:numId="2" w16cid:durableId="373964333">
    <w:abstractNumId w:val="3"/>
  </w:num>
  <w:num w:numId="3" w16cid:durableId="1405765287">
    <w:abstractNumId w:val="1"/>
  </w:num>
  <w:num w:numId="4" w16cid:durableId="1964457491">
    <w:abstractNumId w:val="2"/>
  </w:num>
  <w:num w:numId="5" w16cid:durableId="1059868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4DD"/>
    <w:rsid w:val="001772D6"/>
    <w:rsid w:val="00354BF4"/>
    <w:rsid w:val="00363046"/>
    <w:rsid w:val="003A4E79"/>
    <w:rsid w:val="003F28AA"/>
    <w:rsid w:val="004274DD"/>
    <w:rsid w:val="00710083"/>
    <w:rsid w:val="00966ADA"/>
    <w:rsid w:val="00B52827"/>
    <w:rsid w:val="00BA4DD8"/>
    <w:rsid w:val="00E27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75E9D"/>
  <w15:chartTrackingRefBased/>
  <w15:docId w15:val="{8F02C6EE-C9CB-479B-989D-9A6224F9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4D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27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4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4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4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4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4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4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4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4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4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4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4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4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4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4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4DD"/>
    <w:rPr>
      <w:rFonts w:eastAsiaTheme="majorEastAsia" w:cstheme="majorBidi"/>
      <w:color w:val="272727" w:themeColor="text1" w:themeTint="D8"/>
    </w:rPr>
  </w:style>
  <w:style w:type="paragraph" w:styleId="Title">
    <w:name w:val="Title"/>
    <w:basedOn w:val="Normal"/>
    <w:next w:val="Normal"/>
    <w:link w:val="TitleChar"/>
    <w:uiPriority w:val="10"/>
    <w:qFormat/>
    <w:rsid w:val="004274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4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4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4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4DD"/>
    <w:pPr>
      <w:spacing w:before="160"/>
      <w:jc w:val="center"/>
    </w:pPr>
    <w:rPr>
      <w:i/>
      <w:iCs/>
      <w:color w:val="404040" w:themeColor="text1" w:themeTint="BF"/>
    </w:rPr>
  </w:style>
  <w:style w:type="character" w:customStyle="1" w:styleId="QuoteChar">
    <w:name w:val="Quote Char"/>
    <w:basedOn w:val="DefaultParagraphFont"/>
    <w:link w:val="Quote"/>
    <w:uiPriority w:val="29"/>
    <w:rsid w:val="004274DD"/>
    <w:rPr>
      <w:i/>
      <w:iCs/>
      <w:color w:val="404040" w:themeColor="text1" w:themeTint="BF"/>
    </w:rPr>
  </w:style>
  <w:style w:type="paragraph" w:styleId="ListParagraph">
    <w:name w:val="List Paragraph"/>
    <w:basedOn w:val="Normal"/>
    <w:uiPriority w:val="34"/>
    <w:qFormat/>
    <w:rsid w:val="004274DD"/>
    <w:pPr>
      <w:ind w:left="720"/>
      <w:contextualSpacing/>
    </w:pPr>
  </w:style>
  <w:style w:type="character" w:styleId="IntenseEmphasis">
    <w:name w:val="Intense Emphasis"/>
    <w:basedOn w:val="DefaultParagraphFont"/>
    <w:uiPriority w:val="21"/>
    <w:qFormat/>
    <w:rsid w:val="004274DD"/>
    <w:rPr>
      <w:i/>
      <w:iCs/>
      <w:color w:val="0F4761" w:themeColor="accent1" w:themeShade="BF"/>
    </w:rPr>
  </w:style>
  <w:style w:type="paragraph" w:styleId="IntenseQuote">
    <w:name w:val="Intense Quote"/>
    <w:basedOn w:val="Normal"/>
    <w:next w:val="Normal"/>
    <w:link w:val="IntenseQuoteChar"/>
    <w:uiPriority w:val="30"/>
    <w:qFormat/>
    <w:rsid w:val="004274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4DD"/>
    <w:rPr>
      <w:i/>
      <w:iCs/>
      <w:color w:val="0F4761" w:themeColor="accent1" w:themeShade="BF"/>
    </w:rPr>
  </w:style>
  <w:style w:type="character" w:styleId="IntenseReference">
    <w:name w:val="Intense Reference"/>
    <w:basedOn w:val="DefaultParagraphFont"/>
    <w:uiPriority w:val="32"/>
    <w:qFormat/>
    <w:rsid w:val="004274DD"/>
    <w:rPr>
      <w:b/>
      <w:bCs/>
      <w:smallCaps/>
      <w:color w:val="0F4761" w:themeColor="accent1" w:themeShade="BF"/>
      <w:spacing w:val="5"/>
    </w:rPr>
  </w:style>
  <w:style w:type="paragraph" w:styleId="NormalWeb">
    <w:name w:val="Normal (Web)"/>
    <w:basedOn w:val="Normal"/>
    <w:uiPriority w:val="99"/>
    <w:semiHidden/>
    <w:unhideWhenUsed/>
    <w:rsid w:val="004274DD"/>
    <w:pPr>
      <w:spacing w:before="100" w:beforeAutospacing="1" w:after="100" w:afterAutospacing="1"/>
    </w:pPr>
    <w:rPr>
      <w:sz w:val="24"/>
      <w:szCs w:val="24"/>
    </w:rPr>
  </w:style>
  <w:style w:type="character" w:styleId="Strong">
    <w:name w:val="Strong"/>
    <w:basedOn w:val="DefaultParagraphFont"/>
    <w:uiPriority w:val="22"/>
    <w:qFormat/>
    <w:rsid w:val="004274DD"/>
    <w:rPr>
      <w:b/>
      <w:bCs/>
    </w:rPr>
  </w:style>
  <w:style w:type="character" w:styleId="Emphasis">
    <w:name w:val="Emphasis"/>
    <w:basedOn w:val="DefaultParagraphFont"/>
    <w:uiPriority w:val="20"/>
    <w:qFormat/>
    <w:rsid w:val="00966ADA"/>
    <w:rPr>
      <w:i/>
      <w:iCs/>
    </w:rPr>
  </w:style>
  <w:style w:type="paragraph" w:styleId="Header">
    <w:name w:val="header"/>
    <w:basedOn w:val="Normal"/>
    <w:link w:val="HeaderChar"/>
    <w:uiPriority w:val="99"/>
    <w:unhideWhenUsed/>
    <w:rsid w:val="00B52827"/>
    <w:pPr>
      <w:tabs>
        <w:tab w:val="center" w:pos="4513"/>
        <w:tab w:val="right" w:pos="9026"/>
      </w:tabs>
    </w:pPr>
  </w:style>
  <w:style w:type="character" w:customStyle="1" w:styleId="HeaderChar">
    <w:name w:val="Header Char"/>
    <w:basedOn w:val="DefaultParagraphFont"/>
    <w:link w:val="Header"/>
    <w:uiPriority w:val="99"/>
    <w:rsid w:val="00B52827"/>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52827"/>
    <w:pPr>
      <w:tabs>
        <w:tab w:val="center" w:pos="4513"/>
        <w:tab w:val="right" w:pos="9026"/>
      </w:tabs>
    </w:pPr>
  </w:style>
  <w:style w:type="character" w:customStyle="1" w:styleId="FooterChar">
    <w:name w:val="Footer Char"/>
    <w:basedOn w:val="DefaultParagraphFont"/>
    <w:link w:val="Footer"/>
    <w:uiPriority w:val="99"/>
    <w:rsid w:val="00B52827"/>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57233">
      <w:bodyDiv w:val="1"/>
      <w:marLeft w:val="0"/>
      <w:marRight w:val="0"/>
      <w:marTop w:val="0"/>
      <w:marBottom w:val="0"/>
      <w:divBdr>
        <w:top w:val="none" w:sz="0" w:space="0" w:color="auto"/>
        <w:left w:val="none" w:sz="0" w:space="0" w:color="auto"/>
        <w:bottom w:val="none" w:sz="0" w:space="0" w:color="auto"/>
        <w:right w:val="none" w:sz="0" w:space="0" w:color="auto"/>
      </w:divBdr>
    </w:div>
    <w:div w:id="147481940">
      <w:bodyDiv w:val="1"/>
      <w:marLeft w:val="0"/>
      <w:marRight w:val="0"/>
      <w:marTop w:val="0"/>
      <w:marBottom w:val="0"/>
      <w:divBdr>
        <w:top w:val="none" w:sz="0" w:space="0" w:color="auto"/>
        <w:left w:val="none" w:sz="0" w:space="0" w:color="auto"/>
        <w:bottom w:val="none" w:sz="0" w:space="0" w:color="auto"/>
        <w:right w:val="none" w:sz="0" w:space="0" w:color="auto"/>
      </w:divBdr>
    </w:div>
    <w:div w:id="1033923790">
      <w:bodyDiv w:val="1"/>
      <w:marLeft w:val="0"/>
      <w:marRight w:val="0"/>
      <w:marTop w:val="0"/>
      <w:marBottom w:val="0"/>
      <w:divBdr>
        <w:top w:val="none" w:sz="0" w:space="0" w:color="auto"/>
        <w:left w:val="none" w:sz="0" w:space="0" w:color="auto"/>
        <w:bottom w:val="none" w:sz="0" w:space="0" w:color="auto"/>
        <w:right w:val="none" w:sz="0" w:space="0" w:color="auto"/>
      </w:divBdr>
    </w:div>
    <w:div w:id="1333215278">
      <w:bodyDiv w:val="1"/>
      <w:marLeft w:val="0"/>
      <w:marRight w:val="0"/>
      <w:marTop w:val="0"/>
      <w:marBottom w:val="0"/>
      <w:divBdr>
        <w:top w:val="none" w:sz="0" w:space="0" w:color="auto"/>
        <w:left w:val="none" w:sz="0" w:space="0" w:color="auto"/>
        <w:bottom w:val="none" w:sz="0" w:space="0" w:color="auto"/>
        <w:right w:val="none" w:sz="0" w:space="0" w:color="auto"/>
      </w:divBdr>
    </w:div>
    <w:div w:id="1595281102">
      <w:bodyDiv w:val="1"/>
      <w:marLeft w:val="0"/>
      <w:marRight w:val="0"/>
      <w:marTop w:val="0"/>
      <w:marBottom w:val="0"/>
      <w:divBdr>
        <w:top w:val="none" w:sz="0" w:space="0" w:color="auto"/>
        <w:left w:val="none" w:sz="0" w:space="0" w:color="auto"/>
        <w:bottom w:val="none" w:sz="0" w:space="0" w:color="auto"/>
        <w:right w:val="none" w:sz="0" w:space="0" w:color="auto"/>
      </w:divBdr>
    </w:div>
    <w:div w:id="199406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10</Pages>
  <Words>2569</Words>
  <Characters>14645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McCann</dc:creator>
  <cp:keywords/>
  <dc:description/>
  <cp:lastModifiedBy>Adele McCann</cp:lastModifiedBy>
  <cp:revision>3</cp:revision>
  <dcterms:created xsi:type="dcterms:W3CDTF">2025-10-02T12:27:00Z</dcterms:created>
  <dcterms:modified xsi:type="dcterms:W3CDTF">2025-10-19T11:22:00Z</dcterms:modified>
</cp:coreProperties>
</file>