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FD694D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842AB">
              <w:rPr>
                <w:rFonts w:ascii="Times New Roman" w:hAnsi="Times New Roman" w:cs="Times New Roman"/>
                <w:b/>
                <w:color w:val="auto"/>
                <w:sz w:val="48"/>
              </w:rPr>
              <w:t>Jessica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463E543" w14:textId="49514E21" w:rsidR="008842AB" w:rsidRPr="00CC59E4" w:rsidRDefault="009C337F" w:rsidP="008842A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842AB">
              <w:rPr>
                <w:rFonts w:ascii="Times New Roman" w:hAnsi="Times New Roman" w:cs="Times New Roman"/>
                <w:b/>
                <w:color w:val="auto"/>
                <w:sz w:val="48"/>
              </w:rPr>
              <w:t xml:space="preserve"> </w:t>
            </w:r>
            <w:r w:rsidR="008842AB">
              <w:rPr>
                <w:rFonts w:ascii="Times New Roman" w:hAnsi="Times New Roman" w:cs="Times New Roman"/>
                <w:b/>
                <w:color w:val="auto"/>
                <w:sz w:val="48"/>
              </w:rPr>
              <w:t>1701443@student.uwtsd.ac.uk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9EF948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842AB">
              <w:rPr>
                <w:rFonts w:ascii="Times New Roman" w:hAnsi="Times New Roman" w:cs="Times New Roman"/>
                <w:b/>
                <w:color w:val="auto"/>
                <w:sz w:val="48"/>
              </w:rPr>
              <w:t xml:space="preserve"> </w:t>
            </w:r>
            <w:r w:rsidR="008842AB" w:rsidRPr="008842AB">
              <w:rPr>
                <w:rFonts w:ascii="Times New Roman" w:hAnsi="Times New Roman" w:cs="Times New Roman"/>
                <w:b/>
                <w:color w:val="auto"/>
                <w:sz w:val="36"/>
                <w:szCs w:val="36"/>
              </w:rPr>
              <w:t>1701443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F7329D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8842AB">
              <w:rPr>
                <w:rFonts w:ascii="Times New Roman" w:hAnsi="Times New Roman" w:cs="Times New Roman"/>
                <w:b/>
                <w:color w:val="auto"/>
                <w:sz w:val="48"/>
              </w:rPr>
              <w:t>19</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0EF984DF" w14:textId="02707E04" w:rsidR="000D0BB6" w:rsidRPr="00EE5BC3" w:rsidRDefault="00337FEF" w:rsidP="008842AB">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A0FA369" w14:textId="77777777" w:rsidR="008842AB" w:rsidRPr="00C530C4" w:rsidRDefault="008842AB" w:rsidP="008842AB">
            <w:pPr>
              <w:overflowPunct/>
              <w:autoSpaceDE/>
              <w:autoSpaceDN/>
              <w:adjustRightInd/>
              <w:spacing w:after="160" w:line="276" w:lineRule="auto"/>
              <w:jc w:val="both"/>
              <w:textAlignment w:val="auto"/>
              <w:rPr>
                <w:rFonts w:eastAsiaTheme="minorHAnsi"/>
                <w:color w:val="auto"/>
                <w:sz w:val="24"/>
                <w:szCs w:val="24"/>
                <w:lang w:eastAsia="en-US"/>
              </w:rPr>
            </w:pPr>
            <w:r w:rsidRPr="00C530C4">
              <w:rPr>
                <w:rFonts w:eastAsiaTheme="minorHAnsi"/>
                <w:color w:val="auto"/>
                <w:sz w:val="24"/>
                <w:szCs w:val="24"/>
                <w:lang w:eastAsia="en-US"/>
              </w:rPr>
              <w:t xml:space="preserve">Task 4a aims to synthesise key aspects of ‘safeguarding adults’ (Wales) such as relevant legislation, policy, regulations, statutory guidance, and procedures. Social care is a devolved matter (Martin, 2024). Primary legislation falls under Welsh Government (WG) jurisdiction: The Social Services Wellbeing (Wales) Act 2014 (SSWBWA 2014). ‘Safeguarding’ (Part 7) is paired with guidance: ‘Working Together to Safeguard People’ (Social Care Wales [SCW], 2024). </w:t>
            </w:r>
          </w:p>
          <w:p w14:paraId="14FC9670" w14:textId="77777777" w:rsidR="008842AB" w:rsidRPr="00C530C4" w:rsidRDefault="008842AB" w:rsidP="008842AB">
            <w:pPr>
              <w:overflowPunct/>
              <w:autoSpaceDE/>
              <w:autoSpaceDN/>
              <w:adjustRightInd/>
              <w:spacing w:after="160" w:line="276" w:lineRule="auto"/>
              <w:jc w:val="both"/>
              <w:textAlignment w:val="auto"/>
              <w:rPr>
                <w:rFonts w:eastAsiaTheme="minorHAnsi"/>
                <w:color w:val="auto"/>
                <w:sz w:val="24"/>
                <w:szCs w:val="24"/>
                <w:lang w:eastAsia="en-US"/>
              </w:rPr>
            </w:pPr>
            <w:r w:rsidRPr="00C530C4">
              <w:rPr>
                <w:rFonts w:eastAsiaTheme="minorHAnsi"/>
                <w:color w:val="auto"/>
                <w:sz w:val="24"/>
                <w:szCs w:val="24"/>
                <w:lang w:eastAsia="en-US"/>
              </w:rPr>
              <w:t xml:space="preserve">The Wales Safeguarding Procedures (WSP) (SCW, 2024) consolidated safeguarding pathways and were formulated to standardise steps across social care, and safeguarding partner agencies, to ensure consistent responses and clarified responsibilities. The WSP (SCW, 2024, section 1: Adults) stipulates that </w:t>
            </w:r>
            <w:r w:rsidRPr="00C530C4">
              <w:rPr>
                <w:color w:val="auto"/>
                <w:sz w:val="24"/>
                <w:szCs w:val="24"/>
              </w:rPr>
              <w:t>abuse (physical, sexual, psychological, emotional, or financial) can occur in</w:t>
            </w:r>
            <w:r w:rsidRPr="00C530C4">
              <w:rPr>
                <w:i/>
                <w:iCs/>
                <w:color w:val="auto"/>
                <w:sz w:val="24"/>
                <w:szCs w:val="24"/>
              </w:rPr>
              <w:t xml:space="preserve"> any</w:t>
            </w:r>
            <w:r w:rsidRPr="00C530C4">
              <w:rPr>
                <w:color w:val="auto"/>
                <w:sz w:val="24"/>
                <w:szCs w:val="24"/>
              </w:rPr>
              <w:t xml:space="preserve"> environment.</w:t>
            </w:r>
          </w:p>
          <w:p w14:paraId="39240F5E" w14:textId="77777777" w:rsidR="008842AB" w:rsidRPr="00C530C4" w:rsidRDefault="008842AB" w:rsidP="008842AB">
            <w:pPr>
              <w:overflowPunct/>
              <w:autoSpaceDE/>
              <w:autoSpaceDN/>
              <w:adjustRightInd/>
              <w:spacing w:after="160" w:line="276" w:lineRule="auto"/>
              <w:jc w:val="both"/>
              <w:textAlignment w:val="auto"/>
              <w:rPr>
                <w:rFonts w:eastAsiaTheme="minorHAnsi"/>
                <w:color w:val="auto"/>
                <w:sz w:val="24"/>
                <w:szCs w:val="24"/>
                <w:lang w:eastAsia="en-US"/>
              </w:rPr>
            </w:pPr>
            <w:r w:rsidRPr="00C530C4">
              <w:rPr>
                <w:rFonts w:eastAsiaTheme="minorHAnsi"/>
                <w:color w:val="auto"/>
                <w:sz w:val="24"/>
                <w:szCs w:val="24"/>
                <w:lang w:eastAsia="en-US"/>
              </w:rPr>
              <w:t xml:space="preserve">An ‘adult at risk’ is identified as having additional care and support needs (which may be met or not met by the Local Authority); as (or at risk of) experiencing abuse or neglect; and being unable to independently protect themselves from said risks (SSWBWA 2014, Part 7, section 126). An ‘Adult Protection and Support Order’ may be applied for to legally enable an authorised officer to enter a specified premises and speak privately with the potentially vulnerable individual to ascertain if they meet the criteria (‘adult at risk’), whether the individual is able to make decisions freely, whether safeguarding concerns are substantiated and how to move plans forward. </w:t>
            </w:r>
          </w:p>
          <w:p w14:paraId="376E6A55" w14:textId="77777777" w:rsidR="008842AB" w:rsidRPr="00C530C4" w:rsidRDefault="008842AB" w:rsidP="008842AB">
            <w:pPr>
              <w:overflowPunct/>
              <w:autoSpaceDE/>
              <w:autoSpaceDN/>
              <w:adjustRightInd/>
              <w:spacing w:after="160" w:line="276" w:lineRule="auto"/>
              <w:jc w:val="both"/>
              <w:textAlignment w:val="auto"/>
              <w:rPr>
                <w:rFonts w:eastAsiaTheme="minorHAnsi"/>
                <w:color w:val="auto"/>
                <w:sz w:val="24"/>
                <w:szCs w:val="24"/>
                <w:lang w:eastAsia="en-US"/>
              </w:rPr>
            </w:pPr>
            <w:r w:rsidRPr="00C530C4">
              <w:rPr>
                <w:rFonts w:eastAsiaTheme="minorHAnsi"/>
                <w:color w:val="auto"/>
                <w:sz w:val="24"/>
                <w:szCs w:val="24"/>
                <w:lang w:eastAsia="en-US"/>
              </w:rPr>
              <w:t xml:space="preserve">An officer exercising functions or responsibilities related to safeguarding, must simultaneously have regard for The United Nations Principles for: Older People and the Rights of Disabled People; and must not act in a way that counters the Rights depicted in the European Convention of Human Rights (SSWWA 2014, Code of Practice, Part 2). Some Rights may be absolute, whereas others may be limited or through qualification. The Human Rights Act 1998 </w:t>
            </w:r>
            <w:r w:rsidRPr="00C530C4">
              <w:rPr>
                <w:rFonts w:eastAsiaTheme="minorHAnsi"/>
                <w:color w:val="auto"/>
                <w:sz w:val="24"/>
                <w:szCs w:val="24"/>
                <w:lang w:eastAsia="en-US"/>
              </w:rPr>
              <w:lastRenderedPageBreak/>
              <w:t xml:space="preserve">(Schedule 1, Part 1: ‘The Articles’) sets out expectations for citizens in relation to their fundamental rights, and what constitutes as abusive or neglectful actions. </w:t>
            </w:r>
          </w:p>
          <w:p w14:paraId="21F208E9" w14:textId="77777777" w:rsidR="008842AB" w:rsidRPr="00C530C4" w:rsidRDefault="008842AB" w:rsidP="008842AB">
            <w:pPr>
              <w:overflowPunct/>
              <w:autoSpaceDE/>
              <w:autoSpaceDN/>
              <w:adjustRightInd/>
              <w:spacing w:after="160" w:line="276" w:lineRule="auto"/>
              <w:jc w:val="both"/>
              <w:textAlignment w:val="auto"/>
              <w:rPr>
                <w:rFonts w:eastAsiaTheme="minorHAnsi"/>
                <w:color w:val="auto"/>
                <w:sz w:val="24"/>
                <w:szCs w:val="24"/>
                <w:lang w:eastAsia="en-US"/>
              </w:rPr>
            </w:pPr>
            <w:r w:rsidRPr="00C530C4">
              <w:rPr>
                <w:rFonts w:eastAsiaTheme="minorHAnsi"/>
                <w:color w:val="auto"/>
                <w:sz w:val="24"/>
                <w:szCs w:val="24"/>
                <w:lang w:eastAsia="en-US"/>
              </w:rPr>
              <w:t>The relationships between safeguarding, the Welsh Measure (2011) and the ‘More Than Just Words’ framework (WG, 2022) should be noted. “</w:t>
            </w:r>
            <w:r w:rsidRPr="00C530C4">
              <w:rPr>
                <w:rFonts w:eastAsiaTheme="minorHAnsi"/>
                <w:color w:val="333333"/>
                <w:sz w:val="24"/>
                <w:szCs w:val="24"/>
                <w:shd w:val="clear" w:color="auto" w:fill="FFFFFF"/>
                <w:lang w:eastAsia="en-US"/>
              </w:rPr>
              <w:t>Receiving services in Welsh is an integral component of good quality, Rights based and person-centred care”</w:t>
            </w:r>
            <w:r w:rsidRPr="00C530C4">
              <w:rPr>
                <w:rFonts w:eastAsiaTheme="minorHAnsi"/>
                <w:color w:val="auto"/>
                <w:sz w:val="24"/>
                <w:szCs w:val="24"/>
                <w:lang w:eastAsia="en-US"/>
              </w:rPr>
              <w:t xml:space="preserve"> (Care Inspectorate Wales, 2024), enabling Welsh speakers’ full self-expression and participation during engagement as per their need. </w:t>
            </w:r>
          </w:p>
          <w:p w14:paraId="5D4C97CD" w14:textId="77777777" w:rsidR="008842AB" w:rsidRPr="00C530C4" w:rsidRDefault="008842AB" w:rsidP="008842AB">
            <w:pPr>
              <w:overflowPunct/>
              <w:autoSpaceDE/>
              <w:autoSpaceDN/>
              <w:adjustRightInd/>
              <w:spacing w:after="160" w:line="276" w:lineRule="auto"/>
              <w:jc w:val="both"/>
              <w:textAlignment w:val="auto"/>
              <w:rPr>
                <w:rFonts w:eastAsiaTheme="minorHAnsi"/>
                <w:color w:val="333333"/>
                <w:sz w:val="24"/>
                <w:szCs w:val="24"/>
                <w:shd w:val="clear" w:color="auto" w:fill="FFFFFF"/>
                <w:lang w:eastAsia="en-US"/>
              </w:rPr>
            </w:pPr>
            <w:r w:rsidRPr="00C530C4">
              <w:rPr>
                <w:rFonts w:eastAsiaTheme="minorHAnsi"/>
                <w:color w:val="auto"/>
                <w:sz w:val="24"/>
                <w:szCs w:val="24"/>
                <w:lang w:eastAsia="en-US"/>
              </w:rPr>
              <w:t xml:space="preserve">Community members may have alternative first languages. Capacity to communicate could </w:t>
            </w:r>
            <w:r>
              <w:rPr>
                <w:rFonts w:eastAsiaTheme="minorHAnsi"/>
                <w:color w:val="auto"/>
                <w:sz w:val="24"/>
                <w:szCs w:val="24"/>
                <w:lang w:eastAsia="en-US"/>
              </w:rPr>
              <w:t xml:space="preserve">also </w:t>
            </w:r>
            <w:r w:rsidRPr="00C530C4">
              <w:rPr>
                <w:rFonts w:eastAsiaTheme="minorHAnsi"/>
                <w:color w:val="auto"/>
                <w:sz w:val="24"/>
                <w:szCs w:val="24"/>
                <w:lang w:eastAsia="en-US"/>
              </w:rPr>
              <w:t xml:space="preserve">be impaired by disability or circumstantial barriers (Brammer &amp; Boylan, 2017). The Equality Act 2010 states that no person should be discriminated against due to several protected characteristics: Disability, race, sexual orientation, sex, gender-reassignment, marital or civil-partnership status, pregnancy or maternity, religion, or beliefs. </w:t>
            </w:r>
          </w:p>
          <w:p w14:paraId="5E688669" w14:textId="77777777" w:rsidR="008842AB" w:rsidRPr="00C530C4" w:rsidRDefault="008842AB" w:rsidP="008842AB">
            <w:pPr>
              <w:overflowPunct/>
              <w:autoSpaceDE/>
              <w:autoSpaceDN/>
              <w:adjustRightInd/>
              <w:spacing w:after="160" w:line="276" w:lineRule="auto"/>
              <w:jc w:val="both"/>
              <w:textAlignment w:val="auto"/>
              <w:rPr>
                <w:rFonts w:eastAsiaTheme="minorHAnsi"/>
                <w:color w:val="auto"/>
                <w:sz w:val="24"/>
                <w:szCs w:val="24"/>
                <w:lang w:eastAsia="en-US"/>
              </w:rPr>
            </w:pPr>
            <w:r w:rsidRPr="00C530C4">
              <w:rPr>
                <w:rFonts w:eastAsiaTheme="minorHAnsi"/>
                <w:color w:val="auto"/>
                <w:sz w:val="24"/>
                <w:szCs w:val="24"/>
                <w:lang w:eastAsia="en-US"/>
              </w:rPr>
              <w:t>The Mental Capacity Act 2005 protects the Rights and interests of individuals regarding specific decisions that might impact their care or lives. The legislation contains the Deprivation of Liberty Safeguards (</w:t>
            </w:r>
            <w:proofErr w:type="spellStart"/>
            <w:r w:rsidRPr="00C530C4">
              <w:rPr>
                <w:rFonts w:eastAsiaTheme="minorHAnsi"/>
                <w:color w:val="auto"/>
                <w:sz w:val="24"/>
                <w:szCs w:val="24"/>
                <w:lang w:eastAsia="en-US"/>
              </w:rPr>
              <w:t>DoLS</w:t>
            </w:r>
            <w:proofErr w:type="spellEnd"/>
            <w:r w:rsidRPr="00C530C4">
              <w:rPr>
                <w:rFonts w:eastAsiaTheme="minorHAnsi"/>
                <w:color w:val="auto"/>
                <w:sz w:val="24"/>
                <w:szCs w:val="24"/>
                <w:lang w:eastAsia="en-US"/>
              </w:rPr>
              <w:t xml:space="preserve">) which preserve the freedoms of citizens unable to keep themselves safe due to capacity issues. There are plans to replace </w:t>
            </w:r>
            <w:proofErr w:type="spellStart"/>
            <w:r w:rsidRPr="00C530C4">
              <w:rPr>
                <w:rFonts w:eastAsiaTheme="minorHAnsi"/>
                <w:color w:val="auto"/>
                <w:sz w:val="24"/>
                <w:szCs w:val="24"/>
                <w:lang w:eastAsia="en-US"/>
              </w:rPr>
              <w:t>DoLS</w:t>
            </w:r>
            <w:proofErr w:type="spellEnd"/>
            <w:r w:rsidRPr="00C530C4">
              <w:rPr>
                <w:rFonts w:eastAsiaTheme="minorHAnsi"/>
                <w:color w:val="auto"/>
                <w:sz w:val="24"/>
                <w:szCs w:val="24"/>
                <w:lang w:eastAsia="en-US"/>
              </w:rPr>
              <w:t xml:space="preserve"> with the Liberty Protection Safeguards. Persons with a mental-health disorder may be detained (Mental Health Act 1983) due to no alternative workable safeguarding measures.</w:t>
            </w:r>
          </w:p>
          <w:p w14:paraId="6AF95C68" w14:textId="77777777" w:rsidR="008842AB" w:rsidRPr="00C530C4" w:rsidRDefault="008842AB" w:rsidP="008842AB">
            <w:pPr>
              <w:overflowPunct/>
              <w:autoSpaceDE/>
              <w:autoSpaceDN/>
              <w:adjustRightInd/>
              <w:spacing w:after="160" w:line="276" w:lineRule="auto"/>
              <w:jc w:val="both"/>
              <w:textAlignment w:val="auto"/>
              <w:rPr>
                <w:rFonts w:eastAsiaTheme="minorHAnsi"/>
                <w:color w:val="auto"/>
                <w:sz w:val="24"/>
                <w:szCs w:val="24"/>
                <w:lang w:eastAsia="en-US"/>
              </w:rPr>
            </w:pPr>
            <w:r w:rsidRPr="00C530C4">
              <w:rPr>
                <w:rFonts w:eastAsiaTheme="minorHAnsi"/>
                <w:color w:val="auto"/>
                <w:sz w:val="24"/>
                <w:szCs w:val="24"/>
                <w:lang w:eastAsia="en-US"/>
              </w:rPr>
              <w:t>The General Data Protection Regulation (GDPR) and the Data Protection Act 2018 are legislative protectors of sensitive information. Timely (appropriate) information sharing could be key to urgent protective responses. It is imperative to ensure compliance and escalate concerns according to policy (WG, 2022</w:t>
            </w:r>
            <w:r>
              <w:rPr>
                <w:rFonts w:eastAsiaTheme="minorHAnsi"/>
                <w:color w:val="auto"/>
                <w:sz w:val="24"/>
                <w:szCs w:val="24"/>
                <w:lang w:eastAsia="en-US"/>
              </w:rPr>
              <w:t>b</w:t>
            </w:r>
            <w:r w:rsidRPr="00C530C4">
              <w:rPr>
                <w:rFonts w:eastAsiaTheme="minorHAnsi"/>
                <w:color w:val="auto"/>
                <w:sz w:val="24"/>
                <w:szCs w:val="24"/>
                <w:lang w:eastAsia="en-US"/>
              </w:rPr>
              <w:t>; xxx Authority, 2023).</w:t>
            </w:r>
          </w:p>
          <w:p w14:paraId="7B5B020E" w14:textId="77777777" w:rsidR="008842AB" w:rsidRPr="00C530C4" w:rsidRDefault="008842AB" w:rsidP="008842AB">
            <w:pPr>
              <w:overflowPunct/>
              <w:autoSpaceDE/>
              <w:autoSpaceDN/>
              <w:adjustRightInd/>
              <w:spacing w:after="160" w:line="276" w:lineRule="auto"/>
              <w:textAlignment w:val="auto"/>
              <w:rPr>
                <w:rFonts w:eastAsiaTheme="minorHAnsi"/>
                <w:color w:val="auto"/>
                <w:sz w:val="24"/>
                <w:szCs w:val="24"/>
                <w:lang w:eastAsia="en-US"/>
              </w:rPr>
            </w:pPr>
          </w:p>
          <w:p w14:paraId="2D4BF962" w14:textId="77777777" w:rsidR="008842AB" w:rsidRDefault="008842AB" w:rsidP="008842AB">
            <w:pPr>
              <w:overflowPunct/>
              <w:autoSpaceDE/>
              <w:autoSpaceDN/>
              <w:adjustRightInd/>
              <w:spacing w:after="160" w:line="276" w:lineRule="auto"/>
              <w:textAlignment w:val="auto"/>
              <w:rPr>
                <w:rFonts w:eastAsiaTheme="minorHAnsi"/>
                <w:color w:val="auto"/>
                <w:sz w:val="24"/>
                <w:szCs w:val="24"/>
                <w:lang w:eastAsia="en-US"/>
              </w:rPr>
            </w:pPr>
            <w:r w:rsidRPr="00C530C4">
              <w:rPr>
                <w:rFonts w:eastAsiaTheme="minorHAnsi"/>
                <w:color w:val="auto"/>
                <w:sz w:val="24"/>
                <w:szCs w:val="24"/>
                <w:lang w:eastAsia="en-US"/>
              </w:rPr>
              <w:t>Word count: 5</w:t>
            </w:r>
            <w:r>
              <w:rPr>
                <w:rFonts w:eastAsiaTheme="minorHAnsi"/>
                <w:color w:val="auto"/>
                <w:sz w:val="24"/>
                <w:szCs w:val="24"/>
                <w:lang w:eastAsia="en-US"/>
              </w:rPr>
              <w:t>49</w:t>
            </w:r>
          </w:p>
          <w:p w14:paraId="4FF8EBF3" w14:textId="50FA4C3F" w:rsidR="005A545C" w:rsidRPr="008842AB" w:rsidRDefault="005414F4" w:rsidP="008842AB">
            <w:pPr>
              <w:overflowPunct/>
              <w:autoSpaceDE/>
              <w:autoSpaceDN/>
              <w:adjustRightInd/>
              <w:spacing w:after="160" w:line="276" w:lineRule="auto"/>
              <w:textAlignment w:val="auto"/>
              <w:rPr>
                <w:rFonts w:eastAsiaTheme="minorHAnsi"/>
                <w:color w:val="auto"/>
                <w:sz w:val="24"/>
                <w:szCs w:val="24"/>
                <w:lang w:eastAsia="en-US"/>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D3D425B" w14:textId="77777777" w:rsidR="008842AB" w:rsidRPr="00350188" w:rsidRDefault="008842AB" w:rsidP="008842AB">
            <w:pPr>
              <w:pStyle w:val="legclearfix"/>
              <w:shd w:val="clear" w:color="auto" w:fill="FFFFFF"/>
              <w:spacing w:before="30" w:beforeAutospacing="0" w:after="30" w:afterAutospacing="0" w:line="276" w:lineRule="auto"/>
              <w:jc w:val="both"/>
              <w:rPr>
                <w:rFonts w:ascii="Arial" w:hAnsi="Arial" w:cs="Arial"/>
              </w:rPr>
            </w:pPr>
            <w:r w:rsidRPr="00350188">
              <w:rPr>
                <w:rStyle w:val="legds"/>
                <w:rFonts w:ascii="Arial" w:eastAsiaTheme="majorEastAsia" w:hAnsi="Arial" w:cs="Arial"/>
                <w:color w:val="1E1E1E"/>
              </w:rPr>
              <w:t xml:space="preserve">An ‘adult at risk’ according to the </w:t>
            </w:r>
            <w:r w:rsidRPr="00350188">
              <w:rPr>
                <w:rFonts w:ascii="Arial" w:hAnsi="Arial" w:cs="Arial"/>
              </w:rPr>
              <w:t>Social Services and Wellbeing (Wales) Act 2014</w:t>
            </w:r>
            <w:r w:rsidRPr="00350188">
              <w:rPr>
                <w:rStyle w:val="legds"/>
                <w:rFonts w:ascii="Arial" w:eastAsiaTheme="majorEastAsia" w:hAnsi="Arial" w:cs="Arial"/>
                <w:color w:val="1E1E1E"/>
              </w:rPr>
              <w:t xml:space="preserve"> </w:t>
            </w:r>
            <w:r w:rsidRPr="00350188">
              <w:rPr>
                <w:rFonts w:ascii="Arial" w:hAnsi="Arial" w:cs="Arial"/>
              </w:rPr>
              <w:t>(</w:t>
            </w:r>
            <w:r w:rsidRPr="00350188">
              <w:rPr>
                <w:rStyle w:val="legds"/>
                <w:rFonts w:ascii="Arial" w:eastAsiaTheme="majorEastAsia" w:hAnsi="Arial" w:cs="Arial"/>
                <w:color w:val="1E1E1E"/>
              </w:rPr>
              <w:t xml:space="preserve">SSWBWA 2014) is an adult who is “experiencing or is at risk of abuse or neglect”, </w:t>
            </w:r>
            <w:r w:rsidRPr="00350188">
              <w:rPr>
                <w:rFonts w:ascii="Arial" w:hAnsi="Arial" w:cs="Arial"/>
                <w:color w:val="1E1E1E"/>
              </w:rPr>
              <w:t>“</w:t>
            </w:r>
            <w:r w:rsidRPr="00350188">
              <w:rPr>
                <w:rStyle w:val="legds"/>
                <w:rFonts w:ascii="Arial" w:eastAsiaTheme="majorEastAsia" w:hAnsi="Arial" w:cs="Arial"/>
                <w:color w:val="1E1E1E"/>
              </w:rPr>
              <w:t xml:space="preserve">has needs for care and support” (which are not qualified via or attributed to the input of services), and </w:t>
            </w:r>
            <w:r w:rsidRPr="00350188">
              <w:rPr>
                <w:rStyle w:val="legds"/>
                <w:rFonts w:ascii="Arial" w:eastAsiaTheme="majorEastAsia" w:hAnsi="Arial" w:cs="Arial"/>
                <w:i/>
                <w:iCs/>
                <w:color w:val="1E1E1E"/>
              </w:rPr>
              <w:t xml:space="preserve">due to the impact of those needs, are not able to safeguard themselves </w:t>
            </w:r>
            <w:r w:rsidRPr="00350188">
              <w:rPr>
                <w:rStyle w:val="legds"/>
                <w:rFonts w:ascii="Arial" w:eastAsiaTheme="majorEastAsia" w:hAnsi="Arial" w:cs="Arial"/>
                <w:color w:val="1E1E1E"/>
              </w:rPr>
              <w:t xml:space="preserve">(section 126). </w:t>
            </w:r>
            <w:r w:rsidRPr="00350188">
              <w:rPr>
                <w:rFonts w:ascii="Arial" w:hAnsi="Arial" w:cs="Arial"/>
              </w:rPr>
              <w:t xml:space="preserve">A ‘child at risk’ is </w:t>
            </w:r>
            <w:r w:rsidRPr="00350188">
              <w:rPr>
                <w:rFonts w:ascii="Arial" w:hAnsi="Arial" w:cs="Arial"/>
              </w:rPr>
              <w:lastRenderedPageBreak/>
              <w:t xml:space="preserve">similarly defined </w:t>
            </w:r>
            <w:r w:rsidRPr="00350188">
              <w:rPr>
                <w:rStyle w:val="legds"/>
                <w:rFonts w:ascii="Arial" w:eastAsiaTheme="majorEastAsia" w:hAnsi="Arial" w:cs="Arial"/>
                <w:color w:val="1E1E1E"/>
              </w:rPr>
              <w:t>(section 130); however,</w:t>
            </w:r>
            <w:r w:rsidRPr="00350188">
              <w:rPr>
                <w:rFonts w:ascii="Arial" w:hAnsi="Arial" w:cs="Arial"/>
              </w:rPr>
              <w:t xml:space="preserve"> the capabilities of protecting oneself are irrelevant when establishing the presence of safeguarding concerns for children. </w:t>
            </w:r>
          </w:p>
          <w:p w14:paraId="6227A0DB" w14:textId="77777777" w:rsidR="008842AB" w:rsidRPr="00350188" w:rsidRDefault="008842AB" w:rsidP="008842AB">
            <w:pPr>
              <w:spacing w:before="30" w:after="30" w:line="276" w:lineRule="auto"/>
              <w:jc w:val="both"/>
              <w:rPr>
                <w:sz w:val="24"/>
                <w:szCs w:val="24"/>
              </w:rPr>
            </w:pPr>
          </w:p>
          <w:p w14:paraId="2552DEE2" w14:textId="77777777" w:rsidR="008842AB" w:rsidRPr="00350188" w:rsidRDefault="008842AB" w:rsidP="008842AB">
            <w:pPr>
              <w:spacing w:before="30" w:after="30" w:line="276" w:lineRule="auto"/>
              <w:jc w:val="both"/>
              <w:rPr>
                <w:sz w:val="24"/>
                <w:szCs w:val="24"/>
              </w:rPr>
            </w:pPr>
            <w:r w:rsidRPr="00350188">
              <w:rPr>
                <w:sz w:val="24"/>
                <w:szCs w:val="24"/>
              </w:rPr>
              <w:t xml:space="preserve">There are numerous similarities in ‘safeguarding’ across the breadth and divide of the life course. Themes of protection are interwoven throughout the SSWBWA 2014, though Part 7 is specific to safeguarding (Clements, 2019). Statutory guidance (‘Working Together to Safeguard People’) accompanies Part 7, regarding both adults and children. The Wales Safeguarding Procedures have consolidated safeguarding practices to ensure consistency across agencies and age-groups (Social Care Wales [SCW], 2024). </w:t>
            </w:r>
          </w:p>
          <w:p w14:paraId="773D3819" w14:textId="77777777" w:rsidR="008842AB" w:rsidRPr="00350188" w:rsidRDefault="008842AB" w:rsidP="008842AB">
            <w:pPr>
              <w:spacing w:before="30" w:after="30" w:line="276" w:lineRule="auto"/>
              <w:jc w:val="both"/>
              <w:rPr>
                <w:sz w:val="24"/>
                <w:szCs w:val="24"/>
              </w:rPr>
            </w:pPr>
          </w:p>
          <w:p w14:paraId="029E1989" w14:textId="77777777" w:rsidR="008842AB" w:rsidRPr="00350188" w:rsidRDefault="008842AB" w:rsidP="008842AB">
            <w:pPr>
              <w:spacing w:before="30" w:after="30" w:line="276" w:lineRule="auto"/>
              <w:jc w:val="both"/>
              <w:rPr>
                <w:sz w:val="24"/>
                <w:szCs w:val="24"/>
              </w:rPr>
            </w:pPr>
            <w:r w:rsidRPr="00350188">
              <w:rPr>
                <w:sz w:val="24"/>
                <w:szCs w:val="24"/>
              </w:rPr>
              <w:t xml:space="preserve">Although ‘Health’ and ‘Social-Care’ are devolved matters (Martin, 2024) there are also cross-border protective legislations originating from domestic law. </w:t>
            </w:r>
            <w:r w:rsidRPr="00350188">
              <w:rPr>
                <w:rStyle w:val="legds"/>
                <w:rFonts w:eastAsiaTheme="majorEastAsia"/>
                <w:color w:val="1E1E1E"/>
                <w:sz w:val="24"/>
                <w:szCs w:val="24"/>
              </w:rPr>
              <w:t xml:space="preserve">The core legal mechanisms for safeguarding </w:t>
            </w:r>
            <w:r w:rsidRPr="00350188">
              <w:rPr>
                <w:rStyle w:val="legds"/>
                <w:rFonts w:eastAsiaTheme="majorEastAsia"/>
                <w:i/>
                <w:iCs/>
                <w:color w:val="1E1E1E"/>
                <w:sz w:val="24"/>
                <w:szCs w:val="24"/>
              </w:rPr>
              <w:t>adults</w:t>
            </w:r>
            <w:r w:rsidRPr="00350188">
              <w:rPr>
                <w:rStyle w:val="legds"/>
                <w:rFonts w:eastAsiaTheme="majorEastAsia"/>
                <w:color w:val="1E1E1E"/>
                <w:sz w:val="24"/>
                <w:szCs w:val="24"/>
              </w:rPr>
              <w:t xml:space="preserve"> are largely self-contained in the SSWBWA 2014, whereas the equivalent </w:t>
            </w:r>
            <w:r w:rsidRPr="00350188">
              <w:rPr>
                <w:rStyle w:val="legds"/>
                <w:rFonts w:eastAsiaTheme="majorEastAsia"/>
                <w:i/>
                <w:iCs/>
                <w:color w:val="1E1E1E"/>
                <w:sz w:val="24"/>
                <w:szCs w:val="24"/>
              </w:rPr>
              <w:t>child</w:t>
            </w:r>
            <w:r w:rsidRPr="00350188">
              <w:rPr>
                <w:rStyle w:val="legds"/>
                <w:rFonts w:eastAsiaTheme="majorEastAsia"/>
                <w:color w:val="1E1E1E"/>
                <w:sz w:val="24"/>
                <w:szCs w:val="24"/>
              </w:rPr>
              <w:t xml:space="preserve"> protection legislation, is defaulted to the Children Act 1989 (CA 1989).</w:t>
            </w:r>
          </w:p>
          <w:p w14:paraId="06465964" w14:textId="77777777" w:rsidR="008842AB" w:rsidRPr="00350188" w:rsidRDefault="008842AB" w:rsidP="008842AB">
            <w:pPr>
              <w:spacing w:before="30" w:after="30" w:line="276" w:lineRule="auto"/>
              <w:jc w:val="both"/>
              <w:rPr>
                <w:sz w:val="24"/>
                <w:szCs w:val="24"/>
              </w:rPr>
            </w:pPr>
          </w:p>
          <w:p w14:paraId="53E002C8" w14:textId="77777777" w:rsidR="008842AB" w:rsidRPr="00350188" w:rsidRDefault="008842AB" w:rsidP="008842AB">
            <w:pPr>
              <w:spacing w:before="30" w:after="30" w:line="276" w:lineRule="auto"/>
              <w:jc w:val="both"/>
              <w:rPr>
                <w:sz w:val="24"/>
                <w:szCs w:val="24"/>
              </w:rPr>
            </w:pPr>
            <w:r w:rsidRPr="00350188">
              <w:rPr>
                <w:sz w:val="24"/>
                <w:szCs w:val="24"/>
              </w:rPr>
              <w:t xml:space="preserve">Distinctions in approach between the adult and child cohorts, are centred on (the often interlaced) capacity and consent. There is an overlap post-16 through which </w:t>
            </w:r>
            <w:proofErr w:type="gramStart"/>
            <w:r w:rsidRPr="00350188">
              <w:rPr>
                <w:sz w:val="24"/>
                <w:szCs w:val="24"/>
              </w:rPr>
              <w:t>young-people</w:t>
            </w:r>
            <w:proofErr w:type="gramEnd"/>
            <w:r w:rsidRPr="00350188">
              <w:rPr>
                <w:sz w:val="24"/>
                <w:szCs w:val="24"/>
              </w:rPr>
              <w:t xml:space="preserve"> have generally attained independence concerning consent but also have the legal status and vulnerabilities of a child. Hale (2009) states that when working with adults and specified young-people, capacity is always assumed unless otherwise proven and justified. The Mental Capacity Act 2005 (MCA 2005) therefore applies to citizens that are aged 16-plus. Furthermore, individuals within its remit are entitled to make unwise choices (MCA 2005). Intervention with regards to ‘adults’ is almost wholly based upon consent, with consent being the primary indicator of autonomy and responsibility (Braye &amp; Preston-Shoot, 2016). ‘Adults’ are, within their right to decide to refuse professional assessment and intervention (SSWBWA 2014). In safeguarding, though obtaining consent is considered a measure of best practice, overriding risk is the highest factor of consideration.</w:t>
            </w:r>
          </w:p>
          <w:p w14:paraId="53D79EFE" w14:textId="77777777" w:rsidR="008842AB" w:rsidRPr="00350188" w:rsidRDefault="008842AB" w:rsidP="008842AB">
            <w:pPr>
              <w:spacing w:before="30" w:after="30" w:line="276" w:lineRule="auto"/>
              <w:jc w:val="both"/>
              <w:rPr>
                <w:sz w:val="24"/>
                <w:szCs w:val="24"/>
              </w:rPr>
            </w:pPr>
          </w:p>
          <w:p w14:paraId="11FB59DB" w14:textId="77777777" w:rsidR="008842AB" w:rsidRPr="00350188" w:rsidRDefault="008842AB" w:rsidP="008842AB">
            <w:pPr>
              <w:spacing w:before="30" w:after="30" w:line="276" w:lineRule="auto"/>
              <w:jc w:val="both"/>
              <w:rPr>
                <w:sz w:val="24"/>
                <w:szCs w:val="24"/>
              </w:rPr>
            </w:pPr>
            <w:r w:rsidRPr="00350188">
              <w:rPr>
                <w:sz w:val="24"/>
                <w:szCs w:val="24"/>
              </w:rPr>
              <w:t xml:space="preserve">Consent for child welfare intervention is typically acquired via those with Parental Responsibility. However, a child under-16 </w:t>
            </w:r>
            <w:r w:rsidRPr="00350188">
              <w:rPr>
                <w:i/>
                <w:iCs/>
                <w:sz w:val="24"/>
                <w:szCs w:val="24"/>
              </w:rPr>
              <w:t>might</w:t>
            </w:r>
            <w:r w:rsidRPr="00350188">
              <w:rPr>
                <w:sz w:val="24"/>
                <w:szCs w:val="24"/>
              </w:rPr>
              <w:t xml:space="preserve"> be assessed to have ‘Gillick competence’ (SCW, 2024) in decision</w:t>
            </w:r>
            <w:r>
              <w:rPr>
                <w:sz w:val="24"/>
                <w:szCs w:val="24"/>
              </w:rPr>
              <w:t>-</w:t>
            </w:r>
            <w:r w:rsidRPr="00350188">
              <w:rPr>
                <w:sz w:val="24"/>
                <w:szCs w:val="24"/>
              </w:rPr>
              <w:t>making. The format for this assessment somewhat mirrors that of the capacity assessment (adult); though impairment of mind or brain needs no consideration. Consent is not required to undertake section 47 enquiries (CA 1989). Similarly to adult safeguarding, obtaining consent is a marker of co-productive and respectful engagement, though the ‘paramoun</w:t>
            </w:r>
            <w:r>
              <w:rPr>
                <w:sz w:val="24"/>
                <w:szCs w:val="24"/>
              </w:rPr>
              <w:t>t</w:t>
            </w:r>
            <w:r w:rsidRPr="00350188">
              <w:rPr>
                <w:sz w:val="24"/>
                <w:szCs w:val="24"/>
              </w:rPr>
              <w:t>cy principle’ applies (CA 1989).</w:t>
            </w:r>
          </w:p>
          <w:p w14:paraId="72B2E964" w14:textId="77777777" w:rsidR="008842AB" w:rsidRPr="00350188" w:rsidRDefault="008842AB" w:rsidP="008842AB">
            <w:pPr>
              <w:spacing w:before="30" w:after="30" w:line="276" w:lineRule="auto"/>
              <w:jc w:val="both"/>
              <w:rPr>
                <w:sz w:val="24"/>
                <w:szCs w:val="24"/>
              </w:rPr>
            </w:pPr>
          </w:p>
          <w:p w14:paraId="54B0A26E" w14:textId="77777777" w:rsidR="008842AB" w:rsidRPr="00350188" w:rsidRDefault="008842AB" w:rsidP="008842AB">
            <w:pPr>
              <w:pStyle w:val="legclearfix"/>
              <w:shd w:val="clear" w:color="auto" w:fill="FFFFFF"/>
              <w:spacing w:before="30" w:beforeAutospacing="0" w:after="30" w:afterAutospacing="0" w:line="276" w:lineRule="auto"/>
              <w:jc w:val="both"/>
              <w:rPr>
                <w:rFonts w:ascii="Arial" w:hAnsi="Arial" w:cs="Arial"/>
                <w:color w:val="1E1E1E"/>
              </w:rPr>
            </w:pPr>
            <w:r w:rsidRPr="00350188">
              <w:rPr>
                <w:rFonts w:ascii="Arial" w:hAnsi="Arial" w:cs="Arial"/>
                <w:color w:val="1E1E1E"/>
              </w:rPr>
              <w:t>Word count: 4</w:t>
            </w:r>
            <w:r>
              <w:rPr>
                <w:rFonts w:ascii="Arial" w:hAnsi="Arial" w:cs="Arial"/>
                <w:color w:val="1E1E1E"/>
              </w:rPr>
              <w:t>39</w:t>
            </w: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54B"/>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46C0"/>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6AD2"/>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2AB"/>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legclearfix">
    <w:name w:val="legclearfix"/>
    <w:basedOn w:val="Normal"/>
    <w:rsid w:val="008842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884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1194</Words>
  <Characters>7004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Thomas (Infonation)</cp:lastModifiedBy>
  <cp:revision>2</cp:revision>
  <cp:lastPrinted>2020-02-11T19:20:00Z</cp:lastPrinted>
  <dcterms:created xsi:type="dcterms:W3CDTF">2024-08-07T09:05:00Z</dcterms:created>
  <dcterms:modified xsi:type="dcterms:W3CDTF">2024-08-07T09:05:00Z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