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25A4FF" w14:textId="77777777" w:rsidR="00FC4897" w:rsidRPr="00FC4897" w:rsidRDefault="00FC4897" w:rsidP="00FC4897">
      <w:pPr>
        <w:spacing w:after="0" w:line="240" w:lineRule="auto"/>
        <w:ind w:left="-180" w:right="-334"/>
        <w:rPr>
          <w:rFonts w:ascii="Times New Roman" w:eastAsia="Times New Roman" w:hAnsi="Times New Roman" w:cs="Times New Roman"/>
          <w:sz w:val="24"/>
          <w:szCs w:val="24"/>
          <w:lang w:eastAsia="en-GB"/>
        </w:rPr>
      </w:pPr>
      <w:bookmarkStart w:id="0" w:name="_Hlk513135302"/>
      <w:bookmarkEnd w:id="0"/>
      <w:r w:rsidRPr="00FC4897">
        <w:rPr>
          <w:rFonts w:ascii="Times New Roman" w:eastAsia="Times New Roman" w:hAnsi="Times New Roman" w:cs="Times New Roman"/>
          <w:noProof/>
          <w:sz w:val="24"/>
          <w:szCs w:val="24"/>
          <w:lang w:eastAsia="en-GB"/>
        </w:rPr>
        <w:drawing>
          <wp:inline distT="0" distB="0" distL="0" distR="0" wp14:anchorId="693A52C8" wp14:editId="7D86A482">
            <wp:extent cx="2057400" cy="853440"/>
            <wp:effectExtent l="0" t="0" r="0" b="3810"/>
            <wp:docPr id="3" name="Picture 3"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2E37A17B" w14:textId="77777777" w:rsidR="00FC4897" w:rsidRPr="00FC4897" w:rsidRDefault="00FC4897" w:rsidP="00FC4897">
      <w:pPr>
        <w:spacing w:after="0" w:line="240" w:lineRule="auto"/>
        <w:ind w:left="-180" w:right="-334"/>
        <w:rPr>
          <w:rFonts w:ascii="Times New Roman" w:eastAsia="Times New Roman" w:hAnsi="Times New Roman" w:cs="Times New Roman"/>
          <w:sz w:val="24"/>
          <w:szCs w:val="24"/>
          <w:lang w:eastAsia="en-GB"/>
        </w:rPr>
      </w:pPr>
    </w:p>
    <w:p w14:paraId="273AB32B" w14:textId="77777777" w:rsidR="00FC4897" w:rsidRPr="00FC4897" w:rsidRDefault="00FC4897" w:rsidP="00FC4897">
      <w:pPr>
        <w:spacing w:after="0" w:line="240" w:lineRule="auto"/>
        <w:ind w:left="-180" w:right="-334"/>
        <w:rPr>
          <w:rFonts w:ascii="Times New Roman" w:eastAsia="Times New Roman" w:hAnsi="Times New Roman" w:cs="Times New Roman"/>
          <w:sz w:val="24"/>
          <w:szCs w:val="24"/>
          <w:lang w:eastAsia="en-GB"/>
        </w:rPr>
      </w:pPr>
    </w:p>
    <w:p w14:paraId="11F8370A" w14:textId="77777777" w:rsidR="00FC4897" w:rsidRPr="00FC4897" w:rsidRDefault="00FC4897" w:rsidP="00FC4897">
      <w:pPr>
        <w:spacing w:after="0" w:line="240" w:lineRule="auto"/>
        <w:ind w:left="-180" w:right="-334"/>
        <w:jc w:val="center"/>
        <w:rPr>
          <w:rFonts w:ascii="Arial" w:eastAsia="Times New Roman" w:hAnsi="Arial" w:cs="Arial"/>
          <w:b/>
          <w:sz w:val="28"/>
          <w:szCs w:val="28"/>
          <w:lang w:val="cy-GB" w:eastAsia="en-GB"/>
        </w:rPr>
      </w:pPr>
      <w:r w:rsidRPr="00FC4897">
        <w:rPr>
          <w:rFonts w:ascii="Arial" w:eastAsia="Times New Roman" w:hAnsi="Arial" w:cs="Arial"/>
          <w:b/>
          <w:sz w:val="28"/>
          <w:szCs w:val="28"/>
          <w:lang w:val="cy-GB" w:eastAsia="en-GB"/>
        </w:rPr>
        <w:t xml:space="preserve">Postgraduate/Distance Learning </w:t>
      </w:r>
    </w:p>
    <w:p w14:paraId="7A6439DE" w14:textId="77777777" w:rsidR="00FC4897" w:rsidRPr="00FC4897" w:rsidRDefault="00FC4897" w:rsidP="00FC4897">
      <w:pPr>
        <w:spacing w:after="0" w:line="240" w:lineRule="auto"/>
        <w:ind w:left="-180" w:right="-334"/>
        <w:jc w:val="center"/>
        <w:rPr>
          <w:rFonts w:ascii="Arial" w:eastAsia="Times New Roman" w:hAnsi="Arial" w:cs="Arial"/>
          <w:b/>
          <w:sz w:val="28"/>
          <w:szCs w:val="28"/>
          <w:lang w:eastAsia="en-GB"/>
        </w:rPr>
      </w:pPr>
      <w:r w:rsidRPr="00FC4897">
        <w:rPr>
          <w:rFonts w:ascii="Arial" w:eastAsia="Times New Roman" w:hAnsi="Arial" w:cs="Arial"/>
          <w:b/>
          <w:sz w:val="28"/>
          <w:szCs w:val="28"/>
          <w:lang w:val="cy-GB" w:eastAsia="en-GB"/>
        </w:rPr>
        <w:t>Assignment coversheet &amp; feedback form</w:t>
      </w:r>
    </w:p>
    <w:p w14:paraId="720D0589" w14:textId="77777777" w:rsidR="00FC4897" w:rsidRPr="00FC4897" w:rsidRDefault="00FC4897" w:rsidP="00FC4897">
      <w:pPr>
        <w:rPr>
          <w:rFonts w:ascii="Arial" w:hAnsi="Arial" w:cs="Arial"/>
          <w:sz w:val="28"/>
          <w:szCs w:val="28"/>
          <w:lang w:val="cy-GB"/>
        </w:rPr>
      </w:pPr>
    </w:p>
    <w:p w14:paraId="789A5DC4" w14:textId="77777777" w:rsidR="00FC4897" w:rsidRPr="00FC4897" w:rsidRDefault="00FC4897" w:rsidP="00FC4897">
      <w:pPr>
        <w:keepNext/>
        <w:spacing w:after="0" w:line="240" w:lineRule="auto"/>
        <w:ind w:left="720"/>
        <w:jc w:val="center"/>
        <w:outlineLvl w:val="2"/>
        <w:rPr>
          <w:rFonts w:ascii="Tahoma" w:eastAsia="SimSun" w:hAnsi="Tahoma" w:cs="Tahoma"/>
          <w:b/>
          <w:bCs/>
          <w:sz w:val="20"/>
          <w:szCs w:val="20"/>
          <w:lang w:val="cy-GB" w:eastAsia="zh-CN"/>
        </w:rPr>
      </w:pPr>
      <w:r w:rsidRPr="00FC4897">
        <w:rPr>
          <w:rFonts w:ascii="Tahoma" w:eastAsia="SimSun" w:hAnsi="Tahoma" w:cs="Tahoma"/>
          <w:b/>
          <w:bCs/>
          <w:sz w:val="20"/>
          <w:szCs w:val="20"/>
          <w:lang w:val="cy-GB" w:eastAsia="zh-CN"/>
        </w:rPr>
        <w:t>THIS SHEET MUST BE THE FIRST PAGE OF THE ASSIGNMENT YOU ARE SUBMITTING  (DO NOT SEND AS A SEPARATE FILE)</w:t>
      </w:r>
    </w:p>
    <w:p w14:paraId="550C11ED" w14:textId="77777777" w:rsidR="00FC4897" w:rsidRPr="00FC4897" w:rsidRDefault="00FC4897" w:rsidP="00FC489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C4897" w:rsidRPr="00FC4897" w14:paraId="094BD735" w14:textId="77777777" w:rsidTr="00514EE8">
        <w:trPr>
          <w:trHeight w:val="614"/>
        </w:trPr>
        <w:tc>
          <w:tcPr>
            <w:tcW w:w="8856" w:type="dxa"/>
            <w:gridSpan w:val="5"/>
          </w:tcPr>
          <w:p w14:paraId="4B189653"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b/>
                <w:lang w:eastAsia="en-GB"/>
              </w:rPr>
              <w:t>For completion by the student</w:t>
            </w:r>
            <w:r w:rsidRPr="00FC4897">
              <w:rPr>
                <w:rFonts w:ascii="Arial" w:eastAsia="Times New Roman" w:hAnsi="Arial" w:cs="Arial"/>
                <w:lang w:eastAsia="en-GB"/>
              </w:rPr>
              <w:t xml:space="preserve">: </w:t>
            </w:r>
          </w:p>
        </w:tc>
      </w:tr>
      <w:tr w:rsidR="00FC4897" w:rsidRPr="00FC4897" w14:paraId="14C42CBA" w14:textId="77777777" w:rsidTr="00514EE8">
        <w:trPr>
          <w:trHeight w:val="718"/>
        </w:trPr>
        <w:tc>
          <w:tcPr>
            <w:tcW w:w="8856" w:type="dxa"/>
            <w:gridSpan w:val="5"/>
          </w:tcPr>
          <w:p w14:paraId="3D8BB2B1"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Student Name: Daniel Annenberg</w:t>
            </w:r>
          </w:p>
          <w:p w14:paraId="3353111C" w14:textId="77777777" w:rsidR="00FC4897" w:rsidRPr="00FC4897" w:rsidRDefault="00FC4897" w:rsidP="00FC4897">
            <w:pPr>
              <w:spacing w:after="0" w:line="240" w:lineRule="auto"/>
              <w:ind w:right="34"/>
              <w:rPr>
                <w:rFonts w:ascii="Arial" w:eastAsia="Times New Roman" w:hAnsi="Arial" w:cs="Arial"/>
                <w:lang w:eastAsia="en-GB"/>
              </w:rPr>
            </w:pPr>
          </w:p>
        </w:tc>
      </w:tr>
      <w:tr w:rsidR="00FC4897" w:rsidRPr="00FC4897" w14:paraId="02160044" w14:textId="77777777" w:rsidTr="00514EE8">
        <w:trPr>
          <w:trHeight w:val="849"/>
        </w:trPr>
        <w:tc>
          <w:tcPr>
            <w:tcW w:w="4788" w:type="dxa"/>
          </w:tcPr>
          <w:p w14:paraId="44F48EF9"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Module code:</w:t>
            </w:r>
            <w:r w:rsidRPr="00FC4897">
              <w:rPr>
                <w:rFonts w:ascii="Times New Roman" w:eastAsia="Times New Roman" w:hAnsi="Times New Roman" w:cs="Times New Roman"/>
                <w:sz w:val="24"/>
                <w:szCs w:val="24"/>
                <w:lang w:eastAsia="en-GB"/>
              </w:rPr>
              <w:t xml:space="preserve"> </w:t>
            </w:r>
            <w:r w:rsidRPr="00FC4897">
              <w:rPr>
                <w:rFonts w:ascii="Arial" w:eastAsia="Times New Roman" w:hAnsi="Arial" w:cs="Arial"/>
                <w:sz w:val="24"/>
                <w:szCs w:val="24"/>
                <w:lang w:eastAsia="en-GB"/>
              </w:rPr>
              <w:t>TRDL7066</w:t>
            </w:r>
          </w:p>
          <w:p w14:paraId="751DB128"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Module title: Islam Today</w:t>
            </w:r>
          </w:p>
          <w:p w14:paraId="0F224F69" w14:textId="77777777" w:rsidR="00FC4897" w:rsidRPr="00FC4897" w:rsidRDefault="00FC4897" w:rsidP="00FC4897">
            <w:pPr>
              <w:spacing w:after="0" w:line="240" w:lineRule="auto"/>
              <w:ind w:right="34"/>
              <w:rPr>
                <w:rFonts w:ascii="Arial" w:eastAsia="Times New Roman" w:hAnsi="Arial" w:cs="Arial"/>
                <w:lang w:eastAsia="en-GB"/>
              </w:rPr>
            </w:pPr>
          </w:p>
        </w:tc>
        <w:tc>
          <w:tcPr>
            <w:tcW w:w="2266" w:type="dxa"/>
            <w:gridSpan w:val="3"/>
          </w:tcPr>
          <w:p w14:paraId="324D16A2"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Student ID number:</w:t>
            </w:r>
            <w:r w:rsidRPr="00FC4897">
              <w:rPr>
                <w:rFonts w:ascii="Arial" w:eastAsia="Times New Roman" w:hAnsi="Arial" w:cs="Arial"/>
                <w:lang w:eastAsia="en-GB"/>
              </w:rPr>
              <w:br/>
            </w:r>
            <w:r w:rsidRPr="00FC4897">
              <w:rPr>
                <w:rFonts w:ascii="Calibri" w:eastAsia="Times New Roman" w:hAnsi="Calibri" w:cs="Calibri"/>
                <w:lang w:eastAsia="en-GB"/>
              </w:rPr>
              <w:t>1704048</w:t>
            </w:r>
          </w:p>
        </w:tc>
        <w:tc>
          <w:tcPr>
            <w:tcW w:w="1802" w:type="dxa"/>
          </w:tcPr>
          <w:p w14:paraId="526A1420"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Educational support needs:</w:t>
            </w:r>
          </w:p>
          <w:p w14:paraId="4A92F035"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Yes/</w:t>
            </w:r>
            <w:r w:rsidRPr="00FC4897">
              <w:rPr>
                <w:rFonts w:ascii="Arial" w:eastAsia="Times New Roman" w:hAnsi="Arial" w:cs="Arial"/>
                <w:b/>
                <w:lang w:eastAsia="en-GB"/>
              </w:rPr>
              <w:t>No</w:t>
            </w:r>
          </w:p>
        </w:tc>
      </w:tr>
      <w:tr w:rsidR="00FC4897" w:rsidRPr="00FC4897" w14:paraId="746C0F33" w14:textId="77777777" w:rsidTr="00514EE8">
        <w:trPr>
          <w:trHeight w:val="1139"/>
        </w:trPr>
        <w:tc>
          <w:tcPr>
            <w:tcW w:w="8856" w:type="dxa"/>
            <w:gridSpan w:val="5"/>
          </w:tcPr>
          <w:p w14:paraId="2114F078"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Module tutor: Gary Bunt</w:t>
            </w:r>
          </w:p>
          <w:p w14:paraId="3B59F52D" w14:textId="77777777" w:rsidR="00FC4897" w:rsidRPr="00FC4897" w:rsidRDefault="00FC4897" w:rsidP="00FC4897">
            <w:pPr>
              <w:spacing w:after="0" w:line="240" w:lineRule="auto"/>
              <w:ind w:right="34"/>
              <w:rPr>
                <w:rFonts w:ascii="Arial" w:eastAsia="Times New Roman" w:hAnsi="Arial" w:cs="Arial"/>
                <w:lang w:eastAsia="en-GB"/>
              </w:rPr>
            </w:pPr>
          </w:p>
          <w:p w14:paraId="051F9811" w14:textId="77777777" w:rsidR="00FC4897" w:rsidRPr="00FC4897" w:rsidRDefault="00FC4897" w:rsidP="00FC4897">
            <w:pPr>
              <w:spacing w:after="0" w:line="240" w:lineRule="auto"/>
              <w:ind w:right="34"/>
              <w:rPr>
                <w:rFonts w:ascii="Arial" w:eastAsia="Times New Roman" w:hAnsi="Arial" w:cs="Arial"/>
                <w:lang w:eastAsia="en-GB"/>
              </w:rPr>
            </w:pPr>
          </w:p>
          <w:p w14:paraId="28197A0D"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Assignment due date:30/01/2019</w:t>
            </w:r>
          </w:p>
        </w:tc>
      </w:tr>
      <w:tr w:rsidR="00FC4897" w:rsidRPr="00FC4897" w14:paraId="66620560" w14:textId="77777777" w:rsidTr="00514EE8">
        <w:trPr>
          <w:trHeight w:val="978"/>
        </w:trPr>
        <w:tc>
          <w:tcPr>
            <w:tcW w:w="8856" w:type="dxa"/>
            <w:gridSpan w:val="5"/>
            <w:tcBorders>
              <w:bottom w:val="single" w:sz="4" w:space="0" w:color="000000"/>
            </w:tcBorders>
          </w:tcPr>
          <w:p w14:paraId="7090067E" w14:textId="77777777" w:rsidR="00FC4897" w:rsidRPr="00FC4897" w:rsidRDefault="00FC4897" w:rsidP="00FC4897">
            <w:pPr>
              <w:rPr>
                <w:rFonts w:ascii="Arial" w:hAnsi="Arial" w:cs="Arial"/>
              </w:rPr>
            </w:pPr>
            <w:r w:rsidRPr="00FC4897">
              <w:rPr>
                <w:rFonts w:ascii="Arial" w:hAnsi="Arial" w:cs="Arial"/>
              </w:rPr>
              <w:t>If your module has multiple submissions, please indicate which piece of work this is.</w:t>
            </w:r>
          </w:p>
          <w:p w14:paraId="6056106C" w14:textId="77777777" w:rsidR="00FC4897" w:rsidRPr="00FC4897" w:rsidRDefault="00FC4897" w:rsidP="00FC4897">
            <w:pPr>
              <w:rPr>
                <w:rFonts w:ascii="Arial" w:hAnsi="Arial" w:cs="Arial"/>
              </w:rPr>
            </w:pPr>
          </w:p>
          <w:p w14:paraId="60C0FACA" w14:textId="4EE7297C" w:rsidR="00FC4897" w:rsidRPr="00FC4897" w:rsidRDefault="00FC4897" w:rsidP="00FC4897">
            <w:pPr>
              <w:rPr>
                <w:rFonts w:ascii="Arial" w:hAnsi="Arial" w:cs="Arial"/>
              </w:rPr>
            </w:pPr>
            <w:r w:rsidRPr="00FC4897">
              <w:rPr>
                <w:rFonts w:ascii="Arial" w:hAnsi="Arial" w:cs="Arial"/>
              </w:rPr>
              <w:t>1</w:t>
            </w:r>
            <w:r w:rsidRPr="00FC4897">
              <w:rPr>
                <w:rFonts w:ascii="Arial" w:hAnsi="Arial" w:cs="Arial"/>
                <w:vertAlign w:val="superscript"/>
              </w:rPr>
              <w:t xml:space="preserve">st </w:t>
            </w:r>
            <w:r w:rsidRPr="00FC4897">
              <w:rPr>
                <w:rFonts w:ascii="Arial" w:hAnsi="Arial" w:cs="Arial"/>
              </w:rPr>
              <w:fldChar w:fldCharType="begin">
                <w:ffData>
                  <w:name w:val="Check13"/>
                  <w:enabled/>
                  <w:calcOnExit w:val="0"/>
                  <w:checkBox>
                    <w:sizeAuto/>
                    <w:default w:val="0"/>
                  </w:checkBox>
                </w:ffData>
              </w:fldChar>
            </w:r>
            <w:bookmarkStart w:id="1" w:name="Check13"/>
            <w:r w:rsidRPr="00FC4897">
              <w:rPr>
                <w:rFonts w:ascii="Arial" w:hAnsi="Arial" w:cs="Arial"/>
              </w:rPr>
              <w:instrText xml:space="preserve"> FORMCHECKBOX </w:instrText>
            </w:r>
            <w:r w:rsidR="003979DE">
              <w:rPr>
                <w:rFonts w:ascii="Arial" w:hAnsi="Arial" w:cs="Arial"/>
              </w:rPr>
            </w:r>
            <w:r w:rsidR="003979DE">
              <w:rPr>
                <w:rFonts w:ascii="Arial" w:hAnsi="Arial" w:cs="Arial"/>
              </w:rPr>
              <w:fldChar w:fldCharType="separate"/>
            </w:r>
            <w:r w:rsidRPr="00FC4897">
              <w:rPr>
                <w:rFonts w:ascii="Arial" w:hAnsi="Arial" w:cs="Arial"/>
              </w:rPr>
              <w:fldChar w:fldCharType="end"/>
            </w:r>
            <w:bookmarkEnd w:id="1"/>
            <w:r w:rsidRPr="00FC4897">
              <w:rPr>
                <w:rFonts w:ascii="Arial" w:hAnsi="Arial" w:cs="Arial"/>
              </w:rPr>
              <w:t xml:space="preserve">    2</w:t>
            </w:r>
            <w:r w:rsidRPr="00FC4897">
              <w:rPr>
                <w:rFonts w:ascii="Arial" w:hAnsi="Arial" w:cs="Arial"/>
                <w:vertAlign w:val="superscript"/>
              </w:rPr>
              <w:t>nd</w:t>
            </w:r>
            <w:r w:rsidRPr="00FC4897">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2" w:name="Check14"/>
            <w:r>
              <w:rPr>
                <w:rFonts w:ascii="Arial" w:hAnsi="Arial" w:cs="Arial"/>
              </w:rPr>
              <w:instrText xml:space="preserve"> FORMCHECKBOX </w:instrText>
            </w:r>
            <w:r w:rsidR="003979DE">
              <w:rPr>
                <w:rFonts w:ascii="Arial" w:hAnsi="Arial" w:cs="Arial"/>
              </w:rPr>
            </w:r>
            <w:r w:rsidR="003979DE">
              <w:rPr>
                <w:rFonts w:ascii="Arial" w:hAnsi="Arial" w:cs="Arial"/>
              </w:rPr>
              <w:fldChar w:fldCharType="separate"/>
            </w:r>
            <w:r>
              <w:rPr>
                <w:rFonts w:ascii="Arial" w:hAnsi="Arial" w:cs="Arial"/>
              </w:rPr>
              <w:fldChar w:fldCharType="end"/>
            </w:r>
            <w:bookmarkEnd w:id="2"/>
            <w:r w:rsidRPr="00FC4897">
              <w:rPr>
                <w:rFonts w:ascii="Arial" w:hAnsi="Arial" w:cs="Arial"/>
              </w:rPr>
              <w:t xml:space="preserve">     3</w:t>
            </w:r>
            <w:r w:rsidRPr="00FC4897">
              <w:rPr>
                <w:rFonts w:ascii="Arial" w:hAnsi="Arial" w:cs="Arial"/>
                <w:vertAlign w:val="superscript"/>
              </w:rPr>
              <w:t>rd</w:t>
            </w:r>
            <w:r w:rsidRPr="00FC4897">
              <w:rPr>
                <w:rFonts w:ascii="Arial" w:hAnsi="Arial" w:cs="Arial"/>
              </w:rPr>
              <w:t xml:space="preserve">  </w:t>
            </w:r>
            <w:r w:rsidRPr="00FC4897">
              <w:rPr>
                <w:rFonts w:ascii="Arial" w:hAnsi="Arial" w:cs="Arial"/>
              </w:rPr>
              <w:fldChar w:fldCharType="begin">
                <w:ffData>
                  <w:name w:val="Check15"/>
                  <w:enabled/>
                  <w:calcOnExit w:val="0"/>
                  <w:checkBox>
                    <w:sizeAuto/>
                    <w:default w:val="0"/>
                  </w:checkBox>
                </w:ffData>
              </w:fldChar>
            </w:r>
            <w:bookmarkStart w:id="3" w:name="Check15"/>
            <w:r w:rsidRPr="00FC4897">
              <w:rPr>
                <w:rFonts w:ascii="Arial" w:hAnsi="Arial" w:cs="Arial"/>
              </w:rPr>
              <w:instrText xml:space="preserve"> FORMCHECKBOX </w:instrText>
            </w:r>
            <w:r w:rsidR="003979DE">
              <w:rPr>
                <w:rFonts w:ascii="Arial" w:hAnsi="Arial" w:cs="Arial"/>
              </w:rPr>
            </w:r>
            <w:r w:rsidR="003979DE">
              <w:rPr>
                <w:rFonts w:ascii="Arial" w:hAnsi="Arial" w:cs="Arial"/>
              </w:rPr>
              <w:fldChar w:fldCharType="separate"/>
            </w:r>
            <w:r w:rsidRPr="00FC4897">
              <w:rPr>
                <w:rFonts w:ascii="Arial" w:hAnsi="Arial" w:cs="Arial"/>
              </w:rPr>
              <w:fldChar w:fldCharType="end"/>
            </w:r>
            <w:bookmarkEnd w:id="3"/>
            <w:r w:rsidRPr="00FC4897">
              <w:rPr>
                <w:rFonts w:ascii="Arial" w:hAnsi="Arial" w:cs="Arial"/>
              </w:rPr>
              <w:t xml:space="preserve">      4</w:t>
            </w:r>
            <w:r w:rsidRPr="00FC4897">
              <w:rPr>
                <w:rFonts w:ascii="Arial" w:hAnsi="Arial" w:cs="Arial"/>
                <w:vertAlign w:val="superscript"/>
              </w:rPr>
              <w:t>th</w:t>
            </w:r>
            <w:r w:rsidRPr="00FC4897">
              <w:rPr>
                <w:rFonts w:ascii="Arial" w:hAnsi="Arial" w:cs="Arial"/>
              </w:rPr>
              <w:t xml:space="preserve"> </w:t>
            </w:r>
            <w:r>
              <w:rPr>
                <w:rFonts w:ascii="Arial" w:hAnsi="Arial" w:cs="Arial"/>
              </w:rPr>
              <w:fldChar w:fldCharType="begin">
                <w:ffData>
                  <w:name w:val="Check16"/>
                  <w:enabled/>
                  <w:calcOnExit w:val="0"/>
                  <w:checkBox>
                    <w:sizeAuto/>
                    <w:default w:val="1"/>
                  </w:checkBox>
                </w:ffData>
              </w:fldChar>
            </w:r>
            <w:bookmarkStart w:id="4" w:name="Check16"/>
            <w:r>
              <w:rPr>
                <w:rFonts w:ascii="Arial" w:hAnsi="Arial" w:cs="Arial"/>
              </w:rPr>
              <w:instrText xml:space="preserve"> FORMCHECKBOX </w:instrText>
            </w:r>
            <w:r w:rsidR="003979DE">
              <w:rPr>
                <w:rFonts w:ascii="Arial" w:hAnsi="Arial" w:cs="Arial"/>
              </w:rPr>
            </w:r>
            <w:r w:rsidR="003979DE">
              <w:rPr>
                <w:rFonts w:ascii="Arial" w:hAnsi="Arial" w:cs="Arial"/>
              </w:rPr>
              <w:fldChar w:fldCharType="separate"/>
            </w:r>
            <w:r>
              <w:rPr>
                <w:rFonts w:ascii="Arial" w:hAnsi="Arial" w:cs="Arial"/>
              </w:rPr>
              <w:fldChar w:fldCharType="end"/>
            </w:r>
            <w:bookmarkEnd w:id="4"/>
            <w:r w:rsidRPr="00FC4897">
              <w:rPr>
                <w:rFonts w:ascii="Arial" w:hAnsi="Arial" w:cs="Arial"/>
              </w:rPr>
              <w:t xml:space="preserve">      5</w:t>
            </w:r>
            <w:r w:rsidRPr="00FC4897">
              <w:rPr>
                <w:rFonts w:ascii="Arial" w:hAnsi="Arial" w:cs="Arial"/>
                <w:vertAlign w:val="superscript"/>
              </w:rPr>
              <w:t>th</w:t>
            </w:r>
            <w:r w:rsidRPr="00FC4897">
              <w:rPr>
                <w:rFonts w:ascii="Arial" w:hAnsi="Arial" w:cs="Arial"/>
              </w:rPr>
              <w:t xml:space="preserve"> </w:t>
            </w:r>
            <w:r w:rsidRPr="00FC4897">
              <w:rPr>
                <w:rFonts w:ascii="Arial" w:hAnsi="Arial" w:cs="Arial"/>
              </w:rPr>
              <w:fldChar w:fldCharType="begin">
                <w:ffData>
                  <w:name w:val="Check17"/>
                  <w:enabled/>
                  <w:calcOnExit w:val="0"/>
                  <w:checkBox>
                    <w:sizeAuto/>
                    <w:default w:val="0"/>
                  </w:checkBox>
                </w:ffData>
              </w:fldChar>
            </w:r>
            <w:bookmarkStart w:id="5" w:name="Check17"/>
            <w:r w:rsidRPr="00FC4897">
              <w:rPr>
                <w:rFonts w:ascii="Arial" w:hAnsi="Arial" w:cs="Arial"/>
              </w:rPr>
              <w:instrText xml:space="preserve"> FORMCHECKBOX </w:instrText>
            </w:r>
            <w:r w:rsidR="003979DE">
              <w:rPr>
                <w:rFonts w:ascii="Arial" w:hAnsi="Arial" w:cs="Arial"/>
              </w:rPr>
            </w:r>
            <w:r w:rsidR="003979DE">
              <w:rPr>
                <w:rFonts w:ascii="Arial" w:hAnsi="Arial" w:cs="Arial"/>
              </w:rPr>
              <w:fldChar w:fldCharType="separate"/>
            </w:r>
            <w:r w:rsidRPr="00FC4897">
              <w:rPr>
                <w:rFonts w:ascii="Arial" w:hAnsi="Arial" w:cs="Arial"/>
              </w:rPr>
              <w:fldChar w:fldCharType="end"/>
            </w:r>
            <w:bookmarkEnd w:id="5"/>
            <w:r w:rsidRPr="00FC4897">
              <w:rPr>
                <w:rFonts w:ascii="Arial" w:hAnsi="Arial" w:cs="Arial"/>
              </w:rPr>
              <w:t xml:space="preserve">      6</w:t>
            </w:r>
            <w:r w:rsidRPr="00FC4897">
              <w:rPr>
                <w:rFonts w:ascii="Arial" w:hAnsi="Arial" w:cs="Arial"/>
                <w:vertAlign w:val="superscript"/>
              </w:rPr>
              <w:t>th</w:t>
            </w:r>
            <w:r w:rsidRPr="00FC4897">
              <w:rPr>
                <w:rFonts w:ascii="Arial" w:hAnsi="Arial" w:cs="Arial"/>
              </w:rPr>
              <w:t xml:space="preserve"> </w:t>
            </w:r>
            <w:r w:rsidRPr="00FC4897">
              <w:rPr>
                <w:rFonts w:ascii="Arial" w:hAnsi="Arial" w:cs="Arial"/>
              </w:rPr>
              <w:fldChar w:fldCharType="begin">
                <w:ffData>
                  <w:name w:val="Check18"/>
                  <w:enabled/>
                  <w:calcOnExit w:val="0"/>
                  <w:checkBox>
                    <w:sizeAuto/>
                    <w:default w:val="0"/>
                  </w:checkBox>
                </w:ffData>
              </w:fldChar>
            </w:r>
            <w:bookmarkStart w:id="6" w:name="Check18"/>
            <w:r w:rsidRPr="00FC4897">
              <w:rPr>
                <w:rFonts w:ascii="Arial" w:hAnsi="Arial" w:cs="Arial"/>
              </w:rPr>
              <w:instrText xml:space="preserve"> FORMCHECKBOX </w:instrText>
            </w:r>
            <w:r w:rsidR="003979DE">
              <w:rPr>
                <w:rFonts w:ascii="Arial" w:hAnsi="Arial" w:cs="Arial"/>
              </w:rPr>
            </w:r>
            <w:r w:rsidR="003979DE">
              <w:rPr>
                <w:rFonts w:ascii="Arial" w:hAnsi="Arial" w:cs="Arial"/>
              </w:rPr>
              <w:fldChar w:fldCharType="separate"/>
            </w:r>
            <w:r w:rsidRPr="00FC4897">
              <w:rPr>
                <w:rFonts w:ascii="Arial" w:hAnsi="Arial" w:cs="Arial"/>
              </w:rPr>
              <w:fldChar w:fldCharType="end"/>
            </w:r>
            <w:bookmarkEnd w:id="6"/>
          </w:p>
        </w:tc>
      </w:tr>
      <w:tr w:rsidR="00FC4897" w:rsidRPr="00FC4897" w14:paraId="1463507B" w14:textId="77777777" w:rsidTr="00514EE8">
        <w:trPr>
          <w:trHeight w:val="978"/>
        </w:trPr>
        <w:tc>
          <w:tcPr>
            <w:tcW w:w="8856" w:type="dxa"/>
            <w:gridSpan w:val="5"/>
            <w:shd w:val="clear" w:color="auto" w:fill="D9D9D9"/>
          </w:tcPr>
          <w:p w14:paraId="59752697"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I confirm that this is my original work and that I have adhered to the University policy on plagiarism.</w:t>
            </w:r>
          </w:p>
          <w:p w14:paraId="7E564C36"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Arial" w:eastAsia="Times New Roman" w:hAnsi="Arial" w:cs="Arial"/>
                <w:lang w:eastAsia="en-GB"/>
              </w:rPr>
              <w:t xml:space="preserve">Signed </w:t>
            </w:r>
            <w:r w:rsidRPr="00FC4897">
              <w:rPr>
                <w:rFonts w:ascii="Arial" w:eastAsia="Times New Roman" w:hAnsi="Arial" w:cs="Arial"/>
                <w:noProof/>
                <w:lang w:eastAsia="en-GB"/>
              </w:rPr>
              <w:drawing>
                <wp:inline distT="0" distB="0" distL="0" distR="0" wp14:anchorId="316217F9" wp14:editId="1B3E71F8">
                  <wp:extent cx="2164080" cy="304800"/>
                  <wp:effectExtent l="0" t="0" r="7620" b="0"/>
                  <wp:docPr id="5" name="Picture 5" descr="signatur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4FB6C042" w14:textId="77777777" w:rsidR="00FC4897" w:rsidRPr="00FC4897" w:rsidRDefault="00FC4897" w:rsidP="00FC4897">
            <w:pPr>
              <w:spacing w:after="0" w:line="240" w:lineRule="auto"/>
              <w:ind w:right="34"/>
              <w:rPr>
                <w:rFonts w:ascii="Calibri" w:eastAsia="Times New Roman" w:hAnsi="Calibri" w:cs="Calibri"/>
                <w:b/>
                <w:sz w:val="44"/>
                <w:szCs w:val="44"/>
                <w:lang w:eastAsia="en-GB"/>
              </w:rPr>
            </w:pPr>
            <w:r w:rsidRPr="00FC4897">
              <w:rPr>
                <w:rFonts w:ascii="Calibri" w:eastAsia="Times New Roman" w:hAnsi="Calibri" w:cs="Tahoma"/>
                <w:b/>
                <w:sz w:val="24"/>
                <w:szCs w:val="24"/>
                <w:lang w:eastAsia="en-GB"/>
              </w:rPr>
              <w:t xml:space="preserve">Email submission: if you are submitting this form via email, please tick this box </w:t>
            </w:r>
            <w:r w:rsidRPr="00FC4897">
              <w:rPr>
                <w:rFonts w:ascii="Calibri" w:eastAsia="Times New Roman" w:hAnsi="Calibri" w:cs="Calibri"/>
                <w:b/>
                <w:sz w:val="44"/>
                <w:szCs w:val="44"/>
                <w:lang w:eastAsia="en-GB"/>
              </w:rPr>
              <w:t>□</w:t>
            </w:r>
          </w:p>
          <w:p w14:paraId="30FA7B92" w14:textId="77777777" w:rsidR="00FC4897" w:rsidRPr="00FC4897" w:rsidRDefault="00FC4897" w:rsidP="00FC4897">
            <w:pPr>
              <w:spacing w:after="0" w:line="240" w:lineRule="auto"/>
              <w:ind w:right="34"/>
              <w:rPr>
                <w:rFonts w:ascii="Arial" w:eastAsia="Times New Roman" w:hAnsi="Arial" w:cs="Arial"/>
                <w:lang w:eastAsia="en-GB"/>
              </w:rPr>
            </w:pPr>
            <w:r w:rsidRPr="00FC4897">
              <w:rPr>
                <w:rFonts w:ascii="Calibri" w:eastAsia="Times New Roman" w:hAnsi="Calibri" w:cs="Tahoma"/>
                <w:b/>
                <w:sz w:val="24"/>
                <w:szCs w:val="24"/>
                <w:lang w:eastAsia="en-GB"/>
              </w:rPr>
              <w:t>(as a substitute for your signature) to confirm that you agree to the above declaration.</w:t>
            </w:r>
          </w:p>
        </w:tc>
      </w:tr>
      <w:tr w:rsidR="00FC4897" w:rsidRPr="00FC4897" w14:paraId="646514A8" w14:textId="77777777" w:rsidTr="00514EE8">
        <w:trPr>
          <w:trHeight w:val="3972"/>
        </w:trPr>
        <w:tc>
          <w:tcPr>
            <w:tcW w:w="8856" w:type="dxa"/>
            <w:gridSpan w:val="5"/>
          </w:tcPr>
          <w:p w14:paraId="41133A40" w14:textId="77777777" w:rsidR="00FC4897" w:rsidRPr="00FC4897" w:rsidRDefault="00FC4897" w:rsidP="00FC4897">
            <w:pPr>
              <w:rPr>
                <w:rFonts w:ascii="Arial" w:hAnsi="Arial"/>
                <w:b/>
              </w:rPr>
            </w:pPr>
          </w:p>
          <w:p w14:paraId="19AE929A" w14:textId="77777777" w:rsidR="00FC4897" w:rsidRPr="00FC4897" w:rsidRDefault="00FC4897" w:rsidP="00FC4897">
            <w:pPr>
              <w:rPr>
                <w:rFonts w:ascii="Arial" w:hAnsi="Arial"/>
              </w:rPr>
            </w:pPr>
            <w:r w:rsidRPr="00FC4897">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C4897" w:rsidRPr="00FC4897" w14:paraId="40F9BADC" w14:textId="77777777" w:rsidTr="00514EE8">
              <w:tc>
                <w:tcPr>
                  <w:tcW w:w="6970" w:type="dxa"/>
                </w:tcPr>
                <w:p w14:paraId="593AE041" w14:textId="77777777" w:rsidR="00FC4897" w:rsidRPr="00FC4897" w:rsidRDefault="00FC4897" w:rsidP="00FC4897">
                  <w:pPr>
                    <w:rPr>
                      <w:rFonts w:ascii="Arial" w:hAnsi="Arial"/>
                      <w:sz w:val="20"/>
                      <w:szCs w:val="20"/>
                    </w:rPr>
                  </w:pPr>
                </w:p>
                <w:p w14:paraId="42BA144D" w14:textId="77777777" w:rsidR="00FC4897" w:rsidRPr="00FC4897" w:rsidRDefault="00FC4897" w:rsidP="00FC4897">
                  <w:pPr>
                    <w:rPr>
                      <w:rFonts w:ascii="Arial" w:hAnsi="Arial"/>
                      <w:sz w:val="20"/>
                      <w:szCs w:val="20"/>
                    </w:rPr>
                  </w:pPr>
                  <w:r w:rsidRPr="00FC4897">
                    <w:rPr>
                      <w:rFonts w:ascii="Arial" w:hAnsi="Arial"/>
                      <w:sz w:val="20"/>
                      <w:szCs w:val="20"/>
                    </w:rPr>
                    <w:t>1</w:t>
                  </w:r>
                  <w:r w:rsidRPr="00FC4897">
                    <w:rPr>
                      <w:rFonts w:ascii="Arial" w:hAnsi="Arial"/>
                      <w:sz w:val="20"/>
                      <w:szCs w:val="20"/>
                      <w:vertAlign w:val="superscript"/>
                    </w:rPr>
                    <w:t>st</w:t>
                  </w:r>
                  <w:r w:rsidRPr="00FC4897">
                    <w:rPr>
                      <w:rFonts w:ascii="Arial" w:hAnsi="Arial"/>
                      <w:sz w:val="20"/>
                      <w:szCs w:val="20"/>
                    </w:rPr>
                    <w:t xml:space="preserve"> Marker’s Provisional mark</w:t>
                  </w:r>
                </w:p>
              </w:tc>
              <w:tc>
                <w:tcPr>
                  <w:tcW w:w="1660" w:type="dxa"/>
                </w:tcPr>
                <w:p w14:paraId="77A99D05" w14:textId="77777777" w:rsidR="00FC4897" w:rsidRPr="00FC4897" w:rsidRDefault="00FC4897" w:rsidP="00FC4897">
                  <w:pPr>
                    <w:rPr>
                      <w:rFonts w:ascii="Arial" w:hAnsi="Arial"/>
                      <w:sz w:val="20"/>
                      <w:szCs w:val="20"/>
                    </w:rPr>
                  </w:pPr>
                </w:p>
              </w:tc>
            </w:tr>
            <w:tr w:rsidR="00FC4897" w:rsidRPr="00FC4897" w14:paraId="691C0E85" w14:textId="77777777" w:rsidTr="00514EE8">
              <w:tc>
                <w:tcPr>
                  <w:tcW w:w="6970" w:type="dxa"/>
                </w:tcPr>
                <w:p w14:paraId="47824F15" w14:textId="77777777" w:rsidR="00FC4897" w:rsidRPr="00FC4897" w:rsidRDefault="00FC4897" w:rsidP="00FC4897">
                  <w:pPr>
                    <w:rPr>
                      <w:rFonts w:ascii="Arial" w:hAnsi="Arial"/>
                      <w:sz w:val="20"/>
                      <w:szCs w:val="20"/>
                    </w:rPr>
                  </w:pPr>
                </w:p>
                <w:p w14:paraId="6D20A534" w14:textId="77777777" w:rsidR="00FC4897" w:rsidRPr="00FC4897" w:rsidRDefault="00FC4897" w:rsidP="00FC4897">
                  <w:pPr>
                    <w:rPr>
                      <w:rFonts w:ascii="Arial" w:hAnsi="Arial"/>
                      <w:sz w:val="20"/>
                      <w:szCs w:val="20"/>
                    </w:rPr>
                  </w:pPr>
                  <w:r w:rsidRPr="00FC4897">
                    <w:rPr>
                      <w:rFonts w:ascii="Arial" w:hAnsi="Arial"/>
                      <w:sz w:val="20"/>
                      <w:szCs w:val="20"/>
                    </w:rPr>
                    <w:t>2</w:t>
                  </w:r>
                  <w:r w:rsidRPr="00FC4897">
                    <w:rPr>
                      <w:rFonts w:ascii="Arial" w:hAnsi="Arial"/>
                      <w:sz w:val="20"/>
                      <w:szCs w:val="20"/>
                      <w:vertAlign w:val="superscript"/>
                    </w:rPr>
                    <w:t>nd</w:t>
                  </w:r>
                  <w:r w:rsidRPr="00FC4897">
                    <w:rPr>
                      <w:rFonts w:ascii="Arial" w:hAnsi="Arial"/>
                      <w:sz w:val="20"/>
                      <w:szCs w:val="20"/>
                    </w:rPr>
                    <w:t xml:space="preserve"> Marker’s/Moderator’s provisional mark</w:t>
                  </w:r>
                </w:p>
              </w:tc>
              <w:tc>
                <w:tcPr>
                  <w:tcW w:w="1660" w:type="dxa"/>
                </w:tcPr>
                <w:p w14:paraId="186EAE29" w14:textId="77777777" w:rsidR="00FC4897" w:rsidRPr="00FC4897" w:rsidRDefault="00FC4897" w:rsidP="00FC4897">
                  <w:pPr>
                    <w:rPr>
                      <w:rFonts w:ascii="Arial" w:hAnsi="Arial"/>
                      <w:sz w:val="20"/>
                      <w:szCs w:val="20"/>
                    </w:rPr>
                  </w:pPr>
                </w:p>
              </w:tc>
            </w:tr>
            <w:tr w:rsidR="00FC4897" w:rsidRPr="00FC4897" w14:paraId="2AA8D1DE" w14:textId="77777777" w:rsidTr="00514EE8">
              <w:tc>
                <w:tcPr>
                  <w:tcW w:w="6970" w:type="dxa"/>
                </w:tcPr>
                <w:p w14:paraId="7465E3EC" w14:textId="77777777" w:rsidR="00FC4897" w:rsidRPr="00FC4897" w:rsidRDefault="00FC4897" w:rsidP="00FC4897">
                  <w:pPr>
                    <w:rPr>
                      <w:rFonts w:ascii="Arial" w:hAnsi="Arial"/>
                      <w:sz w:val="20"/>
                      <w:szCs w:val="20"/>
                    </w:rPr>
                  </w:pPr>
                  <w:r w:rsidRPr="00FC4897">
                    <w:rPr>
                      <w:rFonts w:ascii="Arial" w:hAnsi="Arial"/>
                      <w:sz w:val="20"/>
                      <w:szCs w:val="20"/>
                    </w:rPr>
                    <w:t xml:space="preserve">Agreed Internal Mark: </w:t>
                  </w:r>
                </w:p>
                <w:p w14:paraId="03E5CC40" w14:textId="77777777" w:rsidR="00FC4897" w:rsidRPr="00FC4897" w:rsidRDefault="00FC4897" w:rsidP="00FC4897">
                  <w:pPr>
                    <w:rPr>
                      <w:rFonts w:ascii="Arial" w:hAnsi="Arial"/>
                      <w:sz w:val="20"/>
                      <w:szCs w:val="20"/>
                      <w:highlight w:val="yellow"/>
                    </w:rPr>
                  </w:pPr>
                </w:p>
              </w:tc>
              <w:tc>
                <w:tcPr>
                  <w:tcW w:w="1660" w:type="dxa"/>
                </w:tcPr>
                <w:p w14:paraId="21D95BF0" w14:textId="77777777" w:rsidR="00FC4897" w:rsidRPr="00FC4897" w:rsidRDefault="00FC4897" w:rsidP="00FC4897">
                  <w:pPr>
                    <w:rPr>
                      <w:rFonts w:ascii="Arial" w:hAnsi="Arial"/>
                      <w:sz w:val="20"/>
                      <w:szCs w:val="20"/>
                      <w:highlight w:val="yellow"/>
                    </w:rPr>
                  </w:pPr>
                </w:p>
              </w:tc>
            </w:tr>
            <w:tr w:rsidR="00FC4897" w:rsidRPr="00FC4897" w14:paraId="2DF704AD" w14:textId="77777777" w:rsidTr="00514EE8">
              <w:tc>
                <w:tcPr>
                  <w:tcW w:w="6970" w:type="dxa"/>
                </w:tcPr>
                <w:p w14:paraId="2987F6A9" w14:textId="77777777" w:rsidR="00FC4897" w:rsidRPr="00FC4897" w:rsidRDefault="00FC4897" w:rsidP="00FC4897">
                  <w:pPr>
                    <w:rPr>
                      <w:rFonts w:ascii="Arial" w:hAnsi="Arial"/>
                      <w:sz w:val="20"/>
                      <w:szCs w:val="20"/>
                    </w:rPr>
                  </w:pPr>
                </w:p>
                <w:p w14:paraId="600E7008" w14:textId="77777777" w:rsidR="00FC4897" w:rsidRPr="00FC4897" w:rsidRDefault="00FC4897" w:rsidP="00FC4897">
                  <w:pPr>
                    <w:rPr>
                      <w:rFonts w:ascii="Arial" w:hAnsi="Arial"/>
                      <w:sz w:val="20"/>
                      <w:szCs w:val="20"/>
                    </w:rPr>
                  </w:pPr>
                  <w:r w:rsidRPr="00FC4897">
                    <w:rPr>
                      <w:rFonts w:ascii="Arial" w:hAnsi="Arial"/>
                      <w:sz w:val="20"/>
                      <w:szCs w:val="20"/>
                    </w:rPr>
                    <w:t>External Examiner’s mark (if relevant)</w:t>
                  </w:r>
                </w:p>
              </w:tc>
              <w:tc>
                <w:tcPr>
                  <w:tcW w:w="1660" w:type="dxa"/>
                </w:tcPr>
                <w:p w14:paraId="24ECDD6A" w14:textId="77777777" w:rsidR="00FC4897" w:rsidRPr="00FC4897" w:rsidRDefault="00FC4897" w:rsidP="00FC4897">
                  <w:pPr>
                    <w:rPr>
                      <w:rFonts w:ascii="Arial" w:hAnsi="Arial"/>
                      <w:sz w:val="20"/>
                      <w:szCs w:val="20"/>
                    </w:rPr>
                  </w:pPr>
                </w:p>
              </w:tc>
            </w:tr>
            <w:tr w:rsidR="00FC4897" w:rsidRPr="00FC4897" w14:paraId="02DEEA3F" w14:textId="77777777" w:rsidTr="00514EE8">
              <w:tc>
                <w:tcPr>
                  <w:tcW w:w="6970" w:type="dxa"/>
                </w:tcPr>
                <w:p w14:paraId="787B1A2A" w14:textId="77777777" w:rsidR="00FC4897" w:rsidRPr="00FC4897" w:rsidRDefault="00FC4897" w:rsidP="00FC4897">
                  <w:pPr>
                    <w:rPr>
                      <w:rFonts w:ascii="Arial" w:hAnsi="Arial"/>
                      <w:sz w:val="20"/>
                      <w:szCs w:val="20"/>
                    </w:rPr>
                  </w:pPr>
                </w:p>
                <w:p w14:paraId="25A7BBBD" w14:textId="77777777" w:rsidR="00FC4897" w:rsidRPr="00FC4897" w:rsidRDefault="00FC4897" w:rsidP="00FC4897">
                  <w:pPr>
                    <w:rPr>
                      <w:rFonts w:ascii="Arial" w:hAnsi="Arial"/>
                      <w:b/>
                      <w:sz w:val="20"/>
                      <w:szCs w:val="20"/>
                    </w:rPr>
                  </w:pPr>
                  <w:r w:rsidRPr="00FC4897">
                    <w:rPr>
                      <w:rFonts w:ascii="Arial" w:hAnsi="Arial"/>
                      <w:b/>
                      <w:sz w:val="20"/>
                      <w:szCs w:val="20"/>
                    </w:rPr>
                    <w:t>Final Mark</w:t>
                  </w:r>
                </w:p>
                <w:p w14:paraId="2EDA0C84" w14:textId="77777777" w:rsidR="00FC4897" w:rsidRPr="00FC4897" w:rsidRDefault="00FC4897" w:rsidP="00FC4897">
                  <w:pPr>
                    <w:rPr>
                      <w:rFonts w:ascii="Arial" w:hAnsi="Arial"/>
                      <w:sz w:val="20"/>
                      <w:szCs w:val="20"/>
                    </w:rPr>
                  </w:pPr>
                </w:p>
              </w:tc>
              <w:tc>
                <w:tcPr>
                  <w:tcW w:w="1660" w:type="dxa"/>
                </w:tcPr>
                <w:p w14:paraId="7E1EE909" w14:textId="77777777" w:rsidR="00FC4897" w:rsidRPr="00FC4897" w:rsidRDefault="00FC4897" w:rsidP="00FC4897">
                  <w:pPr>
                    <w:rPr>
                      <w:rFonts w:ascii="Arial" w:hAnsi="Arial"/>
                      <w:sz w:val="20"/>
                      <w:szCs w:val="20"/>
                    </w:rPr>
                  </w:pPr>
                </w:p>
              </w:tc>
            </w:tr>
          </w:tbl>
          <w:p w14:paraId="3CCD1C9F" w14:textId="77777777" w:rsidR="00FC4897" w:rsidRPr="00FC4897" w:rsidRDefault="00FC4897" w:rsidP="00FC4897">
            <w:pPr>
              <w:spacing w:after="0" w:line="240" w:lineRule="auto"/>
              <w:ind w:left="142" w:right="34"/>
              <w:rPr>
                <w:rFonts w:ascii="Arial" w:eastAsia="Times New Roman" w:hAnsi="Arial" w:cs="Arial"/>
                <w:b/>
                <w:lang w:eastAsia="en-GB"/>
              </w:rPr>
            </w:pPr>
          </w:p>
          <w:p w14:paraId="23CFE046" w14:textId="77777777" w:rsidR="00FC4897" w:rsidRPr="00FC4897" w:rsidRDefault="00FC4897" w:rsidP="00FC4897">
            <w:pPr>
              <w:spacing w:after="0" w:line="240" w:lineRule="auto"/>
              <w:ind w:left="142" w:right="34"/>
              <w:rPr>
                <w:rFonts w:ascii="Arial" w:eastAsia="Times New Roman" w:hAnsi="Arial" w:cs="Arial"/>
                <w:lang w:eastAsia="en-GB"/>
              </w:rPr>
            </w:pPr>
            <w:r w:rsidRPr="00FC4897">
              <w:rPr>
                <w:rFonts w:ascii="Arial" w:eastAsia="Times New Roman" w:hAnsi="Arial" w:cs="Arial"/>
                <w:b/>
                <w:lang w:eastAsia="en-GB"/>
              </w:rPr>
              <w:t>NB.</w:t>
            </w:r>
            <w:r w:rsidRPr="00FC4897">
              <w:rPr>
                <w:rFonts w:ascii="Arial" w:eastAsia="Times New Roman" w:hAnsi="Arial" w:cs="Arial"/>
                <w:lang w:eastAsia="en-GB"/>
              </w:rPr>
              <w:t xml:space="preserve">  All marks are provisional until confirmed by the Final Examination Board.</w:t>
            </w:r>
          </w:p>
          <w:p w14:paraId="78DBA61B" w14:textId="77777777" w:rsidR="00FC4897" w:rsidRPr="00FC4897" w:rsidRDefault="00FC4897" w:rsidP="00FC4897">
            <w:pPr>
              <w:spacing w:after="0" w:line="240" w:lineRule="auto"/>
              <w:rPr>
                <w:rFonts w:ascii="Arial" w:eastAsia="Times New Roman" w:hAnsi="Arial" w:cs="Arial"/>
                <w:b/>
                <w:lang w:eastAsia="en-GB"/>
              </w:rPr>
            </w:pPr>
          </w:p>
          <w:p w14:paraId="1D80615B" w14:textId="77777777" w:rsidR="00FC4897" w:rsidRPr="00FC4897" w:rsidRDefault="00FC4897" w:rsidP="00FC4897">
            <w:pPr>
              <w:spacing w:after="0" w:line="240" w:lineRule="auto"/>
              <w:rPr>
                <w:rFonts w:ascii="Arial" w:eastAsia="Times New Roman" w:hAnsi="Arial" w:cs="Arial"/>
                <w:b/>
                <w:lang w:eastAsia="en-GB"/>
              </w:rPr>
            </w:pPr>
          </w:p>
          <w:p w14:paraId="6123AA29" w14:textId="77777777" w:rsidR="00FC4897" w:rsidRPr="00FC4897" w:rsidRDefault="00FC4897" w:rsidP="00FC4897">
            <w:pPr>
              <w:spacing w:after="0" w:line="240" w:lineRule="auto"/>
              <w:rPr>
                <w:rFonts w:ascii="Arial" w:eastAsia="Times New Roman" w:hAnsi="Arial" w:cs="Arial"/>
                <w:b/>
                <w:lang w:eastAsia="en-GB"/>
              </w:rPr>
            </w:pPr>
          </w:p>
          <w:p w14:paraId="3043D963" w14:textId="77777777" w:rsidR="00FC4897" w:rsidRPr="00FC4897" w:rsidRDefault="00FC4897" w:rsidP="00FC4897">
            <w:pPr>
              <w:spacing w:after="0" w:line="240" w:lineRule="auto"/>
              <w:rPr>
                <w:rFonts w:ascii="Arial" w:eastAsia="Times New Roman" w:hAnsi="Arial" w:cs="Arial"/>
                <w:b/>
                <w:lang w:eastAsia="en-GB"/>
              </w:rPr>
            </w:pPr>
          </w:p>
          <w:p w14:paraId="35F7736C" w14:textId="77777777" w:rsidR="00FC4897" w:rsidRPr="00FC4897" w:rsidRDefault="00FC4897" w:rsidP="00FC4897">
            <w:pPr>
              <w:spacing w:after="0" w:line="240" w:lineRule="auto"/>
              <w:rPr>
                <w:rFonts w:ascii="Arial" w:eastAsia="Times New Roman" w:hAnsi="Arial" w:cs="Arial"/>
                <w:b/>
                <w:lang w:eastAsia="en-GB"/>
              </w:rPr>
            </w:pPr>
            <w:r w:rsidRPr="00FC4897">
              <w:rPr>
                <w:rFonts w:ascii="Arial" w:eastAsia="Times New Roman" w:hAnsi="Arial" w:cs="Arial"/>
                <w:b/>
                <w:lang w:eastAsia="en-GB"/>
              </w:rPr>
              <w:t>For completion by Marker 1:</w:t>
            </w:r>
          </w:p>
          <w:p w14:paraId="7113C282" w14:textId="77777777" w:rsidR="00FC4897" w:rsidRPr="00FC4897" w:rsidRDefault="00FC4897" w:rsidP="00FC4897">
            <w:pPr>
              <w:spacing w:before="100" w:beforeAutospacing="1" w:after="100" w:afterAutospacing="1" w:line="240" w:lineRule="auto"/>
              <w:rPr>
                <w:rFonts w:ascii="Arial" w:eastAsia="Times New Roman" w:hAnsi="Arial" w:cs="Arial"/>
                <w:lang w:eastAsia="en-GB"/>
              </w:rPr>
            </w:pPr>
            <w:r w:rsidRPr="00FC4897">
              <w:rPr>
                <w:rFonts w:ascii="Arial" w:eastAsia="Times New Roman" w:hAnsi="Arial" w:cs="Arial"/>
                <w:lang w:eastAsia="en-GB"/>
              </w:rPr>
              <w:t>Comments:</w:t>
            </w:r>
          </w:p>
          <w:p w14:paraId="1E19F1FC" w14:textId="77777777" w:rsidR="00FC4897" w:rsidRPr="00FC4897" w:rsidRDefault="00FC4897" w:rsidP="00FC4897">
            <w:pPr>
              <w:spacing w:before="100" w:beforeAutospacing="1" w:after="100" w:afterAutospacing="1" w:line="240" w:lineRule="auto"/>
              <w:rPr>
                <w:rFonts w:ascii="Arial" w:eastAsia="Times New Roman" w:hAnsi="Arial" w:cs="Arial"/>
                <w:lang w:eastAsia="en-GB"/>
              </w:rPr>
            </w:pPr>
          </w:p>
        </w:tc>
      </w:tr>
      <w:tr w:rsidR="00FC4897" w:rsidRPr="00FC4897" w14:paraId="2C6A8CBC" w14:textId="77777777" w:rsidTr="00514EE8">
        <w:trPr>
          <w:trHeight w:val="492"/>
        </w:trPr>
        <w:tc>
          <w:tcPr>
            <w:tcW w:w="6768" w:type="dxa"/>
            <w:gridSpan w:val="3"/>
          </w:tcPr>
          <w:p w14:paraId="14D64F25" w14:textId="77777777" w:rsidR="00FC4897" w:rsidRPr="00FC4897" w:rsidRDefault="00FC4897" w:rsidP="00FC4897">
            <w:pPr>
              <w:spacing w:before="100" w:beforeAutospacing="1" w:after="100" w:afterAutospacing="1" w:line="240" w:lineRule="auto"/>
              <w:ind w:left="142" w:right="34"/>
              <w:rPr>
                <w:rFonts w:ascii="Arial" w:eastAsia="Times New Roman" w:hAnsi="Arial" w:cs="Arial"/>
                <w:lang w:eastAsia="en-GB"/>
              </w:rPr>
            </w:pPr>
            <w:r w:rsidRPr="00FC4897">
              <w:rPr>
                <w:rFonts w:ascii="Arial" w:eastAsia="Times New Roman" w:hAnsi="Arial" w:cs="Arial"/>
                <w:lang w:eastAsia="en-GB"/>
              </w:rPr>
              <w:t>Marker’s signature:</w:t>
            </w:r>
          </w:p>
        </w:tc>
        <w:tc>
          <w:tcPr>
            <w:tcW w:w="2088" w:type="dxa"/>
            <w:gridSpan w:val="2"/>
          </w:tcPr>
          <w:p w14:paraId="7CA6F74F" w14:textId="77777777" w:rsidR="00FC4897" w:rsidRPr="00FC4897" w:rsidRDefault="00FC4897" w:rsidP="00FC4897">
            <w:pPr>
              <w:spacing w:before="100" w:beforeAutospacing="1" w:after="0" w:afterAutospacing="1" w:line="240" w:lineRule="auto"/>
              <w:ind w:left="142" w:right="34"/>
              <w:rPr>
                <w:rFonts w:ascii="Arial" w:eastAsia="Times New Roman" w:hAnsi="Arial" w:cs="Arial"/>
                <w:lang w:eastAsia="en-GB"/>
              </w:rPr>
            </w:pPr>
            <w:r w:rsidRPr="00FC4897">
              <w:rPr>
                <w:rFonts w:ascii="Arial" w:eastAsia="Times New Roman" w:hAnsi="Arial" w:cs="Arial"/>
                <w:lang w:eastAsia="en-GB"/>
              </w:rPr>
              <w:t>Date:</w:t>
            </w:r>
          </w:p>
        </w:tc>
      </w:tr>
      <w:tr w:rsidR="00FC4897" w:rsidRPr="00FC4897" w14:paraId="7F8FD87E" w14:textId="77777777" w:rsidTr="00514EE8">
        <w:tc>
          <w:tcPr>
            <w:tcW w:w="8856" w:type="dxa"/>
            <w:gridSpan w:val="5"/>
          </w:tcPr>
          <w:p w14:paraId="0EA5C5AB" w14:textId="77777777" w:rsidR="00FC4897" w:rsidRPr="00FC4897" w:rsidRDefault="00FC4897" w:rsidP="00FC4897">
            <w:pPr>
              <w:spacing w:after="0" w:line="240" w:lineRule="auto"/>
              <w:ind w:right="-334"/>
              <w:rPr>
                <w:rFonts w:ascii="Arial" w:eastAsia="Times New Roman" w:hAnsi="Arial" w:cs="Arial"/>
                <w:bCs/>
                <w:i/>
                <w:lang w:eastAsia="en-GB"/>
              </w:rPr>
            </w:pPr>
          </w:p>
          <w:p w14:paraId="089CDB89" w14:textId="77777777" w:rsidR="00FC4897" w:rsidRPr="00FC4897" w:rsidRDefault="00FC4897" w:rsidP="00FC4897">
            <w:pPr>
              <w:spacing w:after="0" w:line="240" w:lineRule="auto"/>
              <w:ind w:right="-334"/>
              <w:rPr>
                <w:rFonts w:ascii="Arial" w:eastAsia="Times New Roman" w:hAnsi="Arial" w:cs="Arial"/>
                <w:b/>
                <w:bCs/>
                <w:lang w:eastAsia="en-GB"/>
              </w:rPr>
            </w:pPr>
            <w:r w:rsidRPr="00FC4897">
              <w:rPr>
                <w:rFonts w:ascii="Arial" w:eastAsia="Times New Roman" w:hAnsi="Arial" w:cs="Arial"/>
                <w:b/>
                <w:bCs/>
                <w:lang w:eastAsia="en-GB"/>
              </w:rPr>
              <w:t>For completion by Marker 2/Moderator:</w:t>
            </w:r>
          </w:p>
          <w:p w14:paraId="049EC2E8" w14:textId="77777777" w:rsidR="00FC4897" w:rsidRPr="00FC4897" w:rsidRDefault="00FC4897" w:rsidP="00FC4897">
            <w:pPr>
              <w:spacing w:after="0" w:line="240" w:lineRule="auto"/>
              <w:ind w:right="-334"/>
              <w:rPr>
                <w:rFonts w:ascii="Arial" w:eastAsia="Times New Roman" w:hAnsi="Arial" w:cs="Arial"/>
                <w:b/>
                <w:bCs/>
                <w:lang w:eastAsia="en-GB"/>
              </w:rPr>
            </w:pPr>
          </w:p>
          <w:p w14:paraId="59A7F13B" w14:textId="77777777" w:rsidR="00FC4897" w:rsidRPr="00FC4897" w:rsidRDefault="00FC4897" w:rsidP="00FC4897">
            <w:pPr>
              <w:spacing w:after="0" w:line="240" w:lineRule="auto"/>
              <w:ind w:right="-334"/>
              <w:rPr>
                <w:rFonts w:ascii="Arial" w:eastAsia="Times New Roman" w:hAnsi="Arial" w:cs="Arial"/>
                <w:bCs/>
                <w:lang w:eastAsia="en-GB"/>
              </w:rPr>
            </w:pPr>
            <w:r w:rsidRPr="00FC4897">
              <w:rPr>
                <w:rFonts w:ascii="Arial" w:eastAsia="Times New Roman" w:hAnsi="Arial" w:cs="Arial"/>
                <w:bCs/>
                <w:lang w:eastAsia="en-GB"/>
              </w:rPr>
              <w:t>Comments:</w:t>
            </w:r>
          </w:p>
          <w:p w14:paraId="1ADE520E" w14:textId="77777777" w:rsidR="00FC4897" w:rsidRPr="00FC4897" w:rsidRDefault="00FC4897" w:rsidP="00FC4897">
            <w:pPr>
              <w:spacing w:after="0" w:line="240" w:lineRule="auto"/>
              <w:ind w:right="-334"/>
              <w:rPr>
                <w:rFonts w:ascii="Arial" w:eastAsia="Times New Roman" w:hAnsi="Arial" w:cs="Arial"/>
                <w:bCs/>
                <w:lang w:eastAsia="en-GB"/>
              </w:rPr>
            </w:pPr>
          </w:p>
          <w:p w14:paraId="5DFEB2F5" w14:textId="77777777" w:rsidR="00FC4897" w:rsidRPr="00FC4897" w:rsidRDefault="00FC4897" w:rsidP="00FC4897">
            <w:pPr>
              <w:spacing w:after="0" w:line="240" w:lineRule="auto"/>
              <w:ind w:right="-334"/>
              <w:rPr>
                <w:rFonts w:ascii="Arial" w:eastAsia="Times New Roman" w:hAnsi="Arial" w:cs="Arial"/>
                <w:bCs/>
                <w:lang w:eastAsia="en-GB"/>
              </w:rPr>
            </w:pPr>
          </w:p>
          <w:p w14:paraId="0F2452F9" w14:textId="77777777" w:rsidR="00FC4897" w:rsidRPr="00FC4897" w:rsidRDefault="00FC4897" w:rsidP="00FC4897">
            <w:pPr>
              <w:spacing w:after="0" w:line="240" w:lineRule="auto"/>
              <w:ind w:right="-334"/>
              <w:rPr>
                <w:rFonts w:ascii="Arial" w:eastAsia="Times New Roman" w:hAnsi="Arial" w:cs="Arial"/>
                <w:bCs/>
                <w:lang w:eastAsia="en-GB"/>
              </w:rPr>
            </w:pPr>
          </w:p>
        </w:tc>
      </w:tr>
      <w:tr w:rsidR="00FC4897" w:rsidRPr="00FC4897" w14:paraId="6DE705BA" w14:textId="77777777" w:rsidTr="00514EE8">
        <w:trPr>
          <w:trHeight w:val="720"/>
        </w:trPr>
        <w:tc>
          <w:tcPr>
            <w:tcW w:w="5211" w:type="dxa"/>
            <w:gridSpan w:val="2"/>
          </w:tcPr>
          <w:p w14:paraId="4C716943" w14:textId="77777777" w:rsidR="00FC4897" w:rsidRPr="00FC4897" w:rsidRDefault="00FC4897" w:rsidP="00FC4897">
            <w:pPr>
              <w:spacing w:after="0" w:line="240" w:lineRule="auto"/>
              <w:ind w:right="-334"/>
              <w:rPr>
                <w:rFonts w:ascii="Arial" w:eastAsia="Times New Roman" w:hAnsi="Arial" w:cs="Arial"/>
                <w:bCs/>
                <w:lang w:eastAsia="en-GB"/>
              </w:rPr>
            </w:pPr>
            <w:r w:rsidRPr="00FC4897">
              <w:rPr>
                <w:rFonts w:ascii="Arial" w:eastAsia="Times New Roman" w:hAnsi="Arial" w:cs="Arial"/>
                <w:bCs/>
                <w:lang w:eastAsia="en-GB"/>
              </w:rPr>
              <w:t>Marker’s Signature:</w:t>
            </w:r>
          </w:p>
        </w:tc>
        <w:tc>
          <w:tcPr>
            <w:tcW w:w="3645" w:type="dxa"/>
            <w:gridSpan w:val="3"/>
          </w:tcPr>
          <w:p w14:paraId="35E0032F" w14:textId="77777777" w:rsidR="00FC4897" w:rsidRPr="00FC4897" w:rsidRDefault="00FC4897" w:rsidP="00FC4897">
            <w:pPr>
              <w:spacing w:after="0" w:line="240" w:lineRule="auto"/>
              <w:ind w:right="-334"/>
              <w:rPr>
                <w:rFonts w:ascii="Arial" w:eastAsia="Times New Roman" w:hAnsi="Arial" w:cs="Arial"/>
                <w:bCs/>
                <w:lang w:eastAsia="en-GB"/>
              </w:rPr>
            </w:pPr>
            <w:r w:rsidRPr="00FC4897">
              <w:rPr>
                <w:rFonts w:ascii="Arial" w:eastAsia="Times New Roman" w:hAnsi="Arial" w:cs="Arial"/>
                <w:bCs/>
                <w:lang w:eastAsia="en-GB"/>
              </w:rPr>
              <w:t>Date:</w:t>
            </w:r>
          </w:p>
        </w:tc>
      </w:tr>
      <w:tr w:rsidR="00FC4897" w:rsidRPr="00FC4897" w14:paraId="6EE0EDD9" w14:textId="77777777" w:rsidTr="00514EE8">
        <w:trPr>
          <w:trHeight w:val="720"/>
        </w:trPr>
        <w:tc>
          <w:tcPr>
            <w:tcW w:w="8856" w:type="dxa"/>
            <w:gridSpan w:val="5"/>
          </w:tcPr>
          <w:p w14:paraId="52D3A0BD" w14:textId="77777777" w:rsidR="00FC4897" w:rsidRPr="00FC4897" w:rsidRDefault="00FC4897" w:rsidP="00FC4897">
            <w:pPr>
              <w:rPr>
                <w:rFonts w:ascii="Arial" w:hAnsi="Arial" w:cs="Arial"/>
                <w:b/>
              </w:rPr>
            </w:pPr>
            <w:r w:rsidRPr="00FC4897">
              <w:rPr>
                <w:rFonts w:ascii="Arial" w:hAnsi="Arial" w:cs="Arial"/>
                <w:b/>
              </w:rPr>
              <w:t>AGREED INTERNAL MARK (where necessary):</w:t>
            </w:r>
          </w:p>
          <w:p w14:paraId="1BCA495B" w14:textId="77777777" w:rsidR="00FC4897" w:rsidRPr="00FC4897" w:rsidRDefault="00FC4897" w:rsidP="00FC4897">
            <w:pPr>
              <w:rPr>
                <w:rFonts w:ascii="Arial" w:hAnsi="Arial" w:cs="Arial"/>
                <w:b/>
              </w:rPr>
            </w:pPr>
          </w:p>
          <w:p w14:paraId="3A6CE19B" w14:textId="77777777" w:rsidR="00FC4897" w:rsidRPr="00FC4897" w:rsidRDefault="00FC4897" w:rsidP="00FC4897">
            <w:pPr>
              <w:rPr>
                <w:rFonts w:ascii="Arial" w:hAnsi="Arial" w:cs="Arial"/>
                <w:b/>
              </w:rPr>
            </w:pPr>
            <w:r w:rsidRPr="00FC4897">
              <w:rPr>
                <w:rFonts w:ascii="Arial" w:hAnsi="Arial" w:cs="Arial"/>
                <w:b/>
              </w:rPr>
              <w:t xml:space="preserve">Comment on </w:t>
            </w:r>
            <w:r w:rsidRPr="006A2E0B">
              <w:rPr>
                <w:rFonts w:ascii="Arial" w:hAnsi="Arial" w:cs="Arial"/>
                <w:b/>
                <w:noProof/>
              </w:rPr>
              <w:t>process</w:t>
            </w:r>
            <w:r w:rsidRPr="00FC4897">
              <w:rPr>
                <w:rFonts w:ascii="Arial" w:hAnsi="Arial" w:cs="Arial"/>
                <w:b/>
              </w:rPr>
              <w:t xml:space="preserve"> on arriving at agreed mark:</w:t>
            </w:r>
          </w:p>
          <w:p w14:paraId="7E17BDF6" w14:textId="77777777" w:rsidR="00FC4897" w:rsidRPr="00FC4897" w:rsidRDefault="00FC4897" w:rsidP="00FC4897">
            <w:pPr>
              <w:rPr>
                <w:rFonts w:ascii="Arial" w:hAnsi="Arial" w:cs="Arial"/>
                <w:b/>
              </w:rPr>
            </w:pPr>
          </w:p>
          <w:p w14:paraId="6FDF9195" w14:textId="77777777" w:rsidR="00FC4897" w:rsidRPr="00FC4897" w:rsidRDefault="00FC4897" w:rsidP="00FC4897">
            <w:pPr>
              <w:rPr>
                <w:rFonts w:ascii="Arial" w:hAnsi="Arial" w:cs="Arial"/>
                <w:b/>
              </w:rPr>
            </w:pPr>
          </w:p>
        </w:tc>
      </w:tr>
      <w:tr w:rsidR="00FC4897" w:rsidRPr="00FC4897" w14:paraId="3F7BD0AB" w14:textId="77777777" w:rsidTr="00514EE8">
        <w:trPr>
          <w:trHeight w:val="720"/>
        </w:trPr>
        <w:tc>
          <w:tcPr>
            <w:tcW w:w="8856" w:type="dxa"/>
            <w:gridSpan w:val="5"/>
          </w:tcPr>
          <w:p w14:paraId="46118D40" w14:textId="77777777" w:rsidR="00FC4897" w:rsidRPr="00FC4897" w:rsidRDefault="00FC4897" w:rsidP="00FC4897">
            <w:pPr>
              <w:rPr>
                <w:rFonts w:ascii="Arial" w:hAnsi="Arial" w:cs="Arial"/>
                <w:b/>
              </w:rPr>
            </w:pPr>
            <w:r w:rsidRPr="00FC4897">
              <w:rPr>
                <w:rFonts w:ascii="Arial" w:hAnsi="Arial" w:cs="Arial"/>
                <w:b/>
              </w:rPr>
              <w:lastRenderedPageBreak/>
              <w:t>External Examiner’s comments (if relevant)</w:t>
            </w:r>
          </w:p>
          <w:p w14:paraId="2A64ADFD" w14:textId="77777777" w:rsidR="00FC4897" w:rsidRPr="00FC4897" w:rsidRDefault="00FC4897" w:rsidP="00FC4897">
            <w:pPr>
              <w:spacing w:after="0" w:line="240" w:lineRule="auto"/>
              <w:ind w:right="-334"/>
              <w:rPr>
                <w:rFonts w:ascii="Arial" w:eastAsia="Times New Roman" w:hAnsi="Arial" w:cs="Arial"/>
                <w:bCs/>
                <w:lang w:eastAsia="en-GB"/>
              </w:rPr>
            </w:pPr>
          </w:p>
          <w:p w14:paraId="73737F4D" w14:textId="77777777" w:rsidR="00FC4897" w:rsidRPr="00FC4897" w:rsidRDefault="00FC4897" w:rsidP="00FC4897">
            <w:pPr>
              <w:spacing w:after="0" w:line="240" w:lineRule="auto"/>
              <w:ind w:right="-334"/>
              <w:rPr>
                <w:rFonts w:ascii="Arial" w:eastAsia="Times New Roman" w:hAnsi="Arial" w:cs="Arial"/>
                <w:bCs/>
                <w:lang w:eastAsia="en-GB"/>
              </w:rPr>
            </w:pPr>
          </w:p>
          <w:p w14:paraId="30E79640" w14:textId="77777777" w:rsidR="00FC4897" w:rsidRPr="00FC4897" w:rsidRDefault="00FC4897" w:rsidP="00FC4897">
            <w:pPr>
              <w:spacing w:after="0" w:line="240" w:lineRule="auto"/>
              <w:ind w:right="-334"/>
              <w:rPr>
                <w:rFonts w:ascii="Arial" w:eastAsia="Times New Roman" w:hAnsi="Arial" w:cs="Arial"/>
                <w:bCs/>
                <w:lang w:eastAsia="en-GB"/>
              </w:rPr>
            </w:pPr>
          </w:p>
        </w:tc>
      </w:tr>
      <w:tr w:rsidR="00FC4897" w:rsidRPr="00FC4897" w14:paraId="4F50ACBA" w14:textId="77777777" w:rsidTr="00514EE8">
        <w:trPr>
          <w:trHeight w:val="720"/>
        </w:trPr>
        <w:tc>
          <w:tcPr>
            <w:tcW w:w="5211" w:type="dxa"/>
            <w:gridSpan w:val="2"/>
          </w:tcPr>
          <w:p w14:paraId="0C010B89" w14:textId="77777777" w:rsidR="00FC4897" w:rsidRPr="00FC4897" w:rsidRDefault="00FC4897" w:rsidP="00FC4897">
            <w:pPr>
              <w:rPr>
                <w:rFonts w:ascii="Arial" w:hAnsi="Arial" w:cs="Arial"/>
              </w:rPr>
            </w:pPr>
            <w:r w:rsidRPr="00FC4897">
              <w:rPr>
                <w:rFonts w:ascii="Arial" w:hAnsi="Arial" w:cs="Arial"/>
              </w:rPr>
              <w:t>External Examiner’s Signature:</w:t>
            </w:r>
          </w:p>
        </w:tc>
        <w:tc>
          <w:tcPr>
            <w:tcW w:w="3645" w:type="dxa"/>
            <w:gridSpan w:val="3"/>
          </w:tcPr>
          <w:p w14:paraId="1F245153" w14:textId="77777777" w:rsidR="00FC4897" w:rsidRPr="00FC4897" w:rsidRDefault="00FC4897" w:rsidP="00FC4897">
            <w:pPr>
              <w:rPr>
                <w:rFonts w:ascii="Arial" w:hAnsi="Arial" w:cs="Arial"/>
              </w:rPr>
            </w:pPr>
            <w:r w:rsidRPr="00FC4897">
              <w:rPr>
                <w:rFonts w:ascii="Arial" w:hAnsi="Arial" w:cs="Arial"/>
              </w:rPr>
              <w:t>Date:</w:t>
            </w:r>
          </w:p>
        </w:tc>
      </w:tr>
    </w:tbl>
    <w:p w14:paraId="64FF31A9" w14:textId="77777777" w:rsidR="00FC4897" w:rsidRPr="00FC4897" w:rsidRDefault="00FC4897" w:rsidP="00FC4897">
      <w:pPr>
        <w:spacing w:after="0" w:line="240" w:lineRule="auto"/>
        <w:ind w:right="-334"/>
        <w:rPr>
          <w:rFonts w:ascii="Trebuchet MS" w:eastAsia="Times New Roman" w:hAnsi="Trebuchet MS" w:cs="Tahoma"/>
          <w:bCs/>
          <w:sz w:val="24"/>
          <w:szCs w:val="24"/>
          <w:lang w:eastAsia="en-GB"/>
        </w:rPr>
      </w:pPr>
    </w:p>
    <w:p w14:paraId="55BD2599" w14:textId="77777777" w:rsidR="00FC4897" w:rsidRDefault="00FC4897">
      <w:pPr>
        <w:rPr>
          <w:rFonts w:ascii="Georgia" w:hAnsi="Georgia" w:cs="Calibri"/>
          <w:sz w:val="40"/>
          <w:szCs w:val="40"/>
        </w:rPr>
      </w:pPr>
      <w:r>
        <w:rPr>
          <w:rFonts w:ascii="Georgia" w:hAnsi="Georgia" w:cs="Calibri"/>
          <w:sz w:val="40"/>
          <w:szCs w:val="40"/>
        </w:rPr>
        <w:br w:type="page"/>
      </w:r>
    </w:p>
    <w:p w14:paraId="2D211549" w14:textId="54584934" w:rsidR="00FC4897" w:rsidRPr="00FC4897" w:rsidRDefault="00FC4897" w:rsidP="00FC4897">
      <w:pPr>
        <w:rPr>
          <w:rFonts w:ascii="Georgia" w:hAnsi="Georgia" w:cs="Calibri"/>
          <w:sz w:val="40"/>
          <w:szCs w:val="40"/>
        </w:rPr>
      </w:pPr>
    </w:p>
    <w:p w14:paraId="35EC2993" w14:textId="77777777" w:rsidR="003E5EB7" w:rsidRDefault="00417A46" w:rsidP="00417A46">
      <w:pPr>
        <w:ind w:left="5040"/>
        <w:rPr>
          <w:rFonts w:ascii="Georgia" w:hAnsi="Georgia" w:cs="Calibri"/>
          <w:sz w:val="23"/>
          <w:szCs w:val="23"/>
        </w:rPr>
      </w:pPr>
      <w:r>
        <w:rPr>
          <w:rFonts w:ascii="Georgia" w:hAnsi="Georgia" w:cs="Calibri"/>
          <w:noProof/>
          <w:sz w:val="23"/>
          <w:szCs w:val="23"/>
        </w:rPr>
        <w:drawing>
          <wp:anchor distT="0" distB="0" distL="114300" distR="114300" simplePos="0" relativeHeight="251661312" behindDoc="0" locked="0" layoutInCell="1" allowOverlap="1" wp14:anchorId="34D685CB" wp14:editId="24D78953">
            <wp:simplePos x="0" y="0"/>
            <wp:positionH relativeFrom="column">
              <wp:posOffset>0</wp:posOffset>
            </wp:positionH>
            <wp:positionV relativeFrom="paragraph">
              <wp:posOffset>0</wp:posOffset>
            </wp:positionV>
            <wp:extent cx="617220" cy="617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ltimate_collection_light_briefing-5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7220" cy="617220"/>
                    </a:xfrm>
                    <a:prstGeom prst="rect">
                      <a:avLst/>
                    </a:prstGeom>
                  </pic:spPr>
                </pic:pic>
              </a:graphicData>
            </a:graphic>
            <wp14:sizeRelH relativeFrom="margin">
              <wp14:pctWidth>0</wp14:pctWidth>
            </wp14:sizeRelH>
            <wp14:sizeRelV relativeFrom="margin">
              <wp14:pctHeight>0</wp14:pctHeight>
            </wp14:sizeRelV>
          </wp:anchor>
        </w:drawing>
      </w:r>
      <w:r>
        <w:rPr>
          <w:rFonts w:ascii="Georgia" w:hAnsi="Georgia" w:cs="Calibri"/>
          <w:sz w:val="40"/>
          <w:szCs w:val="40"/>
        </w:rPr>
        <w:t xml:space="preserve">      </w:t>
      </w:r>
      <w:r w:rsidR="003E5EB7" w:rsidRPr="003E5EB7">
        <w:rPr>
          <w:rFonts w:ascii="Georgia" w:hAnsi="Georgia" w:cs="Calibri"/>
          <w:sz w:val="40"/>
          <w:szCs w:val="40"/>
        </w:rPr>
        <w:t>Briefing Document</w:t>
      </w:r>
      <w:r w:rsidR="003E5EB7">
        <w:rPr>
          <w:rFonts w:ascii="Georgia" w:hAnsi="Georgia" w:cs="Calibri"/>
          <w:sz w:val="40"/>
          <w:szCs w:val="40"/>
        </w:rPr>
        <w:br/>
      </w:r>
      <w:r>
        <w:rPr>
          <w:rFonts w:ascii="Georgia" w:hAnsi="Georgia" w:cs="Calibri"/>
          <w:sz w:val="24"/>
          <w:szCs w:val="24"/>
        </w:rPr>
        <w:t xml:space="preserve">                                                 </w:t>
      </w:r>
      <w:r w:rsidR="003E5EB7" w:rsidRPr="003E5EB7">
        <w:rPr>
          <w:rFonts w:ascii="Georgia" w:hAnsi="Georgia" w:cs="Calibri"/>
          <w:sz w:val="24"/>
          <w:szCs w:val="24"/>
        </w:rPr>
        <w:t>April 2018</w:t>
      </w:r>
    </w:p>
    <w:p w14:paraId="4003BEC0" w14:textId="44654105" w:rsidR="003E5EB7" w:rsidRPr="007931EC" w:rsidRDefault="003E5EB7" w:rsidP="00B059DB">
      <w:pPr>
        <w:rPr>
          <w:rFonts w:ascii="Georgia" w:hAnsi="Georgia" w:cs="Calibri"/>
          <w:b/>
          <w:sz w:val="32"/>
          <w:szCs w:val="32"/>
        </w:rPr>
      </w:pPr>
      <w:r>
        <w:rPr>
          <w:rFonts w:ascii="Georgia" w:hAnsi="Georgia" w:cs="Calibri"/>
          <w:sz w:val="23"/>
          <w:szCs w:val="23"/>
        </w:rPr>
        <w:br/>
      </w:r>
      <w:r w:rsidR="00D176A7">
        <w:rPr>
          <w:rFonts w:ascii="Georgia" w:hAnsi="Georgia" w:cs="Calibri"/>
          <w:b/>
          <w:sz w:val="32"/>
          <w:szCs w:val="32"/>
        </w:rPr>
        <w:t>Christian Minorities Amid Pakistan’s Blasphemy Laws</w:t>
      </w:r>
    </w:p>
    <w:p w14:paraId="6AB99720" w14:textId="7C0D07CE" w:rsidR="000B40B1" w:rsidRPr="00A0771C" w:rsidRDefault="003E5EB7" w:rsidP="000B40B1">
      <w:pPr>
        <w:rPr>
          <w:rFonts w:ascii="Arial" w:hAnsi="Arial" w:cs="Arial"/>
          <w:sz w:val="21"/>
          <w:szCs w:val="21"/>
        </w:rPr>
      </w:pPr>
      <w:r w:rsidRPr="00FD0106">
        <w:rPr>
          <w:noProof/>
          <w:sz w:val="20"/>
          <w:szCs w:val="20"/>
        </w:rPr>
        <mc:AlternateContent>
          <mc:Choice Requires="wps">
            <w:drawing>
              <wp:anchor distT="45720" distB="45720" distL="114300" distR="114300" simplePos="0" relativeHeight="251659264" behindDoc="0" locked="0" layoutInCell="1" allowOverlap="1" wp14:anchorId="7BBC010D" wp14:editId="7537ECBF">
                <wp:simplePos x="0" y="0"/>
                <wp:positionH relativeFrom="column">
                  <wp:posOffset>38100</wp:posOffset>
                </wp:positionH>
                <wp:positionV relativeFrom="paragraph">
                  <wp:posOffset>462915</wp:posOffset>
                </wp:positionV>
                <wp:extent cx="5753100" cy="12039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203960"/>
                        </a:xfrm>
                        <a:prstGeom prst="rect">
                          <a:avLst/>
                        </a:prstGeom>
                        <a:pattFill prst="pct25">
                          <a:fgClr>
                            <a:schemeClr val="bg2">
                              <a:lumMod val="90000"/>
                            </a:schemeClr>
                          </a:fgClr>
                          <a:bgClr>
                            <a:schemeClr val="bg1"/>
                          </a:bgClr>
                        </a:pattFill>
                        <a:ln w="9525" cap="flat" cmpd="dbl" algn="ctr">
                          <a:solidFill>
                            <a:srgbClr val="C00000"/>
                          </a:solidFill>
                          <a:prstDash val="solid"/>
                          <a:miter lim="800000"/>
                          <a:headEnd/>
                          <a:tailEnd/>
                        </a:ln>
                        <a:effectLst/>
                      </wps:spPr>
                      <wps:txbx>
                        <w:txbxContent>
                          <w:p w14:paraId="792C154F" w14:textId="515725DB" w:rsidR="003E5EB7" w:rsidRPr="007310D7" w:rsidRDefault="003E5EB7" w:rsidP="00D470FB">
                            <w:pPr>
                              <w:jc w:val="center"/>
                              <w:rPr>
                                <w:rFonts w:ascii="Arial" w:hAnsi="Arial" w:cs="Arial"/>
                                <w:b/>
                              </w:rPr>
                            </w:pPr>
                          </w:p>
                          <w:p w14:paraId="1C101DD3" w14:textId="69E91961" w:rsidR="003E5EB7" w:rsidRPr="007310D7" w:rsidRDefault="00AB235F" w:rsidP="007310D7">
                            <w:pPr>
                              <w:spacing w:after="280"/>
                              <w:rPr>
                                <w:rFonts w:ascii="Arial" w:hAnsi="Arial" w:cs="Arial"/>
                              </w:rPr>
                            </w:pPr>
                            <w:r w:rsidRPr="007310D7">
                              <w:rPr>
                                <w:rFonts w:ascii="Arial" w:hAnsi="Arial" w:cs="Arial"/>
                              </w:rPr>
                              <w:t xml:space="preserve"> </w:t>
                            </w:r>
                            <w:r w:rsidR="006A2E0B">
                              <w:rPr>
                                <w:rFonts w:ascii="Arial" w:hAnsi="Arial" w:cs="Arial"/>
                              </w:rPr>
                              <w:t>“</w:t>
                            </w:r>
                            <w:r w:rsidRPr="007310D7">
                              <w:rPr>
                                <w:rFonts w:ascii="Arial" w:hAnsi="Arial" w:cs="Arial"/>
                              </w:rPr>
                              <w:t>Every citizen shall have the right to profess, practice and propagate his religion</w:t>
                            </w:r>
                            <w:r w:rsidR="006A2E0B">
                              <w:rPr>
                                <w:rFonts w:ascii="Arial" w:hAnsi="Arial" w:cs="Arial"/>
                              </w:rPr>
                              <w:t>”</w:t>
                            </w:r>
                            <w:r w:rsidR="006A2E0B">
                              <w:rPr>
                                <w:rFonts w:ascii="Arial" w:hAnsi="Arial" w:cs="Arial"/>
                              </w:rPr>
                              <w:br/>
                            </w:r>
                            <w:r w:rsidRPr="007310D7">
                              <w:rPr>
                                <w:rFonts w:ascii="Arial" w:hAnsi="Arial" w:cs="Arial"/>
                              </w:rPr>
                              <w:t xml:space="preserve"> </w:t>
                            </w:r>
                            <w:r w:rsidR="007310D7">
                              <w:rPr>
                                <w:rFonts w:ascii="Arial" w:hAnsi="Arial" w:cs="Arial"/>
                              </w:rPr>
                              <w:br/>
                              <w:t xml:space="preserve">                                                                                      </w:t>
                            </w:r>
                            <w:r w:rsidR="006A2E0B">
                              <w:rPr>
                                <w:rFonts w:ascii="Arial" w:hAnsi="Arial" w:cs="Arial"/>
                              </w:rPr>
                              <w:t xml:space="preserve">- </w:t>
                            </w:r>
                            <w:r w:rsidRPr="006A2E0B">
                              <w:rPr>
                                <w:rFonts w:ascii="Arial" w:hAnsi="Arial" w:cs="Arial"/>
                                <w:b/>
                                <w:sz w:val="20"/>
                                <w:szCs w:val="20"/>
                              </w:rPr>
                              <w:t xml:space="preserve">Pakistan Constitution </w:t>
                            </w:r>
                            <w:r w:rsidR="007310D7" w:rsidRPr="006A2E0B">
                              <w:rPr>
                                <w:rFonts w:ascii="Arial" w:hAnsi="Arial" w:cs="Arial"/>
                                <w:b/>
                                <w:sz w:val="20"/>
                                <w:szCs w:val="20"/>
                              </w:rPr>
                              <w:t>(</w:t>
                            </w:r>
                            <w:r w:rsidRPr="006A2E0B">
                              <w:rPr>
                                <w:rFonts w:ascii="Arial" w:hAnsi="Arial" w:cs="Arial"/>
                                <w:b/>
                                <w:sz w:val="20"/>
                                <w:szCs w:val="20"/>
                              </w:rPr>
                              <w:t>1973)</w:t>
                            </w:r>
                          </w:p>
                          <w:p w14:paraId="3154FA39" w14:textId="77777777" w:rsidR="003E5EB7" w:rsidRPr="003E5EB7" w:rsidRDefault="003E5EB7" w:rsidP="003E5EB7">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BC010D" id="_x0000_t202" coordsize="21600,21600" o:spt="202" path="m,l,21600r21600,l21600,xe">
                <v:stroke joinstyle="miter"/>
                <v:path gradientshapeok="t" o:connecttype="rect"/>
              </v:shapetype>
              <v:shape id="Text Box 2" o:spid="_x0000_s1026" type="#_x0000_t202" style="position:absolute;margin-left:3pt;margin-top:36.45pt;width:453pt;height:94.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" fillcolor="#cfcdcd [2894]" strokecolor="#c00000">
                <v:fill r:id="rId11" o:title="" color2="white [3212]" type="pattern"/>
                <v:stroke linestyle="thinThin"/>
                <v:textbox>
                  <w:txbxContent>
                    <w:p w14:paraId="792C154F" w14:textId="515725DB" w:rsidR="003E5EB7" w:rsidRPr="007310D7" w:rsidRDefault="003E5EB7" w:rsidP="00D470FB">
                      <w:pPr>
                        <w:jc w:val="center"/>
                        <w:rPr>
                          <w:rFonts w:ascii="Arial" w:hAnsi="Arial" w:cs="Arial"/>
                          <w:b/>
                        </w:rPr>
                      </w:pPr>
                    </w:p>
                    <w:p w14:paraId="1C101DD3" w14:textId="69E91961" w:rsidR="003E5EB7" w:rsidRPr="007310D7" w:rsidRDefault="00AB235F" w:rsidP="007310D7">
                      <w:pPr>
                        <w:spacing w:after="280"/>
                        <w:rPr>
                          <w:rFonts w:ascii="Arial" w:hAnsi="Arial" w:cs="Arial"/>
                        </w:rPr>
                      </w:pPr>
                      <w:r w:rsidRPr="007310D7">
                        <w:rPr>
                          <w:rFonts w:ascii="Arial" w:hAnsi="Arial" w:cs="Arial"/>
                        </w:rPr>
                        <w:t xml:space="preserve"> </w:t>
                      </w:r>
                      <w:r w:rsidR="006A2E0B">
                        <w:rPr>
                          <w:rFonts w:ascii="Arial" w:hAnsi="Arial" w:cs="Arial"/>
                        </w:rPr>
                        <w:t>“</w:t>
                      </w:r>
                      <w:r w:rsidRPr="007310D7">
                        <w:rPr>
                          <w:rFonts w:ascii="Arial" w:hAnsi="Arial" w:cs="Arial"/>
                        </w:rPr>
                        <w:t>Every citizen shall have the right to profess, practice and propagate his religion</w:t>
                      </w:r>
                      <w:r w:rsidR="006A2E0B">
                        <w:rPr>
                          <w:rFonts w:ascii="Arial" w:hAnsi="Arial" w:cs="Arial"/>
                        </w:rPr>
                        <w:t>”</w:t>
                      </w:r>
                      <w:r w:rsidR="006A2E0B">
                        <w:rPr>
                          <w:rFonts w:ascii="Arial" w:hAnsi="Arial" w:cs="Arial"/>
                        </w:rPr>
                        <w:br/>
                      </w:r>
                      <w:r w:rsidRPr="007310D7">
                        <w:rPr>
                          <w:rFonts w:ascii="Arial" w:hAnsi="Arial" w:cs="Arial"/>
                        </w:rPr>
                        <w:t xml:space="preserve"> </w:t>
                      </w:r>
                      <w:r w:rsidR="007310D7">
                        <w:rPr>
                          <w:rFonts w:ascii="Arial" w:hAnsi="Arial" w:cs="Arial"/>
                        </w:rPr>
                        <w:br/>
                        <w:t xml:space="preserve">                                                                                      </w:t>
                      </w:r>
                      <w:r w:rsidR="006A2E0B">
                        <w:rPr>
                          <w:rFonts w:ascii="Arial" w:hAnsi="Arial" w:cs="Arial"/>
                        </w:rPr>
                        <w:t xml:space="preserve">- </w:t>
                      </w:r>
                      <w:r w:rsidRPr="006A2E0B">
                        <w:rPr>
                          <w:rFonts w:ascii="Arial" w:hAnsi="Arial" w:cs="Arial"/>
                          <w:b/>
                          <w:sz w:val="20"/>
                          <w:szCs w:val="20"/>
                        </w:rPr>
                        <w:t xml:space="preserve">Pakistan Constitution </w:t>
                      </w:r>
                      <w:r w:rsidR="007310D7" w:rsidRPr="006A2E0B">
                        <w:rPr>
                          <w:rFonts w:ascii="Arial" w:hAnsi="Arial" w:cs="Arial"/>
                          <w:b/>
                          <w:sz w:val="20"/>
                          <w:szCs w:val="20"/>
                        </w:rPr>
                        <w:t>(</w:t>
                      </w:r>
                      <w:r w:rsidRPr="006A2E0B">
                        <w:rPr>
                          <w:rFonts w:ascii="Arial" w:hAnsi="Arial" w:cs="Arial"/>
                          <w:b/>
                          <w:sz w:val="20"/>
                          <w:szCs w:val="20"/>
                        </w:rPr>
                        <w:t>1973)</w:t>
                      </w:r>
                    </w:p>
                    <w:p w14:paraId="3154FA39" w14:textId="77777777" w:rsidR="003E5EB7" w:rsidRPr="003E5EB7" w:rsidRDefault="003E5EB7" w:rsidP="003E5EB7">
                      <w:pPr>
                        <w:rPr>
                          <w:rFonts w:ascii="Arial" w:hAnsi="Arial" w:cs="Arial"/>
                        </w:rPr>
                      </w:pPr>
                    </w:p>
                  </w:txbxContent>
                </v:textbox>
                <w10:wrap type="square"/>
              </v:shape>
            </w:pict>
          </mc:Fallback>
        </mc:AlternateContent>
      </w:r>
      <w:r w:rsidRPr="00FD0106">
        <w:rPr>
          <w:rFonts w:ascii="Arial" w:hAnsi="Arial" w:cs="Arial"/>
          <w:sz w:val="20"/>
          <w:szCs w:val="20"/>
        </w:rPr>
        <w:t xml:space="preserve">Daniel </w:t>
      </w:r>
      <w:r w:rsidR="00E36D24">
        <w:rPr>
          <w:rFonts w:ascii="Arial" w:hAnsi="Arial" w:cs="Arial"/>
          <w:sz w:val="20"/>
          <w:szCs w:val="20"/>
        </w:rPr>
        <w:t>Annenberg</w:t>
      </w:r>
      <w:r w:rsidRPr="00A0771C">
        <w:rPr>
          <w:rFonts w:ascii="Arial" w:hAnsi="Arial" w:cs="Arial"/>
          <w:sz w:val="21"/>
          <w:szCs w:val="21"/>
        </w:rPr>
        <w:br/>
      </w:r>
      <w:r w:rsidRPr="00A0771C">
        <w:rPr>
          <w:rFonts w:ascii="Arial" w:hAnsi="Arial" w:cs="Arial"/>
          <w:sz w:val="21"/>
          <w:szCs w:val="21"/>
        </w:rPr>
        <w:br/>
      </w:r>
      <w:r w:rsidRPr="00A0771C">
        <w:rPr>
          <w:rFonts w:ascii="Arial" w:hAnsi="Arial" w:cs="Arial"/>
          <w:sz w:val="21"/>
          <w:szCs w:val="21"/>
        </w:rPr>
        <w:br/>
      </w:r>
    </w:p>
    <w:p w14:paraId="6CE79C7C" w14:textId="77777777" w:rsidR="00331ECE" w:rsidRDefault="00331ECE">
      <w:pPr>
        <w:rPr>
          <w:rFonts w:ascii="Arial" w:hAnsi="Arial" w:cs="Arial"/>
          <w:sz w:val="20"/>
          <w:szCs w:val="20"/>
        </w:rPr>
      </w:pPr>
    </w:p>
    <w:p w14:paraId="0C6B368A" w14:textId="36BC6411" w:rsidR="00331ECE" w:rsidRDefault="00331ECE">
      <w:pPr>
        <w:rPr>
          <w:rFonts w:ascii="Arial" w:hAnsi="Arial" w:cs="Arial"/>
          <w:sz w:val="20"/>
          <w:szCs w:val="20"/>
        </w:rPr>
      </w:pPr>
    </w:p>
    <w:p w14:paraId="0817F86B" w14:textId="57997E1C" w:rsidR="00331ECE" w:rsidRDefault="00331ECE">
      <w:pPr>
        <w:rPr>
          <w:rFonts w:ascii="Arial" w:hAnsi="Arial" w:cs="Arial"/>
          <w:sz w:val="20"/>
          <w:szCs w:val="20"/>
        </w:rPr>
      </w:pPr>
    </w:p>
    <w:p w14:paraId="4F5EB4DB" w14:textId="32CA98FA" w:rsidR="00331ECE" w:rsidRDefault="00331ECE">
      <w:pPr>
        <w:rPr>
          <w:rFonts w:ascii="Arial" w:hAnsi="Arial" w:cs="Arial"/>
          <w:sz w:val="20"/>
          <w:szCs w:val="20"/>
        </w:rPr>
      </w:pPr>
    </w:p>
    <w:p w14:paraId="7F4D062E" w14:textId="3AF725B3" w:rsidR="00331ECE" w:rsidRDefault="00331ECE">
      <w:pPr>
        <w:rPr>
          <w:rFonts w:ascii="Arial" w:hAnsi="Arial" w:cs="Arial"/>
          <w:sz w:val="20"/>
          <w:szCs w:val="20"/>
        </w:rPr>
      </w:pPr>
    </w:p>
    <w:p w14:paraId="14915FE2" w14:textId="682DF352" w:rsidR="00D176A7" w:rsidRDefault="00D176A7" w:rsidP="00D176A7">
      <w:pPr>
        <w:spacing w:after="0"/>
        <w:rPr>
          <w:rFonts w:ascii="Arial" w:hAnsi="Arial" w:cs="Arial"/>
          <w:b/>
        </w:rPr>
      </w:pPr>
      <w:bookmarkStart w:id="7" w:name="_Hlk534502860"/>
      <w:bookmarkStart w:id="8" w:name="_Hlk534499817"/>
      <w:r>
        <w:rPr>
          <w:rFonts w:ascii="Arial" w:hAnsi="Arial" w:cs="Arial"/>
          <w:b/>
        </w:rPr>
        <w:t>Demographics</w:t>
      </w:r>
    </w:p>
    <w:p w14:paraId="45DC7844" w14:textId="009F56EC" w:rsidR="00D176A7" w:rsidRDefault="00C92317" w:rsidP="00D176A7">
      <w:pPr>
        <w:spacing w:after="0"/>
        <w:rPr>
          <w:rFonts w:ascii="Arial" w:hAnsi="Arial" w:cs="Arial"/>
          <w:b/>
        </w:rPr>
      </w:pPr>
      <w:r w:rsidRPr="004213B8">
        <w:rPr>
          <w:rFonts w:ascii="Arial" w:hAnsi="Arial" w:cs="Arial"/>
          <w:noProof/>
          <w:sz w:val="20"/>
          <w:szCs w:val="20"/>
        </w:rPr>
        <mc:AlternateContent>
          <mc:Choice Requires="wps">
            <w:drawing>
              <wp:anchor distT="228600" distB="228600" distL="228600" distR="228600" simplePos="0" relativeHeight="251663360" behindDoc="1" locked="0" layoutInCell="1" allowOverlap="1" wp14:anchorId="59E6E8A4" wp14:editId="7CD25CFA">
                <wp:simplePos x="0" y="0"/>
                <wp:positionH relativeFrom="margin">
                  <wp:posOffset>3200400</wp:posOffset>
                </wp:positionH>
                <wp:positionV relativeFrom="margin">
                  <wp:posOffset>3520440</wp:posOffset>
                </wp:positionV>
                <wp:extent cx="2895600" cy="2537460"/>
                <wp:effectExtent l="0" t="0" r="19050" b="15240"/>
                <wp:wrapSquare wrapText="bothSides"/>
                <wp:docPr id="134" name="Text Box 134"/>
                <wp:cNvGraphicFramePr/>
                <a:graphic xmlns:a="http://schemas.openxmlformats.org/drawingml/2006/main">
                  <a:graphicData uri="http://schemas.microsoft.com/office/word/2010/wordprocessingShape">
                    <wps:wsp>
                      <wps:cNvSpPr txBox="1"/>
                      <wps:spPr>
                        <a:xfrm>
                          <a:off x="0" y="0"/>
                          <a:ext cx="2895600" cy="2537460"/>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18F04F65" w14:textId="53F9D224" w:rsidR="004213B8" w:rsidRPr="0066062D" w:rsidRDefault="0066062D" w:rsidP="00C92317">
                            <w:pPr>
                              <w:rPr>
                                <w:rFonts w:ascii="Arial" w:hAnsi="Arial" w:cs="Arial"/>
                              </w:rPr>
                            </w:pPr>
                            <w:r w:rsidRPr="0066062D">
                              <w:rPr>
                                <w:rFonts w:ascii="Arial" w:hAnsi="Arial" w:cs="Arial"/>
                              </w:rPr>
                              <w:t>“</w:t>
                            </w:r>
                            <w:r w:rsidR="00C92317" w:rsidRPr="00C92317">
                              <w:rPr>
                                <w:rFonts w:ascii="Arial" w:hAnsi="Arial" w:cs="Arial"/>
                              </w:rPr>
                              <w:t>The blasphemy law clearly singles ou</w:t>
                            </w:r>
                            <w:r w:rsidR="00AB235F">
                              <w:rPr>
                                <w:rFonts w:ascii="Arial" w:hAnsi="Arial" w:cs="Arial"/>
                              </w:rPr>
                              <w:t>t</w:t>
                            </w:r>
                            <w:r w:rsidR="00C92317" w:rsidRPr="00C92317">
                              <w:rPr>
                                <w:rFonts w:ascii="Arial" w:hAnsi="Arial" w:cs="Arial"/>
                              </w:rPr>
                              <w:t xml:space="preserve"> non-Muslims for persecution. While Mullahs daily blast their congregations with sermons, openly instigating people against other religions, they remain beyond reproach. But a non-Muslim trying to offer a r</w:t>
                            </w:r>
                            <w:r w:rsidR="00C92317">
                              <w:rPr>
                                <w:rFonts w:ascii="Arial" w:hAnsi="Arial" w:cs="Arial"/>
                              </w:rPr>
                              <w:t>ebu</w:t>
                            </w:r>
                            <w:r w:rsidR="00C92317" w:rsidRPr="00C92317">
                              <w:rPr>
                                <w:rFonts w:ascii="Arial" w:hAnsi="Arial" w:cs="Arial"/>
                              </w:rPr>
                              <w:t>ttal to this abuse is instantly branded a criminal guilty of blasphemy</w:t>
                            </w:r>
                            <w:r w:rsidRPr="0066062D">
                              <w:rPr>
                                <w:rFonts w:ascii="Arial" w:hAnsi="Arial" w:cs="Arial"/>
                              </w:rPr>
                              <w:t>”</w:t>
                            </w:r>
                          </w:p>
                          <w:p w14:paraId="0F199034" w14:textId="77777777" w:rsidR="002D73EB" w:rsidRDefault="002D73EB" w:rsidP="004213B8">
                            <w:pPr>
                              <w:pStyle w:val="NoSpacing"/>
                              <w:pBdr>
                                <w:top w:val="dotted" w:sz="4" w:space="6" w:color="FFFFFF" w:themeColor="background1"/>
                              </w:pBdr>
                              <w:ind w:left="360"/>
                              <w:jc w:val="center"/>
                              <w:rPr>
                                <w:rFonts w:ascii="Arial" w:eastAsia="Calibri" w:hAnsi="Arial" w:cs="Arial"/>
                                <w:b/>
                                <w:sz w:val="16"/>
                                <w:szCs w:val="16"/>
                              </w:rPr>
                            </w:pPr>
                          </w:p>
                          <w:p w14:paraId="56229DC5" w14:textId="3661EAFD" w:rsidR="004213B8" w:rsidRPr="004213B8" w:rsidRDefault="00C92317" w:rsidP="004213B8">
                            <w:pPr>
                              <w:pStyle w:val="NoSpacing"/>
                              <w:pBdr>
                                <w:top w:val="dotted" w:sz="4" w:space="6" w:color="FFFFFF" w:themeColor="background1"/>
                              </w:pBdr>
                              <w:ind w:left="360"/>
                              <w:jc w:val="center"/>
                              <w:rPr>
                                <w:color w:val="FFFFFF" w:themeColor="background1"/>
                                <w:sz w:val="16"/>
                                <w:szCs w:val="16"/>
                              </w:rPr>
                            </w:pPr>
                            <w:r>
                              <w:rPr>
                                <w:rFonts w:ascii="Arial" w:eastAsia="Calibri" w:hAnsi="Arial" w:cs="Arial"/>
                                <w:b/>
                                <w:sz w:val="16"/>
                                <w:szCs w:val="16"/>
                              </w:rPr>
                              <w:t>The Karachi Herald</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6E8A4" id="Text Box 134" o:spid="_x0000_s1027" type="#_x0000_t202" style="position:absolute;margin-left:252pt;margin-top:277.2pt;width:228pt;height:199.8pt;z-index:-25165312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" fillcolor="#4472c4 [3204]" strokecolor="white [3201]" strokeweight="1.5pt">
                <v:textbox inset="14.4pt,7.2pt,14.4pt,7.2pt">
                  <w:txbxContent>
                    <w:p w14:paraId="18F04F65" w14:textId="53F9D224" w:rsidR="004213B8" w:rsidRPr="0066062D" w:rsidRDefault="0066062D" w:rsidP="00C92317">
                      <w:pPr>
                        <w:rPr>
                          <w:rFonts w:ascii="Arial" w:hAnsi="Arial" w:cs="Arial"/>
                        </w:rPr>
                      </w:pPr>
                      <w:r w:rsidRPr="0066062D">
                        <w:rPr>
                          <w:rFonts w:ascii="Arial" w:hAnsi="Arial" w:cs="Arial"/>
                        </w:rPr>
                        <w:t>“</w:t>
                      </w:r>
                      <w:r w:rsidR="00C92317" w:rsidRPr="00C92317">
                        <w:rPr>
                          <w:rFonts w:ascii="Arial" w:hAnsi="Arial" w:cs="Arial"/>
                        </w:rPr>
                        <w:t>The blasphemy law clearly singles ou</w:t>
                      </w:r>
                      <w:r w:rsidR="00AB235F">
                        <w:rPr>
                          <w:rFonts w:ascii="Arial" w:hAnsi="Arial" w:cs="Arial"/>
                        </w:rPr>
                        <w:t>t</w:t>
                      </w:r>
                      <w:r w:rsidR="00C92317" w:rsidRPr="00C92317">
                        <w:rPr>
                          <w:rFonts w:ascii="Arial" w:hAnsi="Arial" w:cs="Arial"/>
                        </w:rPr>
                        <w:t xml:space="preserve"> non-Muslims for persecution. While Mullahs daily blast their congregations with sermons, openly instigating people against other religions, they remain beyond reproach. But a non-Muslim trying to offer a r</w:t>
                      </w:r>
                      <w:r w:rsidR="00C92317">
                        <w:rPr>
                          <w:rFonts w:ascii="Arial" w:hAnsi="Arial" w:cs="Arial"/>
                        </w:rPr>
                        <w:t>ebu</w:t>
                      </w:r>
                      <w:r w:rsidR="00C92317" w:rsidRPr="00C92317">
                        <w:rPr>
                          <w:rFonts w:ascii="Arial" w:hAnsi="Arial" w:cs="Arial"/>
                        </w:rPr>
                        <w:t>ttal to this abuse is instantly branded a criminal guilty of blasphemy</w:t>
                      </w:r>
                      <w:r w:rsidRPr="0066062D">
                        <w:rPr>
                          <w:rFonts w:ascii="Arial" w:hAnsi="Arial" w:cs="Arial"/>
                        </w:rPr>
                        <w:t>”</w:t>
                      </w:r>
                    </w:p>
                    <w:p w14:paraId="0F199034" w14:textId="77777777" w:rsidR="002D73EB" w:rsidRDefault="002D73EB" w:rsidP="004213B8">
                      <w:pPr>
                        <w:pStyle w:val="NoSpacing"/>
                        <w:pBdr>
                          <w:top w:val="dotted" w:sz="4" w:space="6" w:color="FFFFFF" w:themeColor="background1"/>
                        </w:pBdr>
                        <w:ind w:left="360"/>
                        <w:jc w:val="center"/>
                        <w:rPr>
                          <w:rFonts w:ascii="Arial" w:eastAsia="Calibri" w:hAnsi="Arial" w:cs="Arial"/>
                          <w:b/>
                          <w:sz w:val="16"/>
                          <w:szCs w:val="16"/>
                        </w:rPr>
                      </w:pPr>
                    </w:p>
                    <w:p w14:paraId="56229DC5" w14:textId="3661EAFD" w:rsidR="004213B8" w:rsidRPr="004213B8" w:rsidRDefault="00C92317" w:rsidP="004213B8">
                      <w:pPr>
                        <w:pStyle w:val="NoSpacing"/>
                        <w:pBdr>
                          <w:top w:val="dotted" w:sz="4" w:space="6" w:color="FFFFFF" w:themeColor="background1"/>
                        </w:pBdr>
                        <w:ind w:left="360"/>
                        <w:jc w:val="center"/>
                        <w:rPr>
                          <w:color w:val="FFFFFF" w:themeColor="background1"/>
                          <w:sz w:val="16"/>
                          <w:szCs w:val="16"/>
                        </w:rPr>
                      </w:pPr>
                      <w:r>
                        <w:rPr>
                          <w:rFonts w:ascii="Arial" w:eastAsia="Calibri" w:hAnsi="Arial" w:cs="Arial"/>
                          <w:b/>
                          <w:sz w:val="16"/>
                          <w:szCs w:val="16"/>
                        </w:rPr>
                        <w:t>The Karachi Herald</w:t>
                      </w:r>
                    </w:p>
                  </w:txbxContent>
                </v:textbox>
                <w10:wrap type="square" anchorx="margin" anchory="margin"/>
              </v:shape>
            </w:pict>
          </mc:Fallback>
        </mc:AlternateContent>
      </w:r>
    </w:p>
    <w:p w14:paraId="03CB6A64" w14:textId="4EA519D1" w:rsidR="00D176A7" w:rsidRPr="006A2E0B" w:rsidRDefault="00D176A7" w:rsidP="00AE64E7">
      <w:pPr>
        <w:spacing w:after="0"/>
        <w:jc w:val="both"/>
        <w:rPr>
          <w:rFonts w:ascii="Arial" w:hAnsi="Arial" w:cs="Arial"/>
          <w:b/>
          <w:sz w:val="20"/>
          <w:szCs w:val="20"/>
        </w:rPr>
      </w:pPr>
      <w:r w:rsidRPr="006A2E0B">
        <w:rPr>
          <w:rFonts w:ascii="Arial" w:hAnsi="Arial" w:cs="Arial"/>
          <w:sz w:val="20"/>
          <w:szCs w:val="20"/>
        </w:rPr>
        <w:t>Although there has always been a Christian presence in the region, number</w:t>
      </w:r>
      <w:r w:rsidR="00FA2D6B" w:rsidRPr="006A2E0B">
        <w:rPr>
          <w:rFonts w:ascii="Arial" w:hAnsi="Arial" w:cs="Arial"/>
          <w:sz w:val="20"/>
          <w:szCs w:val="20"/>
        </w:rPr>
        <w:t>s</w:t>
      </w:r>
      <w:r w:rsidRPr="006A2E0B">
        <w:rPr>
          <w:rFonts w:ascii="Arial" w:hAnsi="Arial" w:cs="Arial"/>
          <w:sz w:val="20"/>
          <w:szCs w:val="20"/>
        </w:rPr>
        <w:t xml:space="preserve"> grew significantly as missionaries arrived during the colonial period, though most Pakistani Christians now worship in their only language and culture.</w:t>
      </w:r>
      <w:r w:rsidRPr="006A2E0B">
        <w:rPr>
          <w:rStyle w:val="FootnoteReference"/>
          <w:rFonts w:ascii="Arial" w:hAnsi="Arial" w:cs="Arial"/>
          <w:sz w:val="20"/>
          <w:szCs w:val="20"/>
        </w:rPr>
        <w:footnoteReference w:id="1"/>
      </w:r>
      <w:r w:rsidRPr="006A2E0B">
        <w:rPr>
          <w:rFonts w:ascii="Arial" w:hAnsi="Arial" w:cs="Arial"/>
          <w:sz w:val="20"/>
          <w:szCs w:val="20"/>
        </w:rPr>
        <w:t xml:space="preserve"> Today around 2% of the population </w:t>
      </w:r>
      <w:r w:rsidR="006A2E0B">
        <w:rPr>
          <w:rFonts w:ascii="Arial" w:hAnsi="Arial" w:cs="Arial"/>
          <w:noProof/>
          <w:sz w:val="20"/>
          <w:szCs w:val="20"/>
        </w:rPr>
        <w:t>is</w:t>
      </w:r>
      <w:r w:rsidRPr="006A2E0B">
        <w:rPr>
          <w:rFonts w:ascii="Arial" w:hAnsi="Arial" w:cs="Arial"/>
          <w:sz w:val="20"/>
          <w:szCs w:val="20"/>
        </w:rPr>
        <w:t xml:space="preserve"> Christian.</w:t>
      </w:r>
      <w:r w:rsidRPr="006A2E0B">
        <w:rPr>
          <w:rStyle w:val="FootnoteReference"/>
          <w:rFonts w:ascii="Arial" w:hAnsi="Arial" w:cs="Arial"/>
          <w:sz w:val="20"/>
          <w:szCs w:val="20"/>
        </w:rPr>
        <w:footnoteReference w:id="2"/>
      </w:r>
      <w:r w:rsidRPr="006A2E0B">
        <w:rPr>
          <w:rFonts w:ascii="Arial" w:hAnsi="Arial" w:cs="Arial"/>
          <w:sz w:val="20"/>
          <w:szCs w:val="20"/>
        </w:rPr>
        <w:t xml:space="preserve"> </w:t>
      </w:r>
    </w:p>
    <w:p w14:paraId="428364C7" w14:textId="77777777" w:rsidR="00D176A7" w:rsidRPr="006A2E0B" w:rsidRDefault="00D176A7" w:rsidP="00D176A7">
      <w:pPr>
        <w:spacing w:after="0"/>
        <w:rPr>
          <w:rFonts w:ascii="Arial" w:hAnsi="Arial" w:cs="Arial"/>
          <w:b/>
          <w:sz w:val="20"/>
          <w:szCs w:val="20"/>
        </w:rPr>
      </w:pPr>
    </w:p>
    <w:p w14:paraId="07F75543" w14:textId="1749ADDB" w:rsidR="00FA2D6B" w:rsidRPr="006A2E0B" w:rsidRDefault="00D176A7" w:rsidP="00D176A7">
      <w:pPr>
        <w:spacing w:after="0"/>
        <w:rPr>
          <w:rFonts w:ascii="Arial" w:hAnsi="Arial" w:cs="Arial"/>
          <w:b/>
          <w:sz w:val="20"/>
          <w:szCs w:val="20"/>
        </w:rPr>
      </w:pPr>
      <w:r w:rsidRPr="006A2E0B">
        <w:rPr>
          <w:rFonts w:ascii="Arial" w:hAnsi="Arial" w:cs="Arial"/>
          <w:b/>
          <w:sz w:val="20"/>
          <w:szCs w:val="20"/>
        </w:rPr>
        <w:t>Development of Blasphemy Laws</w:t>
      </w:r>
    </w:p>
    <w:p w14:paraId="1755D646" w14:textId="77777777" w:rsidR="00FA2D6B" w:rsidRPr="006A2E0B" w:rsidRDefault="00FA2D6B" w:rsidP="00D176A7">
      <w:pPr>
        <w:spacing w:after="0"/>
        <w:rPr>
          <w:rFonts w:ascii="Arial" w:hAnsi="Arial" w:cs="Arial"/>
          <w:b/>
          <w:sz w:val="20"/>
          <w:szCs w:val="20"/>
        </w:rPr>
      </w:pPr>
    </w:p>
    <w:p w14:paraId="65C883B8" w14:textId="53BE8497" w:rsidR="006A2E0B" w:rsidRDefault="00FA2D6B" w:rsidP="00AE64E7">
      <w:pPr>
        <w:spacing w:after="0"/>
        <w:jc w:val="both"/>
        <w:rPr>
          <w:rFonts w:ascii="Arial" w:hAnsi="Arial" w:cs="Arial"/>
          <w:sz w:val="20"/>
          <w:szCs w:val="20"/>
        </w:rPr>
      </w:pPr>
      <w:r w:rsidRPr="006A2E0B">
        <w:rPr>
          <w:rFonts w:ascii="Arial" w:hAnsi="Arial" w:cs="Arial"/>
          <w:sz w:val="20"/>
          <w:szCs w:val="20"/>
        </w:rPr>
        <w:t xml:space="preserve">In 1947 the founder of Pakistan, Muhammad </w:t>
      </w:r>
      <w:r w:rsidRPr="006A2E0B">
        <w:rPr>
          <w:rFonts w:ascii="Arial" w:hAnsi="Arial" w:cs="Arial"/>
          <w:noProof/>
          <w:sz w:val="20"/>
          <w:szCs w:val="20"/>
        </w:rPr>
        <w:t>Jinna</w:t>
      </w:r>
      <w:r w:rsidR="006A2E0B">
        <w:rPr>
          <w:rFonts w:ascii="Arial" w:hAnsi="Arial" w:cs="Arial"/>
          <w:noProof/>
          <w:sz w:val="20"/>
          <w:szCs w:val="20"/>
        </w:rPr>
        <w:t>h</w:t>
      </w:r>
      <w:r w:rsidRPr="006A2E0B">
        <w:rPr>
          <w:rFonts w:ascii="Arial" w:hAnsi="Arial" w:cs="Arial"/>
          <w:sz w:val="20"/>
          <w:szCs w:val="20"/>
        </w:rPr>
        <w:t>, declared the formation of a state tolerant of all faiths.</w:t>
      </w:r>
      <w:r w:rsidRPr="006A2E0B">
        <w:rPr>
          <w:rStyle w:val="FootnoteReference"/>
          <w:rFonts w:ascii="Arial" w:hAnsi="Arial" w:cs="Arial"/>
          <w:sz w:val="20"/>
          <w:szCs w:val="20"/>
        </w:rPr>
        <w:footnoteReference w:id="3"/>
      </w:r>
      <w:r w:rsidRPr="006A2E0B">
        <w:rPr>
          <w:rFonts w:ascii="Arial" w:hAnsi="Arial" w:cs="Arial"/>
          <w:sz w:val="20"/>
          <w:szCs w:val="20"/>
        </w:rPr>
        <w:t xml:space="preserve"> The Constitution of 1956 proclaimed a right for non-Muslims to ‘freely practice and profess their religion.’ However, in its short history, Pakistan has witnessed a continual struggle between moderate and Islamising forces.</w:t>
      </w:r>
      <w:r w:rsidRPr="006A2E0B">
        <w:rPr>
          <w:rStyle w:val="FootnoteReference"/>
          <w:rFonts w:ascii="Arial" w:hAnsi="Arial" w:cs="Arial"/>
          <w:sz w:val="20"/>
          <w:szCs w:val="20"/>
        </w:rPr>
        <w:footnoteReference w:id="4"/>
      </w:r>
      <w:r w:rsidRPr="006A2E0B">
        <w:rPr>
          <w:rFonts w:ascii="Arial" w:hAnsi="Arial" w:cs="Arial"/>
          <w:sz w:val="20"/>
          <w:szCs w:val="20"/>
        </w:rPr>
        <w:t xml:space="preserve"> A movement in favour of the latter was fuelled by continual instability, particularly during periods of m</w:t>
      </w:r>
      <w:r w:rsidR="00C92317" w:rsidRPr="006A2E0B">
        <w:rPr>
          <w:rFonts w:ascii="Arial" w:hAnsi="Arial" w:cs="Arial"/>
          <w:sz w:val="20"/>
          <w:szCs w:val="20"/>
        </w:rPr>
        <w:t>ilitary rule</w:t>
      </w:r>
      <w:r w:rsidRPr="006A2E0B">
        <w:rPr>
          <w:rFonts w:ascii="Arial" w:hAnsi="Arial" w:cs="Arial"/>
          <w:sz w:val="20"/>
          <w:szCs w:val="20"/>
        </w:rPr>
        <w:t>.</w:t>
      </w:r>
      <w:r w:rsidRPr="006A2E0B">
        <w:rPr>
          <w:rStyle w:val="FootnoteReference"/>
          <w:rFonts w:ascii="Arial" w:hAnsi="Arial" w:cs="Arial"/>
          <w:sz w:val="20"/>
          <w:szCs w:val="20"/>
        </w:rPr>
        <w:footnoteReference w:id="5"/>
      </w:r>
      <w:r w:rsidRPr="006A2E0B">
        <w:rPr>
          <w:rFonts w:ascii="Arial" w:hAnsi="Arial" w:cs="Arial"/>
          <w:sz w:val="20"/>
          <w:szCs w:val="20"/>
        </w:rPr>
        <w:t xml:space="preserve"> Islam was officially recognised as being the state religion, alongside the introduction of </w:t>
      </w:r>
      <w:r w:rsidRPr="006A2E0B">
        <w:rPr>
          <w:rFonts w:ascii="Arial" w:hAnsi="Arial" w:cs="Arial"/>
          <w:i/>
          <w:noProof/>
          <w:sz w:val="20"/>
          <w:szCs w:val="20"/>
        </w:rPr>
        <w:t>shariat</w:t>
      </w:r>
      <w:r w:rsidRPr="006A2E0B">
        <w:rPr>
          <w:rFonts w:ascii="Arial" w:hAnsi="Arial" w:cs="Arial"/>
          <w:sz w:val="20"/>
          <w:szCs w:val="20"/>
        </w:rPr>
        <w:t xml:space="preserve"> courts, and a commitment to follow the Hanafi school of law.</w:t>
      </w:r>
      <w:r w:rsidRPr="006A2E0B">
        <w:rPr>
          <w:rStyle w:val="FootnoteReference"/>
          <w:rFonts w:ascii="Arial" w:hAnsi="Arial" w:cs="Arial"/>
          <w:sz w:val="20"/>
          <w:szCs w:val="20"/>
        </w:rPr>
        <w:footnoteReference w:id="6"/>
      </w:r>
      <w:r w:rsidRPr="006A2E0B">
        <w:rPr>
          <w:rFonts w:ascii="Arial" w:hAnsi="Arial" w:cs="Arial"/>
          <w:sz w:val="20"/>
          <w:szCs w:val="20"/>
        </w:rPr>
        <w:t xml:space="preserve"> For Christians and other minorities, the instability allowed for the introduction of a series of legal provisions</w:t>
      </w:r>
      <w:r w:rsidR="00C92317" w:rsidRPr="006A2E0B">
        <w:rPr>
          <w:rFonts w:ascii="Arial" w:hAnsi="Arial" w:cs="Arial"/>
          <w:sz w:val="20"/>
          <w:szCs w:val="20"/>
        </w:rPr>
        <w:t xml:space="preserve"> during the 1980s</w:t>
      </w:r>
      <w:r w:rsidRPr="006A2E0B">
        <w:rPr>
          <w:rFonts w:ascii="Arial" w:hAnsi="Arial" w:cs="Arial"/>
          <w:sz w:val="20"/>
          <w:szCs w:val="20"/>
        </w:rPr>
        <w:t>, known collectively as the blasphemy laws.</w:t>
      </w:r>
      <w:r w:rsidRPr="006A2E0B">
        <w:rPr>
          <w:rStyle w:val="FootnoteReference"/>
          <w:rFonts w:ascii="Arial" w:hAnsi="Arial" w:cs="Arial"/>
          <w:sz w:val="20"/>
          <w:szCs w:val="20"/>
        </w:rPr>
        <w:footnoteReference w:id="7"/>
      </w:r>
      <w:r w:rsidR="00C92317" w:rsidRPr="006A2E0B">
        <w:rPr>
          <w:rFonts w:ascii="Arial" w:hAnsi="Arial" w:cs="Arial"/>
          <w:sz w:val="20"/>
          <w:szCs w:val="20"/>
        </w:rPr>
        <w:t xml:space="preserve"> The ordinances made amendments to the Pakistani Penal Code:</w:t>
      </w:r>
    </w:p>
    <w:p w14:paraId="2996BBA7" w14:textId="77777777" w:rsidR="006A2E0B" w:rsidRDefault="006A2E0B" w:rsidP="00D176A7">
      <w:pPr>
        <w:spacing w:after="0"/>
        <w:rPr>
          <w:rFonts w:ascii="Arial" w:hAnsi="Arial" w:cs="Arial"/>
          <w:b/>
          <w:sz w:val="20"/>
          <w:szCs w:val="20"/>
        </w:rPr>
      </w:pPr>
    </w:p>
    <w:p w14:paraId="72B064BC" w14:textId="16A9BCB4" w:rsidR="00FC3CFE" w:rsidRPr="006A2E0B" w:rsidRDefault="00331ECE" w:rsidP="00D176A7">
      <w:pPr>
        <w:spacing w:after="0"/>
        <w:rPr>
          <w:rFonts w:ascii="Arial" w:hAnsi="Arial" w:cs="Arial"/>
          <w:b/>
          <w:sz w:val="20"/>
          <w:szCs w:val="20"/>
        </w:rPr>
      </w:pPr>
      <w:r w:rsidRPr="006A2E0B">
        <w:rPr>
          <w:rFonts w:ascii="Arial" w:hAnsi="Arial" w:cs="Arial"/>
          <w:b/>
          <w:sz w:val="20"/>
          <w:szCs w:val="20"/>
        </w:rPr>
        <w:lastRenderedPageBreak/>
        <w:br/>
      </w:r>
      <w:r w:rsidR="00FC3CFE" w:rsidRPr="006A2E0B">
        <w:rPr>
          <w:rFonts w:ascii="Arial" w:hAnsi="Arial" w:cs="Arial"/>
          <w:b/>
          <w:sz w:val="20"/>
          <w:szCs w:val="20"/>
        </w:rPr>
        <w:t>____________________________________________________________________________</w:t>
      </w:r>
      <w:r w:rsidR="006A2E0B">
        <w:rPr>
          <w:rFonts w:ascii="Arial" w:hAnsi="Arial" w:cs="Arial"/>
          <w:b/>
          <w:sz w:val="20"/>
          <w:szCs w:val="20"/>
        </w:rPr>
        <w:t>_</w:t>
      </w:r>
      <w:r w:rsidR="00FC3CFE" w:rsidRPr="006A2E0B">
        <w:rPr>
          <w:rFonts w:ascii="Arial" w:hAnsi="Arial" w:cs="Arial"/>
          <w:b/>
          <w:sz w:val="20"/>
          <w:szCs w:val="20"/>
        </w:rPr>
        <w:t>__________</w:t>
      </w:r>
    </w:p>
    <w:bookmarkEnd w:id="7"/>
    <w:p w14:paraId="200594EA" w14:textId="3C4FA163" w:rsidR="00FC3CFE" w:rsidRPr="006A2E0B" w:rsidRDefault="00D176A7" w:rsidP="00FC3CFE">
      <w:pPr>
        <w:spacing w:after="0"/>
        <w:rPr>
          <w:rFonts w:ascii="Arial" w:hAnsi="Arial" w:cs="Arial"/>
          <w:sz w:val="20"/>
          <w:szCs w:val="20"/>
        </w:rPr>
      </w:pPr>
      <w:r w:rsidRPr="006A2E0B">
        <w:rPr>
          <w:rFonts w:ascii="Arial" w:hAnsi="Arial" w:cs="Arial"/>
          <w:sz w:val="20"/>
          <w:szCs w:val="20"/>
        </w:rPr>
        <w:t xml:space="preserve">1980: 298A   – </w:t>
      </w:r>
      <w:r w:rsidRPr="006A2E0B">
        <w:rPr>
          <w:rFonts w:ascii="Arial" w:hAnsi="Arial" w:cs="Arial"/>
          <w:sz w:val="20"/>
          <w:szCs w:val="20"/>
        </w:rPr>
        <w:tab/>
        <w:t xml:space="preserve">Offence to insult the Holy Prophet, his family, or the </w:t>
      </w:r>
      <w:r w:rsidRPr="006A2E0B">
        <w:rPr>
          <w:rFonts w:ascii="Arial" w:hAnsi="Arial" w:cs="Arial"/>
          <w:i/>
          <w:sz w:val="20"/>
          <w:szCs w:val="20"/>
        </w:rPr>
        <w:t>Rightly Guided Caliphs</w:t>
      </w:r>
      <w:r w:rsidRPr="006A2E0B">
        <w:rPr>
          <w:rFonts w:ascii="Arial" w:hAnsi="Arial" w:cs="Arial"/>
          <w:sz w:val="20"/>
          <w:szCs w:val="20"/>
        </w:rPr>
        <w:t>. Punishment</w:t>
      </w:r>
      <w:r w:rsidR="007310D7" w:rsidRPr="006A2E0B">
        <w:rPr>
          <w:rFonts w:ascii="Arial" w:hAnsi="Arial" w:cs="Arial"/>
          <w:sz w:val="20"/>
          <w:szCs w:val="20"/>
        </w:rPr>
        <w:t xml:space="preserve"> - </w:t>
      </w:r>
      <w:r w:rsidRPr="006A2E0B">
        <w:rPr>
          <w:rFonts w:ascii="Arial" w:hAnsi="Arial" w:cs="Arial"/>
          <w:sz w:val="20"/>
          <w:szCs w:val="20"/>
        </w:rPr>
        <w:br/>
        <w:t xml:space="preserve">                      </w:t>
      </w:r>
      <w:r w:rsidRPr="006A2E0B">
        <w:rPr>
          <w:rFonts w:ascii="Arial" w:hAnsi="Arial" w:cs="Arial"/>
          <w:sz w:val="20"/>
          <w:szCs w:val="20"/>
        </w:rPr>
        <w:tab/>
        <w:t>maximum of three years imprisonment or a fine.</w:t>
      </w:r>
      <w:r w:rsidRPr="006A2E0B">
        <w:rPr>
          <w:rFonts w:ascii="Arial" w:hAnsi="Arial" w:cs="Arial"/>
          <w:sz w:val="20"/>
          <w:szCs w:val="20"/>
        </w:rPr>
        <w:br/>
        <w:t xml:space="preserve">1982: 295B   – </w:t>
      </w:r>
      <w:r w:rsidRPr="006A2E0B">
        <w:rPr>
          <w:rFonts w:ascii="Arial" w:hAnsi="Arial" w:cs="Arial"/>
          <w:sz w:val="20"/>
          <w:szCs w:val="20"/>
        </w:rPr>
        <w:tab/>
        <w:t>Offence to defile the Qurʿān in any way. Punishable by life imprisonment.</w:t>
      </w:r>
      <w:r w:rsidRPr="006A2E0B">
        <w:rPr>
          <w:rFonts w:ascii="Arial" w:hAnsi="Arial" w:cs="Arial"/>
          <w:sz w:val="20"/>
          <w:szCs w:val="20"/>
        </w:rPr>
        <w:br/>
        <w:t>198</w:t>
      </w:r>
      <w:r w:rsidR="00FA2D6B" w:rsidRPr="006A2E0B">
        <w:rPr>
          <w:rFonts w:ascii="Arial" w:hAnsi="Arial" w:cs="Arial"/>
          <w:sz w:val="20"/>
          <w:szCs w:val="20"/>
        </w:rPr>
        <w:t>9</w:t>
      </w:r>
      <w:r w:rsidRPr="006A2E0B">
        <w:rPr>
          <w:rFonts w:ascii="Arial" w:hAnsi="Arial" w:cs="Arial"/>
          <w:sz w:val="20"/>
          <w:szCs w:val="20"/>
        </w:rPr>
        <w:t>: 295C   –</w:t>
      </w:r>
      <w:r w:rsidRPr="006A2E0B">
        <w:rPr>
          <w:rFonts w:ascii="Arial" w:hAnsi="Arial" w:cs="Arial"/>
          <w:sz w:val="20"/>
          <w:szCs w:val="20"/>
        </w:rPr>
        <w:tab/>
        <w:t>Offence to defile the name of Muhammad. Punishable by death or life imprisonment.</w:t>
      </w:r>
      <w:r w:rsidRPr="006A2E0B">
        <w:rPr>
          <w:rFonts w:ascii="Arial" w:hAnsi="Arial" w:cs="Arial"/>
          <w:sz w:val="20"/>
          <w:szCs w:val="20"/>
        </w:rPr>
        <w:br/>
        <w:t xml:space="preserve">1990: 295C   – </w:t>
      </w:r>
      <w:r w:rsidRPr="006A2E0B">
        <w:rPr>
          <w:rFonts w:ascii="Arial" w:hAnsi="Arial" w:cs="Arial"/>
          <w:sz w:val="20"/>
          <w:szCs w:val="20"/>
        </w:rPr>
        <w:tab/>
        <w:t>Removal of life imprisonment as a remedy for insulting the Prophet.</w:t>
      </w:r>
      <w:r w:rsidR="00FC3CFE" w:rsidRPr="006A2E0B">
        <w:rPr>
          <w:rFonts w:ascii="Arial" w:hAnsi="Arial" w:cs="Arial"/>
          <w:sz w:val="20"/>
          <w:szCs w:val="20"/>
        </w:rPr>
        <w:br/>
      </w:r>
      <w:r w:rsidR="00FC3CFE" w:rsidRPr="006A2E0B">
        <w:rPr>
          <w:rFonts w:ascii="Arial" w:hAnsi="Arial" w:cs="Arial"/>
          <w:b/>
          <w:sz w:val="20"/>
          <w:szCs w:val="20"/>
        </w:rPr>
        <w:t>_______________________________________________________________________________________</w:t>
      </w:r>
    </w:p>
    <w:p w14:paraId="0DDC53F1" w14:textId="23E016F1" w:rsidR="00D176A7" w:rsidRPr="006A2E0B" w:rsidRDefault="00FC3CFE" w:rsidP="00D176A7">
      <w:pPr>
        <w:rPr>
          <w:rFonts w:ascii="Arial" w:hAnsi="Arial" w:cs="Arial"/>
          <w:sz w:val="20"/>
          <w:szCs w:val="20"/>
        </w:rPr>
      </w:pPr>
      <w:r w:rsidRPr="00AE64E7">
        <w:rPr>
          <w:rFonts w:ascii="Arial" w:hAnsi="Arial" w:cs="Arial"/>
          <w:sz w:val="18"/>
          <w:szCs w:val="18"/>
        </w:rPr>
        <w:t>Summary of Amendments to the Pakistani Penal Code</w:t>
      </w:r>
      <w:r w:rsidRPr="00AE64E7">
        <w:rPr>
          <w:rFonts w:ascii="Arial" w:hAnsi="Arial" w:cs="Arial"/>
          <w:sz w:val="20"/>
          <w:szCs w:val="20"/>
        </w:rPr>
        <w:t>.</w:t>
      </w:r>
      <w:r w:rsidRPr="006A2E0B">
        <w:rPr>
          <w:rFonts w:ascii="Arial" w:hAnsi="Arial" w:cs="Arial"/>
          <w:sz w:val="20"/>
          <w:szCs w:val="20"/>
        </w:rPr>
        <w:t xml:space="preserve"> </w:t>
      </w:r>
      <w:r w:rsidR="00C92317" w:rsidRPr="006A2E0B">
        <w:rPr>
          <w:rStyle w:val="FootnoteReference"/>
          <w:rFonts w:ascii="Arial" w:hAnsi="Arial" w:cs="Arial"/>
          <w:sz w:val="20"/>
          <w:szCs w:val="20"/>
        </w:rPr>
        <w:footnoteReference w:id="8"/>
      </w:r>
      <w:r w:rsidR="00D176A7" w:rsidRPr="006A2E0B">
        <w:rPr>
          <w:rFonts w:ascii="Arial" w:hAnsi="Arial" w:cs="Arial"/>
          <w:sz w:val="20"/>
          <w:szCs w:val="20"/>
        </w:rPr>
        <w:t xml:space="preserve"> </w:t>
      </w:r>
      <w:r w:rsidR="00867B94" w:rsidRPr="006A2E0B">
        <w:rPr>
          <w:rStyle w:val="FootnoteReference"/>
          <w:rFonts w:ascii="Arial" w:hAnsi="Arial" w:cs="Arial"/>
          <w:sz w:val="20"/>
          <w:szCs w:val="20"/>
        </w:rPr>
        <w:footnoteReference w:id="9"/>
      </w:r>
    </w:p>
    <w:p w14:paraId="69157AB6" w14:textId="4B30DB2E" w:rsidR="00FA2D6B" w:rsidRPr="006A2E0B" w:rsidRDefault="00FA2D6B" w:rsidP="00D176A7">
      <w:pPr>
        <w:rPr>
          <w:rFonts w:ascii="Arial" w:hAnsi="Arial" w:cs="Arial"/>
          <w:b/>
          <w:sz w:val="20"/>
          <w:szCs w:val="20"/>
        </w:rPr>
      </w:pPr>
      <w:r w:rsidRPr="006A2E0B">
        <w:rPr>
          <w:rFonts w:ascii="Arial" w:hAnsi="Arial" w:cs="Arial"/>
          <w:b/>
          <w:sz w:val="20"/>
          <w:szCs w:val="20"/>
        </w:rPr>
        <w:t>Why Introduce Blasphemy Laws?</w:t>
      </w:r>
    </w:p>
    <w:p w14:paraId="2C555485" w14:textId="07D2267D" w:rsidR="002D492B" w:rsidRPr="006A2E0B" w:rsidRDefault="002D492B" w:rsidP="00AE64E7">
      <w:pPr>
        <w:jc w:val="both"/>
        <w:rPr>
          <w:rFonts w:ascii="Arial" w:hAnsi="Arial" w:cs="Arial"/>
          <w:sz w:val="20"/>
          <w:szCs w:val="20"/>
        </w:rPr>
      </w:pPr>
      <w:r w:rsidRPr="006A2E0B">
        <w:rPr>
          <w:rFonts w:ascii="Arial" w:hAnsi="Arial" w:cs="Arial"/>
          <w:sz w:val="20"/>
          <w:szCs w:val="20"/>
        </w:rPr>
        <w:t>First and foremost, the laws were designed to cement the centrality and supremacy of Islam. The introduction of political and legal structures provided the necessary framework against minority dissent, particularly Christians.</w:t>
      </w:r>
      <w:r w:rsidRPr="006A2E0B">
        <w:rPr>
          <w:rStyle w:val="FootnoteReference"/>
          <w:rFonts w:ascii="Arial" w:hAnsi="Arial" w:cs="Arial"/>
          <w:sz w:val="20"/>
          <w:szCs w:val="20"/>
        </w:rPr>
        <w:footnoteReference w:id="10"/>
      </w:r>
      <w:r w:rsidRPr="006A2E0B">
        <w:rPr>
          <w:rFonts w:ascii="Arial" w:hAnsi="Arial" w:cs="Arial"/>
          <w:sz w:val="20"/>
          <w:szCs w:val="20"/>
        </w:rPr>
        <w:t xml:space="preserve"> The vague language used in the provisions meant all manner of criticism against Islam could </w:t>
      </w:r>
      <w:r w:rsidR="00AB235F" w:rsidRPr="006A2E0B">
        <w:rPr>
          <w:rFonts w:ascii="Arial" w:hAnsi="Arial" w:cs="Arial"/>
          <w:sz w:val="20"/>
          <w:szCs w:val="20"/>
        </w:rPr>
        <w:t>land</w:t>
      </w:r>
      <w:r w:rsidRPr="006A2E0B">
        <w:rPr>
          <w:rFonts w:ascii="Arial" w:hAnsi="Arial" w:cs="Arial"/>
          <w:sz w:val="20"/>
          <w:szCs w:val="20"/>
        </w:rPr>
        <w:t xml:space="preserve"> within its remit, ensuring people felt nervous about falling </w:t>
      </w:r>
      <w:r w:rsidRPr="006A2E0B">
        <w:rPr>
          <w:rFonts w:ascii="Arial" w:hAnsi="Arial" w:cs="Arial"/>
          <w:noProof/>
          <w:sz w:val="20"/>
          <w:szCs w:val="20"/>
        </w:rPr>
        <w:t>fo</w:t>
      </w:r>
      <w:r w:rsidR="006A2E0B">
        <w:rPr>
          <w:rFonts w:ascii="Arial" w:hAnsi="Arial" w:cs="Arial"/>
          <w:noProof/>
          <w:sz w:val="20"/>
          <w:szCs w:val="20"/>
        </w:rPr>
        <w:t>u</w:t>
      </w:r>
      <w:r w:rsidRPr="006A2E0B">
        <w:rPr>
          <w:rFonts w:ascii="Arial" w:hAnsi="Arial" w:cs="Arial"/>
          <w:noProof/>
          <w:sz w:val="20"/>
          <w:szCs w:val="20"/>
        </w:rPr>
        <w:t>l</w:t>
      </w:r>
      <w:r w:rsidRPr="006A2E0B">
        <w:rPr>
          <w:rFonts w:ascii="Arial" w:hAnsi="Arial" w:cs="Arial"/>
          <w:sz w:val="20"/>
          <w:szCs w:val="20"/>
        </w:rPr>
        <w:t xml:space="preserve"> of its authority.</w:t>
      </w:r>
      <w:r w:rsidR="00AB235F" w:rsidRPr="006A2E0B">
        <w:rPr>
          <w:rStyle w:val="FootnoteReference"/>
          <w:rFonts w:ascii="Arial" w:hAnsi="Arial" w:cs="Arial"/>
          <w:sz w:val="20"/>
          <w:szCs w:val="20"/>
        </w:rPr>
        <w:footnoteReference w:id="11"/>
      </w:r>
      <w:r w:rsidRPr="006A2E0B">
        <w:rPr>
          <w:rFonts w:ascii="Arial" w:hAnsi="Arial" w:cs="Arial"/>
          <w:sz w:val="20"/>
          <w:szCs w:val="20"/>
        </w:rPr>
        <w:t xml:space="preserve"> The introduction of compulsory ID cards enabled the authorities to identify people by religious affiliation. Moreover, it allowed Christians to be discriminated against by potential employees and in educational provision.</w:t>
      </w:r>
      <w:r w:rsidRPr="006A2E0B">
        <w:rPr>
          <w:rStyle w:val="FootnoteReference"/>
          <w:rFonts w:ascii="Arial" w:hAnsi="Arial" w:cs="Arial"/>
          <w:sz w:val="20"/>
          <w:szCs w:val="20"/>
        </w:rPr>
        <w:footnoteReference w:id="12"/>
      </w:r>
      <w:r w:rsidRPr="006A2E0B">
        <w:rPr>
          <w:rFonts w:ascii="Arial" w:hAnsi="Arial" w:cs="Arial"/>
          <w:sz w:val="20"/>
          <w:szCs w:val="20"/>
        </w:rPr>
        <w:t xml:space="preserve"> </w:t>
      </w:r>
    </w:p>
    <w:p w14:paraId="51C12A2F" w14:textId="5265C0D9" w:rsidR="002D492B" w:rsidRPr="006A2E0B" w:rsidRDefault="002D492B" w:rsidP="00D176A7">
      <w:pPr>
        <w:rPr>
          <w:rFonts w:ascii="Arial" w:hAnsi="Arial" w:cs="Arial"/>
          <w:b/>
          <w:sz w:val="20"/>
          <w:szCs w:val="20"/>
        </w:rPr>
      </w:pPr>
      <w:r w:rsidRPr="006A2E0B">
        <w:rPr>
          <w:rFonts w:ascii="Arial" w:hAnsi="Arial" w:cs="Arial"/>
          <w:b/>
          <w:sz w:val="20"/>
          <w:szCs w:val="20"/>
        </w:rPr>
        <w:t>Effect on Christian Communities</w:t>
      </w:r>
    </w:p>
    <w:p w14:paraId="059378AD" w14:textId="495B61BB" w:rsidR="002D492B" w:rsidRPr="006A2E0B" w:rsidRDefault="002D492B" w:rsidP="00D176A7">
      <w:pPr>
        <w:rPr>
          <w:rFonts w:ascii="Arial" w:hAnsi="Arial" w:cs="Arial"/>
          <w:b/>
          <w:sz w:val="20"/>
          <w:szCs w:val="20"/>
        </w:rPr>
      </w:pPr>
      <w:r w:rsidRPr="006A2E0B">
        <w:rPr>
          <w:rFonts w:ascii="Arial" w:hAnsi="Arial" w:cs="Arial"/>
          <w:b/>
          <w:sz w:val="20"/>
          <w:szCs w:val="20"/>
        </w:rPr>
        <w:t>Apostacy</w:t>
      </w:r>
    </w:p>
    <w:p w14:paraId="71EB6413" w14:textId="62291029" w:rsidR="002D492B" w:rsidRPr="006A2E0B" w:rsidRDefault="002D492B" w:rsidP="00AE64E7">
      <w:pPr>
        <w:jc w:val="both"/>
        <w:rPr>
          <w:rFonts w:ascii="Arial" w:hAnsi="Arial" w:cs="Arial"/>
          <w:sz w:val="20"/>
          <w:szCs w:val="20"/>
        </w:rPr>
      </w:pPr>
      <w:r w:rsidRPr="006A2E0B">
        <w:rPr>
          <w:rFonts w:ascii="Arial" w:hAnsi="Arial" w:cs="Arial"/>
          <w:sz w:val="20"/>
          <w:szCs w:val="20"/>
        </w:rPr>
        <w:t>Christianity is a mission-based faith. The provisions of blasphemy serve a</w:t>
      </w:r>
      <w:r w:rsidR="00FC4897" w:rsidRPr="006A2E0B">
        <w:rPr>
          <w:rFonts w:ascii="Arial" w:hAnsi="Arial" w:cs="Arial"/>
          <w:sz w:val="20"/>
          <w:szCs w:val="20"/>
        </w:rPr>
        <w:t>s</w:t>
      </w:r>
      <w:r w:rsidRPr="006A2E0B">
        <w:rPr>
          <w:rFonts w:ascii="Arial" w:hAnsi="Arial" w:cs="Arial"/>
          <w:sz w:val="20"/>
          <w:szCs w:val="20"/>
        </w:rPr>
        <w:t xml:space="preserve"> </w:t>
      </w:r>
      <w:r w:rsidR="00FC4897" w:rsidRPr="006A2E0B">
        <w:rPr>
          <w:rFonts w:ascii="Arial" w:hAnsi="Arial" w:cs="Arial"/>
          <w:sz w:val="20"/>
          <w:szCs w:val="20"/>
        </w:rPr>
        <w:t xml:space="preserve">a </w:t>
      </w:r>
      <w:r w:rsidRPr="006A2E0B">
        <w:rPr>
          <w:rFonts w:ascii="Arial" w:hAnsi="Arial" w:cs="Arial"/>
          <w:sz w:val="20"/>
          <w:szCs w:val="20"/>
        </w:rPr>
        <w:t xml:space="preserve">‘surrogate’ for a lack of formal laws </w:t>
      </w:r>
      <w:r w:rsidR="00C92317" w:rsidRPr="006A2E0B">
        <w:rPr>
          <w:rFonts w:ascii="Arial" w:hAnsi="Arial" w:cs="Arial"/>
          <w:sz w:val="20"/>
          <w:szCs w:val="20"/>
        </w:rPr>
        <w:t>regarding</w:t>
      </w:r>
      <w:r w:rsidRPr="006A2E0B">
        <w:rPr>
          <w:rFonts w:ascii="Arial" w:hAnsi="Arial" w:cs="Arial"/>
          <w:sz w:val="20"/>
          <w:szCs w:val="20"/>
        </w:rPr>
        <w:t xml:space="preserve"> </w:t>
      </w:r>
      <w:r w:rsidRPr="006A2E0B">
        <w:rPr>
          <w:rFonts w:ascii="Arial" w:hAnsi="Arial" w:cs="Arial"/>
          <w:noProof/>
          <w:sz w:val="20"/>
          <w:szCs w:val="20"/>
        </w:rPr>
        <w:t>aposta</w:t>
      </w:r>
      <w:r w:rsidR="006A2E0B">
        <w:rPr>
          <w:rFonts w:ascii="Arial" w:hAnsi="Arial" w:cs="Arial"/>
          <w:noProof/>
          <w:sz w:val="20"/>
          <w:szCs w:val="20"/>
        </w:rPr>
        <w:t>s</w:t>
      </w:r>
      <w:r w:rsidRPr="006A2E0B">
        <w:rPr>
          <w:rFonts w:ascii="Arial" w:hAnsi="Arial" w:cs="Arial"/>
          <w:noProof/>
          <w:sz w:val="20"/>
          <w:szCs w:val="20"/>
        </w:rPr>
        <w:t>y</w:t>
      </w:r>
      <w:r w:rsidRPr="006A2E0B">
        <w:rPr>
          <w:rFonts w:ascii="Arial" w:hAnsi="Arial" w:cs="Arial"/>
          <w:sz w:val="20"/>
          <w:szCs w:val="20"/>
        </w:rPr>
        <w:t>.</w:t>
      </w:r>
      <w:r w:rsidR="00867B94" w:rsidRPr="006A2E0B">
        <w:rPr>
          <w:rFonts w:ascii="Arial" w:hAnsi="Arial" w:cs="Arial"/>
          <w:sz w:val="20"/>
          <w:szCs w:val="20"/>
        </w:rPr>
        <w:t xml:space="preserve"> </w:t>
      </w:r>
      <w:r w:rsidR="007310D7" w:rsidRPr="006A2E0B">
        <w:rPr>
          <w:rFonts w:ascii="Arial" w:hAnsi="Arial" w:cs="Arial"/>
          <w:sz w:val="20"/>
          <w:szCs w:val="20"/>
        </w:rPr>
        <w:t>They</w:t>
      </w:r>
      <w:r w:rsidRPr="006A2E0B">
        <w:rPr>
          <w:rFonts w:ascii="Arial" w:hAnsi="Arial" w:cs="Arial"/>
          <w:sz w:val="20"/>
          <w:szCs w:val="20"/>
        </w:rPr>
        <w:t xml:space="preserve"> act as a deterrent to any considering converting to Christianity by limiting earlier constitutional guarantees regarding ‘profession of faith’.</w:t>
      </w:r>
      <w:r w:rsidRPr="006A2E0B">
        <w:rPr>
          <w:rStyle w:val="FootnoteReference"/>
          <w:rFonts w:ascii="Arial" w:hAnsi="Arial" w:cs="Arial"/>
          <w:sz w:val="20"/>
          <w:szCs w:val="20"/>
        </w:rPr>
        <w:footnoteReference w:id="13"/>
      </w:r>
      <w:r w:rsidRPr="006A2E0B">
        <w:rPr>
          <w:rFonts w:ascii="Arial" w:hAnsi="Arial" w:cs="Arial"/>
          <w:sz w:val="20"/>
          <w:szCs w:val="20"/>
        </w:rPr>
        <w:t xml:space="preserve"> </w:t>
      </w:r>
      <w:r w:rsidR="00867B94" w:rsidRPr="006A2E0B">
        <w:rPr>
          <w:rFonts w:ascii="Arial" w:hAnsi="Arial" w:cs="Arial"/>
          <w:sz w:val="20"/>
          <w:szCs w:val="20"/>
        </w:rPr>
        <w:t xml:space="preserve">Moreover, </w:t>
      </w:r>
      <w:r w:rsidR="007310D7" w:rsidRPr="006A2E0B">
        <w:rPr>
          <w:rFonts w:ascii="Arial" w:hAnsi="Arial" w:cs="Arial"/>
          <w:sz w:val="20"/>
          <w:szCs w:val="20"/>
        </w:rPr>
        <w:t>a</w:t>
      </w:r>
      <w:r w:rsidRPr="006A2E0B">
        <w:rPr>
          <w:rFonts w:ascii="Arial" w:hAnsi="Arial" w:cs="Arial"/>
          <w:sz w:val="20"/>
          <w:szCs w:val="20"/>
        </w:rPr>
        <w:t>ny public profession</w:t>
      </w:r>
      <w:r w:rsidR="00AB235F" w:rsidRPr="006A2E0B">
        <w:rPr>
          <w:rFonts w:ascii="Arial" w:hAnsi="Arial" w:cs="Arial"/>
          <w:sz w:val="20"/>
          <w:szCs w:val="20"/>
        </w:rPr>
        <w:t xml:space="preserve"> or practice</w:t>
      </w:r>
      <w:r w:rsidRPr="006A2E0B">
        <w:rPr>
          <w:rFonts w:ascii="Arial" w:hAnsi="Arial" w:cs="Arial"/>
          <w:sz w:val="20"/>
          <w:szCs w:val="20"/>
        </w:rPr>
        <w:t xml:space="preserve"> of Christianity </w:t>
      </w:r>
      <w:r w:rsidR="00867B94" w:rsidRPr="006A2E0B">
        <w:rPr>
          <w:rFonts w:ascii="Arial" w:hAnsi="Arial" w:cs="Arial"/>
          <w:sz w:val="20"/>
          <w:szCs w:val="20"/>
        </w:rPr>
        <w:t>could be construed</w:t>
      </w:r>
      <w:r w:rsidRPr="006A2E0B">
        <w:rPr>
          <w:rFonts w:ascii="Arial" w:hAnsi="Arial" w:cs="Arial"/>
          <w:sz w:val="20"/>
          <w:szCs w:val="20"/>
        </w:rPr>
        <w:t xml:space="preserve"> </w:t>
      </w:r>
      <w:r w:rsidR="00867B94" w:rsidRPr="006A2E0B">
        <w:rPr>
          <w:rFonts w:ascii="Arial" w:hAnsi="Arial" w:cs="Arial"/>
          <w:sz w:val="20"/>
          <w:szCs w:val="20"/>
        </w:rPr>
        <w:t xml:space="preserve">as </w:t>
      </w:r>
      <w:r w:rsidRPr="006A2E0B">
        <w:rPr>
          <w:rFonts w:ascii="Arial" w:hAnsi="Arial" w:cs="Arial"/>
          <w:sz w:val="20"/>
          <w:szCs w:val="20"/>
        </w:rPr>
        <w:t>‘blasphemy’ by many militant groups.</w:t>
      </w:r>
      <w:r w:rsidR="00867B94" w:rsidRPr="006A2E0B">
        <w:rPr>
          <w:rStyle w:val="FootnoteReference"/>
          <w:rFonts w:ascii="Arial" w:hAnsi="Arial" w:cs="Arial"/>
          <w:sz w:val="20"/>
          <w:szCs w:val="20"/>
        </w:rPr>
        <w:footnoteReference w:id="14"/>
      </w:r>
    </w:p>
    <w:p w14:paraId="2CBF7F2D" w14:textId="7F51F327" w:rsidR="00C92317" w:rsidRPr="006A2E0B" w:rsidRDefault="00C92317" w:rsidP="00D176A7">
      <w:pPr>
        <w:rPr>
          <w:rFonts w:ascii="Arial" w:hAnsi="Arial" w:cs="Arial"/>
          <w:b/>
          <w:sz w:val="20"/>
          <w:szCs w:val="20"/>
        </w:rPr>
      </w:pPr>
      <w:r w:rsidRPr="006A2E0B">
        <w:rPr>
          <w:rFonts w:ascii="Arial" w:hAnsi="Arial" w:cs="Arial"/>
          <w:b/>
          <w:sz w:val="20"/>
          <w:szCs w:val="20"/>
        </w:rPr>
        <w:t>Arbitrary Arrest</w:t>
      </w:r>
    </w:p>
    <w:p w14:paraId="1950E69E" w14:textId="00284DBE" w:rsidR="00C92317" w:rsidRPr="006A2E0B" w:rsidRDefault="00C92317" w:rsidP="00AE64E7">
      <w:pPr>
        <w:jc w:val="both"/>
        <w:rPr>
          <w:rFonts w:ascii="Arial" w:hAnsi="Arial" w:cs="Arial"/>
          <w:sz w:val="20"/>
          <w:szCs w:val="20"/>
        </w:rPr>
      </w:pPr>
      <w:r w:rsidRPr="006A2E0B">
        <w:rPr>
          <w:rFonts w:ascii="Arial" w:hAnsi="Arial" w:cs="Arial"/>
          <w:sz w:val="20"/>
          <w:szCs w:val="20"/>
        </w:rPr>
        <w:t xml:space="preserve">After a complaint is made the authorities carry out a First Investigation Report. No warrant is necessary to arrest an individual and they may be detained indeterminately without bail. </w:t>
      </w:r>
      <w:r w:rsidRPr="006A2E0B">
        <w:rPr>
          <w:rFonts w:ascii="Arial" w:hAnsi="Arial" w:cs="Arial"/>
          <w:noProof/>
          <w:sz w:val="20"/>
          <w:szCs w:val="20"/>
        </w:rPr>
        <w:t>T</w:t>
      </w:r>
      <w:r w:rsidR="006A2E0B">
        <w:rPr>
          <w:rFonts w:ascii="Arial" w:hAnsi="Arial" w:cs="Arial"/>
          <w:noProof/>
          <w:sz w:val="20"/>
          <w:szCs w:val="20"/>
        </w:rPr>
        <w:t>he t</w:t>
      </w:r>
      <w:r w:rsidRPr="006A2E0B">
        <w:rPr>
          <w:rFonts w:ascii="Arial" w:hAnsi="Arial" w:cs="Arial"/>
          <w:noProof/>
          <w:sz w:val="20"/>
          <w:szCs w:val="20"/>
        </w:rPr>
        <w:t>rial</w:t>
      </w:r>
      <w:r w:rsidRPr="006A2E0B">
        <w:rPr>
          <w:rFonts w:ascii="Arial" w:hAnsi="Arial" w:cs="Arial"/>
          <w:sz w:val="20"/>
          <w:szCs w:val="20"/>
        </w:rPr>
        <w:t xml:space="preserve"> is by a Muslim judge.</w:t>
      </w:r>
      <w:r w:rsidRPr="006A2E0B">
        <w:rPr>
          <w:rStyle w:val="FootnoteReference"/>
          <w:rFonts w:ascii="Arial" w:hAnsi="Arial" w:cs="Arial"/>
          <w:sz w:val="20"/>
          <w:szCs w:val="20"/>
        </w:rPr>
        <w:footnoteReference w:id="15"/>
      </w:r>
      <w:r w:rsidRPr="006A2E0B">
        <w:rPr>
          <w:rFonts w:ascii="Arial" w:hAnsi="Arial" w:cs="Arial"/>
          <w:sz w:val="20"/>
          <w:szCs w:val="20"/>
        </w:rPr>
        <w:t xml:space="preserve"> The Pakistan Human Rights </w:t>
      </w:r>
      <w:r w:rsidR="006A2E0B">
        <w:rPr>
          <w:rFonts w:ascii="Arial" w:hAnsi="Arial" w:cs="Arial"/>
          <w:noProof/>
          <w:sz w:val="20"/>
          <w:szCs w:val="20"/>
        </w:rPr>
        <w:t>C</w:t>
      </w:r>
      <w:r w:rsidRPr="006A2E0B">
        <w:rPr>
          <w:rFonts w:ascii="Arial" w:hAnsi="Arial" w:cs="Arial"/>
          <w:noProof/>
          <w:sz w:val="20"/>
          <w:szCs w:val="20"/>
        </w:rPr>
        <w:t>ommission</w:t>
      </w:r>
      <w:r w:rsidRPr="006A2E0B">
        <w:rPr>
          <w:rFonts w:ascii="Arial" w:hAnsi="Arial" w:cs="Arial"/>
          <w:sz w:val="20"/>
          <w:szCs w:val="20"/>
        </w:rPr>
        <w:t xml:space="preserve"> has said that the legal system shows ‘contempt’ for Christian minorities and aids Muslim fanatics.</w:t>
      </w:r>
      <w:r w:rsidRPr="006A2E0B">
        <w:rPr>
          <w:rStyle w:val="FootnoteReference"/>
          <w:rFonts w:ascii="Arial" w:hAnsi="Arial" w:cs="Arial"/>
          <w:sz w:val="20"/>
          <w:szCs w:val="20"/>
        </w:rPr>
        <w:footnoteReference w:id="16"/>
      </w:r>
    </w:p>
    <w:p w14:paraId="17633E4D" w14:textId="497E9CC4" w:rsidR="002D492B" w:rsidRPr="006A2E0B" w:rsidRDefault="002D492B" w:rsidP="00D176A7">
      <w:pPr>
        <w:rPr>
          <w:rFonts w:ascii="Arial" w:hAnsi="Arial" w:cs="Arial"/>
          <w:b/>
          <w:sz w:val="20"/>
          <w:szCs w:val="20"/>
        </w:rPr>
      </w:pPr>
      <w:r w:rsidRPr="006A2E0B">
        <w:rPr>
          <w:rFonts w:ascii="Arial" w:hAnsi="Arial" w:cs="Arial"/>
          <w:b/>
          <w:sz w:val="20"/>
          <w:szCs w:val="20"/>
        </w:rPr>
        <w:t>Private Vengeance</w:t>
      </w:r>
    </w:p>
    <w:p w14:paraId="5D9E2DCC" w14:textId="2BEE0DA6" w:rsidR="002D492B" w:rsidRPr="006A2E0B" w:rsidRDefault="002D492B" w:rsidP="00AE64E7">
      <w:pPr>
        <w:jc w:val="both"/>
        <w:rPr>
          <w:rFonts w:ascii="Arial" w:hAnsi="Arial" w:cs="Arial"/>
          <w:sz w:val="20"/>
          <w:szCs w:val="20"/>
        </w:rPr>
      </w:pPr>
      <w:r w:rsidRPr="006A2E0B">
        <w:rPr>
          <w:rFonts w:ascii="Arial" w:hAnsi="Arial" w:cs="Arial"/>
          <w:sz w:val="20"/>
          <w:szCs w:val="20"/>
        </w:rPr>
        <w:t>Although not found in the statutes themselves, the blasphemy laws engendered a wave of private vengeance and retaliation.</w:t>
      </w:r>
      <w:r w:rsidRPr="006A2E0B">
        <w:rPr>
          <w:rStyle w:val="FootnoteReference"/>
          <w:rFonts w:ascii="Arial" w:hAnsi="Arial" w:cs="Arial"/>
          <w:sz w:val="20"/>
          <w:szCs w:val="20"/>
        </w:rPr>
        <w:footnoteReference w:id="17"/>
      </w:r>
      <w:r w:rsidRPr="006A2E0B">
        <w:rPr>
          <w:rFonts w:ascii="Arial" w:hAnsi="Arial" w:cs="Arial"/>
          <w:sz w:val="20"/>
          <w:szCs w:val="20"/>
        </w:rPr>
        <w:t xml:space="preserve"> The slow acting nature of the courts and associated legal institutions, combined with public outrage regarding such cases (often bolstered by Islamist groups), created a situation where individuals and groups could act with impunity.</w:t>
      </w:r>
      <w:r w:rsidR="00867B94" w:rsidRPr="006A2E0B">
        <w:rPr>
          <w:rStyle w:val="FootnoteReference"/>
          <w:rFonts w:ascii="Arial" w:hAnsi="Arial" w:cs="Arial"/>
          <w:sz w:val="20"/>
          <w:szCs w:val="20"/>
        </w:rPr>
        <w:footnoteReference w:id="18"/>
      </w:r>
    </w:p>
    <w:p w14:paraId="37ACFFEF" w14:textId="55EF363E" w:rsidR="00C92317" w:rsidRPr="006A2E0B" w:rsidRDefault="006A2E0B" w:rsidP="00D176A7">
      <w:pPr>
        <w:rPr>
          <w:rFonts w:ascii="Arial" w:hAnsi="Arial" w:cs="Arial"/>
          <w:b/>
          <w:sz w:val="20"/>
          <w:szCs w:val="20"/>
        </w:rPr>
      </w:pPr>
      <w:r>
        <w:rPr>
          <w:rFonts w:ascii="Arial" w:hAnsi="Arial" w:cs="Arial"/>
          <w:b/>
          <w:sz w:val="20"/>
          <w:szCs w:val="20"/>
        </w:rPr>
        <w:br/>
      </w:r>
      <w:r w:rsidR="00C92317" w:rsidRPr="006A2E0B">
        <w:rPr>
          <w:rFonts w:ascii="Arial" w:hAnsi="Arial" w:cs="Arial"/>
          <w:b/>
          <w:sz w:val="20"/>
          <w:szCs w:val="20"/>
        </w:rPr>
        <w:t>Employment Limitations</w:t>
      </w:r>
    </w:p>
    <w:p w14:paraId="73647F75" w14:textId="20448B0D" w:rsidR="00C92317" w:rsidRPr="006A2E0B" w:rsidRDefault="00C92317" w:rsidP="00D176A7">
      <w:pPr>
        <w:rPr>
          <w:rFonts w:ascii="Arial" w:hAnsi="Arial" w:cs="Arial"/>
          <w:sz w:val="20"/>
          <w:szCs w:val="20"/>
        </w:rPr>
      </w:pPr>
      <w:r w:rsidRPr="006A2E0B">
        <w:rPr>
          <w:rFonts w:ascii="Arial" w:hAnsi="Arial" w:cs="Arial"/>
          <w:sz w:val="20"/>
          <w:szCs w:val="20"/>
        </w:rPr>
        <w:lastRenderedPageBreak/>
        <w:t>A pattern exists of qualified individuals declining promotions, particularly in the field or education, out of fear that disgruntled co-workers would use the blasphemy laws as a means of objection.</w:t>
      </w:r>
      <w:r w:rsidRPr="006A2E0B">
        <w:rPr>
          <w:rStyle w:val="FootnoteReference"/>
          <w:rFonts w:ascii="Arial" w:hAnsi="Arial" w:cs="Arial"/>
          <w:sz w:val="20"/>
          <w:szCs w:val="20"/>
        </w:rPr>
        <w:footnoteReference w:id="19"/>
      </w:r>
      <w:r w:rsidRPr="006A2E0B">
        <w:rPr>
          <w:rFonts w:ascii="Arial" w:hAnsi="Arial" w:cs="Arial"/>
          <w:sz w:val="20"/>
          <w:szCs w:val="20"/>
        </w:rPr>
        <w:t xml:space="preserve"> </w:t>
      </w:r>
    </w:p>
    <w:p w14:paraId="2FA6D54D" w14:textId="5CBE1B83" w:rsidR="00AB235F" w:rsidRPr="006A2E0B" w:rsidRDefault="002D492B" w:rsidP="00D176A7">
      <w:pPr>
        <w:rPr>
          <w:rFonts w:ascii="Arial" w:hAnsi="Arial" w:cs="Arial"/>
          <w:b/>
          <w:sz w:val="20"/>
          <w:szCs w:val="20"/>
        </w:rPr>
      </w:pPr>
      <w:r w:rsidRPr="006A2E0B">
        <w:rPr>
          <w:rFonts w:ascii="Arial" w:hAnsi="Arial" w:cs="Arial"/>
          <w:b/>
          <w:sz w:val="20"/>
          <w:szCs w:val="20"/>
        </w:rPr>
        <w:t>Case Studies</w:t>
      </w:r>
      <w:r w:rsidR="00867B94" w:rsidRPr="006A2E0B">
        <w:rPr>
          <w:rFonts w:ascii="Arial" w:hAnsi="Arial" w:cs="Arial"/>
          <w:b/>
          <w:sz w:val="20"/>
          <w:szCs w:val="20"/>
        </w:rPr>
        <w:br/>
      </w:r>
      <w:r w:rsidR="00C92317" w:rsidRPr="006A2E0B">
        <w:rPr>
          <w:rFonts w:ascii="Arial" w:hAnsi="Arial" w:cs="Arial"/>
          <w:b/>
          <w:sz w:val="20"/>
          <w:szCs w:val="20"/>
        </w:rPr>
        <w:br/>
        <w:t xml:space="preserve">Rashid Rehman: </w:t>
      </w:r>
      <w:r w:rsidR="00C92317" w:rsidRPr="006A2E0B">
        <w:rPr>
          <w:rFonts w:ascii="Arial" w:hAnsi="Arial" w:cs="Arial"/>
          <w:sz w:val="20"/>
          <w:szCs w:val="20"/>
        </w:rPr>
        <w:t>a lawyer who had defended minorities, including Christians, against charge</w:t>
      </w:r>
      <w:r w:rsidR="00867B94" w:rsidRPr="006A2E0B">
        <w:rPr>
          <w:rFonts w:ascii="Arial" w:hAnsi="Arial" w:cs="Arial"/>
          <w:sz w:val="20"/>
          <w:szCs w:val="20"/>
        </w:rPr>
        <w:t>s</w:t>
      </w:r>
      <w:r w:rsidR="00C92317" w:rsidRPr="006A2E0B">
        <w:rPr>
          <w:rFonts w:ascii="Arial" w:hAnsi="Arial" w:cs="Arial"/>
          <w:sz w:val="20"/>
          <w:szCs w:val="20"/>
        </w:rPr>
        <w:t xml:space="preserve"> of Blasphemy. </w:t>
      </w:r>
      <w:r w:rsidR="00867B94" w:rsidRPr="006A2E0B">
        <w:rPr>
          <w:rFonts w:ascii="Arial" w:hAnsi="Arial" w:cs="Arial"/>
          <w:sz w:val="20"/>
          <w:szCs w:val="20"/>
        </w:rPr>
        <w:t>Rashid</w:t>
      </w:r>
      <w:r w:rsidR="00C92317" w:rsidRPr="006A2E0B">
        <w:rPr>
          <w:rFonts w:ascii="Arial" w:hAnsi="Arial" w:cs="Arial"/>
          <w:sz w:val="20"/>
          <w:szCs w:val="20"/>
        </w:rPr>
        <w:t xml:space="preserve"> was threatened whilst in the </w:t>
      </w:r>
      <w:r w:rsidR="00C92317" w:rsidRPr="006A2E0B">
        <w:rPr>
          <w:rFonts w:ascii="Arial" w:hAnsi="Arial" w:cs="Arial"/>
          <w:noProof/>
          <w:sz w:val="20"/>
          <w:szCs w:val="20"/>
        </w:rPr>
        <w:t>courtroom</w:t>
      </w:r>
      <w:r w:rsidR="00C92317" w:rsidRPr="006A2E0B">
        <w:rPr>
          <w:rFonts w:ascii="Arial" w:hAnsi="Arial" w:cs="Arial"/>
          <w:sz w:val="20"/>
          <w:szCs w:val="20"/>
        </w:rPr>
        <w:t xml:space="preserve"> and later found dead in his chambers.</w:t>
      </w:r>
      <w:r w:rsidR="00C92317" w:rsidRPr="006A2E0B">
        <w:rPr>
          <w:rStyle w:val="FootnoteReference"/>
          <w:rFonts w:ascii="Arial" w:hAnsi="Arial" w:cs="Arial"/>
          <w:sz w:val="20"/>
          <w:szCs w:val="20"/>
        </w:rPr>
        <w:footnoteReference w:id="20"/>
      </w:r>
      <w:r w:rsidR="00C92317" w:rsidRPr="006A2E0B">
        <w:rPr>
          <w:rFonts w:ascii="Arial" w:hAnsi="Arial" w:cs="Arial"/>
          <w:b/>
          <w:sz w:val="20"/>
          <w:szCs w:val="20"/>
        </w:rPr>
        <w:t xml:space="preserve"> </w:t>
      </w:r>
    </w:p>
    <w:p w14:paraId="6ABE81E9" w14:textId="5974A168" w:rsidR="00867B94" w:rsidRPr="006A2E0B" w:rsidRDefault="00867B94" w:rsidP="00D176A7">
      <w:pPr>
        <w:rPr>
          <w:rFonts w:ascii="Arial" w:hAnsi="Arial" w:cs="Arial"/>
          <w:sz w:val="20"/>
          <w:szCs w:val="20"/>
        </w:rPr>
      </w:pPr>
      <w:r w:rsidRPr="006A2E0B">
        <w:rPr>
          <w:rFonts w:ascii="Arial" w:hAnsi="Arial" w:cs="Arial"/>
          <w:b/>
          <w:sz w:val="20"/>
          <w:szCs w:val="20"/>
        </w:rPr>
        <w:t xml:space="preserve">Tahir Iqbal:  </w:t>
      </w:r>
      <w:r w:rsidRPr="006A2E0B">
        <w:rPr>
          <w:rFonts w:ascii="Arial" w:hAnsi="Arial" w:cs="Arial"/>
          <w:sz w:val="20"/>
          <w:szCs w:val="20"/>
        </w:rPr>
        <w:t xml:space="preserve">Iqbal was a former mechanic in the Pakistani military. Following his conversion to </w:t>
      </w:r>
      <w:r w:rsidRPr="006A2E0B">
        <w:rPr>
          <w:rFonts w:ascii="Arial" w:hAnsi="Arial" w:cs="Arial"/>
          <w:noProof/>
          <w:sz w:val="20"/>
          <w:szCs w:val="20"/>
        </w:rPr>
        <w:t>Christianity</w:t>
      </w:r>
      <w:r w:rsidR="006A2E0B">
        <w:rPr>
          <w:rFonts w:ascii="Arial" w:hAnsi="Arial" w:cs="Arial"/>
          <w:noProof/>
          <w:sz w:val="20"/>
          <w:szCs w:val="20"/>
        </w:rPr>
        <w:t>,</w:t>
      </w:r>
      <w:r w:rsidRPr="006A2E0B">
        <w:rPr>
          <w:rFonts w:ascii="Arial" w:hAnsi="Arial" w:cs="Arial"/>
          <w:sz w:val="20"/>
          <w:szCs w:val="20"/>
        </w:rPr>
        <w:t xml:space="preserve"> he was accused of desecrating the Qurʿān whilst carry out some voluntary teaching work. </w:t>
      </w:r>
      <w:r w:rsidRPr="006A2E0B">
        <w:rPr>
          <w:rFonts w:ascii="Arial" w:hAnsi="Arial" w:cs="Arial"/>
          <w:noProof/>
          <w:sz w:val="20"/>
          <w:szCs w:val="20"/>
        </w:rPr>
        <w:t>Subsequently</w:t>
      </w:r>
      <w:r w:rsidR="006A2E0B">
        <w:rPr>
          <w:rFonts w:ascii="Arial" w:hAnsi="Arial" w:cs="Arial"/>
          <w:noProof/>
          <w:sz w:val="20"/>
          <w:szCs w:val="20"/>
        </w:rPr>
        <w:t>,</w:t>
      </w:r>
      <w:r w:rsidRPr="006A2E0B">
        <w:rPr>
          <w:rFonts w:ascii="Arial" w:hAnsi="Arial" w:cs="Arial"/>
          <w:sz w:val="20"/>
          <w:szCs w:val="20"/>
        </w:rPr>
        <w:t xml:space="preserve"> he was charged under Section 295-B (see above). In March 1992, prosecutors sought the death penalty. Before the case could be tried Iqbal was found dead in his prison cell.</w:t>
      </w:r>
      <w:r w:rsidRPr="006A2E0B">
        <w:rPr>
          <w:rStyle w:val="FootnoteReference"/>
          <w:rFonts w:ascii="Arial" w:hAnsi="Arial" w:cs="Arial"/>
          <w:sz w:val="20"/>
          <w:szCs w:val="20"/>
        </w:rPr>
        <w:footnoteReference w:id="21"/>
      </w:r>
    </w:p>
    <w:p w14:paraId="34FBACB4" w14:textId="68DD295D" w:rsidR="00867B94" w:rsidRPr="006A2E0B" w:rsidRDefault="008A5C8B" w:rsidP="00AE64E7">
      <w:pPr>
        <w:jc w:val="both"/>
        <w:rPr>
          <w:rFonts w:ascii="Arial" w:hAnsi="Arial" w:cs="Arial"/>
          <w:sz w:val="20"/>
          <w:szCs w:val="20"/>
        </w:rPr>
      </w:pPr>
      <w:r w:rsidRPr="006A2E0B">
        <w:rPr>
          <w:rFonts w:ascii="Arial" w:hAnsi="Arial" w:cs="Arial"/>
          <w:noProof/>
          <w:sz w:val="20"/>
          <w:szCs w:val="20"/>
        </w:rPr>
        <w:drawing>
          <wp:anchor distT="0" distB="0" distL="114300" distR="114300" simplePos="0" relativeHeight="251664384" behindDoc="0" locked="0" layoutInCell="1" allowOverlap="1" wp14:anchorId="1F0948F0" wp14:editId="6D1B3DF6">
            <wp:simplePos x="0" y="0"/>
            <wp:positionH relativeFrom="column">
              <wp:posOffset>2735580</wp:posOffset>
            </wp:positionH>
            <wp:positionV relativeFrom="paragraph">
              <wp:posOffset>547370</wp:posOffset>
            </wp:positionV>
            <wp:extent cx="3385820" cy="236982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ilson-asia-hang.jpg"/>
                    <pic:cNvPicPr/>
                  </pic:nvPicPr>
                  <pic:blipFill>
                    <a:blip r:embed="rId12">
                      <a:extLst>
                        <a:ext uri="{28A0092B-C50C-407E-A947-70E740481C1C}">
                          <a14:useLocalDpi xmlns:a14="http://schemas.microsoft.com/office/drawing/2010/main" val="0"/>
                        </a:ext>
                      </a:extLst>
                    </a:blip>
                    <a:stretch>
                      <a:fillRect/>
                    </a:stretch>
                  </pic:blipFill>
                  <pic:spPr>
                    <a:xfrm>
                      <a:off x="0" y="0"/>
                      <a:ext cx="3385820" cy="2369820"/>
                    </a:xfrm>
                    <a:prstGeom prst="rect">
                      <a:avLst/>
                    </a:prstGeom>
                  </pic:spPr>
                </pic:pic>
              </a:graphicData>
            </a:graphic>
            <wp14:sizeRelV relativeFrom="margin">
              <wp14:pctHeight>0</wp14:pctHeight>
            </wp14:sizeRelV>
          </wp:anchor>
        </w:drawing>
      </w:r>
      <w:r w:rsidR="00AB235F" w:rsidRPr="006A2E0B">
        <w:rPr>
          <w:rFonts w:ascii="Arial" w:hAnsi="Arial" w:cs="Arial"/>
          <w:b/>
          <w:sz w:val="20"/>
          <w:szCs w:val="20"/>
        </w:rPr>
        <w:t xml:space="preserve">Asia Bibi: </w:t>
      </w:r>
      <w:r w:rsidR="00867B94" w:rsidRPr="006A2E0B">
        <w:rPr>
          <w:rFonts w:ascii="Arial" w:hAnsi="Arial" w:cs="Arial"/>
          <w:sz w:val="20"/>
          <w:szCs w:val="20"/>
        </w:rPr>
        <w:t xml:space="preserve">her case </w:t>
      </w:r>
      <w:r w:rsidR="00AB235F" w:rsidRPr="006A2E0B">
        <w:rPr>
          <w:rFonts w:ascii="Arial" w:hAnsi="Arial" w:cs="Arial"/>
          <w:sz w:val="20"/>
          <w:szCs w:val="20"/>
        </w:rPr>
        <w:t xml:space="preserve">has garnered more international attention </w:t>
      </w:r>
      <w:r w:rsidR="00AB235F" w:rsidRPr="006A2E0B">
        <w:rPr>
          <w:rFonts w:ascii="Arial" w:hAnsi="Arial" w:cs="Arial"/>
          <w:noProof/>
          <w:sz w:val="20"/>
          <w:szCs w:val="20"/>
        </w:rPr>
        <w:t>tha</w:t>
      </w:r>
      <w:r w:rsidR="006A2E0B">
        <w:rPr>
          <w:rFonts w:ascii="Arial" w:hAnsi="Arial" w:cs="Arial"/>
          <w:noProof/>
          <w:sz w:val="20"/>
          <w:szCs w:val="20"/>
        </w:rPr>
        <w:t>n</w:t>
      </w:r>
      <w:r w:rsidR="00AB235F" w:rsidRPr="006A2E0B">
        <w:rPr>
          <w:rFonts w:ascii="Arial" w:hAnsi="Arial" w:cs="Arial"/>
          <w:sz w:val="20"/>
          <w:szCs w:val="20"/>
        </w:rPr>
        <w:t xml:space="preserve"> any</w:t>
      </w:r>
      <w:r w:rsidR="00867B94" w:rsidRPr="006A2E0B">
        <w:rPr>
          <w:rFonts w:ascii="Arial" w:hAnsi="Arial" w:cs="Arial"/>
          <w:sz w:val="20"/>
          <w:szCs w:val="20"/>
        </w:rPr>
        <w:t xml:space="preserve"> other</w:t>
      </w:r>
      <w:r w:rsidR="00AB235F" w:rsidRPr="006A2E0B">
        <w:rPr>
          <w:rFonts w:ascii="Arial" w:hAnsi="Arial" w:cs="Arial"/>
          <w:sz w:val="20"/>
          <w:szCs w:val="20"/>
        </w:rPr>
        <w:t xml:space="preserve"> in recent </w:t>
      </w:r>
      <w:r w:rsidR="00867B94" w:rsidRPr="006A2E0B">
        <w:rPr>
          <w:rFonts w:ascii="Arial" w:hAnsi="Arial" w:cs="Arial"/>
          <w:sz w:val="20"/>
          <w:szCs w:val="20"/>
        </w:rPr>
        <w:t>times</w:t>
      </w:r>
      <w:r w:rsidR="00AB235F" w:rsidRPr="006A2E0B">
        <w:rPr>
          <w:rFonts w:ascii="Arial" w:hAnsi="Arial" w:cs="Arial"/>
          <w:sz w:val="20"/>
          <w:szCs w:val="20"/>
        </w:rPr>
        <w:t>.</w:t>
      </w:r>
      <w:r w:rsidR="00867B94" w:rsidRPr="006A2E0B">
        <w:rPr>
          <w:rFonts w:ascii="Arial" w:hAnsi="Arial" w:cs="Arial"/>
          <w:sz w:val="20"/>
          <w:szCs w:val="20"/>
        </w:rPr>
        <w:t xml:space="preserve"> The agricultural worker and mother of five </w:t>
      </w:r>
      <w:r w:rsidR="00867B94" w:rsidRPr="006A2E0B">
        <w:rPr>
          <w:rFonts w:ascii="Arial" w:hAnsi="Arial" w:cs="Arial"/>
          <w:noProof/>
          <w:sz w:val="20"/>
          <w:szCs w:val="20"/>
        </w:rPr>
        <w:t>w</w:t>
      </w:r>
      <w:r w:rsidR="006A2E0B">
        <w:rPr>
          <w:rFonts w:ascii="Arial" w:hAnsi="Arial" w:cs="Arial"/>
          <w:noProof/>
          <w:sz w:val="20"/>
          <w:szCs w:val="20"/>
        </w:rPr>
        <w:t>ere</w:t>
      </w:r>
      <w:r w:rsidR="00867B94" w:rsidRPr="006A2E0B">
        <w:rPr>
          <w:rFonts w:ascii="Arial" w:hAnsi="Arial" w:cs="Arial"/>
          <w:sz w:val="20"/>
          <w:szCs w:val="20"/>
        </w:rPr>
        <w:t xml:space="preserve"> alleged, by a local imam, to have said disparaging things about Muslims and the Prophet after co-workers refused to use a glass she had drunk from. A story 'corroborated' by the farmer.</w:t>
      </w:r>
      <w:r w:rsidR="00867B94" w:rsidRPr="006A2E0B">
        <w:rPr>
          <w:rStyle w:val="FootnoteReference"/>
          <w:rFonts w:ascii="Arial" w:hAnsi="Arial" w:cs="Arial"/>
          <w:sz w:val="20"/>
          <w:szCs w:val="20"/>
        </w:rPr>
        <w:footnoteReference w:id="22"/>
      </w:r>
      <w:r w:rsidR="00867B94" w:rsidRPr="006A2E0B">
        <w:rPr>
          <w:rFonts w:ascii="Arial" w:hAnsi="Arial" w:cs="Arial"/>
          <w:sz w:val="20"/>
          <w:szCs w:val="20"/>
        </w:rPr>
        <w:t xml:space="preserve"> She became the first person prosecuted under section 295-C. </w:t>
      </w:r>
      <w:r w:rsidR="00867B94" w:rsidRPr="006A2E0B">
        <w:rPr>
          <w:rFonts w:ascii="Arial" w:hAnsi="Arial" w:cs="Arial"/>
          <w:noProof/>
          <w:sz w:val="20"/>
          <w:szCs w:val="20"/>
        </w:rPr>
        <w:t>Subsequently</w:t>
      </w:r>
      <w:r w:rsidR="006A2E0B">
        <w:rPr>
          <w:rFonts w:ascii="Arial" w:hAnsi="Arial" w:cs="Arial"/>
          <w:noProof/>
          <w:sz w:val="20"/>
          <w:szCs w:val="20"/>
        </w:rPr>
        <w:t>,</w:t>
      </w:r>
      <w:r w:rsidR="00867B94" w:rsidRPr="006A2E0B">
        <w:rPr>
          <w:rFonts w:ascii="Arial" w:hAnsi="Arial" w:cs="Arial"/>
          <w:sz w:val="20"/>
          <w:szCs w:val="20"/>
        </w:rPr>
        <w:t xml:space="preserve"> she was convicted and sentenced to death. The failure of the government to carry out the execution speedily resulted in a reward of Rs. 500,000 being offered by a local cleric.</w:t>
      </w:r>
      <w:r w:rsidR="00AB235F" w:rsidRPr="006A2E0B">
        <w:rPr>
          <w:rFonts w:ascii="Arial" w:hAnsi="Arial" w:cs="Arial"/>
          <w:sz w:val="20"/>
          <w:szCs w:val="20"/>
        </w:rPr>
        <w:t xml:space="preserve"> When a local governor expresse</w:t>
      </w:r>
      <w:r w:rsidR="00867B94" w:rsidRPr="006A2E0B">
        <w:rPr>
          <w:rFonts w:ascii="Arial" w:hAnsi="Arial" w:cs="Arial"/>
          <w:sz w:val="20"/>
          <w:szCs w:val="20"/>
        </w:rPr>
        <w:t>d</w:t>
      </w:r>
      <w:r w:rsidR="00AB235F" w:rsidRPr="006A2E0B">
        <w:rPr>
          <w:rFonts w:ascii="Arial" w:hAnsi="Arial" w:cs="Arial"/>
          <w:sz w:val="20"/>
          <w:szCs w:val="20"/>
        </w:rPr>
        <w:t xml:space="preserve"> sympathy towards Asia’s plight he was murdered by his own bodyguard.</w:t>
      </w:r>
      <w:r w:rsidR="00AB235F" w:rsidRPr="006A2E0B">
        <w:rPr>
          <w:rStyle w:val="FootnoteReference"/>
          <w:rFonts w:ascii="Arial" w:hAnsi="Arial" w:cs="Arial"/>
          <w:sz w:val="20"/>
          <w:szCs w:val="20"/>
        </w:rPr>
        <w:footnoteReference w:id="23"/>
      </w:r>
      <w:r w:rsidR="00867B94" w:rsidRPr="006A2E0B">
        <w:rPr>
          <w:rFonts w:ascii="Arial" w:hAnsi="Arial" w:cs="Arial"/>
          <w:sz w:val="20"/>
          <w:szCs w:val="20"/>
        </w:rPr>
        <w:t xml:space="preserve"> In October 2018 Pakistan’s Supreme Court acquitted Bibi. The judged ruled that the prosecution has failed to meet the necessary evidential threshold. In </w:t>
      </w:r>
      <w:r w:rsidR="00867B94" w:rsidRPr="006A2E0B">
        <w:rPr>
          <w:rFonts w:ascii="Arial" w:hAnsi="Arial" w:cs="Arial"/>
          <w:noProof/>
          <w:sz w:val="20"/>
          <w:szCs w:val="20"/>
        </w:rPr>
        <w:t>response</w:t>
      </w:r>
      <w:r w:rsidR="006A2E0B">
        <w:rPr>
          <w:rFonts w:ascii="Arial" w:hAnsi="Arial" w:cs="Arial"/>
          <w:noProof/>
          <w:sz w:val="20"/>
          <w:szCs w:val="20"/>
        </w:rPr>
        <w:t>,</w:t>
      </w:r>
      <w:r w:rsidR="00867B94" w:rsidRPr="006A2E0B">
        <w:rPr>
          <w:rFonts w:ascii="Arial" w:hAnsi="Arial" w:cs="Arial"/>
          <w:sz w:val="20"/>
          <w:szCs w:val="20"/>
        </w:rPr>
        <w:t xml:space="preserve"> the militant group </w:t>
      </w:r>
      <w:r w:rsidR="00867B94" w:rsidRPr="006A2E0B">
        <w:rPr>
          <w:rFonts w:ascii="Arial" w:hAnsi="Arial" w:cs="Arial"/>
          <w:i/>
          <w:sz w:val="20"/>
          <w:szCs w:val="20"/>
        </w:rPr>
        <w:t>Tehreek-e-</w:t>
      </w:r>
      <w:proofErr w:type="spellStart"/>
      <w:r w:rsidR="00867B94" w:rsidRPr="006A2E0B">
        <w:rPr>
          <w:rFonts w:ascii="Arial" w:hAnsi="Arial" w:cs="Arial"/>
          <w:i/>
          <w:sz w:val="20"/>
          <w:szCs w:val="20"/>
        </w:rPr>
        <w:t>Labbaik</w:t>
      </w:r>
      <w:proofErr w:type="spellEnd"/>
      <w:r w:rsidR="00867B94" w:rsidRPr="006A2E0B">
        <w:rPr>
          <w:rFonts w:ascii="Arial" w:hAnsi="Arial" w:cs="Arial"/>
          <w:sz w:val="20"/>
          <w:szCs w:val="20"/>
        </w:rPr>
        <w:t xml:space="preserve"> organised nationwide protests.</w:t>
      </w:r>
      <w:r w:rsidR="00867B94" w:rsidRPr="006A2E0B">
        <w:rPr>
          <w:rStyle w:val="FootnoteReference"/>
          <w:rFonts w:ascii="Arial" w:hAnsi="Arial" w:cs="Arial"/>
          <w:sz w:val="20"/>
          <w:szCs w:val="20"/>
        </w:rPr>
        <w:footnoteReference w:id="24"/>
      </w:r>
      <w:r w:rsidR="00867B94" w:rsidRPr="006A2E0B">
        <w:rPr>
          <w:rFonts w:ascii="Arial" w:hAnsi="Arial" w:cs="Arial"/>
          <w:sz w:val="20"/>
          <w:szCs w:val="20"/>
        </w:rPr>
        <w:t xml:space="preserve"> As of January</w:t>
      </w:r>
      <w:r w:rsidR="00AE64E7">
        <w:rPr>
          <w:rFonts w:ascii="Arial" w:hAnsi="Arial" w:cs="Arial"/>
          <w:sz w:val="20"/>
          <w:szCs w:val="20"/>
        </w:rPr>
        <w:t xml:space="preserve"> </w:t>
      </w:r>
      <w:r w:rsidR="00867B94" w:rsidRPr="006A2E0B">
        <w:rPr>
          <w:rFonts w:ascii="Arial" w:hAnsi="Arial" w:cs="Arial"/>
          <w:sz w:val="20"/>
          <w:szCs w:val="20"/>
        </w:rPr>
        <w:t>2019,</w:t>
      </w:r>
      <w:r w:rsidR="00AE64E7">
        <w:rPr>
          <w:rFonts w:ascii="Arial" w:hAnsi="Arial" w:cs="Arial"/>
          <w:sz w:val="20"/>
          <w:szCs w:val="20"/>
        </w:rPr>
        <w:t xml:space="preserve"> Asia </w:t>
      </w:r>
      <w:r w:rsidR="00867B94" w:rsidRPr="006A2E0B">
        <w:rPr>
          <w:rFonts w:ascii="Arial" w:hAnsi="Arial" w:cs="Arial"/>
          <w:sz w:val="20"/>
          <w:szCs w:val="20"/>
        </w:rPr>
        <w:t>Bibi</w:t>
      </w:r>
      <w:r w:rsidR="00AE64E7">
        <w:rPr>
          <w:rFonts w:ascii="Arial" w:hAnsi="Arial" w:cs="Arial"/>
          <w:sz w:val="20"/>
          <w:szCs w:val="20"/>
        </w:rPr>
        <w:t xml:space="preserve"> </w:t>
      </w:r>
      <w:r w:rsidR="00867B94" w:rsidRPr="006A2E0B">
        <w:rPr>
          <w:rFonts w:ascii="Arial" w:hAnsi="Arial" w:cs="Arial"/>
          <w:sz w:val="20"/>
          <w:szCs w:val="20"/>
        </w:rPr>
        <w:t>remains in custody.</w:t>
      </w:r>
      <w:r w:rsidR="00FC3CFE" w:rsidRPr="006A2E0B">
        <w:rPr>
          <w:rStyle w:val="FootnoteReference"/>
          <w:rFonts w:ascii="Arial" w:hAnsi="Arial" w:cs="Arial"/>
          <w:sz w:val="20"/>
          <w:szCs w:val="20"/>
        </w:rPr>
        <w:footnoteReference w:id="25"/>
      </w:r>
      <w:r w:rsidR="00AE64E7">
        <w:rPr>
          <w:rFonts w:ascii="Arial" w:hAnsi="Arial" w:cs="Arial"/>
          <w:sz w:val="20"/>
          <w:szCs w:val="20"/>
        </w:rPr>
        <w:br/>
      </w:r>
      <w:r w:rsidR="00AE64E7">
        <w:rPr>
          <w:rFonts w:ascii="Arial" w:hAnsi="Arial" w:cs="Arial"/>
          <w:sz w:val="20"/>
          <w:szCs w:val="20"/>
        </w:rPr>
        <w:br/>
      </w:r>
      <w:r w:rsidR="00FC3CFE" w:rsidRPr="006A2E0B">
        <w:rPr>
          <w:rFonts w:ascii="Arial" w:hAnsi="Arial" w:cs="Arial"/>
          <w:sz w:val="20"/>
          <w:szCs w:val="20"/>
        </w:rPr>
        <w:tab/>
      </w:r>
      <w:r w:rsidR="00FC3CFE" w:rsidRPr="006A2E0B">
        <w:rPr>
          <w:rFonts w:ascii="Arial" w:hAnsi="Arial" w:cs="Arial"/>
          <w:sz w:val="20"/>
          <w:szCs w:val="20"/>
        </w:rPr>
        <w:tab/>
      </w:r>
      <w:r w:rsidR="00FC3CFE" w:rsidRPr="006A2E0B">
        <w:rPr>
          <w:rFonts w:ascii="Arial" w:hAnsi="Arial" w:cs="Arial"/>
          <w:sz w:val="20"/>
          <w:szCs w:val="20"/>
        </w:rPr>
        <w:tab/>
      </w:r>
      <w:r w:rsidR="00FC3CFE" w:rsidRPr="006A2E0B">
        <w:rPr>
          <w:rFonts w:ascii="Arial" w:hAnsi="Arial" w:cs="Arial"/>
          <w:sz w:val="20"/>
          <w:szCs w:val="20"/>
        </w:rPr>
        <w:tab/>
      </w:r>
      <w:r w:rsidR="00FC3CFE" w:rsidRPr="006A2E0B">
        <w:rPr>
          <w:rFonts w:ascii="Arial" w:hAnsi="Arial" w:cs="Arial"/>
          <w:sz w:val="20"/>
          <w:szCs w:val="20"/>
        </w:rPr>
        <w:tab/>
      </w:r>
      <w:r w:rsidR="00FC3CFE" w:rsidRPr="006A2E0B">
        <w:rPr>
          <w:rFonts w:ascii="Arial" w:hAnsi="Arial" w:cs="Arial"/>
          <w:sz w:val="20"/>
          <w:szCs w:val="20"/>
        </w:rPr>
        <w:tab/>
      </w:r>
      <w:r w:rsidR="00FC3CFE" w:rsidRPr="006A2E0B">
        <w:rPr>
          <w:rFonts w:ascii="Arial" w:hAnsi="Arial" w:cs="Arial"/>
          <w:sz w:val="20"/>
          <w:szCs w:val="20"/>
        </w:rPr>
        <w:tab/>
      </w:r>
      <w:r w:rsidR="00FC3CFE" w:rsidRPr="006A2E0B">
        <w:rPr>
          <w:rFonts w:ascii="Arial" w:hAnsi="Arial" w:cs="Arial"/>
          <w:sz w:val="18"/>
          <w:szCs w:val="18"/>
        </w:rPr>
        <w:t xml:space="preserve">                 </w:t>
      </w:r>
      <w:r w:rsidR="006A2E0B" w:rsidRPr="006A2E0B">
        <w:rPr>
          <w:rFonts w:ascii="Arial" w:hAnsi="Arial" w:cs="Arial"/>
          <w:sz w:val="18"/>
          <w:szCs w:val="18"/>
        </w:rPr>
        <w:t xml:space="preserve"> </w:t>
      </w:r>
      <w:r w:rsidR="006A2E0B">
        <w:rPr>
          <w:rFonts w:ascii="Arial" w:hAnsi="Arial" w:cs="Arial"/>
          <w:sz w:val="18"/>
          <w:szCs w:val="18"/>
        </w:rPr>
        <w:t xml:space="preserve">   </w:t>
      </w:r>
      <w:r w:rsidR="00FC3CFE" w:rsidRPr="006A2E0B">
        <w:rPr>
          <w:rFonts w:ascii="Arial" w:hAnsi="Arial" w:cs="Arial"/>
          <w:b/>
          <w:sz w:val="18"/>
          <w:szCs w:val="18"/>
        </w:rPr>
        <w:t>Protests calling for the death of Asia Bibi</w:t>
      </w:r>
      <w:r w:rsidR="00FC3CFE" w:rsidRPr="006A2E0B">
        <w:rPr>
          <w:rFonts w:ascii="Arial" w:hAnsi="Arial" w:cs="Arial"/>
          <w:sz w:val="18"/>
          <w:szCs w:val="18"/>
        </w:rPr>
        <w:br/>
      </w:r>
      <w:r w:rsidR="00AB235F" w:rsidRPr="006A2E0B">
        <w:rPr>
          <w:rFonts w:ascii="Arial" w:hAnsi="Arial" w:cs="Arial"/>
          <w:b/>
          <w:sz w:val="20"/>
          <w:szCs w:val="20"/>
        </w:rPr>
        <w:t>The Way Forward</w:t>
      </w:r>
    </w:p>
    <w:p w14:paraId="30440DBF" w14:textId="57B51E0A" w:rsidR="007310D7" w:rsidRPr="006A2E0B" w:rsidRDefault="00867B94" w:rsidP="00AE64E7">
      <w:pPr>
        <w:pStyle w:val="NoSpacing"/>
        <w:jc w:val="both"/>
        <w:rPr>
          <w:rFonts w:ascii="Arial" w:hAnsi="Arial" w:cs="Arial"/>
          <w:sz w:val="20"/>
          <w:szCs w:val="20"/>
        </w:rPr>
      </w:pPr>
      <w:r w:rsidRPr="006A2E0B">
        <w:rPr>
          <w:rFonts w:ascii="Arial" w:hAnsi="Arial" w:cs="Arial"/>
          <w:sz w:val="20"/>
          <w:szCs w:val="20"/>
        </w:rPr>
        <w:t>Several unsuccessful attempts have been made by successive governments in Pakistan to roll back its blasphemy laws.</w:t>
      </w:r>
      <w:r w:rsidRPr="006A2E0B">
        <w:rPr>
          <w:rStyle w:val="FootnoteReference"/>
          <w:rFonts w:ascii="Arial" w:hAnsi="Arial" w:cs="Arial"/>
          <w:sz w:val="20"/>
          <w:szCs w:val="20"/>
        </w:rPr>
        <w:footnoteReference w:id="26"/>
      </w:r>
      <w:r w:rsidRPr="006A2E0B">
        <w:rPr>
          <w:rFonts w:ascii="Arial" w:hAnsi="Arial" w:cs="Arial"/>
          <w:sz w:val="20"/>
          <w:szCs w:val="20"/>
        </w:rPr>
        <w:t xml:space="preserve"> </w:t>
      </w:r>
      <w:r w:rsidRPr="006A2E0B">
        <w:rPr>
          <w:rStyle w:val="FootnoteReference"/>
          <w:rFonts w:ascii="Arial" w:hAnsi="Arial" w:cs="Arial"/>
          <w:sz w:val="20"/>
          <w:szCs w:val="20"/>
        </w:rPr>
        <w:footnoteReference w:id="27"/>
      </w:r>
      <w:r w:rsidR="007310D7" w:rsidRPr="006A2E0B">
        <w:rPr>
          <w:rFonts w:ascii="Arial" w:hAnsi="Arial" w:cs="Arial"/>
          <w:sz w:val="20"/>
          <w:szCs w:val="20"/>
        </w:rPr>
        <w:t xml:space="preserve"> Blasphemy laws create the feeling of two-tier citizenship in Pakistan.</w:t>
      </w:r>
      <w:r w:rsidR="007310D7" w:rsidRPr="006A2E0B">
        <w:rPr>
          <w:rStyle w:val="FootnoteReference"/>
          <w:rFonts w:ascii="Arial" w:hAnsi="Arial" w:cs="Arial"/>
          <w:sz w:val="20"/>
          <w:szCs w:val="20"/>
        </w:rPr>
        <w:footnoteReference w:id="28"/>
      </w:r>
      <w:r w:rsidR="007310D7" w:rsidRPr="006A2E0B">
        <w:rPr>
          <w:rFonts w:ascii="Arial" w:hAnsi="Arial" w:cs="Arial"/>
          <w:sz w:val="20"/>
          <w:szCs w:val="20"/>
        </w:rPr>
        <w:t xml:space="preserve"> Commentators both within and outside Pakistan have put forward a series of </w:t>
      </w:r>
      <w:r w:rsidR="007310D7" w:rsidRPr="006A2E0B">
        <w:rPr>
          <w:rFonts w:ascii="Arial" w:hAnsi="Arial" w:cs="Arial"/>
          <w:noProof/>
          <w:sz w:val="20"/>
          <w:szCs w:val="20"/>
        </w:rPr>
        <w:t>proposal</w:t>
      </w:r>
      <w:r w:rsidR="006A2E0B" w:rsidRPr="006A2E0B">
        <w:rPr>
          <w:rFonts w:ascii="Arial" w:hAnsi="Arial" w:cs="Arial"/>
          <w:noProof/>
          <w:sz w:val="20"/>
          <w:szCs w:val="20"/>
        </w:rPr>
        <w:t>s</w:t>
      </w:r>
      <w:r w:rsidR="007310D7" w:rsidRPr="006A2E0B">
        <w:rPr>
          <w:rFonts w:ascii="Arial" w:hAnsi="Arial" w:cs="Arial"/>
          <w:sz w:val="20"/>
          <w:szCs w:val="20"/>
        </w:rPr>
        <w:t xml:space="preserve"> to try and better the situation for minorities. </w:t>
      </w:r>
      <w:r w:rsidR="007310D7" w:rsidRPr="006A2E0B">
        <w:rPr>
          <w:rFonts w:ascii="Arial" w:hAnsi="Arial" w:cs="Arial"/>
          <w:sz w:val="20"/>
          <w:szCs w:val="20"/>
        </w:rPr>
        <w:br/>
      </w:r>
    </w:p>
    <w:p w14:paraId="4A3D5211" w14:textId="77777777" w:rsidR="007310D7" w:rsidRPr="006A2E0B" w:rsidRDefault="007310D7" w:rsidP="00AE64E7">
      <w:pPr>
        <w:jc w:val="both"/>
        <w:rPr>
          <w:rFonts w:ascii="Arial" w:hAnsi="Arial" w:cs="Arial"/>
          <w:sz w:val="20"/>
          <w:szCs w:val="20"/>
        </w:rPr>
      </w:pPr>
      <w:r w:rsidRPr="006A2E0B">
        <w:rPr>
          <w:rFonts w:ascii="Arial" w:hAnsi="Arial" w:cs="Arial"/>
          <w:b/>
          <w:sz w:val="20"/>
          <w:szCs w:val="20"/>
        </w:rPr>
        <w:t>Punishments for Incitement</w:t>
      </w:r>
      <w:r w:rsidRPr="006A2E0B">
        <w:rPr>
          <w:rFonts w:ascii="Arial" w:hAnsi="Arial" w:cs="Arial"/>
          <w:sz w:val="20"/>
          <w:szCs w:val="20"/>
        </w:rPr>
        <w:t>: the introduction within the penal code of punishments for those who use the laws as a cover for inciting religious hatred. This would serve to remove the impunity from prosecution that currently exists.</w:t>
      </w:r>
      <w:r w:rsidRPr="006A2E0B">
        <w:rPr>
          <w:rStyle w:val="FootnoteReference"/>
          <w:rFonts w:ascii="Arial" w:hAnsi="Arial" w:cs="Arial"/>
          <w:sz w:val="20"/>
          <w:szCs w:val="20"/>
        </w:rPr>
        <w:footnoteReference w:id="29"/>
      </w:r>
    </w:p>
    <w:p w14:paraId="711B16C7" w14:textId="299AB10A" w:rsidR="007310D7" w:rsidRPr="006A2E0B" w:rsidRDefault="007310D7" w:rsidP="00AE64E7">
      <w:pPr>
        <w:rPr>
          <w:rFonts w:ascii="Arial" w:hAnsi="Arial" w:cs="Arial"/>
          <w:sz w:val="20"/>
          <w:szCs w:val="20"/>
        </w:rPr>
      </w:pPr>
      <w:r w:rsidRPr="006A2E0B">
        <w:rPr>
          <w:rFonts w:ascii="Arial" w:hAnsi="Arial" w:cs="Arial"/>
          <w:b/>
          <w:sz w:val="20"/>
          <w:szCs w:val="20"/>
        </w:rPr>
        <w:lastRenderedPageBreak/>
        <w:t>Legal Advocates:</w:t>
      </w:r>
      <w:r w:rsidRPr="006A2E0B">
        <w:rPr>
          <w:rFonts w:ascii="Arial" w:hAnsi="Arial" w:cs="Arial"/>
          <w:sz w:val="20"/>
          <w:szCs w:val="20"/>
        </w:rPr>
        <w:t xml:space="preserve"> The government or human rights organisation</w:t>
      </w:r>
      <w:r w:rsidR="00AE64E7">
        <w:rPr>
          <w:rFonts w:ascii="Arial" w:hAnsi="Arial" w:cs="Arial"/>
          <w:sz w:val="20"/>
          <w:szCs w:val="20"/>
        </w:rPr>
        <w:t>s</w:t>
      </w:r>
      <w:bookmarkStart w:id="12" w:name="_GoBack"/>
      <w:bookmarkEnd w:id="12"/>
      <w:r w:rsidRPr="006A2E0B">
        <w:rPr>
          <w:rFonts w:ascii="Arial" w:hAnsi="Arial" w:cs="Arial"/>
          <w:sz w:val="20"/>
          <w:szCs w:val="20"/>
        </w:rPr>
        <w:t xml:space="preserve"> need to provide access to the necessary legal representation. The government need to guarantee the safety of those who are willing to </w:t>
      </w:r>
      <w:r w:rsidRPr="006A2E0B">
        <w:rPr>
          <w:rFonts w:ascii="Arial" w:hAnsi="Arial" w:cs="Arial"/>
          <w:noProof/>
          <w:sz w:val="20"/>
          <w:szCs w:val="20"/>
        </w:rPr>
        <w:t>represent</w:t>
      </w:r>
      <w:r w:rsidRPr="006A2E0B">
        <w:rPr>
          <w:rFonts w:ascii="Arial" w:hAnsi="Arial" w:cs="Arial"/>
          <w:sz w:val="20"/>
          <w:szCs w:val="20"/>
        </w:rPr>
        <w:t xml:space="preserve"> those</w:t>
      </w:r>
      <w:r w:rsidR="00AE64E7">
        <w:rPr>
          <w:rFonts w:ascii="Arial" w:hAnsi="Arial" w:cs="Arial"/>
          <w:sz w:val="20"/>
          <w:szCs w:val="20"/>
        </w:rPr>
        <w:t xml:space="preserve"> </w:t>
      </w:r>
      <w:r w:rsidRPr="006A2E0B">
        <w:rPr>
          <w:rFonts w:ascii="Arial" w:hAnsi="Arial" w:cs="Arial"/>
          <w:sz w:val="20"/>
          <w:szCs w:val="20"/>
        </w:rPr>
        <w:t>charged with blasphemy.</w:t>
      </w:r>
      <w:r w:rsidRPr="006A2E0B">
        <w:rPr>
          <w:rStyle w:val="FootnoteReference"/>
          <w:rFonts w:ascii="Arial" w:hAnsi="Arial" w:cs="Arial"/>
          <w:sz w:val="20"/>
          <w:szCs w:val="20"/>
        </w:rPr>
        <w:footnoteReference w:id="30"/>
      </w:r>
      <w:r w:rsidRPr="006A2E0B">
        <w:rPr>
          <w:rFonts w:ascii="Arial" w:hAnsi="Arial" w:cs="Arial"/>
          <w:sz w:val="20"/>
          <w:szCs w:val="20"/>
        </w:rPr>
        <w:br/>
      </w:r>
      <w:r w:rsidRPr="006A2E0B">
        <w:rPr>
          <w:rFonts w:ascii="Arial" w:hAnsi="Arial" w:cs="Arial"/>
          <w:sz w:val="20"/>
          <w:szCs w:val="20"/>
        </w:rPr>
        <w:br/>
      </w:r>
      <w:r w:rsidRPr="006A2E0B">
        <w:rPr>
          <w:rFonts w:ascii="Arial" w:hAnsi="Arial" w:cs="Arial"/>
          <w:b/>
          <w:sz w:val="20"/>
          <w:szCs w:val="20"/>
        </w:rPr>
        <w:t>Court System</w:t>
      </w:r>
      <w:r w:rsidRPr="006A2E0B">
        <w:rPr>
          <w:rFonts w:ascii="Arial" w:hAnsi="Arial" w:cs="Arial"/>
          <w:sz w:val="20"/>
          <w:szCs w:val="20"/>
        </w:rPr>
        <w:t xml:space="preserve">: a review of the place of </w:t>
      </w:r>
      <w:proofErr w:type="spellStart"/>
      <w:r w:rsidRPr="006A2E0B">
        <w:rPr>
          <w:rFonts w:ascii="Arial" w:hAnsi="Arial" w:cs="Arial"/>
          <w:sz w:val="20"/>
          <w:szCs w:val="20"/>
        </w:rPr>
        <w:t>Shariat</w:t>
      </w:r>
      <w:proofErr w:type="spellEnd"/>
      <w:r w:rsidRPr="006A2E0B">
        <w:rPr>
          <w:rFonts w:ascii="Arial" w:hAnsi="Arial" w:cs="Arial"/>
          <w:sz w:val="20"/>
          <w:szCs w:val="20"/>
        </w:rPr>
        <w:t xml:space="preserve"> courts needs to take place, with a view to replacing them with an independent authority.</w:t>
      </w:r>
      <w:r w:rsidRPr="006A2E0B">
        <w:rPr>
          <w:rStyle w:val="FootnoteReference"/>
          <w:rFonts w:ascii="Arial" w:hAnsi="Arial" w:cs="Arial"/>
          <w:sz w:val="20"/>
          <w:szCs w:val="20"/>
        </w:rPr>
        <w:footnoteReference w:id="31"/>
      </w:r>
      <w:r w:rsidRPr="006A2E0B">
        <w:rPr>
          <w:rFonts w:ascii="Arial" w:hAnsi="Arial" w:cs="Arial"/>
          <w:sz w:val="20"/>
          <w:szCs w:val="20"/>
        </w:rPr>
        <w:t xml:space="preserve"> In the short-term </w:t>
      </w:r>
      <w:r w:rsidRPr="006A2E0B">
        <w:rPr>
          <w:rFonts w:ascii="Arial" w:hAnsi="Arial" w:cs="Arial"/>
          <w:noProof/>
          <w:sz w:val="20"/>
          <w:szCs w:val="20"/>
        </w:rPr>
        <w:t>courtrooms</w:t>
      </w:r>
      <w:r w:rsidRPr="006A2E0B">
        <w:rPr>
          <w:rFonts w:ascii="Arial" w:hAnsi="Arial" w:cs="Arial"/>
          <w:sz w:val="20"/>
          <w:szCs w:val="20"/>
        </w:rPr>
        <w:t xml:space="preserve"> need to restrict the presence </w:t>
      </w:r>
      <w:r w:rsidR="006A2E0B">
        <w:rPr>
          <w:rFonts w:ascii="Arial" w:hAnsi="Arial" w:cs="Arial"/>
          <w:noProof/>
          <w:sz w:val="20"/>
          <w:szCs w:val="20"/>
        </w:rPr>
        <w:t>o</w:t>
      </w:r>
      <w:r w:rsidRPr="006A2E0B">
        <w:rPr>
          <w:rFonts w:ascii="Arial" w:hAnsi="Arial" w:cs="Arial"/>
          <w:noProof/>
          <w:sz w:val="20"/>
          <w:szCs w:val="20"/>
        </w:rPr>
        <w:t>f</w:t>
      </w:r>
      <w:r w:rsidRPr="006A2E0B">
        <w:rPr>
          <w:rFonts w:ascii="Arial" w:hAnsi="Arial" w:cs="Arial"/>
          <w:sz w:val="20"/>
          <w:szCs w:val="20"/>
        </w:rPr>
        <w:t xml:space="preserve"> Islamist groups during the trials.</w:t>
      </w:r>
      <w:r w:rsidRPr="006A2E0B">
        <w:rPr>
          <w:rStyle w:val="FootnoteReference"/>
          <w:rFonts w:ascii="Arial" w:hAnsi="Arial" w:cs="Arial"/>
          <w:sz w:val="20"/>
          <w:szCs w:val="20"/>
        </w:rPr>
        <w:footnoteReference w:id="32"/>
      </w:r>
    </w:p>
    <w:p w14:paraId="5E903080" w14:textId="77777777" w:rsidR="007310D7" w:rsidRPr="006A2E0B" w:rsidRDefault="007310D7" w:rsidP="00AE64E7">
      <w:pPr>
        <w:jc w:val="both"/>
        <w:rPr>
          <w:rFonts w:ascii="Arial" w:hAnsi="Arial" w:cs="Arial"/>
          <w:sz w:val="20"/>
          <w:szCs w:val="20"/>
        </w:rPr>
      </w:pPr>
      <w:r w:rsidRPr="006A2E0B">
        <w:rPr>
          <w:rFonts w:ascii="Arial" w:hAnsi="Arial" w:cs="Arial"/>
          <w:b/>
          <w:sz w:val="20"/>
          <w:szCs w:val="20"/>
        </w:rPr>
        <w:t>Separate Mosque and State</w:t>
      </w:r>
      <w:r w:rsidRPr="006A2E0B">
        <w:rPr>
          <w:rFonts w:ascii="Arial" w:hAnsi="Arial" w:cs="Arial"/>
          <w:sz w:val="20"/>
          <w:szCs w:val="20"/>
        </w:rPr>
        <w:t>: the moderate forces that maintain power in both academia and government need to examine and support a move towards the delinking of faith and state. This was an essential part of de-legitimising blasphemy laws in the Western context. This is a long-term endeavour requiring complex political and economic challenges and the state to maintain a strident will in the face of Islamist forces.</w:t>
      </w:r>
      <w:r w:rsidRPr="006A2E0B">
        <w:rPr>
          <w:rStyle w:val="FootnoteReference"/>
          <w:rFonts w:ascii="Arial" w:hAnsi="Arial" w:cs="Arial"/>
          <w:sz w:val="20"/>
          <w:szCs w:val="20"/>
        </w:rPr>
        <w:footnoteReference w:id="33"/>
      </w:r>
    </w:p>
    <w:p w14:paraId="0F6CB851" w14:textId="2015FA25" w:rsidR="00944BAE" w:rsidRPr="00867B94" w:rsidRDefault="007310D7" w:rsidP="00AE64E7">
      <w:pPr>
        <w:jc w:val="both"/>
        <w:rPr>
          <w:rFonts w:ascii="Arial" w:hAnsi="Arial" w:cs="Arial"/>
          <w:sz w:val="20"/>
          <w:szCs w:val="20"/>
        </w:rPr>
      </w:pPr>
      <w:r w:rsidRPr="006A2E0B">
        <w:rPr>
          <w:rFonts w:ascii="Arial" w:hAnsi="Arial" w:cs="Arial"/>
          <w:b/>
          <w:sz w:val="20"/>
          <w:szCs w:val="20"/>
        </w:rPr>
        <w:t>Challenge Theology:</w:t>
      </w:r>
      <w:r w:rsidRPr="006A2E0B">
        <w:rPr>
          <w:rFonts w:ascii="Arial" w:hAnsi="Arial" w:cs="Arial"/>
          <w:sz w:val="20"/>
          <w:szCs w:val="20"/>
        </w:rPr>
        <w:t xml:space="preserve">  Many of the penal code amendments go beyond the statutes set out in the Qurʿān and Sunnah.</w:t>
      </w:r>
      <w:r w:rsidRPr="006A2E0B">
        <w:rPr>
          <w:rStyle w:val="FootnoteReference"/>
          <w:rFonts w:ascii="Arial" w:hAnsi="Arial" w:cs="Arial"/>
          <w:sz w:val="20"/>
          <w:szCs w:val="20"/>
        </w:rPr>
        <w:footnoteReference w:id="34"/>
      </w:r>
      <w:r w:rsidRPr="006A2E0B">
        <w:rPr>
          <w:rFonts w:ascii="Arial" w:hAnsi="Arial" w:cs="Arial"/>
          <w:sz w:val="20"/>
          <w:szCs w:val="20"/>
        </w:rPr>
        <w:t xml:space="preserve"> Moreover, those insisting for the centrality of the sharīʿa have in mind a nostalgic view of a perfect Islamic society that never existed. What does exist, however, is the Islamic principle of </w:t>
      </w:r>
      <w:bookmarkStart w:id="14" w:name="_Hlk504516307"/>
      <w:r w:rsidRPr="006A2E0B">
        <w:rPr>
          <w:rFonts w:ascii="Arial" w:hAnsi="Arial" w:cs="Arial"/>
          <w:i/>
          <w:iCs/>
          <w:color w:val="000000"/>
          <w:sz w:val="20"/>
          <w:szCs w:val="20"/>
          <w:shd w:val="clear" w:color="auto" w:fill="FFFFFF"/>
        </w:rPr>
        <w:t>ijtihād</w:t>
      </w:r>
      <w:bookmarkEnd w:id="14"/>
      <w:r w:rsidRPr="006A2E0B">
        <w:rPr>
          <w:rFonts w:ascii="Arial" w:hAnsi="Arial" w:cs="Arial"/>
          <w:sz w:val="20"/>
          <w:szCs w:val="20"/>
        </w:rPr>
        <w:t>. This exercise in independent judicial thought may enable Pakistan to adapt its legal framework to meet the demands of the 21</w:t>
      </w:r>
      <w:r w:rsidRPr="006A2E0B">
        <w:rPr>
          <w:rFonts w:ascii="Arial" w:hAnsi="Arial" w:cs="Arial"/>
          <w:sz w:val="20"/>
          <w:szCs w:val="20"/>
          <w:vertAlign w:val="superscript"/>
        </w:rPr>
        <w:t>st</w:t>
      </w:r>
      <w:r w:rsidRPr="006A2E0B">
        <w:rPr>
          <w:rFonts w:ascii="Arial" w:hAnsi="Arial" w:cs="Arial"/>
          <w:sz w:val="20"/>
          <w:szCs w:val="20"/>
        </w:rPr>
        <w:t xml:space="preserve"> century and better serve its minority populations.</w:t>
      </w:r>
      <w:r w:rsidRPr="006A2E0B">
        <w:rPr>
          <w:rStyle w:val="FootnoteReference"/>
          <w:rFonts w:ascii="Arial" w:hAnsi="Arial" w:cs="Arial"/>
          <w:sz w:val="20"/>
          <w:szCs w:val="20"/>
        </w:rPr>
        <w:footnoteReference w:id="35"/>
      </w:r>
      <w:r>
        <w:rPr>
          <w:rFonts w:ascii="Arial" w:hAnsi="Arial" w:cs="Arial"/>
          <w:sz w:val="20"/>
          <w:szCs w:val="20"/>
        </w:rPr>
        <w:t xml:space="preserve"> </w:t>
      </w:r>
      <w:r w:rsidR="00944BAE" w:rsidRPr="00867B94">
        <w:rPr>
          <w:rFonts w:ascii="Arial" w:hAnsi="Arial" w:cs="Arial"/>
          <w:sz w:val="20"/>
          <w:szCs w:val="20"/>
        </w:rPr>
        <w:br w:type="page"/>
      </w:r>
    </w:p>
    <w:p w14:paraId="124658E7" w14:textId="77777777" w:rsidR="003808FC" w:rsidRDefault="00944BAE" w:rsidP="003808FC">
      <w:pPr>
        <w:spacing w:after="100" w:afterAutospacing="1" w:line="240" w:lineRule="auto"/>
        <w:outlineLvl w:val="1"/>
        <w:rPr>
          <w:rFonts w:ascii="Times New Roman" w:eastAsia="Times New Roman" w:hAnsi="Times New Roman" w:cs="Times New Roman"/>
          <w:color w:val="000000"/>
          <w:sz w:val="36"/>
          <w:szCs w:val="36"/>
          <w:lang w:eastAsia="en-GB"/>
        </w:rPr>
      </w:pPr>
      <w:r w:rsidRPr="00944BAE">
        <w:rPr>
          <w:rFonts w:ascii="Arial" w:eastAsia="Times New Roman" w:hAnsi="Arial" w:cs="Arial"/>
          <w:b/>
          <w:color w:val="000000"/>
          <w:sz w:val="36"/>
          <w:szCs w:val="36"/>
          <w:lang w:eastAsia="en-GB"/>
        </w:rPr>
        <w:lastRenderedPageBreak/>
        <w:t>Bibliography</w:t>
      </w:r>
      <w:r>
        <w:rPr>
          <w:rFonts w:ascii="Arial" w:eastAsia="Times New Roman" w:hAnsi="Arial" w:cs="Arial"/>
          <w:b/>
          <w:color w:val="000000"/>
          <w:sz w:val="36"/>
          <w:szCs w:val="36"/>
          <w:lang w:eastAsia="en-GB"/>
        </w:rPr>
        <w:br/>
      </w:r>
    </w:p>
    <w:p w14:paraId="1BFF0118" w14:textId="41772154" w:rsidR="003808FC" w:rsidRPr="003808FC" w:rsidRDefault="003808FC" w:rsidP="003808FC">
      <w:pPr>
        <w:spacing w:after="100" w:afterAutospacing="1" w:line="240" w:lineRule="auto"/>
        <w:outlineLvl w:val="1"/>
        <w:rPr>
          <w:rFonts w:ascii="Times New Roman" w:eastAsia="Times New Roman" w:hAnsi="Times New Roman" w:cs="Times New Roman"/>
          <w:color w:val="000000"/>
          <w:sz w:val="36"/>
          <w:szCs w:val="36"/>
          <w:lang w:eastAsia="en-GB"/>
        </w:rPr>
      </w:pPr>
      <w:r w:rsidRPr="003808FC">
        <w:rPr>
          <w:rFonts w:ascii="Times New Roman" w:eastAsia="Times New Roman" w:hAnsi="Times New Roman" w:cs="Times New Roman"/>
          <w:i/>
          <w:iCs/>
          <w:color w:val="000000"/>
          <w:sz w:val="27"/>
          <w:szCs w:val="27"/>
          <w:lang w:eastAsia="en-GB"/>
        </w:rPr>
        <w:t xml:space="preserve">A Question </w:t>
      </w:r>
      <w:proofErr w:type="gramStart"/>
      <w:r w:rsidRPr="003808FC">
        <w:rPr>
          <w:rFonts w:ascii="Times New Roman" w:eastAsia="Times New Roman" w:hAnsi="Times New Roman" w:cs="Times New Roman"/>
          <w:i/>
          <w:iCs/>
          <w:color w:val="000000"/>
          <w:sz w:val="27"/>
          <w:szCs w:val="27"/>
          <w:lang w:eastAsia="en-GB"/>
        </w:rPr>
        <w:t>Of</w:t>
      </w:r>
      <w:proofErr w:type="gramEnd"/>
      <w:r w:rsidRPr="003808FC">
        <w:rPr>
          <w:rFonts w:ascii="Times New Roman" w:eastAsia="Times New Roman" w:hAnsi="Times New Roman" w:cs="Times New Roman"/>
          <w:i/>
          <w:iCs/>
          <w:color w:val="000000"/>
          <w:sz w:val="27"/>
          <w:szCs w:val="27"/>
          <w:lang w:eastAsia="en-GB"/>
        </w:rPr>
        <w:t xml:space="preserve"> Faith</w:t>
      </w:r>
      <w:r w:rsidRPr="003808FC">
        <w:rPr>
          <w:rFonts w:ascii="Times New Roman" w:eastAsia="Times New Roman" w:hAnsi="Times New Roman" w:cs="Times New Roman"/>
          <w:color w:val="000000"/>
          <w:sz w:val="27"/>
          <w:szCs w:val="27"/>
          <w:lang w:eastAsia="en-GB"/>
        </w:rPr>
        <w:t>. Islamabad: Jinnah Institute, 2011.</w:t>
      </w:r>
    </w:p>
    <w:p w14:paraId="20D9A9F2"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808FC">
        <w:rPr>
          <w:rFonts w:ascii="Times New Roman" w:eastAsia="Times New Roman" w:hAnsi="Times New Roman" w:cs="Times New Roman"/>
          <w:color w:val="000000"/>
          <w:sz w:val="27"/>
          <w:szCs w:val="27"/>
          <w:lang w:eastAsia="en-GB"/>
        </w:rPr>
        <w:t>An-Naìm</w:t>
      </w:r>
      <w:proofErr w:type="spellEnd"/>
      <w:r w:rsidRPr="003808FC">
        <w:rPr>
          <w:rFonts w:ascii="Times New Roman" w:eastAsia="Times New Roman" w:hAnsi="Times New Roman" w:cs="Times New Roman"/>
          <w:color w:val="000000"/>
          <w:sz w:val="27"/>
          <w:szCs w:val="27"/>
          <w:lang w:eastAsia="en-GB"/>
        </w:rPr>
        <w:t>, Abdullahi Ahmed. </w:t>
      </w:r>
      <w:r w:rsidRPr="003808FC">
        <w:rPr>
          <w:rFonts w:ascii="Times New Roman" w:eastAsia="Times New Roman" w:hAnsi="Times New Roman" w:cs="Times New Roman"/>
          <w:i/>
          <w:iCs/>
          <w:color w:val="000000"/>
          <w:sz w:val="27"/>
          <w:szCs w:val="27"/>
          <w:lang w:eastAsia="en-GB"/>
        </w:rPr>
        <w:t xml:space="preserve">Islam And </w:t>
      </w:r>
      <w:proofErr w:type="gramStart"/>
      <w:r w:rsidRPr="003808FC">
        <w:rPr>
          <w:rFonts w:ascii="Times New Roman" w:eastAsia="Times New Roman" w:hAnsi="Times New Roman" w:cs="Times New Roman"/>
          <w:i/>
          <w:iCs/>
          <w:color w:val="000000"/>
          <w:sz w:val="27"/>
          <w:szCs w:val="27"/>
          <w:lang w:eastAsia="en-GB"/>
        </w:rPr>
        <w:t>The</w:t>
      </w:r>
      <w:proofErr w:type="gramEnd"/>
      <w:r w:rsidRPr="003808FC">
        <w:rPr>
          <w:rFonts w:ascii="Times New Roman" w:eastAsia="Times New Roman" w:hAnsi="Times New Roman" w:cs="Times New Roman"/>
          <w:i/>
          <w:iCs/>
          <w:color w:val="000000"/>
          <w:sz w:val="27"/>
          <w:szCs w:val="27"/>
          <w:lang w:eastAsia="en-GB"/>
        </w:rPr>
        <w:t xml:space="preserve"> Secular State</w:t>
      </w:r>
      <w:r w:rsidRPr="003808FC">
        <w:rPr>
          <w:rFonts w:ascii="Times New Roman" w:eastAsia="Times New Roman" w:hAnsi="Times New Roman" w:cs="Times New Roman"/>
          <w:color w:val="000000"/>
          <w:sz w:val="27"/>
          <w:szCs w:val="27"/>
          <w:lang w:eastAsia="en-GB"/>
        </w:rPr>
        <w:t>. Cambridge: Harvard University Press, 2010.</w:t>
      </w:r>
    </w:p>
    <w:p w14:paraId="57B2720A"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Brown, Daniel. </w:t>
      </w:r>
      <w:r w:rsidRPr="003808FC">
        <w:rPr>
          <w:rFonts w:ascii="Times New Roman" w:eastAsia="Times New Roman" w:hAnsi="Times New Roman" w:cs="Times New Roman"/>
          <w:i/>
          <w:iCs/>
          <w:color w:val="000000"/>
          <w:sz w:val="27"/>
          <w:szCs w:val="27"/>
          <w:lang w:eastAsia="en-GB"/>
        </w:rPr>
        <w:t xml:space="preserve">A New Introduction </w:t>
      </w:r>
      <w:proofErr w:type="gramStart"/>
      <w:r w:rsidRPr="003808FC">
        <w:rPr>
          <w:rFonts w:ascii="Times New Roman" w:eastAsia="Times New Roman" w:hAnsi="Times New Roman" w:cs="Times New Roman"/>
          <w:i/>
          <w:iCs/>
          <w:color w:val="000000"/>
          <w:sz w:val="27"/>
          <w:szCs w:val="27"/>
          <w:lang w:eastAsia="en-GB"/>
        </w:rPr>
        <w:t>To</w:t>
      </w:r>
      <w:proofErr w:type="gramEnd"/>
      <w:r w:rsidRPr="003808FC">
        <w:rPr>
          <w:rFonts w:ascii="Times New Roman" w:eastAsia="Times New Roman" w:hAnsi="Times New Roman" w:cs="Times New Roman"/>
          <w:i/>
          <w:iCs/>
          <w:color w:val="000000"/>
          <w:sz w:val="27"/>
          <w:szCs w:val="27"/>
          <w:lang w:eastAsia="en-GB"/>
        </w:rPr>
        <w:t xml:space="preserve"> Islam</w:t>
      </w:r>
      <w:r w:rsidRPr="003808FC">
        <w:rPr>
          <w:rFonts w:ascii="Times New Roman" w:eastAsia="Times New Roman" w:hAnsi="Times New Roman" w:cs="Times New Roman"/>
          <w:color w:val="000000"/>
          <w:sz w:val="27"/>
          <w:szCs w:val="27"/>
          <w:lang w:eastAsia="en-GB"/>
        </w:rPr>
        <w:t>. Hoboken, Nj: Wiley, 2017.</w:t>
      </w:r>
    </w:p>
    <w:p w14:paraId="73CDBB9A"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 xml:space="preserve">Forte, David. "Apostasy </w:t>
      </w:r>
      <w:proofErr w:type="gramStart"/>
      <w:r w:rsidRPr="003808FC">
        <w:rPr>
          <w:rFonts w:ascii="Times New Roman" w:eastAsia="Times New Roman" w:hAnsi="Times New Roman" w:cs="Times New Roman"/>
          <w:color w:val="000000"/>
          <w:sz w:val="27"/>
          <w:szCs w:val="27"/>
          <w:lang w:eastAsia="en-GB"/>
        </w:rPr>
        <w:t>And</w:t>
      </w:r>
      <w:proofErr w:type="gramEnd"/>
      <w:r w:rsidRPr="003808FC">
        <w:rPr>
          <w:rFonts w:ascii="Times New Roman" w:eastAsia="Times New Roman" w:hAnsi="Times New Roman" w:cs="Times New Roman"/>
          <w:color w:val="000000"/>
          <w:sz w:val="27"/>
          <w:szCs w:val="27"/>
          <w:lang w:eastAsia="en-GB"/>
        </w:rPr>
        <w:t xml:space="preserve"> Blasphemy In Pakistan". </w:t>
      </w:r>
      <w:r w:rsidRPr="003808FC">
        <w:rPr>
          <w:rFonts w:ascii="Times New Roman" w:eastAsia="Times New Roman" w:hAnsi="Times New Roman" w:cs="Times New Roman"/>
          <w:i/>
          <w:iCs/>
          <w:color w:val="000000"/>
          <w:sz w:val="27"/>
          <w:szCs w:val="27"/>
          <w:lang w:eastAsia="en-GB"/>
        </w:rPr>
        <w:t xml:space="preserve">Connecticut Journal </w:t>
      </w:r>
      <w:proofErr w:type="gramStart"/>
      <w:r w:rsidRPr="003808FC">
        <w:rPr>
          <w:rFonts w:ascii="Times New Roman" w:eastAsia="Times New Roman" w:hAnsi="Times New Roman" w:cs="Times New Roman"/>
          <w:i/>
          <w:iCs/>
          <w:color w:val="000000"/>
          <w:sz w:val="27"/>
          <w:szCs w:val="27"/>
          <w:lang w:eastAsia="en-GB"/>
        </w:rPr>
        <w:t>Of</w:t>
      </w:r>
      <w:proofErr w:type="gramEnd"/>
      <w:r w:rsidRPr="003808FC">
        <w:rPr>
          <w:rFonts w:ascii="Times New Roman" w:eastAsia="Times New Roman" w:hAnsi="Times New Roman" w:cs="Times New Roman"/>
          <w:i/>
          <w:iCs/>
          <w:color w:val="000000"/>
          <w:sz w:val="27"/>
          <w:szCs w:val="27"/>
          <w:lang w:eastAsia="en-GB"/>
        </w:rPr>
        <w:t xml:space="preserve"> International Law</w:t>
      </w:r>
      <w:r w:rsidRPr="003808FC">
        <w:rPr>
          <w:rFonts w:ascii="Times New Roman" w:eastAsia="Times New Roman" w:hAnsi="Times New Roman" w:cs="Times New Roman"/>
          <w:color w:val="000000"/>
          <w:sz w:val="27"/>
          <w:szCs w:val="27"/>
          <w:lang w:eastAsia="en-GB"/>
        </w:rPr>
        <w:t> 10, no. 27 (1994).</w:t>
      </w:r>
    </w:p>
    <w:p w14:paraId="36A2F836"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Harvey, B. "Free Speech, Islamic Faith Meet Head-On". </w:t>
      </w:r>
      <w:r w:rsidRPr="003808FC">
        <w:rPr>
          <w:rFonts w:ascii="Times New Roman" w:eastAsia="Times New Roman" w:hAnsi="Times New Roman" w:cs="Times New Roman"/>
          <w:i/>
          <w:iCs/>
          <w:color w:val="000000"/>
          <w:sz w:val="27"/>
          <w:szCs w:val="27"/>
          <w:lang w:eastAsia="en-GB"/>
        </w:rPr>
        <w:t>The Ottawa Citizen</w:t>
      </w:r>
      <w:r w:rsidRPr="003808FC">
        <w:rPr>
          <w:rFonts w:ascii="Times New Roman" w:eastAsia="Times New Roman" w:hAnsi="Times New Roman" w:cs="Times New Roman"/>
          <w:color w:val="000000"/>
          <w:sz w:val="27"/>
          <w:szCs w:val="27"/>
          <w:lang w:eastAsia="en-GB"/>
        </w:rPr>
        <w:t>, 1993.</w:t>
      </w:r>
    </w:p>
    <w:p w14:paraId="2518ED6F"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Human Rights Commission of Pakistan. "Newsletter", 1992.</w:t>
      </w:r>
    </w:p>
    <w:p w14:paraId="48598F8B"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 xml:space="preserve">John, Kaleem. "Christians And </w:t>
      </w:r>
      <w:proofErr w:type="gramStart"/>
      <w:r w:rsidRPr="003808FC">
        <w:rPr>
          <w:rFonts w:ascii="Times New Roman" w:eastAsia="Times New Roman" w:hAnsi="Times New Roman" w:cs="Times New Roman"/>
          <w:color w:val="000000"/>
          <w:sz w:val="27"/>
          <w:szCs w:val="27"/>
          <w:lang w:eastAsia="en-GB"/>
        </w:rPr>
        <w:t>The</w:t>
      </w:r>
      <w:proofErr w:type="gramEnd"/>
      <w:r w:rsidRPr="003808FC">
        <w:rPr>
          <w:rFonts w:ascii="Times New Roman" w:eastAsia="Times New Roman" w:hAnsi="Times New Roman" w:cs="Times New Roman"/>
          <w:color w:val="000000"/>
          <w:sz w:val="27"/>
          <w:szCs w:val="27"/>
          <w:lang w:eastAsia="en-GB"/>
        </w:rPr>
        <w:t xml:space="preserve"> Blasphemy Laws In Pakistan". </w:t>
      </w:r>
      <w:r w:rsidRPr="003808FC">
        <w:rPr>
          <w:rFonts w:ascii="Times New Roman" w:eastAsia="Times New Roman" w:hAnsi="Times New Roman" w:cs="Times New Roman"/>
          <w:i/>
          <w:iCs/>
          <w:color w:val="000000"/>
          <w:sz w:val="27"/>
          <w:szCs w:val="27"/>
          <w:lang w:eastAsia="en-GB"/>
        </w:rPr>
        <w:t xml:space="preserve">Transformation: An International Journal </w:t>
      </w:r>
      <w:proofErr w:type="gramStart"/>
      <w:r w:rsidRPr="003808FC">
        <w:rPr>
          <w:rFonts w:ascii="Times New Roman" w:eastAsia="Times New Roman" w:hAnsi="Times New Roman" w:cs="Times New Roman"/>
          <w:i/>
          <w:iCs/>
          <w:color w:val="000000"/>
          <w:sz w:val="27"/>
          <w:szCs w:val="27"/>
          <w:lang w:eastAsia="en-GB"/>
        </w:rPr>
        <w:t>Of</w:t>
      </w:r>
      <w:proofErr w:type="gramEnd"/>
      <w:r w:rsidRPr="003808FC">
        <w:rPr>
          <w:rFonts w:ascii="Times New Roman" w:eastAsia="Times New Roman" w:hAnsi="Times New Roman" w:cs="Times New Roman"/>
          <w:i/>
          <w:iCs/>
          <w:color w:val="000000"/>
          <w:sz w:val="27"/>
          <w:szCs w:val="27"/>
          <w:lang w:eastAsia="en-GB"/>
        </w:rPr>
        <w:t xml:space="preserve"> Holistic Mission Studies</w:t>
      </w:r>
      <w:r w:rsidRPr="003808FC">
        <w:rPr>
          <w:rFonts w:ascii="Times New Roman" w:eastAsia="Times New Roman" w:hAnsi="Times New Roman" w:cs="Times New Roman"/>
          <w:color w:val="000000"/>
          <w:sz w:val="27"/>
          <w:szCs w:val="27"/>
          <w:lang w:eastAsia="en-GB"/>
        </w:rPr>
        <w:t xml:space="preserve"> 17, no. 1 (2000): 20-23. </w:t>
      </w:r>
      <w:r w:rsidRPr="006A2E0B">
        <w:rPr>
          <w:rFonts w:ascii="Times New Roman" w:eastAsia="Times New Roman" w:hAnsi="Times New Roman" w:cs="Times New Roman"/>
          <w:noProof/>
          <w:color w:val="000000"/>
          <w:sz w:val="27"/>
          <w:szCs w:val="27"/>
          <w:lang w:eastAsia="en-GB"/>
        </w:rPr>
        <w:t>doi</w:t>
      </w:r>
      <w:r w:rsidRPr="003808FC">
        <w:rPr>
          <w:rFonts w:ascii="Times New Roman" w:eastAsia="Times New Roman" w:hAnsi="Times New Roman" w:cs="Times New Roman"/>
          <w:color w:val="000000"/>
          <w:sz w:val="27"/>
          <w:szCs w:val="27"/>
          <w:lang w:eastAsia="en-GB"/>
        </w:rPr>
        <w:t>:10.1177/026537880001700107.</w:t>
      </w:r>
    </w:p>
    <w:p w14:paraId="2EE4A7A1"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Kamran, Tahir. "Pakistan: A Failed State". </w:t>
      </w:r>
      <w:r w:rsidRPr="003808FC">
        <w:rPr>
          <w:rFonts w:ascii="Times New Roman" w:eastAsia="Times New Roman" w:hAnsi="Times New Roman" w:cs="Times New Roman"/>
          <w:i/>
          <w:iCs/>
          <w:color w:val="000000"/>
          <w:sz w:val="27"/>
          <w:szCs w:val="27"/>
          <w:lang w:eastAsia="en-GB"/>
        </w:rPr>
        <w:t>History Today</w:t>
      </w:r>
      <w:r w:rsidRPr="003808FC">
        <w:rPr>
          <w:rFonts w:ascii="Times New Roman" w:eastAsia="Times New Roman" w:hAnsi="Times New Roman" w:cs="Times New Roman"/>
          <w:color w:val="000000"/>
          <w:sz w:val="27"/>
          <w:szCs w:val="27"/>
          <w:lang w:eastAsia="en-GB"/>
        </w:rPr>
        <w:t> 67, no. 9 (2017): 24-35.</w:t>
      </w:r>
    </w:p>
    <w:p w14:paraId="2EB87637"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Marshall, Paul A, and Nina Shea. </w:t>
      </w:r>
      <w:r w:rsidRPr="003808FC">
        <w:rPr>
          <w:rFonts w:ascii="Times New Roman" w:eastAsia="Times New Roman" w:hAnsi="Times New Roman" w:cs="Times New Roman"/>
          <w:i/>
          <w:iCs/>
          <w:color w:val="000000"/>
          <w:sz w:val="27"/>
          <w:szCs w:val="27"/>
          <w:lang w:eastAsia="en-GB"/>
        </w:rPr>
        <w:t>Silenced</w:t>
      </w:r>
      <w:r w:rsidRPr="003808FC">
        <w:rPr>
          <w:rFonts w:ascii="Times New Roman" w:eastAsia="Times New Roman" w:hAnsi="Times New Roman" w:cs="Times New Roman"/>
          <w:color w:val="000000"/>
          <w:sz w:val="27"/>
          <w:szCs w:val="27"/>
          <w:lang w:eastAsia="en-GB"/>
        </w:rPr>
        <w:t>. Oxford: Oxford University Press, 2011.</w:t>
      </w:r>
    </w:p>
    <w:p w14:paraId="759BE34F"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Mazhar, Arafat. </w:t>
      </w:r>
      <w:r w:rsidRPr="003808FC">
        <w:rPr>
          <w:rFonts w:ascii="Times New Roman" w:eastAsia="Times New Roman" w:hAnsi="Times New Roman" w:cs="Times New Roman"/>
          <w:i/>
          <w:iCs/>
          <w:color w:val="000000"/>
          <w:sz w:val="27"/>
          <w:szCs w:val="27"/>
          <w:lang w:eastAsia="en-GB"/>
        </w:rPr>
        <w:t xml:space="preserve">The Untold Truth </w:t>
      </w:r>
      <w:proofErr w:type="gramStart"/>
      <w:r w:rsidRPr="003808FC">
        <w:rPr>
          <w:rFonts w:ascii="Times New Roman" w:eastAsia="Times New Roman" w:hAnsi="Times New Roman" w:cs="Times New Roman"/>
          <w:i/>
          <w:iCs/>
          <w:color w:val="000000"/>
          <w:sz w:val="27"/>
          <w:szCs w:val="27"/>
          <w:lang w:eastAsia="en-GB"/>
        </w:rPr>
        <w:t>Of</w:t>
      </w:r>
      <w:proofErr w:type="gramEnd"/>
      <w:r w:rsidRPr="003808FC">
        <w:rPr>
          <w:rFonts w:ascii="Times New Roman" w:eastAsia="Times New Roman" w:hAnsi="Times New Roman" w:cs="Times New Roman"/>
          <w:i/>
          <w:iCs/>
          <w:color w:val="000000"/>
          <w:sz w:val="27"/>
          <w:szCs w:val="27"/>
          <w:lang w:eastAsia="en-GB"/>
        </w:rPr>
        <w:t xml:space="preserve"> Pakistan's Blasphemy Law</w:t>
      </w:r>
      <w:r w:rsidRPr="003808FC">
        <w:rPr>
          <w:rFonts w:ascii="Times New Roman" w:eastAsia="Times New Roman" w:hAnsi="Times New Roman" w:cs="Times New Roman"/>
          <w:color w:val="000000"/>
          <w:sz w:val="27"/>
          <w:szCs w:val="27"/>
          <w:lang w:eastAsia="en-GB"/>
        </w:rPr>
        <w:t>. Engage Foundation, 2018.</w:t>
      </w:r>
    </w:p>
    <w:p w14:paraId="786C4AE7"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"New Report Depicts Christians And Minorities Under Siege". </w:t>
      </w:r>
      <w:r w:rsidRPr="003808FC">
        <w:rPr>
          <w:rFonts w:ascii="Times New Roman" w:eastAsia="Times New Roman" w:hAnsi="Times New Roman" w:cs="Times New Roman"/>
          <w:i/>
          <w:iCs/>
          <w:color w:val="000000"/>
          <w:sz w:val="27"/>
          <w:szCs w:val="27"/>
          <w:lang w:eastAsia="en-GB"/>
        </w:rPr>
        <w:t>America Magazine</w:t>
      </w:r>
      <w:r w:rsidRPr="003808FC">
        <w:rPr>
          <w:rFonts w:ascii="Times New Roman" w:eastAsia="Times New Roman" w:hAnsi="Times New Roman" w:cs="Times New Roman"/>
          <w:color w:val="000000"/>
          <w:sz w:val="27"/>
          <w:szCs w:val="27"/>
          <w:lang w:eastAsia="en-GB"/>
        </w:rPr>
        <w:t>, 2011.</w:t>
      </w:r>
    </w:p>
    <w:p w14:paraId="40E8FAD6"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Rumi, Raza. "UNPACKING THE BLASPHEMY LAWS OF PAKISTAN". </w:t>
      </w:r>
      <w:r w:rsidRPr="003808FC">
        <w:rPr>
          <w:rFonts w:ascii="Times New Roman" w:eastAsia="Times New Roman" w:hAnsi="Times New Roman" w:cs="Times New Roman"/>
          <w:i/>
          <w:iCs/>
          <w:color w:val="000000"/>
          <w:sz w:val="27"/>
          <w:szCs w:val="27"/>
          <w:lang w:eastAsia="en-GB"/>
        </w:rPr>
        <w:t>Asian Affairs</w:t>
      </w:r>
      <w:r w:rsidRPr="003808FC">
        <w:rPr>
          <w:rFonts w:ascii="Times New Roman" w:eastAsia="Times New Roman" w:hAnsi="Times New Roman" w:cs="Times New Roman"/>
          <w:color w:val="000000"/>
          <w:sz w:val="27"/>
          <w:szCs w:val="27"/>
          <w:lang w:eastAsia="en-GB"/>
        </w:rPr>
        <w:t xml:space="preserve"> 49, no. 2 (2018): 319-339. </w:t>
      </w:r>
      <w:r w:rsidRPr="006A2E0B">
        <w:rPr>
          <w:rFonts w:ascii="Times New Roman" w:eastAsia="Times New Roman" w:hAnsi="Times New Roman" w:cs="Times New Roman"/>
          <w:noProof/>
          <w:color w:val="000000"/>
          <w:sz w:val="27"/>
          <w:szCs w:val="27"/>
          <w:lang w:eastAsia="en-GB"/>
        </w:rPr>
        <w:t>doi</w:t>
      </w:r>
      <w:r w:rsidRPr="003808FC">
        <w:rPr>
          <w:rFonts w:ascii="Times New Roman" w:eastAsia="Times New Roman" w:hAnsi="Times New Roman" w:cs="Times New Roman"/>
          <w:color w:val="000000"/>
          <w:sz w:val="27"/>
          <w:szCs w:val="27"/>
          <w:lang w:eastAsia="en-GB"/>
        </w:rPr>
        <w:t>:10.1080/03068374.2018.1469338.</w:t>
      </w:r>
    </w:p>
    <w:p w14:paraId="44EBCC7E"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 xml:space="preserve">Safi </w:t>
      </w:r>
      <w:proofErr w:type="spellStart"/>
      <w:r w:rsidRPr="003808FC">
        <w:rPr>
          <w:rFonts w:ascii="Times New Roman" w:eastAsia="Times New Roman" w:hAnsi="Times New Roman" w:cs="Times New Roman"/>
          <w:color w:val="000000"/>
          <w:sz w:val="27"/>
          <w:szCs w:val="27"/>
          <w:lang w:eastAsia="en-GB"/>
        </w:rPr>
        <w:t>Munshey</w:t>
      </w:r>
      <w:proofErr w:type="spellEnd"/>
      <w:r w:rsidRPr="003808FC">
        <w:rPr>
          <w:rFonts w:ascii="Times New Roman" w:eastAsia="Times New Roman" w:hAnsi="Times New Roman" w:cs="Times New Roman"/>
          <w:color w:val="000000"/>
          <w:sz w:val="27"/>
          <w:szCs w:val="27"/>
          <w:lang w:eastAsia="en-GB"/>
        </w:rPr>
        <w:t xml:space="preserve">, </w:t>
      </w:r>
      <w:r w:rsidRPr="006A2E0B">
        <w:rPr>
          <w:rFonts w:ascii="Times New Roman" w:eastAsia="Times New Roman" w:hAnsi="Times New Roman" w:cs="Times New Roman"/>
          <w:noProof/>
          <w:color w:val="000000"/>
          <w:sz w:val="27"/>
          <w:szCs w:val="27"/>
          <w:lang w:eastAsia="en-GB"/>
        </w:rPr>
        <w:t>Menaal</w:t>
      </w:r>
      <w:r w:rsidRPr="003808FC">
        <w:rPr>
          <w:rFonts w:ascii="Times New Roman" w:eastAsia="Times New Roman" w:hAnsi="Times New Roman" w:cs="Times New Roman"/>
          <w:color w:val="000000"/>
          <w:sz w:val="27"/>
          <w:szCs w:val="27"/>
          <w:lang w:eastAsia="en-GB"/>
        </w:rPr>
        <w:t xml:space="preserve">. "Blasphemy </w:t>
      </w:r>
      <w:proofErr w:type="gramStart"/>
      <w:r w:rsidRPr="003808FC">
        <w:rPr>
          <w:rFonts w:ascii="Times New Roman" w:eastAsia="Times New Roman" w:hAnsi="Times New Roman" w:cs="Times New Roman"/>
          <w:color w:val="000000"/>
          <w:sz w:val="27"/>
          <w:szCs w:val="27"/>
          <w:lang w:eastAsia="en-GB"/>
        </w:rPr>
        <w:t>And</w:t>
      </w:r>
      <w:proofErr w:type="gramEnd"/>
      <w:r w:rsidRPr="003808FC">
        <w:rPr>
          <w:rFonts w:ascii="Times New Roman" w:eastAsia="Times New Roman" w:hAnsi="Times New Roman" w:cs="Times New Roman"/>
          <w:color w:val="000000"/>
          <w:sz w:val="27"/>
          <w:szCs w:val="27"/>
          <w:lang w:eastAsia="en-GB"/>
        </w:rPr>
        <w:t xml:space="preserve"> Religious Violence In Pakistan". </w:t>
      </w:r>
      <w:proofErr w:type="spellStart"/>
      <w:r w:rsidRPr="003808FC">
        <w:rPr>
          <w:rFonts w:ascii="Times New Roman" w:eastAsia="Times New Roman" w:hAnsi="Times New Roman" w:cs="Times New Roman"/>
          <w:i/>
          <w:iCs/>
          <w:color w:val="000000"/>
          <w:sz w:val="27"/>
          <w:szCs w:val="27"/>
          <w:lang w:eastAsia="en-GB"/>
        </w:rPr>
        <w:t>Estudios</w:t>
      </w:r>
      <w:proofErr w:type="spellEnd"/>
      <w:r w:rsidRPr="003808FC">
        <w:rPr>
          <w:rFonts w:ascii="Times New Roman" w:eastAsia="Times New Roman" w:hAnsi="Times New Roman" w:cs="Times New Roman"/>
          <w:color w:val="000000"/>
          <w:sz w:val="27"/>
          <w:szCs w:val="27"/>
          <w:lang w:eastAsia="en-GB"/>
        </w:rPr>
        <w:t xml:space="preserve">, no. 35 (2017): 390. </w:t>
      </w:r>
      <w:r w:rsidRPr="006A2E0B">
        <w:rPr>
          <w:rFonts w:ascii="Times New Roman" w:eastAsia="Times New Roman" w:hAnsi="Times New Roman" w:cs="Times New Roman"/>
          <w:noProof/>
          <w:color w:val="000000"/>
          <w:sz w:val="27"/>
          <w:szCs w:val="27"/>
          <w:lang w:eastAsia="en-GB"/>
        </w:rPr>
        <w:t>doi</w:t>
      </w:r>
      <w:r w:rsidRPr="003808FC">
        <w:rPr>
          <w:rFonts w:ascii="Times New Roman" w:eastAsia="Times New Roman" w:hAnsi="Times New Roman" w:cs="Times New Roman"/>
          <w:color w:val="000000"/>
          <w:sz w:val="27"/>
          <w:szCs w:val="27"/>
          <w:lang w:eastAsia="en-GB"/>
        </w:rPr>
        <w:t>:10.15517/</w:t>
      </w:r>
      <w:proofErr w:type="gramStart"/>
      <w:r w:rsidRPr="003808FC">
        <w:rPr>
          <w:rFonts w:ascii="Times New Roman" w:eastAsia="Times New Roman" w:hAnsi="Times New Roman" w:cs="Times New Roman"/>
          <w:color w:val="000000"/>
          <w:sz w:val="27"/>
          <w:szCs w:val="27"/>
          <w:lang w:eastAsia="en-GB"/>
        </w:rPr>
        <w:t>re.v</w:t>
      </w:r>
      <w:proofErr w:type="gramEnd"/>
      <w:r w:rsidRPr="003808FC">
        <w:rPr>
          <w:rFonts w:ascii="Times New Roman" w:eastAsia="Times New Roman" w:hAnsi="Times New Roman" w:cs="Times New Roman"/>
          <w:color w:val="000000"/>
          <w:sz w:val="27"/>
          <w:szCs w:val="27"/>
          <w:lang w:eastAsia="en-GB"/>
        </w:rPr>
        <w:t>0i35.31620.</w:t>
      </w:r>
    </w:p>
    <w:p w14:paraId="2510D511"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 xml:space="preserve">Shakir, Naeem. "Islamic Shariah And Blasphemy Laws </w:t>
      </w:r>
      <w:proofErr w:type="gramStart"/>
      <w:r w:rsidRPr="003808FC">
        <w:rPr>
          <w:rFonts w:ascii="Times New Roman" w:eastAsia="Times New Roman" w:hAnsi="Times New Roman" w:cs="Times New Roman"/>
          <w:color w:val="000000"/>
          <w:sz w:val="27"/>
          <w:szCs w:val="27"/>
          <w:lang w:eastAsia="en-GB"/>
        </w:rPr>
        <w:t>In</w:t>
      </w:r>
      <w:proofErr w:type="gramEnd"/>
      <w:r w:rsidRPr="003808FC">
        <w:rPr>
          <w:rFonts w:ascii="Times New Roman" w:eastAsia="Times New Roman" w:hAnsi="Times New Roman" w:cs="Times New Roman"/>
          <w:color w:val="000000"/>
          <w:sz w:val="27"/>
          <w:szCs w:val="27"/>
          <w:lang w:eastAsia="en-GB"/>
        </w:rPr>
        <w:t xml:space="preserve"> Pakistan". </w:t>
      </w:r>
      <w:r w:rsidRPr="003808FC">
        <w:rPr>
          <w:rFonts w:ascii="Times New Roman" w:eastAsia="Times New Roman" w:hAnsi="Times New Roman" w:cs="Times New Roman"/>
          <w:i/>
          <w:iCs/>
          <w:color w:val="000000"/>
          <w:sz w:val="27"/>
          <w:szCs w:val="27"/>
          <w:lang w:eastAsia="en-GB"/>
        </w:rPr>
        <w:t>The Round Table</w:t>
      </w:r>
      <w:r w:rsidRPr="003808FC">
        <w:rPr>
          <w:rFonts w:ascii="Times New Roman" w:eastAsia="Times New Roman" w:hAnsi="Times New Roman" w:cs="Times New Roman"/>
          <w:color w:val="000000"/>
          <w:sz w:val="27"/>
          <w:szCs w:val="27"/>
          <w:lang w:eastAsia="en-GB"/>
        </w:rPr>
        <w:t xml:space="preserve"> 104, no. 3 (2015): 307-317. </w:t>
      </w:r>
      <w:r w:rsidRPr="006A2E0B">
        <w:rPr>
          <w:rFonts w:ascii="Times New Roman" w:eastAsia="Times New Roman" w:hAnsi="Times New Roman" w:cs="Times New Roman"/>
          <w:noProof/>
          <w:color w:val="000000"/>
          <w:sz w:val="27"/>
          <w:szCs w:val="27"/>
          <w:lang w:eastAsia="en-GB"/>
        </w:rPr>
        <w:t>doi</w:t>
      </w:r>
      <w:r w:rsidRPr="003808FC">
        <w:rPr>
          <w:rFonts w:ascii="Times New Roman" w:eastAsia="Times New Roman" w:hAnsi="Times New Roman" w:cs="Times New Roman"/>
          <w:color w:val="000000"/>
          <w:sz w:val="27"/>
          <w:szCs w:val="27"/>
          <w:lang w:eastAsia="en-GB"/>
        </w:rPr>
        <w:t>:10.1080/00358533.2015.1053235.</w:t>
      </w:r>
    </w:p>
    <w:p w14:paraId="11CAB81B" w14:textId="77777777" w:rsidR="003808FC" w:rsidRPr="003808FC" w:rsidRDefault="003808FC" w:rsidP="003808FC">
      <w:pPr>
        <w:spacing w:after="180" w:line="240" w:lineRule="auto"/>
        <w:ind w:left="450" w:hanging="450"/>
        <w:rPr>
          <w:rFonts w:ascii="Times New Roman" w:eastAsia="Times New Roman" w:hAnsi="Times New Roman" w:cs="Times New Roman"/>
          <w:color w:val="000000"/>
          <w:sz w:val="27"/>
          <w:szCs w:val="27"/>
          <w:lang w:eastAsia="en-GB"/>
        </w:rPr>
      </w:pPr>
      <w:r w:rsidRPr="003808FC">
        <w:rPr>
          <w:rFonts w:ascii="Times New Roman" w:eastAsia="Times New Roman" w:hAnsi="Times New Roman" w:cs="Times New Roman"/>
          <w:color w:val="000000"/>
          <w:sz w:val="27"/>
          <w:szCs w:val="27"/>
          <w:lang w:eastAsia="en-GB"/>
        </w:rPr>
        <w:t>Sookhdeo, Patrick. </w:t>
      </w:r>
      <w:r w:rsidRPr="003808FC">
        <w:rPr>
          <w:rFonts w:ascii="Times New Roman" w:eastAsia="Times New Roman" w:hAnsi="Times New Roman" w:cs="Times New Roman"/>
          <w:i/>
          <w:iCs/>
          <w:color w:val="000000"/>
          <w:sz w:val="27"/>
          <w:szCs w:val="27"/>
          <w:lang w:eastAsia="en-GB"/>
        </w:rPr>
        <w:t xml:space="preserve">Freedom </w:t>
      </w:r>
      <w:proofErr w:type="gramStart"/>
      <w:r w:rsidRPr="003808FC">
        <w:rPr>
          <w:rFonts w:ascii="Times New Roman" w:eastAsia="Times New Roman" w:hAnsi="Times New Roman" w:cs="Times New Roman"/>
          <w:i/>
          <w:iCs/>
          <w:color w:val="000000"/>
          <w:sz w:val="27"/>
          <w:szCs w:val="27"/>
          <w:lang w:eastAsia="en-GB"/>
        </w:rPr>
        <w:t>To</w:t>
      </w:r>
      <w:proofErr w:type="gramEnd"/>
      <w:r w:rsidRPr="003808FC">
        <w:rPr>
          <w:rFonts w:ascii="Times New Roman" w:eastAsia="Times New Roman" w:hAnsi="Times New Roman" w:cs="Times New Roman"/>
          <w:i/>
          <w:iCs/>
          <w:color w:val="000000"/>
          <w:sz w:val="27"/>
          <w:szCs w:val="27"/>
          <w:lang w:eastAsia="en-GB"/>
        </w:rPr>
        <w:t xml:space="preserve"> Believe</w:t>
      </w:r>
      <w:r w:rsidRPr="003808FC">
        <w:rPr>
          <w:rFonts w:ascii="Times New Roman" w:eastAsia="Times New Roman" w:hAnsi="Times New Roman" w:cs="Times New Roman"/>
          <w:color w:val="000000"/>
          <w:sz w:val="27"/>
          <w:szCs w:val="27"/>
          <w:lang w:eastAsia="en-GB"/>
        </w:rPr>
        <w:t>. McLean, VA: Isaac Publishing, 2009.</w:t>
      </w:r>
    </w:p>
    <w:bookmarkEnd w:id="8"/>
    <w:p w14:paraId="2DC3350A" w14:textId="468F2FA6" w:rsidR="00D470FB" w:rsidRPr="00876E29" w:rsidRDefault="00D470FB" w:rsidP="00876E29">
      <w:pPr>
        <w:rPr>
          <w:rFonts w:ascii="Arial" w:hAnsi="Arial" w:cs="Arial"/>
          <w:sz w:val="20"/>
          <w:szCs w:val="20"/>
        </w:rPr>
      </w:pPr>
    </w:p>
    <w:sectPr w:rsidR="00D470FB" w:rsidRPr="00876E29" w:rsidSect="00B059DB">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CD5E9" w14:textId="77777777" w:rsidR="003979DE" w:rsidRDefault="003979DE" w:rsidP="00A0771C">
      <w:pPr>
        <w:spacing w:after="0" w:line="240" w:lineRule="auto"/>
      </w:pPr>
      <w:r>
        <w:separator/>
      </w:r>
    </w:p>
  </w:endnote>
  <w:endnote w:type="continuationSeparator" w:id="0">
    <w:p w14:paraId="3368562B" w14:textId="77777777" w:rsidR="003979DE" w:rsidRDefault="003979DE" w:rsidP="00A0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FBE14" w14:textId="77777777" w:rsidR="003979DE" w:rsidRDefault="003979DE" w:rsidP="00A0771C">
      <w:pPr>
        <w:spacing w:after="0" w:line="240" w:lineRule="auto"/>
      </w:pPr>
      <w:r>
        <w:separator/>
      </w:r>
    </w:p>
  </w:footnote>
  <w:footnote w:type="continuationSeparator" w:id="0">
    <w:p w14:paraId="2F2A1963" w14:textId="77777777" w:rsidR="003979DE" w:rsidRDefault="003979DE" w:rsidP="00A0771C">
      <w:pPr>
        <w:spacing w:after="0" w:line="240" w:lineRule="auto"/>
      </w:pPr>
      <w:r>
        <w:continuationSeparator/>
      </w:r>
    </w:p>
  </w:footnote>
  <w:footnote w:id="1">
    <w:p w14:paraId="3E3F773C" w14:textId="39A1CF78" w:rsidR="00D176A7" w:rsidRDefault="00D176A7">
      <w:pPr>
        <w:pStyle w:val="FootnoteText"/>
      </w:pPr>
      <w:r>
        <w:rPr>
          <w:rStyle w:val="FootnoteReference"/>
        </w:rPr>
        <w:footnoteRef/>
      </w:r>
      <w:r>
        <w:t xml:space="preserve"> </w:t>
      </w:r>
      <w:bookmarkStart w:id="9" w:name="_Hlk535791506"/>
      <w:r>
        <w:rPr>
          <w:rFonts w:ascii="Arial" w:hAnsi="Arial" w:cs="Arial"/>
          <w:i/>
          <w:iCs/>
          <w:color w:val="000000"/>
          <w:shd w:val="clear" w:color="auto" w:fill="FFFFFF"/>
        </w:rPr>
        <w:t xml:space="preserve">A Question </w:t>
      </w:r>
      <w:r w:rsidR="00FA2D6B">
        <w:rPr>
          <w:rFonts w:ascii="Arial" w:hAnsi="Arial" w:cs="Arial"/>
          <w:i/>
          <w:iCs/>
          <w:color w:val="000000"/>
          <w:shd w:val="clear" w:color="auto" w:fill="FFFFFF"/>
        </w:rPr>
        <w:t>o</w:t>
      </w:r>
      <w:r>
        <w:rPr>
          <w:rFonts w:ascii="Arial" w:hAnsi="Arial" w:cs="Arial"/>
          <w:i/>
          <w:iCs/>
          <w:color w:val="000000"/>
          <w:shd w:val="clear" w:color="auto" w:fill="FFFFFF"/>
        </w:rPr>
        <w:t>f Faith</w:t>
      </w:r>
      <w:r>
        <w:rPr>
          <w:rFonts w:ascii="Arial" w:hAnsi="Arial" w:cs="Arial"/>
          <w:color w:val="000000"/>
          <w:shd w:val="clear" w:color="auto" w:fill="FFFFFF"/>
        </w:rPr>
        <w:t> (Islamabad: Jinnah Institute, 2011), 30.</w:t>
      </w:r>
      <w:bookmarkEnd w:id="9"/>
    </w:p>
  </w:footnote>
  <w:footnote w:id="2">
    <w:p w14:paraId="763F7700" w14:textId="6768FE41" w:rsidR="00D176A7" w:rsidRDefault="00D176A7">
      <w:pPr>
        <w:pStyle w:val="FootnoteText"/>
      </w:pPr>
      <w:r>
        <w:rPr>
          <w:rStyle w:val="FootnoteReference"/>
        </w:rPr>
        <w:footnoteRef/>
      </w:r>
      <w:r>
        <w:t xml:space="preserve"> </w:t>
      </w:r>
      <w:proofErr w:type="gramStart"/>
      <w:r w:rsidRPr="00D176A7">
        <w:t>Paul A Marshall and Nina Shea,</w:t>
      </w:r>
      <w:proofErr w:type="gramEnd"/>
      <w:r w:rsidRPr="00D176A7">
        <w:t> </w:t>
      </w:r>
      <w:r w:rsidRPr="00D176A7">
        <w:rPr>
          <w:i/>
          <w:iCs/>
        </w:rPr>
        <w:t>Silenced</w:t>
      </w:r>
      <w:r w:rsidRPr="00D176A7">
        <w:t> (Oxford: Oxford University Press, 2011)</w:t>
      </w:r>
      <w:r>
        <w:t>, 84.</w:t>
      </w:r>
    </w:p>
  </w:footnote>
  <w:footnote w:id="3">
    <w:p w14:paraId="5D7158D9" w14:textId="4B4311CE" w:rsidR="00FA2D6B" w:rsidRDefault="00FA2D6B">
      <w:pPr>
        <w:pStyle w:val="FootnoteText"/>
      </w:pPr>
      <w:r>
        <w:rPr>
          <w:rStyle w:val="FootnoteReference"/>
        </w:rPr>
        <w:footnoteRef/>
      </w:r>
      <w:r>
        <w:t xml:space="preserve"> </w:t>
      </w:r>
      <w:bookmarkStart w:id="10" w:name="_Hlk535695925"/>
      <w:r w:rsidRPr="00FA2D6B">
        <w:t xml:space="preserve">David Forte, "Apostasy </w:t>
      </w:r>
      <w:proofErr w:type="gramStart"/>
      <w:r w:rsidRPr="00FA2D6B">
        <w:t>And</w:t>
      </w:r>
      <w:proofErr w:type="gramEnd"/>
      <w:r w:rsidRPr="00FA2D6B">
        <w:t xml:space="preserve"> Blasphemy In Pakistan", </w:t>
      </w:r>
      <w:r w:rsidRPr="00FA2D6B">
        <w:rPr>
          <w:i/>
          <w:iCs/>
        </w:rPr>
        <w:t>Connecticut Journal Of International Law</w:t>
      </w:r>
      <w:r w:rsidRPr="00FA2D6B">
        <w:t> 10, no. 27 (1994)</w:t>
      </w:r>
      <w:r>
        <w:t>, 27</w:t>
      </w:r>
      <w:bookmarkEnd w:id="10"/>
    </w:p>
  </w:footnote>
  <w:footnote w:id="4">
    <w:p w14:paraId="1F258C5D" w14:textId="08E00F0D" w:rsidR="00FA2D6B" w:rsidRDefault="00FA2D6B">
      <w:pPr>
        <w:pStyle w:val="FootnoteText"/>
      </w:pPr>
      <w:r>
        <w:rPr>
          <w:rStyle w:val="FootnoteReference"/>
        </w:rPr>
        <w:footnoteRef/>
      </w:r>
      <w:r>
        <w:t xml:space="preserve"> </w:t>
      </w:r>
      <w:r w:rsidRPr="00FA2D6B">
        <w:t xml:space="preserve">David Forte, "Apostasy </w:t>
      </w:r>
      <w:proofErr w:type="gramStart"/>
      <w:r w:rsidRPr="00FA2D6B">
        <w:t>And</w:t>
      </w:r>
      <w:proofErr w:type="gramEnd"/>
      <w:r w:rsidRPr="00FA2D6B">
        <w:t xml:space="preserve"> Blasphemy In Pakistan", </w:t>
      </w:r>
      <w:r w:rsidRPr="00FA2D6B">
        <w:rPr>
          <w:i/>
          <w:iCs/>
        </w:rPr>
        <w:t>Connecticut Journal Of International Law</w:t>
      </w:r>
      <w:r w:rsidRPr="00FA2D6B">
        <w:t> 10, no. 27 (1994), 2</w:t>
      </w:r>
      <w:r>
        <w:t>8</w:t>
      </w:r>
    </w:p>
  </w:footnote>
  <w:footnote w:id="5">
    <w:p w14:paraId="48A9E392" w14:textId="09AAE17E" w:rsidR="00FA2D6B" w:rsidRDefault="00FA2D6B">
      <w:pPr>
        <w:pStyle w:val="FootnoteText"/>
      </w:pPr>
      <w:r>
        <w:rPr>
          <w:rStyle w:val="FootnoteReference"/>
        </w:rPr>
        <w:footnoteRef/>
      </w:r>
      <w:r>
        <w:t xml:space="preserve"> </w:t>
      </w:r>
      <w:r w:rsidR="00C92317" w:rsidRPr="00C92317">
        <w:t xml:space="preserve">Naeem Shakir, "Islamic Shariah And Blasphemy Laws </w:t>
      </w:r>
      <w:proofErr w:type="gramStart"/>
      <w:r w:rsidR="00C92317" w:rsidRPr="00C92317">
        <w:t>In</w:t>
      </w:r>
      <w:proofErr w:type="gramEnd"/>
      <w:r w:rsidR="00C92317" w:rsidRPr="00C92317">
        <w:t xml:space="preserve"> Pakistan", </w:t>
      </w:r>
      <w:r w:rsidR="00C92317" w:rsidRPr="00C92317">
        <w:rPr>
          <w:i/>
          <w:iCs/>
        </w:rPr>
        <w:t>The Round Table</w:t>
      </w:r>
      <w:r w:rsidR="00C92317" w:rsidRPr="00C92317">
        <w:t> 104, no. 3 (2015): 307-317, doi:10.1080/00358533.2015.1053235.</w:t>
      </w:r>
    </w:p>
  </w:footnote>
  <w:footnote w:id="6">
    <w:p w14:paraId="0F4917D7" w14:textId="1B544DA3" w:rsidR="00FA2D6B" w:rsidRDefault="00FA2D6B">
      <w:pPr>
        <w:pStyle w:val="FootnoteText"/>
      </w:pPr>
      <w:r>
        <w:rPr>
          <w:rStyle w:val="FootnoteReference"/>
        </w:rPr>
        <w:footnoteRef/>
      </w:r>
      <w:r>
        <w:t xml:space="preserve"> </w:t>
      </w:r>
      <w:r w:rsidRPr="00FA2D6B">
        <w:t xml:space="preserve">David Forte, "Apostasy </w:t>
      </w:r>
      <w:proofErr w:type="gramStart"/>
      <w:r w:rsidRPr="00FA2D6B">
        <w:t>And</w:t>
      </w:r>
      <w:proofErr w:type="gramEnd"/>
      <w:r w:rsidRPr="00FA2D6B">
        <w:t xml:space="preserve"> Blasphemy In Pakistan", </w:t>
      </w:r>
      <w:r w:rsidRPr="00FA2D6B">
        <w:rPr>
          <w:i/>
          <w:iCs/>
        </w:rPr>
        <w:t>Connecticut Journal Of International Law</w:t>
      </w:r>
      <w:r w:rsidRPr="00FA2D6B">
        <w:t> 10, no. 27 (1994), 3</w:t>
      </w:r>
      <w:r>
        <w:t>8.</w:t>
      </w:r>
    </w:p>
  </w:footnote>
  <w:footnote w:id="7">
    <w:p w14:paraId="3C7DDCE4" w14:textId="77777777" w:rsidR="00FA2D6B" w:rsidRDefault="00FA2D6B" w:rsidP="00FA2D6B">
      <w:pPr>
        <w:pStyle w:val="FootnoteText"/>
      </w:pPr>
      <w:r>
        <w:rPr>
          <w:rStyle w:val="FootnoteReference"/>
        </w:rPr>
        <w:footnoteRef/>
      </w:r>
      <w:r>
        <w:t xml:space="preserve"> </w:t>
      </w:r>
      <w:proofErr w:type="gramStart"/>
      <w:r w:rsidRPr="00D176A7">
        <w:t>Paul A Marshall and Nina Shea,</w:t>
      </w:r>
      <w:proofErr w:type="gramEnd"/>
      <w:r w:rsidRPr="00D176A7">
        <w:t> </w:t>
      </w:r>
      <w:r w:rsidRPr="00D176A7">
        <w:rPr>
          <w:i/>
          <w:iCs/>
        </w:rPr>
        <w:t>Silenced</w:t>
      </w:r>
      <w:r w:rsidRPr="00D176A7">
        <w:t> (Oxford: Oxford University Press, 2011)</w:t>
      </w:r>
      <w:r>
        <w:t xml:space="preserve">, 86. </w:t>
      </w:r>
    </w:p>
  </w:footnote>
  <w:footnote w:id="8">
    <w:p w14:paraId="3540CDF5" w14:textId="3D219B6D" w:rsidR="00C92317" w:rsidRDefault="00C92317">
      <w:pPr>
        <w:pStyle w:val="FootnoteText"/>
      </w:pPr>
      <w:r>
        <w:rPr>
          <w:rStyle w:val="FootnoteReference"/>
        </w:rPr>
        <w:footnoteRef/>
      </w:r>
      <w:r>
        <w:t xml:space="preserve"> </w:t>
      </w:r>
      <w:r w:rsidRPr="00C92317">
        <w:t xml:space="preserve">Naeem Shakir, "Islamic Shariah And Blasphemy Laws </w:t>
      </w:r>
      <w:proofErr w:type="gramStart"/>
      <w:r w:rsidRPr="00C92317">
        <w:t>In</w:t>
      </w:r>
      <w:proofErr w:type="gramEnd"/>
      <w:r w:rsidRPr="00C92317">
        <w:t xml:space="preserve"> Pakistan", </w:t>
      </w:r>
      <w:r w:rsidRPr="00C92317">
        <w:rPr>
          <w:i/>
          <w:iCs/>
        </w:rPr>
        <w:t>The Round Table</w:t>
      </w:r>
      <w:r w:rsidRPr="00C92317">
        <w:t> 104, no. 3 (2015): 307-317, doi:10.1080/00358533.2015.1053235.</w:t>
      </w:r>
    </w:p>
  </w:footnote>
  <w:footnote w:id="9">
    <w:p w14:paraId="648EF8D5" w14:textId="2D8EBA13" w:rsidR="00867B94" w:rsidRDefault="00867B94">
      <w:pPr>
        <w:pStyle w:val="FootnoteText"/>
      </w:pPr>
      <w:r>
        <w:rPr>
          <w:rStyle w:val="FootnoteReference"/>
        </w:rPr>
        <w:footnoteRef/>
      </w:r>
      <w:r>
        <w:t xml:space="preserve"> </w:t>
      </w:r>
      <w:r w:rsidRPr="00867B94">
        <w:t>Patrick Sookhdeo, </w:t>
      </w:r>
      <w:r w:rsidRPr="00867B94">
        <w:rPr>
          <w:i/>
          <w:iCs/>
        </w:rPr>
        <w:t xml:space="preserve">Freedom </w:t>
      </w:r>
      <w:proofErr w:type="gramStart"/>
      <w:r w:rsidRPr="00867B94">
        <w:rPr>
          <w:i/>
          <w:iCs/>
        </w:rPr>
        <w:t>To</w:t>
      </w:r>
      <w:proofErr w:type="gramEnd"/>
      <w:r w:rsidRPr="00867B94">
        <w:rPr>
          <w:i/>
          <w:iCs/>
        </w:rPr>
        <w:t xml:space="preserve"> Believe</w:t>
      </w:r>
      <w:r w:rsidRPr="00867B94">
        <w:t> (McLean, VA: Isaac Publishing, 2009)</w:t>
      </w:r>
      <w:r>
        <w:t>, 65</w:t>
      </w:r>
    </w:p>
  </w:footnote>
  <w:footnote w:id="10">
    <w:p w14:paraId="4594CE00" w14:textId="0EC03AD5" w:rsidR="002D492B" w:rsidRDefault="002D492B">
      <w:pPr>
        <w:pStyle w:val="FootnoteText"/>
      </w:pPr>
      <w:r>
        <w:rPr>
          <w:rStyle w:val="FootnoteReference"/>
        </w:rPr>
        <w:footnoteRef/>
      </w:r>
      <w:r>
        <w:t xml:space="preserve"> </w:t>
      </w:r>
      <w:r w:rsidRPr="002D492B">
        <w:t xml:space="preserve">David Forte, "Apostasy </w:t>
      </w:r>
      <w:proofErr w:type="gramStart"/>
      <w:r w:rsidRPr="002D492B">
        <w:t>And</w:t>
      </w:r>
      <w:proofErr w:type="gramEnd"/>
      <w:r w:rsidRPr="002D492B">
        <w:t xml:space="preserve"> Blasphemy In Pakistan", </w:t>
      </w:r>
      <w:r w:rsidRPr="002D492B">
        <w:rPr>
          <w:i/>
          <w:iCs/>
        </w:rPr>
        <w:t>Connecticut Journal Of International Law</w:t>
      </w:r>
      <w:r w:rsidRPr="002D492B">
        <w:t xml:space="preserve"> 10, no. 27 (1994), </w:t>
      </w:r>
      <w:r>
        <w:t>4.</w:t>
      </w:r>
    </w:p>
  </w:footnote>
  <w:footnote w:id="11">
    <w:p w14:paraId="728B2362" w14:textId="22CBE70D" w:rsidR="00AB235F" w:rsidRDefault="00AB235F">
      <w:pPr>
        <w:pStyle w:val="FootnoteText"/>
      </w:pPr>
      <w:r>
        <w:rPr>
          <w:rStyle w:val="FootnoteReference"/>
        </w:rPr>
        <w:footnoteRef/>
      </w:r>
      <w:r>
        <w:t xml:space="preserve"> </w:t>
      </w:r>
      <w:r w:rsidRPr="00AB235F">
        <w:t xml:space="preserve">Naeem Shakir, "Islamic Shariah And Blasphemy Laws </w:t>
      </w:r>
      <w:proofErr w:type="gramStart"/>
      <w:r w:rsidRPr="00AB235F">
        <w:t>In</w:t>
      </w:r>
      <w:proofErr w:type="gramEnd"/>
      <w:r w:rsidRPr="00AB235F">
        <w:t xml:space="preserve"> Pakistan", </w:t>
      </w:r>
      <w:r w:rsidRPr="00AB235F">
        <w:rPr>
          <w:i/>
          <w:iCs/>
        </w:rPr>
        <w:t>The Round Table</w:t>
      </w:r>
      <w:r w:rsidRPr="00AB235F">
        <w:t> 104, no. 3 (2015): 307-317, doi:10.1080/00358533.2015.1053235.</w:t>
      </w:r>
    </w:p>
  </w:footnote>
  <w:footnote w:id="12">
    <w:p w14:paraId="65EC3BAA" w14:textId="115BEDD8" w:rsidR="002D492B" w:rsidRDefault="002D492B">
      <w:pPr>
        <w:pStyle w:val="FootnoteText"/>
      </w:pPr>
      <w:r>
        <w:rPr>
          <w:rStyle w:val="FootnoteReference"/>
        </w:rPr>
        <w:footnoteRef/>
      </w:r>
      <w:r>
        <w:t xml:space="preserve"> </w:t>
      </w:r>
      <w:r w:rsidRPr="002D492B">
        <w:t xml:space="preserve">David Forte, "Apostasy </w:t>
      </w:r>
      <w:proofErr w:type="gramStart"/>
      <w:r w:rsidRPr="002D492B">
        <w:t>And</w:t>
      </w:r>
      <w:proofErr w:type="gramEnd"/>
      <w:r w:rsidRPr="002D492B">
        <w:t xml:space="preserve"> Blasphemy In Pakistan", </w:t>
      </w:r>
      <w:r w:rsidRPr="002D492B">
        <w:rPr>
          <w:i/>
          <w:iCs/>
        </w:rPr>
        <w:t>Connecticut Journal Of International Law</w:t>
      </w:r>
      <w:r w:rsidRPr="002D492B">
        <w:t xml:space="preserve"> 10, no. 27 (1994), </w:t>
      </w:r>
      <w:r>
        <w:t xml:space="preserve">42 </w:t>
      </w:r>
    </w:p>
  </w:footnote>
  <w:footnote w:id="13">
    <w:p w14:paraId="09A08D5B" w14:textId="7E3D5111" w:rsidR="002D492B" w:rsidRDefault="002D492B">
      <w:pPr>
        <w:pStyle w:val="FootnoteText"/>
      </w:pPr>
      <w:r>
        <w:rPr>
          <w:rStyle w:val="FootnoteReference"/>
        </w:rPr>
        <w:footnoteRef/>
      </w:r>
      <w:r>
        <w:t xml:space="preserve"> </w:t>
      </w:r>
      <w:r w:rsidRPr="002D492B">
        <w:t xml:space="preserve">David Forte, "Apostasy </w:t>
      </w:r>
      <w:proofErr w:type="gramStart"/>
      <w:r w:rsidRPr="002D492B">
        <w:t>And</w:t>
      </w:r>
      <w:proofErr w:type="gramEnd"/>
      <w:r w:rsidRPr="002D492B">
        <w:t xml:space="preserve"> Blasphemy In Pakistan", </w:t>
      </w:r>
      <w:r w:rsidRPr="002D492B">
        <w:rPr>
          <w:i/>
          <w:iCs/>
        </w:rPr>
        <w:t>Connecticut Journal Of International Law</w:t>
      </w:r>
      <w:r w:rsidRPr="002D492B">
        <w:t xml:space="preserve"> 10, no. 27 (1994), </w:t>
      </w:r>
      <w:r>
        <w:t>50</w:t>
      </w:r>
    </w:p>
  </w:footnote>
  <w:footnote w:id="14">
    <w:p w14:paraId="5EC80F8E" w14:textId="5D9FF855" w:rsidR="00867B94" w:rsidRDefault="00867B94">
      <w:pPr>
        <w:pStyle w:val="FootnoteText"/>
      </w:pPr>
      <w:r>
        <w:rPr>
          <w:rStyle w:val="FootnoteReference"/>
        </w:rPr>
        <w:footnoteRef/>
      </w:r>
      <w:r>
        <w:t xml:space="preserve"> </w:t>
      </w:r>
      <w:r w:rsidRPr="00867B94">
        <w:t>Patrick Sookhdeo, </w:t>
      </w:r>
      <w:r w:rsidRPr="00867B94">
        <w:rPr>
          <w:i/>
          <w:iCs/>
        </w:rPr>
        <w:t xml:space="preserve">Freedom </w:t>
      </w:r>
      <w:proofErr w:type="gramStart"/>
      <w:r w:rsidRPr="00867B94">
        <w:rPr>
          <w:i/>
          <w:iCs/>
        </w:rPr>
        <w:t>To</w:t>
      </w:r>
      <w:proofErr w:type="gramEnd"/>
      <w:r w:rsidRPr="00867B94">
        <w:rPr>
          <w:i/>
          <w:iCs/>
        </w:rPr>
        <w:t xml:space="preserve"> Believe</w:t>
      </w:r>
      <w:r w:rsidRPr="00867B94">
        <w:t> (McLean, VA: Isaac Publishing, 2009)</w:t>
      </w:r>
      <w:r>
        <w:t xml:space="preserve">, 9. </w:t>
      </w:r>
    </w:p>
  </w:footnote>
  <w:footnote w:id="15">
    <w:p w14:paraId="66F5CD0E" w14:textId="4878136E" w:rsidR="00C92317" w:rsidRDefault="00C92317">
      <w:pPr>
        <w:pStyle w:val="FootnoteText"/>
      </w:pPr>
      <w:r>
        <w:rPr>
          <w:rStyle w:val="FootnoteReference"/>
        </w:rPr>
        <w:footnoteRef/>
      </w:r>
      <w:r>
        <w:t xml:space="preserve"> </w:t>
      </w:r>
      <w:r w:rsidRPr="00C92317">
        <w:t xml:space="preserve">David Forte, "Apostasy </w:t>
      </w:r>
      <w:proofErr w:type="gramStart"/>
      <w:r w:rsidRPr="00C92317">
        <w:t>And</w:t>
      </w:r>
      <w:proofErr w:type="gramEnd"/>
      <w:r w:rsidRPr="00C92317">
        <w:t xml:space="preserve"> Blasphemy In Pakistan", </w:t>
      </w:r>
      <w:r w:rsidRPr="00C92317">
        <w:rPr>
          <w:i/>
          <w:iCs/>
        </w:rPr>
        <w:t>Connecticut Journal Of International Law</w:t>
      </w:r>
      <w:r w:rsidRPr="00C92317">
        <w:t> 10, no. 27 (1994), 5</w:t>
      </w:r>
      <w:r>
        <w:t>8</w:t>
      </w:r>
    </w:p>
  </w:footnote>
  <w:footnote w:id="16">
    <w:p w14:paraId="4F517843" w14:textId="57B14AD3" w:rsidR="00C92317" w:rsidRDefault="00C92317">
      <w:pPr>
        <w:pStyle w:val="FootnoteText"/>
      </w:pPr>
      <w:r>
        <w:rPr>
          <w:rStyle w:val="FootnoteReference"/>
        </w:rPr>
        <w:footnoteRef/>
      </w:r>
      <w:r>
        <w:t xml:space="preserve"> </w:t>
      </w:r>
      <w:r w:rsidRPr="00C92317">
        <w:t>B Harvey, "Free Speech, Islamic Faith Meet Head-On", </w:t>
      </w:r>
      <w:r w:rsidRPr="00C92317">
        <w:rPr>
          <w:i/>
          <w:iCs/>
        </w:rPr>
        <w:t>The Ottawa Citizen</w:t>
      </w:r>
      <w:r w:rsidRPr="00C92317">
        <w:t>, 1993</w:t>
      </w:r>
      <w:r>
        <w:t>, D9</w:t>
      </w:r>
    </w:p>
  </w:footnote>
  <w:footnote w:id="17">
    <w:p w14:paraId="2F29F31D" w14:textId="7F9DBC2A" w:rsidR="002D492B" w:rsidRDefault="002D492B">
      <w:pPr>
        <w:pStyle w:val="FootnoteText"/>
      </w:pPr>
      <w:r>
        <w:rPr>
          <w:rStyle w:val="FootnoteReference"/>
        </w:rPr>
        <w:footnoteRef/>
      </w:r>
      <w:r>
        <w:t xml:space="preserve"> </w:t>
      </w:r>
      <w:r w:rsidRPr="002D492B">
        <w:t xml:space="preserve">David Forte, "Apostasy </w:t>
      </w:r>
      <w:proofErr w:type="gramStart"/>
      <w:r w:rsidRPr="002D492B">
        <w:t>And</w:t>
      </w:r>
      <w:proofErr w:type="gramEnd"/>
      <w:r w:rsidRPr="002D492B">
        <w:t xml:space="preserve"> Blasphemy In Pakistan", </w:t>
      </w:r>
      <w:r w:rsidRPr="002D492B">
        <w:rPr>
          <w:i/>
          <w:iCs/>
        </w:rPr>
        <w:t>Connecticut Journal Of International Law</w:t>
      </w:r>
      <w:r w:rsidRPr="002D492B">
        <w:t xml:space="preserve"> 10, no. 27 (1994), </w:t>
      </w:r>
      <w:r>
        <w:t>54</w:t>
      </w:r>
    </w:p>
  </w:footnote>
  <w:footnote w:id="18">
    <w:p w14:paraId="668E5AB7" w14:textId="3179B027" w:rsidR="00867B94" w:rsidRDefault="00867B94">
      <w:pPr>
        <w:pStyle w:val="FootnoteText"/>
      </w:pPr>
      <w:r>
        <w:rPr>
          <w:rStyle w:val="FootnoteReference"/>
        </w:rPr>
        <w:footnoteRef/>
      </w:r>
      <w:r>
        <w:t xml:space="preserve"> </w:t>
      </w:r>
      <w:r w:rsidRPr="00867B94">
        <w:t>Patrick Sookhdeo, </w:t>
      </w:r>
      <w:r w:rsidRPr="00867B94">
        <w:rPr>
          <w:i/>
          <w:iCs/>
        </w:rPr>
        <w:t xml:space="preserve">Freedom </w:t>
      </w:r>
      <w:proofErr w:type="gramStart"/>
      <w:r w:rsidRPr="00867B94">
        <w:rPr>
          <w:i/>
          <w:iCs/>
        </w:rPr>
        <w:t>To</w:t>
      </w:r>
      <w:proofErr w:type="gramEnd"/>
      <w:r w:rsidRPr="00867B94">
        <w:rPr>
          <w:i/>
          <w:iCs/>
        </w:rPr>
        <w:t xml:space="preserve"> Believe</w:t>
      </w:r>
      <w:r w:rsidRPr="00867B94">
        <w:t> (McLean, VA: Isaac Publishing, 2009)</w:t>
      </w:r>
      <w:r>
        <w:t>, 68</w:t>
      </w:r>
    </w:p>
  </w:footnote>
  <w:footnote w:id="19">
    <w:p w14:paraId="00972B32" w14:textId="5382E0C8" w:rsidR="00C92317" w:rsidRDefault="00C92317">
      <w:pPr>
        <w:pStyle w:val="FootnoteText"/>
      </w:pPr>
      <w:r>
        <w:rPr>
          <w:rStyle w:val="FootnoteReference"/>
        </w:rPr>
        <w:footnoteRef/>
      </w:r>
      <w:r>
        <w:t xml:space="preserve"> </w:t>
      </w:r>
      <w:r w:rsidRPr="00C92317">
        <w:t>Human Rights Commission of Pakistan, "Newsletter", 1992</w:t>
      </w:r>
      <w:r>
        <w:t>, 8</w:t>
      </w:r>
    </w:p>
  </w:footnote>
  <w:footnote w:id="20">
    <w:p w14:paraId="68FB0DC5" w14:textId="0FB9E6FE" w:rsidR="00C92317" w:rsidRDefault="00C92317">
      <w:pPr>
        <w:pStyle w:val="FootnoteText"/>
      </w:pPr>
      <w:r>
        <w:rPr>
          <w:rStyle w:val="FootnoteReference"/>
        </w:rPr>
        <w:footnoteRef/>
      </w:r>
      <w:r>
        <w:t xml:space="preserve"> </w:t>
      </w:r>
      <w:r w:rsidRPr="00C92317">
        <w:t xml:space="preserve">Naeem Shakir, "Islamic Shariah And Blasphemy Laws </w:t>
      </w:r>
      <w:proofErr w:type="gramStart"/>
      <w:r w:rsidRPr="00C92317">
        <w:t>In</w:t>
      </w:r>
      <w:proofErr w:type="gramEnd"/>
      <w:r w:rsidRPr="00C92317">
        <w:t xml:space="preserve"> Pakistan", </w:t>
      </w:r>
      <w:r w:rsidRPr="00C92317">
        <w:rPr>
          <w:i/>
          <w:iCs/>
        </w:rPr>
        <w:t>The Round Table</w:t>
      </w:r>
      <w:r w:rsidRPr="00C92317">
        <w:t> 104, no. 3 (2015): 307-317, doi:10.1080/00358533.2015.1053235.</w:t>
      </w:r>
    </w:p>
  </w:footnote>
  <w:footnote w:id="21">
    <w:p w14:paraId="55052C36" w14:textId="1B5F1739" w:rsidR="00867B94" w:rsidRDefault="00867B94">
      <w:pPr>
        <w:pStyle w:val="FootnoteText"/>
      </w:pPr>
      <w:r>
        <w:rPr>
          <w:rStyle w:val="FootnoteReference"/>
        </w:rPr>
        <w:footnoteRef/>
      </w:r>
      <w:r>
        <w:t xml:space="preserve"> </w:t>
      </w:r>
      <w:r w:rsidRPr="00867B94">
        <w:t>Patrick Sookhdeo, </w:t>
      </w:r>
      <w:r w:rsidRPr="00867B94">
        <w:rPr>
          <w:i/>
          <w:iCs/>
        </w:rPr>
        <w:t xml:space="preserve">Freedom </w:t>
      </w:r>
      <w:proofErr w:type="gramStart"/>
      <w:r w:rsidRPr="00867B94">
        <w:rPr>
          <w:i/>
          <w:iCs/>
        </w:rPr>
        <w:t>To</w:t>
      </w:r>
      <w:proofErr w:type="gramEnd"/>
      <w:r w:rsidRPr="00867B94">
        <w:rPr>
          <w:i/>
          <w:iCs/>
        </w:rPr>
        <w:t xml:space="preserve"> Believe</w:t>
      </w:r>
      <w:r w:rsidRPr="00867B94">
        <w:t> (McLean, VA: Isaac Publishing, 2009),</w:t>
      </w:r>
      <w:r>
        <w:t xml:space="preserve"> 80</w:t>
      </w:r>
    </w:p>
  </w:footnote>
  <w:footnote w:id="22">
    <w:p w14:paraId="1F6877A0" w14:textId="496FF214" w:rsidR="00867B94" w:rsidRDefault="00867B94">
      <w:pPr>
        <w:pStyle w:val="FootnoteText"/>
      </w:pPr>
      <w:r>
        <w:rPr>
          <w:rStyle w:val="FootnoteReference"/>
        </w:rPr>
        <w:footnoteRef/>
      </w:r>
      <w:r>
        <w:t xml:space="preserve"> </w:t>
      </w:r>
      <w:r w:rsidRPr="00867B94">
        <w:rPr>
          <w:i/>
          <w:iCs/>
        </w:rPr>
        <w:t>A Question of Faith</w:t>
      </w:r>
      <w:r w:rsidRPr="00867B94">
        <w:t xml:space="preserve"> (Islamabad: Jinnah Institute, 2011), </w:t>
      </w:r>
      <w:r>
        <w:t>42</w:t>
      </w:r>
    </w:p>
  </w:footnote>
  <w:footnote w:id="23">
    <w:p w14:paraId="37A1B736" w14:textId="2F95B4B7" w:rsidR="00AB235F" w:rsidRDefault="00AB235F">
      <w:pPr>
        <w:pStyle w:val="FootnoteText"/>
      </w:pPr>
      <w:r>
        <w:rPr>
          <w:rStyle w:val="FootnoteReference"/>
        </w:rPr>
        <w:footnoteRef/>
      </w:r>
      <w:r>
        <w:t xml:space="preserve"> </w:t>
      </w:r>
      <w:r w:rsidRPr="00AB235F">
        <w:t xml:space="preserve">Naeem Shakir, "Islamic Shariah And Blasphemy Laws </w:t>
      </w:r>
      <w:proofErr w:type="gramStart"/>
      <w:r w:rsidRPr="00AB235F">
        <w:t>In</w:t>
      </w:r>
      <w:proofErr w:type="gramEnd"/>
      <w:r w:rsidRPr="00AB235F">
        <w:t xml:space="preserve"> Pakistan", </w:t>
      </w:r>
      <w:r w:rsidRPr="00AB235F">
        <w:rPr>
          <w:i/>
          <w:iCs/>
        </w:rPr>
        <w:t>The Round Table</w:t>
      </w:r>
      <w:r w:rsidRPr="00AB235F">
        <w:t> 104, no. 3 (2015): 307-317, doi:10.1080/00358533.2015.1053235.</w:t>
      </w:r>
    </w:p>
  </w:footnote>
  <w:footnote w:id="24">
    <w:p w14:paraId="128D1682" w14:textId="50E7642D" w:rsidR="00867B94" w:rsidRDefault="00867B94">
      <w:pPr>
        <w:pStyle w:val="FootnoteText"/>
      </w:pPr>
      <w:r>
        <w:rPr>
          <w:rStyle w:val="FootnoteReference"/>
        </w:rPr>
        <w:footnoteRef/>
      </w:r>
      <w:r>
        <w:t xml:space="preserve"> </w:t>
      </w:r>
      <w:r w:rsidR="007310D7" w:rsidRPr="007310D7">
        <w:t>Arafat Mazhar, </w:t>
      </w:r>
      <w:r w:rsidR="007310D7" w:rsidRPr="007310D7">
        <w:rPr>
          <w:i/>
          <w:iCs/>
        </w:rPr>
        <w:t xml:space="preserve">The Untold Truth </w:t>
      </w:r>
      <w:proofErr w:type="gramStart"/>
      <w:r w:rsidR="007310D7" w:rsidRPr="007310D7">
        <w:rPr>
          <w:i/>
          <w:iCs/>
        </w:rPr>
        <w:t>Of</w:t>
      </w:r>
      <w:proofErr w:type="gramEnd"/>
      <w:r w:rsidR="007310D7" w:rsidRPr="007310D7">
        <w:rPr>
          <w:i/>
          <w:iCs/>
        </w:rPr>
        <w:t xml:space="preserve"> Pakistan's Blasphemy Law</w:t>
      </w:r>
      <w:r w:rsidR="007310D7" w:rsidRPr="007310D7">
        <w:t> (Engage Foundation, 2018)</w:t>
      </w:r>
      <w:r w:rsidR="007310D7">
        <w:t>, 24</w:t>
      </w:r>
    </w:p>
  </w:footnote>
  <w:footnote w:id="25">
    <w:p w14:paraId="26529FDE" w14:textId="32BDACAE" w:rsidR="00FC3CFE" w:rsidRDefault="00FC3CFE">
      <w:pPr>
        <w:pStyle w:val="FootnoteText"/>
      </w:pPr>
      <w:r>
        <w:rPr>
          <w:rStyle w:val="FootnoteReference"/>
        </w:rPr>
        <w:footnoteRef/>
      </w:r>
      <w:r>
        <w:t xml:space="preserve"> For a complete overview of the case read her memoir: Asia Bibi – </w:t>
      </w:r>
      <w:r w:rsidRPr="00FC3CFE">
        <w:rPr>
          <w:i/>
        </w:rPr>
        <w:t>Blasphemy</w:t>
      </w:r>
      <w:r>
        <w:t>.</w:t>
      </w:r>
    </w:p>
  </w:footnote>
  <w:footnote w:id="26">
    <w:p w14:paraId="455929E7" w14:textId="6D5ADBBB" w:rsidR="00867B94" w:rsidRDefault="00867B94">
      <w:pPr>
        <w:pStyle w:val="FootnoteText"/>
      </w:pPr>
      <w:r>
        <w:rPr>
          <w:rStyle w:val="FootnoteReference"/>
        </w:rPr>
        <w:footnoteRef/>
      </w:r>
      <w:r>
        <w:t xml:space="preserve"> </w:t>
      </w:r>
      <w:r w:rsidRPr="00867B94">
        <w:t>Patrick Sookhdeo, </w:t>
      </w:r>
      <w:r w:rsidRPr="00867B94">
        <w:rPr>
          <w:i/>
          <w:iCs/>
        </w:rPr>
        <w:t xml:space="preserve">Freedom </w:t>
      </w:r>
      <w:proofErr w:type="gramStart"/>
      <w:r w:rsidRPr="00867B94">
        <w:rPr>
          <w:i/>
          <w:iCs/>
        </w:rPr>
        <w:t>To</w:t>
      </w:r>
      <w:proofErr w:type="gramEnd"/>
      <w:r w:rsidRPr="00867B94">
        <w:rPr>
          <w:i/>
          <w:iCs/>
        </w:rPr>
        <w:t xml:space="preserve"> Believe</w:t>
      </w:r>
      <w:r w:rsidRPr="00867B94">
        <w:t> (McLean, VA: Isaac Publishing, 2009)</w:t>
      </w:r>
      <w:r>
        <w:t>,67</w:t>
      </w:r>
    </w:p>
  </w:footnote>
  <w:footnote w:id="27">
    <w:p w14:paraId="745C6B68" w14:textId="7253E20B" w:rsidR="00867B94" w:rsidRDefault="00867B94">
      <w:pPr>
        <w:pStyle w:val="FootnoteText"/>
      </w:pPr>
      <w:r>
        <w:rPr>
          <w:rStyle w:val="FootnoteReference"/>
        </w:rPr>
        <w:footnoteRef/>
      </w:r>
      <w:r>
        <w:t xml:space="preserve"> Further reading: examine attempts by Benazir Bhutto and General Pervez Musharraf. </w:t>
      </w:r>
    </w:p>
  </w:footnote>
  <w:footnote w:id="28">
    <w:p w14:paraId="76ED6C8D" w14:textId="28DCA368" w:rsidR="007310D7" w:rsidRDefault="007310D7">
      <w:pPr>
        <w:pStyle w:val="FootnoteText"/>
      </w:pPr>
      <w:r>
        <w:rPr>
          <w:rStyle w:val="FootnoteReference"/>
        </w:rPr>
        <w:footnoteRef/>
      </w:r>
      <w:r>
        <w:t xml:space="preserve"> </w:t>
      </w:r>
      <w:bookmarkStart w:id="11" w:name="_Hlk535793794"/>
      <w:r w:rsidRPr="007310D7">
        <w:t>"New Report Depicts Christians And Minorities Under Siege", </w:t>
      </w:r>
      <w:r w:rsidRPr="007310D7">
        <w:rPr>
          <w:i/>
          <w:iCs/>
        </w:rPr>
        <w:t>America Magazine</w:t>
      </w:r>
      <w:r w:rsidRPr="007310D7">
        <w:t>, 2011</w:t>
      </w:r>
      <w:bookmarkEnd w:id="11"/>
      <w:r>
        <w:t>, 7</w:t>
      </w:r>
    </w:p>
  </w:footnote>
  <w:footnote w:id="29">
    <w:p w14:paraId="2B76F0E1" w14:textId="47C5C4F7" w:rsidR="007310D7" w:rsidRDefault="007310D7">
      <w:pPr>
        <w:pStyle w:val="FootnoteText"/>
      </w:pPr>
      <w:r>
        <w:rPr>
          <w:rStyle w:val="FootnoteReference"/>
        </w:rPr>
        <w:footnoteRef/>
      </w:r>
      <w:r>
        <w:t xml:space="preserve"> Ibid.</w:t>
      </w:r>
    </w:p>
  </w:footnote>
  <w:footnote w:id="30">
    <w:p w14:paraId="299EF8A0" w14:textId="032EBE60" w:rsidR="007310D7" w:rsidRDefault="007310D7">
      <w:pPr>
        <w:pStyle w:val="FootnoteText"/>
      </w:pPr>
      <w:r>
        <w:rPr>
          <w:rStyle w:val="FootnoteReference"/>
        </w:rPr>
        <w:footnoteRef/>
      </w:r>
      <w:r>
        <w:t xml:space="preserve"> </w:t>
      </w:r>
      <w:r w:rsidRPr="00867B94">
        <w:rPr>
          <w:i/>
          <w:iCs/>
        </w:rPr>
        <w:t>A Question of Faith</w:t>
      </w:r>
      <w:r w:rsidRPr="00867B94">
        <w:t xml:space="preserve"> (Islamabad: Jinnah Institute, 2011), </w:t>
      </w:r>
      <w:r>
        <w:t>42</w:t>
      </w:r>
    </w:p>
  </w:footnote>
  <w:footnote w:id="31">
    <w:p w14:paraId="7FDD9CD6" w14:textId="0E6F95C9" w:rsidR="007310D7" w:rsidRDefault="007310D7">
      <w:pPr>
        <w:pStyle w:val="FootnoteText"/>
      </w:pPr>
      <w:r>
        <w:rPr>
          <w:rStyle w:val="FootnoteReference"/>
        </w:rPr>
        <w:footnoteRef/>
      </w:r>
      <w:r>
        <w:t xml:space="preserve"> </w:t>
      </w:r>
      <w:r w:rsidRPr="007310D7">
        <w:t>"New Report Depicts Christians And Minorities Under Siege", </w:t>
      </w:r>
      <w:r w:rsidRPr="007310D7">
        <w:rPr>
          <w:i/>
          <w:iCs/>
        </w:rPr>
        <w:t>America Magazine</w:t>
      </w:r>
      <w:r w:rsidRPr="007310D7">
        <w:t>, 2011</w:t>
      </w:r>
      <w:r>
        <w:t>, 7</w:t>
      </w:r>
    </w:p>
  </w:footnote>
  <w:footnote w:id="32">
    <w:p w14:paraId="6659E149" w14:textId="37E4AFC3" w:rsidR="007310D7" w:rsidRDefault="007310D7">
      <w:pPr>
        <w:pStyle w:val="FootnoteText"/>
      </w:pPr>
      <w:r>
        <w:rPr>
          <w:rStyle w:val="FootnoteReference"/>
        </w:rPr>
        <w:footnoteRef/>
      </w:r>
      <w:r>
        <w:t xml:space="preserve"> </w:t>
      </w:r>
      <w:bookmarkStart w:id="13" w:name="_Hlk535795228"/>
      <w:r w:rsidRPr="00C92317">
        <w:t xml:space="preserve">Naeem Shakir, "Islamic Shariah And Blasphemy Laws </w:t>
      </w:r>
      <w:proofErr w:type="gramStart"/>
      <w:r w:rsidRPr="00C92317">
        <w:t>In</w:t>
      </w:r>
      <w:proofErr w:type="gramEnd"/>
      <w:r w:rsidRPr="00C92317">
        <w:t xml:space="preserve"> Pakistan", </w:t>
      </w:r>
      <w:r w:rsidRPr="00C92317">
        <w:rPr>
          <w:i/>
          <w:iCs/>
        </w:rPr>
        <w:t>The Round Table</w:t>
      </w:r>
      <w:r w:rsidRPr="00C92317">
        <w:t> 104, no. 3 (2015): 307-317, doi:10.1080/00358533.2015.1053235.</w:t>
      </w:r>
      <w:bookmarkEnd w:id="13"/>
    </w:p>
  </w:footnote>
  <w:footnote w:id="33">
    <w:p w14:paraId="24D93DF4" w14:textId="77777777" w:rsidR="007310D7" w:rsidRDefault="007310D7" w:rsidP="007310D7">
      <w:pPr>
        <w:pStyle w:val="FootnoteText"/>
      </w:pPr>
      <w:r>
        <w:rPr>
          <w:rStyle w:val="FootnoteReference"/>
        </w:rPr>
        <w:footnoteRef/>
      </w:r>
      <w:r>
        <w:t xml:space="preserve"> </w:t>
      </w:r>
      <w:r w:rsidRPr="007310D7">
        <w:t>Raza Rumi, "UNPACKING THE BLASPHEMY LAWS OF PAKISTAN", </w:t>
      </w:r>
      <w:r w:rsidRPr="007310D7">
        <w:rPr>
          <w:i/>
          <w:iCs/>
        </w:rPr>
        <w:t>Asian Affairs</w:t>
      </w:r>
      <w:r w:rsidRPr="007310D7">
        <w:t> 49, no. 2 (2018): 319-339, doi:10.1080/03068374.2018.1469338.</w:t>
      </w:r>
    </w:p>
  </w:footnote>
  <w:footnote w:id="34">
    <w:p w14:paraId="69CBF1C9" w14:textId="4686D0DC" w:rsidR="007310D7" w:rsidRDefault="007310D7">
      <w:pPr>
        <w:pStyle w:val="FootnoteText"/>
      </w:pPr>
      <w:r>
        <w:rPr>
          <w:rStyle w:val="FootnoteReference"/>
        </w:rPr>
        <w:footnoteRef/>
      </w:r>
      <w:r>
        <w:t xml:space="preserve"> </w:t>
      </w:r>
      <w:r w:rsidRPr="007310D7">
        <w:t xml:space="preserve">Naeem Shakir, "Islamic Shariah And Blasphemy Laws </w:t>
      </w:r>
      <w:proofErr w:type="gramStart"/>
      <w:r w:rsidRPr="007310D7">
        <w:t>In</w:t>
      </w:r>
      <w:proofErr w:type="gramEnd"/>
      <w:r w:rsidRPr="007310D7">
        <w:t xml:space="preserve"> Pakistan", </w:t>
      </w:r>
      <w:r w:rsidRPr="007310D7">
        <w:rPr>
          <w:i/>
          <w:iCs/>
        </w:rPr>
        <w:t>The Round Table</w:t>
      </w:r>
      <w:r w:rsidRPr="007310D7">
        <w:t> 104, no. 3 (2015): 307-317, doi:10.1080/00358533.2015.1053235.</w:t>
      </w:r>
    </w:p>
  </w:footnote>
  <w:footnote w:id="35">
    <w:p w14:paraId="24FB801A" w14:textId="3939FD44" w:rsidR="007310D7" w:rsidRDefault="007310D7">
      <w:pPr>
        <w:pStyle w:val="FootnoteText"/>
      </w:pPr>
      <w:r>
        <w:rPr>
          <w:rStyle w:val="FootnoteReference"/>
        </w:rPr>
        <w:footnoteRef/>
      </w:r>
      <w:r>
        <w:t xml:space="preserve"> </w:t>
      </w:r>
      <w:r w:rsidRPr="007310D7">
        <w:t xml:space="preserve">David Forte, "Apostasy </w:t>
      </w:r>
      <w:proofErr w:type="gramStart"/>
      <w:r w:rsidRPr="007310D7">
        <w:t>And</w:t>
      </w:r>
      <w:proofErr w:type="gramEnd"/>
      <w:r w:rsidRPr="007310D7">
        <w:t xml:space="preserve"> Blasphemy In Pakistan", </w:t>
      </w:r>
      <w:r w:rsidRPr="007310D7">
        <w:rPr>
          <w:i/>
          <w:iCs/>
        </w:rPr>
        <w:t>Connecticut Journal Of International Law</w:t>
      </w:r>
      <w:r w:rsidRPr="007310D7">
        <w:t> 10, no. 27 (1994).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7E97"/>
    <w:multiLevelType w:val="hybridMultilevel"/>
    <w:tmpl w:val="3890636A"/>
    <w:lvl w:ilvl="0" w:tplc="5C1E4DBA">
      <w:numFmt w:val="bullet"/>
      <w:lvlText w:val="-"/>
      <w:lvlJc w:val="left"/>
      <w:pPr>
        <w:ind w:left="720" w:hanging="360"/>
      </w:pPr>
      <w:rPr>
        <w:rFonts w:ascii="Arial" w:eastAsiaTheme="minorHAnsi"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D2474"/>
    <w:multiLevelType w:val="hybridMultilevel"/>
    <w:tmpl w:val="7266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2FB6"/>
    <w:multiLevelType w:val="hybridMultilevel"/>
    <w:tmpl w:val="1146270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3" w15:restartNumberingAfterBreak="0">
    <w:nsid w:val="162E29C7"/>
    <w:multiLevelType w:val="hybridMultilevel"/>
    <w:tmpl w:val="FFAC0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D1673F"/>
    <w:multiLevelType w:val="hybridMultilevel"/>
    <w:tmpl w:val="19505C08"/>
    <w:lvl w:ilvl="0" w:tplc="93244E10">
      <w:start w:val="8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E2934"/>
    <w:multiLevelType w:val="hybridMultilevel"/>
    <w:tmpl w:val="B346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0467F"/>
    <w:multiLevelType w:val="hybridMultilevel"/>
    <w:tmpl w:val="87264960"/>
    <w:lvl w:ilvl="0" w:tplc="5F7A5960">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602FE0"/>
    <w:multiLevelType w:val="hybridMultilevel"/>
    <w:tmpl w:val="B0540C1A"/>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B747F"/>
    <w:multiLevelType w:val="hybridMultilevel"/>
    <w:tmpl w:val="B7BE7D28"/>
    <w:lvl w:ilvl="0" w:tplc="5CA0002A">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E0687"/>
    <w:multiLevelType w:val="hybridMultilevel"/>
    <w:tmpl w:val="2EDC173C"/>
    <w:lvl w:ilvl="0" w:tplc="BB5064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CBF23EE"/>
    <w:multiLevelType w:val="hybridMultilevel"/>
    <w:tmpl w:val="C6DEE3B6"/>
    <w:lvl w:ilvl="0" w:tplc="57BE7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8732E1"/>
    <w:multiLevelType w:val="hybridMultilevel"/>
    <w:tmpl w:val="2142250A"/>
    <w:lvl w:ilvl="0" w:tplc="E1E230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2C2812"/>
    <w:multiLevelType w:val="hybridMultilevel"/>
    <w:tmpl w:val="44CA61B4"/>
    <w:lvl w:ilvl="0" w:tplc="5F7A59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4BF37BDD"/>
    <w:multiLevelType w:val="hybridMultilevel"/>
    <w:tmpl w:val="52D2C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581014"/>
    <w:multiLevelType w:val="hybridMultilevel"/>
    <w:tmpl w:val="F04E9794"/>
    <w:lvl w:ilvl="0" w:tplc="6A8A95E4">
      <w:numFmt w:val="bullet"/>
      <w:lvlText w:val="-"/>
      <w:lvlJc w:val="left"/>
      <w:pPr>
        <w:ind w:left="720" w:hanging="360"/>
      </w:pPr>
      <w:rPr>
        <w:rFonts w:ascii="Arial" w:eastAsiaTheme="minorHAnsi" w:hAnsi="Arial" w:cs="Arial" w:hint="default"/>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93AFA"/>
    <w:multiLevelType w:val="hybridMultilevel"/>
    <w:tmpl w:val="A36A9C00"/>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E805F9"/>
    <w:multiLevelType w:val="hybridMultilevel"/>
    <w:tmpl w:val="98E89DB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1F1586"/>
    <w:multiLevelType w:val="hybridMultilevel"/>
    <w:tmpl w:val="B3B0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E464E"/>
    <w:multiLevelType w:val="hybridMultilevel"/>
    <w:tmpl w:val="2DE280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DF1155"/>
    <w:multiLevelType w:val="hybridMultilevel"/>
    <w:tmpl w:val="D9E01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0B4598"/>
    <w:multiLevelType w:val="hybridMultilevel"/>
    <w:tmpl w:val="A548315C"/>
    <w:lvl w:ilvl="0" w:tplc="B2B44C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CD7DFC"/>
    <w:multiLevelType w:val="hybridMultilevel"/>
    <w:tmpl w:val="AD4A7640"/>
    <w:lvl w:ilvl="0" w:tplc="21A4F74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A00CCC"/>
    <w:multiLevelType w:val="hybridMultilevel"/>
    <w:tmpl w:val="960CF26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F6E26"/>
    <w:multiLevelType w:val="hybridMultilevel"/>
    <w:tmpl w:val="EFB0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785874"/>
    <w:multiLevelType w:val="hybridMultilevel"/>
    <w:tmpl w:val="C54207C2"/>
    <w:lvl w:ilvl="0" w:tplc="93049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8108DE"/>
    <w:multiLevelType w:val="hybridMultilevel"/>
    <w:tmpl w:val="C47EC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1"/>
  </w:num>
  <w:num w:numId="4">
    <w:abstractNumId w:val="24"/>
  </w:num>
  <w:num w:numId="5">
    <w:abstractNumId w:val="14"/>
  </w:num>
  <w:num w:numId="6">
    <w:abstractNumId w:val="11"/>
  </w:num>
  <w:num w:numId="7">
    <w:abstractNumId w:val="10"/>
  </w:num>
  <w:num w:numId="8">
    <w:abstractNumId w:val="4"/>
  </w:num>
  <w:num w:numId="9">
    <w:abstractNumId w:val="12"/>
  </w:num>
  <w:num w:numId="10">
    <w:abstractNumId w:val="6"/>
  </w:num>
  <w:num w:numId="11">
    <w:abstractNumId w:val="2"/>
  </w:num>
  <w:num w:numId="12">
    <w:abstractNumId w:val="20"/>
  </w:num>
  <w:num w:numId="13">
    <w:abstractNumId w:val="8"/>
  </w:num>
  <w:num w:numId="14">
    <w:abstractNumId w:val="22"/>
  </w:num>
  <w:num w:numId="15">
    <w:abstractNumId w:val="15"/>
  </w:num>
  <w:num w:numId="16">
    <w:abstractNumId w:val="13"/>
  </w:num>
  <w:num w:numId="17">
    <w:abstractNumId w:val="7"/>
  </w:num>
  <w:num w:numId="18">
    <w:abstractNumId w:val="16"/>
  </w:num>
  <w:num w:numId="19">
    <w:abstractNumId w:val="17"/>
  </w:num>
  <w:num w:numId="20">
    <w:abstractNumId w:val="1"/>
  </w:num>
  <w:num w:numId="21">
    <w:abstractNumId w:val="19"/>
  </w:num>
  <w:num w:numId="22">
    <w:abstractNumId w:val="9"/>
  </w:num>
  <w:num w:numId="23">
    <w:abstractNumId w:val="18"/>
  </w:num>
  <w:num w:numId="24">
    <w:abstractNumId w:val="5"/>
  </w:num>
  <w:num w:numId="25">
    <w:abstractNumId w:val="23"/>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MzAztDQwtbA0NLVQ0lEKTi0uzszPAykwMqgFACRk9aUtAAAA"/>
  </w:docVars>
  <w:rsids>
    <w:rsidRoot w:val="00CF10FB"/>
    <w:rsid w:val="00002AA9"/>
    <w:rsid w:val="00006C19"/>
    <w:rsid w:val="00021001"/>
    <w:rsid w:val="00044F34"/>
    <w:rsid w:val="0007728E"/>
    <w:rsid w:val="00086178"/>
    <w:rsid w:val="000B3098"/>
    <w:rsid w:val="000B40B1"/>
    <w:rsid w:val="000C197C"/>
    <w:rsid w:val="000C53EF"/>
    <w:rsid w:val="000C5CF3"/>
    <w:rsid w:val="000D70E8"/>
    <w:rsid w:val="000F6492"/>
    <w:rsid w:val="00102CD5"/>
    <w:rsid w:val="00123244"/>
    <w:rsid w:val="00182555"/>
    <w:rsid w:val="001A6A08"/>
    <w:rsid w:val="001E24E7"/>
    <w:rsid w:val="001E3564"/>
    <w:rsid w:val="00232098"/>
    <w:rsid w:val="00241A65"/>
    <w:rsid w:val="00242C65"/>
    <w:rsid w:val="00247042"/>
    <w:rsid w:val="00264F4E"/>
    <w:rsid w:val="002771DF"/>
    <w:rsid w:val="002A32F1"/>
    <w:rsid w:val="002D492B"/>
    <w:rsid w:val="002D73EB"/>
    <w:rsid w:val="002F1F82"/>
    <w:rsid w:val="00312C4F"/>
    <w:rsid w:val="0031373C"/>
    <w:rsid w:val="00331ECE"/>
    <w:rsid w:val="0034482C"/>
    <w:rsid w:val="0037406A"/>
    <w:rsid w:val="003808FC"/>
    <w:rsid w:val="003979DE"/>
    <w:rsid w:val="003C7FC3"/>
    <w:rsid w:val="003E0323"/>
    <w:rsid w:val="003E517D"/>
    <w:rsid w:val="003E5EB7"/>
    <w:rsid w:val="004141F2"/>
    <w:rsid w:val="00417A46"/>
    <w:rsid w:val="004213B8"/>
    <w:rsid w:val="0046593B"/>
    <w:rsid w:val="0047159F"/>
    <w:rsid w:val="00480899"/>
    <w:rsid w:val="00484E17"/>
    <w:rsid w:val="00492476"/>
    <w:rsid w:val="004A0D71"/>
    <w:rsid w:val="004B30A4"/>
    <w:rsid w:val="004C3C38"/>
    <w:rsid w:val="004D1072"/>
    <w:rsid w:val="004D6A6C"/>
    <w:rsid w:val="0050476E"/>
    <w:rsid w:val="0051193A"/>
    <w:rsid w:val="005235F8"/>
    <w:rsid w:val="005855E6"/>
    <w:rsid w:val="005C794C"/>
    <w:rsid w:val="005D07CD"/>
    <w:rsid w:val="005F6E60"/>
    <w:rsid w:val="00610610"/>
    <w:rsid w:val="006348EB"/>
    <w:rsid w:val="0066062D"/>
    <w:rsid w:val="006636BD"/>
    <w:rsid w:val="006A2E0B"/>
    <w:rsid w:val="006D59CA"/>
    <w:rsid w:val="006E119D"/>
    <w:rsid w:val="006E6D3E"/>
    <w:rsid w:val="006F28D9"/>
    <w:rsid w:val="00700137"/>
    <w:rsid w:val="007310D7"/>
    <w:rsid w:val="00785319"/>
    <w:rsid w:val="007931EC"/>
    <w:rsid w:val="007B37FD"/>
    <w:rsid w:val="008162ED"/>
    <w:rsid w:val="00867B94"/>
    <w:rsid w:val="008726F2"/>
    <w:rsid w:val="00876E29"/>
    <w:rsid w:val="008960F1"/>
    <w:rsid w:val="008A5C8B"/>
    <w:rsid w:val="008B5153"/>
    <w:rsid w:val="008C22E6"/>
    <w:rsid w:val="008D0887"/>
    <w:rsid w:val="008E3A83"/>
    <w:rsid w:val="00911CDF"/>
    <w:rsid w:val="00944BAE"/>
    <w:rsid w:val="009757A3"/>
    <w:rsid w:val="009A1FE1"/>
    <w:rsid w:val="009C13CE"/>
    <w:rsid w:val="009C5A71"/>
    <w:rsid w:val="009D14A0"/>
    <w:rsid w:val="00A04C99"/>
    <w:rsid w:val="00A0771C"/>
    <w:rsid w:val="00A31C78"/>
    <w:rsid w:val="00AA02CB"/>
    <w:rsid w:val="00AB235F"/>
    <w:rsid w:val="00AD2C41"/>
    <w:rsid w:val="00AD36B9"/>
    <w:rsid w:val="00AE64E7"/>
    <w:rsid w:val="00B059DB"/>
    <w:rsid w:val="00B3134E"/>
    <w:rsid w:val="00B53398"/>
    <w:rsid w:val="00B65317"/>
    <w:rsid w:val="00B729C9"/>
    <w:rsid w:val="00B875F6"/>
    <w:rsid w:val="00BC01BA"/>
    <w:rsid w:val="00C74A3B"/>
    <w:rsid w:val="00C873C5"/>
    <w:rsid w:val="00C9107E"/>
    <w:rsid w:val="00C92317"/>
    <w:rsid w:val="00C9406B"/>
    <w:rsid w:val="00CB2A45"/>
    <w:rsid w:val="00CB5B69"/>
    <w:rsid w:val="00CD493C"/>
    <w:rsid w:val="00CE769E"/>
    <w:rsid w:val="00CF10FB"/>
    <w:rsid w:val="00D02D06"/>
    <w:rsid w:val="00D1532B"/>
    <w:rsid w:val="00D176A7"/>
    <w:rsid w:val="00D22733"/>
    <w:rsid w:val="00D46380"/>
    <w:rsid w:val="00D470FB"/>
    <w:rsid w:val="00D7601A"/>
    <w:rsid w:val="00DA0798"/>
    <w:rsid w:val="00DC3581"/>
    <w:rsid w:val="00DE6D2E"/>
    <w:rsid w:val="00E12948"/>
    <w:rsid w:val="00E36D24"/>
    <w:rsid w:val="00E53B1D"/>
    <w:rsid w:val="00E65FA6"/>
    <w:rsid w:val="00E92562"/>
    <w:rsid w:val="00EA42BD"/>
    <w:rsid w:val="00EB1380"/>
    <w:rsid w:val="00F16158"/>
    <w:rsid w:val="00F20F56"/>
    <w:rsid w:val="00F311C4"/>
    <w:rsid w:val="00F53E5B"/>
    <w:rsid w:val="00F568A8"/>
    <w:rsid w:val="00F70DF0"/>
    <w:rsid w:val="00FA2D6B"/>
    <w:rsid w:val="00FB0A8F"/>
    <w:rsid w:val="00FB14CE"/>
    <w:rsid w:val="00FC32EA"/>
    <w:rsid w:val="00FC3CFE"/>
    <w:rsid w:val="00FC4897"/>
    <w:rsid w:val="00FD0106"/>
    <w:rsid w:val="00FF0C0A"/>
    <w:rsid w:val="00FF6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5DF247"/>
  <w15:chartTrackingRefBased/>
  <w15:docId w15:val="{95F626E0-C968-4C54-BDA8-EB4FD7D5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2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7"/>
    <w:pPr>
      <w:ind w:left="720"/>
      <w:contextualSpacing/>
    </w:pPr>
  </w:style>
  <w:style w:type="table" w:styleId="TableGrid">
    <w:name w:val="Table Grid"/>
    <w:basedOn w:val="TableNormal"/>
    <w:uiPriority w:val="39"/>
    <w:rsid w:val="00A0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nhideWhenUsed/>
    <w:rsid w:val="00A0771C"/>
    <w:pPr>
      <w:spacing w:after="0" w:line="240" w:lineRule="auto"/>
    </w:pPr>
    <w:rPr>
      <w:sz w:val="20"/>
      <w:szCs w:val="20"/>
    </w:rPr>
  </w:style>
  <w:style w:type="character" w:customStyle="1" w:styleId="FootnoteTextChar">
    <w:name w:val="Footnote Text Char"/>
    <w:basedOn w:val="DefaultParagraphFont"/>
    <w:link w:val="FootnoteText"/>
    <w:rsid w:val="00A0771C"/>
    <w:rPr>
      <w:sz w:val="20"/>
      <w:szCs w:val="20"/>
    </w:rPr>
  </w:style>
  <w:style w:type="character" w:styleId="FootnoteReference">
    <w:name w:val="footnote reference"/>
    <w:basedOn w:val="DefaultParagraphFont"/>
    <w:semiHidden/>
    <w:unhideWhenUsed/>
    <w:rsid w:val="00A0771C"/>
    <w:rPr>
      <w:vertAlign w:val="superscript"/>
    </w:rPr>
  </w:style>
  <w:style w:type="character" w:customStyle="1" w:styleId="textline">
    <w:name w:val="text_line"/>
    <w:basedOn w:val="DefaultParagraphFont"/>
    <w:rsid w:val="00FD0106"/>
  </w:style>
  <w:style w:type="character" w:customStyle="1" w:styleId="validlink">
    <w:name w:val="valid_link"/>
    <w:basedOn w:val="DefaultParagraphFont"/>
    <w:rsid w:val="00FD0106"/>
  </w:style>
  <w:style w:type="paragraph" w:styleId="NormalWeb">
    <w:name w:val="Normal (Web)"/>
    <w:basedOn w:val="Normal"/>
    <w:uiPriority w:val="99"/>
    <w:unhideWhenUsed/>
    <w:rsid w:val="00F53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30A4"/>
    <w:rPr>
      <w:color w:val="0000FF"/>
      <w:u w:val="single"/>
    </w:rPr>
  </w:style>
  <w:style w:type="character" w:styleId="PlaceholderText">
    <w:name w:val="Placeholder Text"/>
    <w:basedOn w:val="DefaultParagraphFont"/>
    <w:uiPriority w:val="99"/>
    <w:semiHidden/>
    <w:rsid w:val="0047159F"/>
    <w:rPr>
      <w:color w:val="808080"/>
    </w:rPr>
  </w:style>
  <w:style w:type="paragraph" w:styleId="NoSpacing">
    <w:name w:val="No Spacing"/>
    <w:link w:val="NoSpacingChar"/>
    <w:uiPriority w:val="1"/>
    <w:qFormat/>
    <w:rsid w:val="0047159F"/>
    <w:pPr>
      <w:spacing w:after="0" w:line="240" w:lineRule="auto"/>
    </w:pPr>
  </w:style>
  <w:style w:type="character" w:styleId="UnresolvedMention">
    <w:name w:val="Unresolved Mention"/>
    <w:basedOn w:val="DefaultParagraphFont"/>
    <w:uiPriority w:val="99"/>
    <w:semiHidden/>
    <w:unhideWhenUsed/>
    <w:rsid w:val="00DE6D2E"/>
    <w:rPr>
      <w:color w:val="808080"/>
      <w:shd w:val="clear" w:color="auto" w:fill="E6E6E6"/>
    </w:rPr>
  </w:style>
  <w:style w:type="character" w:customStyle="1" w:styleId="Heading2Char">
    <w:name w:val="Heading 2 Char"/>
    <w:basedOn w:val="DefaultParagraphFont"/>
    <w:link w:val="Heading2"/>
    <w:uiPriority w:val="9"/>
    <w:semiHidden/>
    <w:rsid w:val="00021001"/>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E3564"/>
    <w:rPr>
      <w:color w:val="954F72" w:themeColor="followedHyperlink"/>
      <w:u w:val="single"/>
    </w:rPr>
  </w:style>
  <w:style w:type="character" w:customStyle="1" w:styleId="NoSpacingChar">
    <w:name w:val="No Spacing Char"/>
    <w:basedOn w:val="DefaultParagraphFont"/>
    <w:link w:val="NoSpacing"/>
    <w:uiPriority w:val="1"/>
    <w:rsid w:val="00876E29"/>
  </w:style>
  <w:style w:type="character" w:styleId="CommentReference">
    <w:name w:val="annotation reference"/>
    <w:basedOn w:val="DefaultParagraphFont"/>
    <w:uiPriority w:val="99"/>
    <w:semiHidden/>
    <w:unhideWhenUsed/>
    <w:rsid w:val="00086178"/>
    <w:rPr>
      <w:sz w:val="16"/>
      <w:szCs w:val="16"/>
    </w:rPr>
  </w:style>
  <w:style w:type="paragraph" w:styleId="CommentText">
    <w:name w:val="annotation text"/>
    <w:basedOn w:val="Normal"/>
    <w:link w:val="CommentTextChar"/>
    <w:uiPriority w:val="99"/>
    <w:semiHidden/>
    <w:unhideWhenUsed/>
    <w:rsid w:val="00086178"/>
    <w:pPr>
      <w:spacing w:line="240" w:lineRule="auto"/>
    </w:pPr>
    <w:rPr>
      <w:sz w:val="20"/>
      <w:szCs w:val="20"/>
    </w:rPr>
  </w:style>
  <w:style w:type="character" w:customStyle="1" w:styleId="CommentTextChar">
    <w:name w:val="Comment Text Char"/>
    <w:basedOn w:val="DefaultParagraphFont"/>
    <w:link w:val="CommentText"/>
    <w:uiPriority w:val="99"/>
    <w:semiHidden/>
    <w:rsid w:val="00086178"/>
    <w:rPr>
      <w:sz w:val="20"/>
      <w:szCs w:val="20"/>
    </w:rPr>
  </w:style>
  <w:style w:type="paragraph" w:styleId="CommentSubject">
    <w:name w:val="annotation subject"/>
    <w:basedOn w:val="CommentText"/>
    <w:next w:val="CommentText"/>
    <w:link w:val="CommentSubjectChar"/>
    <w:uiPriority w:val="99"/>
    <w:semiHidden/>
    <w:unhideWhenUsed/>
    <w:rsid w:val="00086178"/>
    <w:rPr>
      <w:b/>
      <w:bCs/>
    </w:rPr>
  </w:style>
  <w:style w:type="character" w:customStyle="1" w:styleId="CommentSubjectChar">
    <w:name w:val="Comment Subject Char"/>
    <w:basedOn w:val="CommentTextChar"/>
    <w:link w:val="CommentSubject"/>
    <w:uiPriority w:val="99"/>
    <w:semiHidden/>
    <w:rsid w:val="00086178"/>
    <w:rPr>
      <w:b/>
      <w:bCs/>
      <w:sz w:val="20"/>
      <w:szCs w:val="20"/>
    </w:rPr>
  </w:style>
  <w:style w:type="paragraph" w:styleId="BalloonText">
    <w:name w:val="Balloon Text"/>
    <w:basedOn w:val="Normal"/>
    <w:link w:val="BalloonTextChar"/>
    <w:uiPriority w:val="99"/>
    <w:semiHidden/>
    <w:unhideWhenUsed/>
    <w:rsid w:val="000861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61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571501">
      <w:bodyDiv w:val="1"/>
      <w:marLeft w:val="0"/>
      <w:marRight w:val="0"/>
      <w:marTop w:val="0"/>
      <w:marBottom w:val="0"/>
      <w:divBdr>
        <w:top w:val="none" w:sz="0" w:space="0" w:color="auto"/>
        <w:left w:val="none" w:sz="0" w:space="0" w:color="auto"/>
        <w:bottom w:val="none" w:sz="0" w:space="0" w:color="auto"/>
        <w:right w:val="none" w:sz="0" w:space="0" w:color="auto"/>
      </w:divBdr>
    </w:div>
    <w:div w:id="246505020">
      <w:bodyDiv w:val="1"/>
      <w:marLeft w:val="0"/>
      <w:marRight w:val="0"/>
      <w:marTop w:val="0"/>
      <w:marBottom w:val="0"/>
      <w:divBdr>
        <w:top w:val="none" w:sz="0" w:space="0" w:color="auto"/>
        <w:left w:val="none" w:sz="0" w:space="0" w:color="auto"/>
        <w:bottom w:val="none" w:sz="0" w:space="0" w:color="auto"/>
        <w:right w:val="none" w:sz="0" w:space="0" w:color="auto"/>
      </w:divBdr>
    </w:div>
    <w:div w:id="319965735">
      <w:bodyDiv w:val="1"/>
      <w:marLeft w:val="0"/>
      <w:marRight w:val="0"/>
      <w:marTop w:val="0"/>
      <w:marBottom w:val="0"/>
      <w:divBdr>
        <w:top w:val="none" w:sz="0" w:space="0" w:color="auto"/>
        <w:left w:val="none" w:sz="0" w:space="0" w:color="auto"/>
        <w:bottom w:val="none" w:sz="0" w:space="0" w:color="auto"/>
        <w:right w:val="none" w:sz="0" w:space="0" w:color="auto"/>
      </w:divBdr>
    </w:div>
    <w:div w:id="369457192">
      <w:bodyDiv w:val="1"/>
      <w:marLeft w:val="0"/>
      <w:marRight w:val="0"/>
      <w:marTop w:val="0"/>
      <w:marBottom w:val="0"/>
      <w:divBdr>
        <w:top w:val="none" w:sz="0" w:space="0" w:color="auto"/>
        <w:left w:val="none" w:sz="0" w:space="0" w:color="auto"/>
        <w:bottom w:val="none" w:sz="0" w:space="0" w:color="auto"/>
        <w:right w:val="none" w:sz="0" w:space="0" w:color="auto"/>
      </w:divBdr>
    </w:div>
    <w:div w:id="682365989">
      <w:bodyDiv w:val="1"/>
      <w:marLeft w:val="0"/>
      <w:marRight w:val="0"/>
      <w:marTop w:val="0"/>
      <w:marBottom w:val="0"/>
      <w:divBdr>
        <w:top w:val="none" w:sz="0" w:space="0" w:color="auto"/>
        <w:left w:val="none" w:sz="0" w:space="0" w:color="auto"/>
        <w:bottom w:val="none" w:sz="0" w:space="0" w:color="auto"/>
        <w:right w:val="none" w:sz="0" w:space="0" w:color="auto"/>
      </w:divBdr>
    </w:div>
    <w:div w:id="902716830">
      <w:bodyDiv w:val="1"/>
      <w:marLeft w:val="0"/>
      <w:marRight w:val="0"/>
      <w:marTop w:val="0"/>
      <w:marBottom w:val="0"/>
      <w:divBdr>
        <w:top w:val="none" w:sz="0" w:space="0" w:color="auto"/>
        <w:left w:val="none" w:sz="0" w:space="0" w:color="auto"/>
        <w:bottom w:val="none" w:sz="0" w:space="0" w:color="auto"/>
        <w:right w:val="none" w:sz="0" w:space="0" w:color="auto"/>
      </w:divBdr>
    </w:div>
    <w:div w:id="973675669">
      <w:bodyDiv w:val="1"/>
      <w:marLeft w:val="0"/>
      <w:marRight w:val="0"/>
      <w:marTop w:val="0"/>
      <w:marBottom w:val="0"/>
      <w:divBdr>
        <w:top w:val="none" w:sz="0" w:space="0" w:color="auto"/>
        <w:left w:val="none" w:sz="0" w:space="0" w:color="auto"/>
        <w:bottom w:val="none" w:sz="0" w:space="0" w:color="auto"/>
        <w:right w:val="none" w:sz="0" w:space="0" w:color="auto"/>
      </w:divBdr>
    </w:div>
    <w:div w:id="980772352">
      <w:bodyDiv w:val="1"/>
      <w:marLeft w:val="0"/>
      <w:marRight w:val="0"/>
      <w:marTop w:val="0"/>
      <w:marBottom w:val="0"/>
      <w:divBdr>
        <w:top w:val="none" w:sz="0" w:space="0" w:color="auto"/>
        <w:left w:val="none" w:sz="0" w:space="0" w:color="auto"/>
        <w:bottom w:val="none" w:sz="0" w:space="0" w:color="auto"/>
        <w:right w:val="none" w:sz="0" w:space="0" w:color="auto"/>
      </w:divBdr>
      <w:divsChild>
        <w:div w:id="439228109">
          <w:marLeft w:val="0"/>
          <w:marRight w:val="0"/>
          <w:marTop w:val="0"/>
          <w:marBottom w:val="0"/>
          <w:divBdr>
            <w:top w:val="none" w:sz="0" w:space="0" w:color="auto"/>
            <w:left w:val="none" w:sz="0" w:space="0" w:color="auto"/>
            <w:bottom w:val="none" w:sz="0" w:space="0" w:color="auto"/>
            <w:right w:val="none" w:sz="0" w:space="0" w:color="auto"/>
          </w:divBdr>
        </w:div>
      </w:divsChild>
    </w:div>
    <w:div w:id="982390078">
      <w:bodyDiv w:val="1"/>
      <w:marLeft w:val="0"/>
      <w:marRight w:val="0"/>
      <w:marTop w:val="0"/>
      <w:marBottom w:val="0"/>
      <w:divBdr>
        <w:top w:val="none" w:sz="0" w:space="0" w:color="auto"/>
        <w:left w:val="none" w:sz="0" w:space="0" w:color="auto"/>
        <w:bottom w:val="none" w:sz="0" w:space="0" w:color="auto"/>
        <w:right w:val="none" w:sz="0" w:space="0" w:color="auto"/>
      </w:divBdr>
    </w:div>
    <w:div w:id="1072003179">
      <w:bodyDiv w:val="1"/>
      <w:marLeft w:val="0"/>
      <w:marRight w:val="0"/>
      <w:marTop w:val="0"/>
      <w:marBottom w:val="0"/>
      <w:divBdr>
        <w:top w:val="none" w:sz="0" w:space="0" w:color="auto"/>
        <w:left w:val="none" w:sz="0" w:space="0" w:color="auto"/>
        <w:bottom w:val="none" w:sz="0" w:space="0" w:color="auto"/>
        <w:right w:val="none" w:sz="0" w:space="0" w:color="auto"/>
      </w:divBdr>
    </w:div>
    <w:div w:id="1108429340">
      <w:bodyDiv w:val="1"/>
      <w:marLeft w:val="0"/>
      <w:marRight w:val="0"/>
      <w:marTop w:val="0"/>
      <w:marBottom w:val="0"/>
      <w:divBdr>
        <w:top w:val="none" w:sz="0" w:space="0" w:color="auto"/>
        <w:left w:val="none" w:sz="0" w:space="0" w:color="auto"/>
        <w:bottom w:val="none" w:sz="0" w:space="0" w:color="auto"/>
        <w:right w:val="none" w:sz="0" w:space="0" w:color="auto"/>
      </w:divBdr>
    </w:div>
    <w:div w:id="1159226111">
      <w:bodyDiv w:val="1"/>
      <w:marLeft w:val="0"/>
      <w:marRight w:val="0"/>
      <w:marTop w:val="0"/>
      <w:marBottom w:val="0"/>
      <w:divBdr>
        <w:top w:val="none" w:sz="0" w:space="0" w:color="auto"/>
        <w:left w:val="none" w:sz="0" w:space="0" w:color="auto"/>
        <w:bottom w:val="none" w:sz="0" w:space="0" w:color="auto"/>
        <w:right w:val="none" w:sz="0" w:space="0" w:color="auto"/>
      </w:divBdr>
    </w:div>
    <w:div w:id="1393967127">
      <w:bodyDiv w:val="1"/>
      <w:marLeft w:val="0"/>
      <w:marRight w:val="0"/>
      <w:marTop w:val="0"/>
      <w:marBottom w:val="0"/>
      <w:divBdr>
        <w:top w:val="none" w:sz="0" w:space="0" w:color="auto"/>
        <w:left w:val="none" w:sz="0" w:space="0" w:color="auto"/>
        <w:bottom w:val="none" w:sz="0" w:space="0" w:color="auto"/>
        <w:right w:val="none" w:sz="0" w:space="0" w:color="auto"/>
      </w:divBdr>
      <w:divsChild>
        <w:div w:id="730270443">
          <w:marLeft w:val="0"/>
          <w:marRight w:val="0"/>
          <w:marTop w:val="0"/>
          <w:marBottom w:val="0"/>
          <w:divBdr>
            <w:top w:val="none" w:sz="0" w:space="0" w:color="auto"/>
            <w:left w:val="none" w:sz="0" w:space="0" w:color="auto"/>
            <w:bottom w:val="none" w:sz="0" w:space="0" w:color="auto"/>
            <w:right w:val="none" w:sz="0" w:space="0" w:color="auto"/>
          </w:divBdr>
        </w:div>
        <w:div w:id="1951038371">
          <w:marLeft w:val="0"/>
          <w:marRight w:val="0"/>
          <w:marTop w:val="0"/>
          <w:marBottom w:val="0"/>
          <w:divBdr>
            <w:top w:val="none" w:sz="0" w:space="0" w:color="auto"/>
            <w:left w:val="none" w:sz="0" w:space="0" w:color="auto"/>
            <w:bottom w:val="none" w:sz="0" w:space="0" w:color="auto"/>
            <w:right w:val="none" w:sz="0" w:space="0" w:color="auto"/>
          </w:divBdr>
        </w:div>
      </w:divsChild>
    </w:div>
    <w:div w:id="1539779518">
      <w:bodyDiv w:val="1"/>
      <w:marLeft w:val="0"/>
      <w:marRight w:val="0"/>
      <w:marTop w:val="0"/>
      <w:marBottom w:val="0"/>
      <w:divBdr>
        <w:top w:val="none" w:sz="0" w:space="0" w:color="auto"/>
        <w:left w:val="none" w:sz="0" w:space="0" w:color="auto"/>
        <w:bottom w:val="none" w:sz="0" w:space="0" w:color="auto"/>
        <w:right w:val="none" w:sz="0" w:space="0" w:color="auto"/>
      </w:divBdr>
    </w:div>
    <w:div w:id="1553229442">
      <w:bodyDiv w:val="1"/>
      <w:marLeft w:val="0"/>
      <w:marRight w:val="0"/>
      <w:marTop w:val="0"/>
      <w:marBottom w:val="0"/>
      <w:divBdr>
        <w:top w:val="none" w:sz="0" w:space="0" w:color="auto"/>
        <w:left w:val="none" w:sz="0" w:space="0" w:color="auto"/>
        <w:bottom w:val="none" w:sz="0" w:space="0" w:color="auto"/>
        <w:right w:val="none" w:sz="0" w:space="0" w:color="auto"/>
      </w:divBdr>
    </w:div>
    <w:div w:id="168462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50DC0-6A87-48F8-9BDA-70A8622BD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8</Pages>
  <Words>1601</Words>
  <Characters>9132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Annenberg</cp:lastModifiedBy>
  <cp:revision>18</cp:revision>
  <cp:lastPrinted>2019-01-30T00:50:00Z</cp:lastPrinted>
  <dcterms:created xsi:type="dcterms:W3CDTF">2019-01-18T23:17:00Z</dcterms:created>
  <dcterms:modified xsi:type="dcterms:W3CDTF">2019-01-30T01:03:00Z</dcterms:modified>
</cp:coreProperties>
</file>