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22CB8"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52BA67A2"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5426950E"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673126CE"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63AA9C2D"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23366768"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7929BA53"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50DDEF2C" w14:textId="77777777" w:rsidR="002B210F" w:rsidRDefault="002B210F" w:rsidP="002B210F">
      <w:pPr>
        <w:pStyle w:val="Normal1"/>
        <w:spacing w:line="360" w:lineRule="auto"/>
        <w:jc w:val="center"/>
        <w:rPr>
          <w:rFonts w:ascii="Times New Roman" w:eastAsia="Times New Roman" w:hAnsi="Times New Roman" w:cs="Times New Roman"/>
          <w:b/>
          <w:sz w:val="44"/>
          <w:szCs w:val="44"/>
        </w:rPr>
      </w:pPr>
    </w:p>
    <w:p w14:paraId="6D2D4FE9" w14:textId="77777777" w:rsidR="002B210F" w:rsidRPr="002B210F" w:rsidRDefault="00B716DE" w:rsidP="002B210F">
      <w:pPr>
        <w:pStyle w:val="Normal1"/>
        <w:spacing w:line="360" w:lineRule="auto"/>
        <w:jc w:val="center"/>
        <w:rPr>
          <w:rFonts w:ascii="Times New Roman" w:eastAsia="Times New Roman" w:hAnsi="Times New Roman" w:cs="Times New Roman"/>
          <w:b/>
          <w:sz w:val="44"/>
          <w:szCs w:val="44"/>
        </w:rPr>
      </w:pPr>
      <w:r w:rsidRPr="002B210F">
        <w:rPr>
          <w:rFonts w:ascii="Times New Roman" w:eastAsia="Times New Roman" w:hAnsi="Times New Roman" w:cs="Times New Roman"/>
          <w:b/>
          <w:sz w:val="44"/>
          <w:szCs w:val="44"/>
        </w:rPr>
        <w:t>Evidence-Based Policing and Applications</w:t>
      </w:r>
    </w:p>
    <w:p w14:paraId="7E5F912E" w14:textId="77777777" w:rsidR="002B210F" w:rsidRPr="002B210F" w:rsidRDefault="002B210F" w:rsidP="002B210F">
      <w:pPr>
        <w:pStyle w:val="Normal1"/>
        <w:spacing w:line="360" w:lineRule="auto"/>
        <w:jc w:val="both"/>
        <w:rPr>
          <w:rFonts w:ascii="Times New Roman" w:eastAsia="Times New Roman" w:hAnsi="Times New Roman" w:cs="Times New Roman"/>
          <w:b/>
          <w:sz w:val="24"/>
          <w:szCs w:val="24"/>
        </w:rPr>
      </w:pPr>
    </w:p>
    <w:p w14:paraId="33519583" w14:textId="77777777" w:rsidR="002B210F" w:rsidRDefault="00B716D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9F9E048" w14:textId="1084F8CF" w:rsidR="002B210F" w:rsidRDefault="002B210F">
      <w:pPr>
        <w:rPr>
          <w:rFonts w:ascii="Times New Roman" w:hAnsi="Times New Roman"/>
          <w:b/>
          <w:sz w:val="28"/>
          <w:szCs w:val="40"/>
        </w:rPr>
      </w:pPr>
    </w:p>
    <w:p w14:paraId="521DDD08" w14:textId="77777777" w:rsidR="00DD7309" w:rsidRDefault="00B716DE" w:rsidP="002B210F">
      <w:pPr>
        <w:pStyle w:val="Heading1"/>
      </w:pPr>
      <w:bookmarkStart w:id="0" w:name="_Toc134114020"/>
      <w:r>
        <w:t>Introduction</w:t>
      </w:r>
      <w:bookmarkEnd w:id="0"/>
    </w:p>
    <w:p w14:paraId="5EB5628E" w14:textId="3E3592C9"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present generation, evidence-based policing is applicable for improving the legislative steps which are applicable for constructing various policies for preventing various discrimination acts. It is required to </w:t>
      </w:r>
      <w:r w:rsidR="004A017A">
        <w:rPr>
          <w:rFonts w:ascii="Times New Roman" w:eastAsia="Times New Roman" w:hAnsi="Times New Roman" w:cs="Times New Roman"/>
          <w:sz w:val="24"/>
          <w:szCs w:val="24"/>
        </w:rPr>
        <w:t>stabilize</w:t>
      </w:r>
      <w:r>
        <w:rPr>
          <w:rFonts w:ascii="Times New Roman" w:eastAsia="Times New Roman" w:hAnsi="Times New Roman" w:cs="Times New Roman"/>
          <w:sz w:val="24"/>
          <w:szCs w:val="24"/>
        </w:rPr>
        <w:t xml:space="preserve"> its legislation in the entire zone of the country, through which it can ensure public safety by developing its legislation steps in different time intervals. It is beneficial for determining the suitability in every public zone, by which they can research the particular evidence (Meijer and Wessels, 2019). This assignment focuses on some fundamental objectives behind evidence-based policing, through which they can develop legislation factors in association with their country zones. Some criminological theories have been illustrated here, which are applicable for determining the importance of evidence-based </w:t>
      </w:r>
      <w:r w:rsidR="004A017A">
        <w:rPr>
          <w:rFonts w:ascii="Times New Roman" w:eastAsia="Times New Roman" w:hAnsi="Times New Roman" w:cs="Times New Roman"/>
          <w:sz w:val="24"/>
          <w:szCs w:val="24"/>
        </w:rPr>
        <w:t>practicing</w:t>
      </w:r>
      <w:r>
        <w:rPr>
          <w:rFonts w:ascii="Times New Roman" w:eastAsia="Times New Roman" w:hAnsi="Times New Roman" w:cs="Times New Roman"/>
          <w:sz w:val="24"/>
          <w:szCs w:val="24"/>
        </w:rPr>
        <w:t xml:space="preserve">. The application of body-worn cameras has been stated here, which is required for promoting the prevention of various discrimination acts like domestic violence, street crime etc. </w:t>
      </w:r>
    </w:p>
    <w:p w14:paraId="6F92DBF1" w14:textId="77777777" w:rsidR="00DD7309" w:rsidRDefault="00B716DE" w:rsidP="002B210F">
      <w:pPr>
        <w:pStyle w:val="Heading1"/>
      </w:pPr>
      <w:bookmarkStart w:id="1" w:name="_Toc134114021"/>
      <w:r>
        <w:t>Main body</w:t>
      </w:r>
      <w:bookmarkEnd w:id="1"/>
    </w:p>
    <w:p w14:paraId="700C9E24" w14:textId="77777777" w:rsidR="00DD7309" w:rsidRPr="002B210F" w:rsidRDefault="00B716DE" w:rsidP="002B210F">
      <w:pPr>
        <w:pStyle w:val="Heading2"/>
        <w:rPr>
          <w:szCs w:val="24"/>
        </w:rPr>
      </w:pPr>
      <w:bookmarkStart w:id="2" w:name="_Toc134114022"/>
      <w:r w:rsidRPr="002B210F">
        <w:rPr>
          <w:szCs w:val="24"/>
        </w:rPr>
        <w:t>The core idea</w:t>
      </w:r>
      <w:r w:rsidR="002B210F" w:rsidRPr="002B210F">
        <w:rPr>
          <w:szCs w:val="24"/>
        </w:rPr>
        <w:t>s of evidence-based policing</w:t>
      </w:r>
      <w:bookmarkEnd w:id="2"/>
    </w:p>
    <w:p w14:paraId="2F1BB301" w14:textId="228D01B8"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Evidence-based policing is determined as the formation of various policies which are formed from various types of research in the police department. It is crucial for enhancing the development of their legislation process through which they can promote the high movement against any discrimination acts. It is a fundamental approach regarding the police department, through which they can implement the guidelines regarding the formation of various </w:t>
      </w:r>
      <w:r w:rsidR="004A017A">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aspects (Dunham, Alpert, and McLean, 2020). They can form various decision-making </w:t>
      </w:r>
      <w:r w:rsidR="004A017A">
        <w:rPr>
          <w:rFonts w:ascii="Times New Roman" w:eastAsia="Times New Roman" w:hAnsi="Times New Roman" w:cs="Times New Roman"/>
          <w:sz w:val="24"/>
          <w:szCs w:val="24"/>
        </w:rPr>
        <w:t>programmers</w:t>
      </w:r>
      <w:r>
        <w:rPr>
          <w:rFonts w:ascii="Times New Roman" w:eastAsia="Times New Roman" w:hAnsi="Times New Roman" w:cs="Times New Roman"/>
          <w:sz w:val="24"/>
          <w:szCs w:val="24"/>
        </w:rPr>
        <w:t xml:space="preserve"> through which they can construct various frameworks regarding the infrastructure of evidence-based research.</w:t>
      </w:r>
    </w:p>
    <w:p w14:paraId="54AF04CE" w14:textId="6D210BFE"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Since the previous centuries, various police departments would like to set up various evidence-based </w:t>
      </w:r>
      <w:r w:rsidR="00DF7BEF" w:rsidRPr="00DF7BEF">
        <w:rPr>
          <w:rFonts w:ascii="Times New Roman" w:eastAsia="Times New Roman" w:hAnsi="Times New Roman" w:cs="Times New Roman"/>
          <w:sz w:val="24"/>
          <w:szCs w:val="24"/>
        </w:rPr>
        <w:t xml:space="preserve">research types associated with such common incidents as domestic violence, antisocial </w:t>
      </w:r>
      <w:r w:rsidR="004A017A" w:rsidRPr="00DF7BEF">
        <w:rPr>
          <w:rFonts w:ascii="Times New Roman" w:eastAsia="Times New Roman" w:hAnsi="Times New Roman" w:cs="Times New Roman"/>
          <w:sz w:val="24"/>
          <w:szCs w:val="24"/>
        </w:rPr>
        <w:t>behavior</w:t>
      </w:r>
      <w:r w:rsidR="00DF7BEF" w:rsidRPr="00DF7BEF">
        <w:rPr>
          <w:rFonts w:ascii="Times New Roman" w:eastAsia="Times New Roman" w:hAnsi="Times New Roman" w:cs="Times New Roman"/>
          <w:sz w:val="24"/>
          <w:szCs w:val="24"/>
        </w:rPr>
        <w:t xml:space="preserve"> within the working community,</w:t>
      </w:r>
      <w:r>
        <w:rPr>
          <w:rFonts w:ascii="Times New Roman" w:eastAsia="Times New Roman" w:hAnsi="Times New Roman" w:cs="Times New Roman"/>
          <w:sz w:val="24"/>
          <w:szCs w:val="24"/>
        </w:rPr>
        <w:t xml:space="preserve"> etc. By gathering the evidence from these case files, every police department can determine the legislation gaps while handling those cases, </w:t>
      </w:r>
      <w:r w:rsidR="00DF7BEF" w:rsidRPr="00DF7BEF">
        <w:rPr>
          <w:rFonts w:ascii="Times New Roman" w:eastAsia="Times New Roman" w:hAnsi="Times New Roman" w:cs="Times New Roman"/>
          <w:sz w:val="24"/>
          <w:szCs w:val="24"/>
        </w:rPr>
        <w:t xml:space="preserve">ensuring </w:t>
      </w:r>
      <w:r w:rsidR="00DF7BEF" w:rsidRPr="00DF7BEF">
        <w:rPr>
          <w:rFonts w:ascii="Times New Roman" w:eastAsia="Times New Roman" w:hAnsi="Times New Roman" w:cs="Times New Roman"/>
          <w:sz w:val="24"/>
          <w:szCs w:val="24"/>
        </w:rPr>
        <w:lastRenderedPageBreak/>
        <w:t>their achievements by solving them strategically</w:t>
      </w:r>
      <w:r>
        <w:rPr>
          <w:rFonts w:ascii="Times New Roman" w:eastAsia="Times New Roman" w:hAnsi="Times New Roman" w:cs="Times New Roman"/>
          <w:sz w:val="24"/>
          <w:szCs w:val="24"/>
        </w:rPr>
        <w:t xml:space="preserve"> (Murphy and Hine, 2019). Everyone should have the potential to properly solve those cases, in which they can estimate the strategic ways which are required for promoting the formation of various legislation policies regarding their police department. </w:t>
      </w:r>
    </w:p>
    <w:p w14:paraId="59582BB3" w14:textId="77777777" w:rsidR="00DD7309" w:rsidRDefault="00B716DE" w:rsidP="002B210F">
      <w:pPr>
        <w:pStyle w:val="Heading2"/>
      </w:pPr>
      <w:bookmarkStart w:id="3" w:name="_Toc134114023"/>
      <w:r>
        <w:t>The criminological theories in association with</w:t>
      </w:r>
      <w:r w:rsidR="002B210F">
        <w:t xml:space="preserve"> evidence-based policing</w:t>
      </w:r>
      <w:bookmarkEnd w:id="3"/>
    </w:p>
    <w:p w14:paraId="26915C34" w14:textId="77777777"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legislation zones of every country, criminological theories are required to explore what are the actual sources of cruelty, and their effectiveness in global public regions, in a theoretical manner. The criminological theories are relevant for every police force, through which they can determine the phenomena behind the particular evidence. Through involvement in various intellectual evidence-based types of research, they can construct the frameworks for preventing them, which should be followed up in a step-by-step manner in association with the social phenomenon. </w:t>
      </w:r>
    </w:p>
    <w:p w14:paraId="318AF921" w14:textId="7AAFD83D"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Deterrence theory: </w:t>
      </w:r>
      <w:r>
        <w:rPr>
          <w:rFonts w:ascii="Times New Roman" w:eastAsia="Times New Roman" w:hAnsi="Times New Roman" w:cs="Times New Roman"/>
          <w:sz w:val="24"/>
          <w:szCs w:val="24"/>
        </w:rPr>
        <w:t xml:space="preserve">The deterrence theory applies to determining the punishment for those people who committed crimes within their societies. It is required for developing the infrastructure of their legislation acts, by which the police department can set the evidence-based policing regarding the country's people (Trang and Brendel, 2019). It is applicable for influencing the penalties for </w:t>
      </w:r>
      <w:r w:rsidR="00DF7BEF">
        <w:rPr>
          <w:rFonts w:ascii="Times New Roman" w:eastAsia="Times New Roman" w:hAnsi="Times New Roman" w:cs="Times New Roman"/>
          <w:sz w:val="24"/>
          <w:szCs w:val="24"/>
        </w:rPr>
        <w:t xml:space="preserve">violators </w:t>
      </w:r>
      <w:r>
        <w:rPr>
          <w:rFonts w:ascii="Times New Roman" w:eastAsia="Times New Roman" w:hAnsi="Times New Roman" w:cs="Times New Roman"/>
          <w:sz w:val="24"/>
          <w:szCs w:val="24"/>
        </w:rPr>
        <w:t xml:space="preserve">engaged in discrimination acts. The deterrence theory can discourage the global people from committing any criminal acts, which can reduce any illegal acts within their country zones. </w:t>
      </w:r>
    </w:p>
    <w:p w14:paraId="3B843058" w14:textId="09277EA9"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SARA model of policing: </w:t>
      </w:r>
      <w:r>
        <w:rPr>
          <w:rFonts w:ascii="Times New Roman" w:eastAsia="Times New Roman" w:hAnsi="Times New Roman" w:cs="Times New Roman"/>
          <w:sz w:val="24"/>
          <w:szCs w:val="24"/>
        </w:rPr>
        <w:t xml:space="preserve">The SARA model is one of the most useful for determining evidence-based policing, through which they can ensure the improvement of various legislation policies in the proper manner. The SARA model is a strategic object which includes four kinds of steps scanning the evidence, </w:t>
      </w:r>
      <w:r w:rsidR="004A017A">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w:t>
      </w:r>
      <w:r w:rsidR="00DF7BEF" w:rsidRPr="00DF7BEF">
        <w:rPr>
          <w:rFonts w:ascii="Times New Roman" w:eastAsia="Times New Roman" w:hAnsi="Times New Roman" w:cs="Times New Roman"/>
          <w:sz w:val="24"/>
          <w:szCs w:val="24"/>
        </w:rPr>
        <w:t>it, responding based on the evidence, and assessing it</w:t>
      </w:r>
      <w:r>
        <w:rPr>
          <w:rFonts w:ascii="Times New Roman" w:eastAsia="Times New Roman" w:hAnsi="Times New Roman" w:cs="Times New Roman"/>
          <w:sz w:val="24"/>
          <w:szCs w:val="24"/>
        </w:rPr>
        <w:t xml:space="preserve"> (Hinkle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Various police agencies would follow up this model, by which they can upgrade their policies, applicable in every decision-making </w:t>
      </w:r>
      <w:r w:rsidR="004A017A">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First, they have to scan the problems regarding the particular situation, through which they can </w:t>
      </w:r>
      <w:r w:rsidR="004A017A">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those data for estimating the ways for prevention. Through applying various strategic methods, police agencies can respond to them, which are applicable for assessing those problems. </w:t>
      </w:r>
    </w:p>
    <w:p w14:paraId="593F7323" w14:textId="77777777" w:rsidR="00DD7309" w:rsidRDefault="00B716D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753246B" wp14:editId="3BA8F549">
            <wp:extent cx="2909888" cy="282459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909888" cy="2824598"/>
                    </a:xfrm>
                    <a:prstGeom prst="rect">
                      <a:avLst/>
                    </a:prstGeom>
                  </pic:spPr>
                </pic:pic>
              </a:graphicData>
            </a:graphic>
          </wp:inline>
        </w:drawing>
      </w:r>
    </w:p>
    <w:p w14:paraId="7230F761" w14:textId="77777777" w:rsidR="00DD7309" w:rsidRDefault="00B716D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 </w:t>
      </w:r>
      <w:r>
        <w:rPr>
          <w:rFonts w:ascii="Times New Roman" w:eastAsia="Times New Roman" w:hAnsi="Times New Roman" w:cs="Times New Roman"/>
          <w:sz w:val="24"/>
          <w:szCs w:val="24"/>
        </w:rPr>
        <w:t xml:space="preserve">SARA model of policing </w:t>
      </w:r>
    </w:p>
    <w:p w14:paraId="5B8F3321" w14:textId="77777777" w:rsidR="00DD7309" w:rsidRDefault="00B716D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 (</w:t>
      </w:r>
      <w:r>
        <w:rPr>
          <w:rFonts w:ascii="Times New Roman" w:eastAsia="Times New Roman" w:hAnsi="Times New Roman" w:cs="Times New Roman"/>
          <w:sz w:val="24"/>
          <w:szCs w:val="24"/>
        </w:rPr>
        <w:t>Movementforward.org, 2020)</w:t>
      </w:r>
    </w:p>
    <w:p w14:paraId="1FA97299" w14:textId="77777777"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Hot spot policing: </w:t>
      </w:r>
      <w:r>
        <w:rPr>
          <w:rFonts w:ascii="Times New Roman" w:eastAsia="Times New Roman" w:hAnsi="Times New Roman" w:cs="Times New Roman"/>
          <w:sz w:val="24"/>
          <w:szCs w:val="24"/>
        </w:rPr>
        <w:t xml:space="preserve">Hot spot policing is applicable for determining the policing strategies in a traditional manner, through which the police team can reduce crime within their country zones. Hot spot policing can illustrate in a conceptual manner through which they focus on the specific evidence in association with those discrimination acts (Braga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They can continue their evidence-based research on those particular locations where the discrimination acts have happened. It can encourage them to develop their legislation policies in a long-term manner. </w:t>
      </w:r>
    </w:p>
    <w:p w14:paraId="429E29DA" w14:textId="77777777" w:rsidR="00DD7309" w:rsidRDefault="00B716DE" w:rsidP="002B210F">
      <w:pPr>
        <w:pStyle w:val="Heading2"/>
      </w:pPr>
      <w:bookmarkStart w:id="4" w:name="_Toc134114024"/>
      <w:r>
        <w:t>The description of body-worn video cameras its</w:t>
      </w:r>
      <w:r w:rsidR="002B210F">
        <w:t xml:space="preserve"> roles</w:t>
      </w:r>
      <w:bookmarkEnd w:id="4"/>
    </w:p>
    <w:p w14:paraId="48B87AF8" w14:textId="6AD37A1D"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body-worn camera is one of the most usable and unique in police departments, which is required for investigating the condition of their working time. It is also well known as a bodycam, wearable camera, </w:t>
      </w:r>
      <w:r w:rsidR="004A017A">
        <w:rPr>
          <w:rFonts w:ascii="Times New Roman" w:eastAsia="Times New Roman" w:hAnsi="Times New Roman" w:cs="Times New Roman"/>
          <w:sz w:val="24"/>
          <w:szCs w:val="24"/>
        </w:rPr>
        <w:t>etc.</w:t>
      </w:r>
      <w:r>
        <w:rPr>
          <w:rFonts w:ascii="Times New Roman" w:eastAsia="Times New Roman" w:hAnsi="Times New Roman" w:cs="Times New Roman"/>
          <w:sz w:val="24"/>
          <w:szCs w:val="24"/>
        </w:rPr>
        <w:t>, which can wear up on the dress coat. Its unique characters and innovative designs are applicable for estimating any victims, or criminal acts within the localities, through which they can record them for determining the evidence.</w:t>
      </w:r>
      <w:r w:rsidR="0051017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While handling any particular situational aspects, they have to gather various information regarding those discrimination activities through which they can interact with the people who are involved in that particular location. It is small in size and can capture any incidents which are happening in front of them within the country's population. The law enforcement officer can apply the body-worn video camera mainly on the chest region, which is relevant for capturing any incidents, required for </w:t>
      </w:r>
      <w:r>
        <w:rPr>
          <w:rFonts w:ascii="Times New Roman" w:eastAsia="Times New Roman" w:hAnsi="Times New Roman" w:cs="Times New Roman"/>
          <w:sz w:val="24"/>
          <w:szCs w:val="24"/>
        </w:rPr>
        <w:lastRenderedPageBreak/>
        <w:t xml:space="preserve">solving them in an analytical manner (Bowling and Iyer, 2019). The police department can set up a </w:t>
      </w:r>
      <w:r w:rsidR="004A017A">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along with their seniors, in which they can represent those videos to draw up the actions in statistical ways. The price of body-worn cameras has been estimated at around $189, which is differentiated regarding every police department, administrative staff etc. </w:t>
      </w:r>
    </w:p>
    <w:p w14:paraId="68524FB6" w14:textId="77777777" w:rsidR="00DD7309" w:rsidRDefault="00B716DE" w:rsidP="002B210F">
      <w:pPr>
        <w:pStyle w:val="Heading2"/>
      </w:pPr>
      <w:bookmarkStart w:id="5" w:name="_Toc134114025"/>
      <w:r>
        <w:t>The strengths and w</w:t>
      </w:r>
      <w:r w:rsidR="002B210F">
        <w:t>eaknesses of body-worn cameras</w:t>
      </w:r>
      <w:bookmarkEnd w:id="5"/>
      <w:r w:rsidR="002B210F">
        <w:t xml:space="preserve"> </w:t>
      </w:r>
    </w:p>
    <w:p w14:paraId="38C8EE3B" w14:textId="77777777" w:rsidR="00DD7309" w:rsidRDefault="00B716D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 of the body-worn camera:</w:t>
      </w:r>
    </w:p>
    <w:p w14:paraId="0F68239B" w14:textId="77777777" w:rsidR="00DD7309" w:rsidRDefault="00B716D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body-worn camera is advantageous for carrying out the uniform coat, as it is small in size and unique in design.</w:t>
      </w:r>
    </w:p>
    <w:p w14:paraId="292AA071" w14:textId="77777777" w:rsidR="00DD7309" w:rsidRDefault="00B716D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capture every incident in a proper visual manner, along with clear audio, through which they can determine the evidence behind any discrimination (Clare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t>
      </w:r>
    </w:p>
    <w:p w14:paraId="6359CC31" w14:textId="77777777" w:rsidR="00DD7309" w:rsidRDefault="00B716D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police force can collect those proofs regarding the criminal acts for serving the law enforcement department, through which they can align that evidence in association with their legislation factors. </w:t>
      </w:r>
    </w:p>
    <w:p w14:paraId="06FB5609" w14:textId="77777777" w:rsidR="00DD7309" w:rsidRDefault="00B716D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body-worn camera is appropriate for clarifying the condition of that particular location, the existence of people, victims, etc., through which they can identify them for further investigations. </w:t>
      </w:r>
    </w:p>
    <w:p w14:paraId="73204FC3" w14:textId="77777777" w:rsidR="00DD7309" w:rsidRDefault="00B716D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Weakness of body-worn video camera: </w:t>
      </w:r>
    </w:p>
    <w:p w14:paraId="39A0EA65" w14:textId="77777777" w:rsidR="00DD7309" w:rsidRDefault="00B716D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body-worn camera is unable to secure the BWC footage within its storage device, which causes negative impacts while gathering the data encryptions. </w:t>
      </w:r>
    </w:p>
    <w:p w14:paraId="6D4CF696" w14:textId="77777777" w:rsidR="00DD7309" w:rsidRDefault="00B716D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lack of security causes vulnerable factors regarding their data collection, through which many cyberhackers or criminals can block them by disrupting them (Lee, Taylor, and Willis, 2019).</w:t>
      </w:r>
    </w:p>
    <w:p w14:paraId="3C9CC6CA" w14:textId="77777777" w:rsidR="00DD7309" w:rsidRDefault="00B716D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Body-worn video cameras are so expensive and less available that many police departments can't carry them all the time, except in serious conditions. </w:t>
      </w:r>
    </w:p>
    <w:p w14:paraId="6582F53E" w14:textId="77777777" w:rsidR="00DD7309" w:rsidRDefault="00B716D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serve as evidence at the same time as the law enforcement department becomes unable to justify the strategic ways in association with the legal factors. </w:t>
      </w:r>
    </w:p>
    <w:p w14:paraId="6C073EC3" w14:textId="77777777" w:rsidR="00DD7309" w:rsidRDefault="00B716DE" w:rsidP="002B210F">
      <w:pPr>
        <w:pStyle w:val="Heading2"/>
      </w:pPr>
      <w:bookmarkStart w:id="6" w:name="_Toc134114026"/>
      <w:r>
        <w:t>Ethical limi</w:t>
      </w:r>
      <w:r w:rsidR="002B210F">
        <w:t>tations of body-worn cameras</w:t>
      </w:r>
      <w:bookmarkEnd w:id="6"/>
      <w:r w:rsidR="002B210F">
        <w:t xml:space="preserve"> </w:t>
      </w:r>
    </w:p>
    <w:p w14:paraId="6CFFA69D" w14:textId="77777777" w:rsidR="00DD7309" w:rsidRDefault="00B716D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formation of body-worn cameras occurs due to the privacy of the global population, by which the police department can track any discrimination acts for taking quick actions.</w:t>
      </w:r>
    </w:p>
    <w:p w14:paraId="26A7C4E8" w14:textId="2E428020" w:rsidR="00DD7309" w:rsidRDefault="00B716D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camera can capture every segment of a particular locality, but it cannot </w:t>
      </w:r>
      <w:r w:rsidR="004A017A">
        <w:rPr>
          <w:rFonts w:ascii="Times New Roman" w:eastAsia="Times New Roman" w:hAnsi="Times New Roman" w:cs="Times New Roman"/>
          <w:sz w:val="24"/>
          <w:szCs w:val="24"/>
        </w:rPr>
        <w:t>visualize</w:t>
      </w:r>
      <w:r>
        <w:rPr>
          <w:rFonts w:ascii="Times New Roman" w:eastAsia="Times New Roman" w:hAnsi="Times New Roman" w:cs="Times New Roman"/>
          <w:sz w:val="24"/>
          <w:szCs w:val="24"/>
        </w:rPr>
        <w:t xml:space="preserve"> the facial expressions clearly (Clare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The footage becomes blurred and cannot show the right evidence regarding those persons who are involved in the criminal acts.</w:t>
      </w:r>
    </w:p>
    <w:p w14:paraId="0D39B31A" w14:textId="77777777" w:rsidR="00DD7309" w:rsidRDefault="00B716D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body-worn camera can determine the privacy of the citizens, through which the police department cannot clarify the evidence for implementing their policies. </w:t>
      </w:r>
    </w:p>
    <w:p w14:paraId="7998B679" w14:textId="77777777" w:rsidR="00DD7309" w:rsidRDefault="00B716D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729D2B7A" w14:textId="77777777" w:rsidR="00DD7309" w:rsidRDefault="00B716DE" w:rsidP="002B210F">
      <w:pPr>
        <w:pStyle w:val="Heading2"/>
      </w:pPr>
      <w:bookmarkStart w:id="7" w:name="_Toc134114027"/>
      <w:r>
        <w:t xml:space="preserve">Purpose of their evidence </w:t>
      </w:r>
      <w:r w:rsidR="002B210F">
        <w:t>regarding Domestic violence</w:t>
      </w:r>
      <w:bookmarkEnd w:id="7"/>
      <w:r w:rsidR="002B210F">
        <w:t xml:space="preserve"> </w:t>
      </w:r>
    </w:p>
    <w:p w14:paraId="1299DA57" w14:textId="77777777"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Domestic violence is one of the most common cases in every country zone which happens due to the ill condition of any relationships, misunderstandings within the family, poor financial conditions, and psychological issues. Most cases are associated with women, which is pathetic for determining the sustainable conditions regarding the country's people. The police departments have been involved in various cases regarding domestic violence, through which they can find evidence for solving the case. At present, most government counselling has determined the helpline for those victims who are involved in domestic violence cases. The law enforcement team has enhanced the formation of various laws through which they can lead the punishment of those criminals (Piquero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Domestic Violence, crime and Victim Act, 2004,  is applicable as a criminal law through which the advocates can file the case for preventing domestic violence case, by which they can enclose the cruelty regarding the women. In the U.K., the police department has started their evidence-based policing of domestic violence since 2010, which was promoted by Sir Peter Fahy, Greater Manchester Police in the U.K. They have promoted various operations for gathering various evidence in a strategic manner, by which they can ensure their safety within the woman population.</w:t>
      </w:r>
    </w:p>
    <w:p w14:paraId="3359E830" w14:textId="77777777" w:rsidR="00DD7309" w:rsidRDefault="00DD7309">
      <w:pPr>
        <w:pStyle w:val="Normal1"/>
        <w:spacing w:line="360" w:lineRule="auto"/>
        <w:jc w:val="both"/>
        <w:rPr>
          <w:rFonts w:ascii="Times New Roman" w:eastAsia="Times New Roman" w:hAnsi="Times New Roman" w:cs="Times New Roman"/>
          <w:sz w:val="24"/>
          <w:szCs w:val="24"/>
        </w:rPr>
      </w:pPr>
    </w:p>
    <w:p w14:paraId="1B2D5634" w14:textId="77777777" w:rsidR="00DD7309" w:rsidRDefault="00B716DE" w:rsidP="002B210F">
      <w:pPr>
        <w:pStyle w:val="Heading2"/>
      </w:pPr>
      <w:bookmarkStart w:id="8" w:name="_Toc134114028"/>
      <w:r>
        <w:t>Usage of evidence-ba</w:t>
      </w:r>
      <w:r w:rsidR="002B210F">
        <w:t>sed policing on street crime</w:t>
      </w:r>
      <w:bookmarkEnd w:id="8"/>
    </w:p>
    <w:p w14:paraId="3550B76C" w14:textId="74CE30AC"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every country zone, street crime is the most common, which disrupts the safety within the societies. Most people become victims while going to their working sectors due to less upgradation of their legislation. It is applicable for determining the improvement of their criminal laws, by which the police department can prevent them through punishing those criminals. They have to find out the reasonable factors behind the street crime, through which they can draw up the </w:t>
      </w:r>
      <w:r>
        <w:rPr>
          <w:rFonts w:ascii="Times New Roman" w:eastAsia="Times New Roman" w:hAnsi="Times New Roman" w:cs="Times New Roman"/>
          <w:sz w:val="24"/>
          <w:szCs w:val="24"/>
        </w:rPr>
        <w:lastRenderedPageBreak/>
        <w:t>frameworks for preventing them step by step. Through collaborating with the law enforcement department, they have estimated that the reason behind the street crime is due to their negligence within the working community, lack of existence of their livelihoods, unethical wishes, etc. (</w:t>
      </w:r>
      <w:proofErr w:type="spellStart"/>
      <w:r>
        <w:rPr>
          <w:rFonts w:ascii="Times New Roman" w:eastAsia="Times New Roman" w:hAnsi="Times New Roman" w:cs="Times New Roman"/>
          <w:sz w:val="24"/>
          <w:szCs w:val="24"/>
        </w:rPr>
        <w:t>Chalfin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police force department can gather evidence through which they can estimate the previous history of street crime. It can determine in which ways the criminals can commit their illegal acts. It is applicable for the police department </w:t>
      </w:r>
      <w:r w:rsidR="00DF7BEF">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prevent the evidence behind the street crime, by which they can effectively develop their legislation. They have to operate the formation of various evidence-based research works, by which they can ensure public safety regarding their </w:t>
      </w:r>
      <w:r w:rsidR="004A017A">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zones. </w:t>
      </w:r>
    </w:p>
    <w:p w14:paraId="74997C5A" w14:textId="77777777" w:rsidR="00DD7309" w:rsidRDefault="00DD7309">
      <w:pPr>
        <w:pStyle w:val="Normal1"/>
        <w:spacing w:line="360" w:lineRule="auto"/>
        <w:jc w:val="both"/>
        <w:rPr>
          <w:rFonts w:ascii="Times New Roman" w:eastAsia="Times New Roman" w:hAnsi="Times New Roman" w:cs="Times New Roman"/>
          <w:sz w:val="24"/>
          <w:szCs w:val="24"/>
        </w:rPr>
      </w:pPr>
    </w:p>
    <w:p w14:paraId="3F448BE5" w14:textId="77777777" w:rsidR="00DD7309" w:rsidRDefault="00B716DE" w:rsidP="002B210F">
      <w:pPr>
        <w:pStyle w:val="Heading2"/>
      </w:pPr>
      <w:bookmarkStart w:id="9" w:name="_Toc134114029"/>
      <w:r>
        <w:t>The purpose of their</w:t>
      </w:r>
      <w:r w:rsidR="002B210F">
        <w:t xml:space="preserve"> evidence is to stop and search.</w:t>
      </w:r>
      <w:bookmarkEnd w:id="9"/>
    </w:p>
    <w:p w14:paraId="43B7AC21" w14:textId="3E23FAF6"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legislation segments, the police department has applied various tools and techniques through which they can catch up to those criminals to stop and search them along with the right proof. They have to prevent the formation of any discrimination acts, by which they can investigate them to find out the reasonable factors behind their illegal acts (Ellison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police department has set up such evidenced-based research along with the law enforcement zones, </w:t>
      </w:r>
      <w:r w:rsidR="00DF7BEF">
        <w:rPr>
          <w:rFonts w:ascii="Times New Roman" w:eastAsia="Times New Roman" w:hAnsi="Times New Roman" w:cs="Times New Roman"/>
          <w:sz w:val="24"/>
          <w:szCs w:val="24"/>
        </w:rPr>
        <w:t>to determine</w:t>
      </w:r>
      <w:r>
        <w:rPr>
          <w:rFonts w:ascii="Times New Roman" w:eastAsia="Times New Roman" w:hAnsi="Times New Roman" w:cs="Times New Roman"/>
          <w:sz w:val="24"/>
          <w:szCs w:val="24"/>
        </w:rPr>
        <w:t xml:space="preserve"> the effectiveness of stopping and searching those criminals. </w:t>
      </w:r>
    </w:p>
    <w:p w14:paraId="785342F4" w14:textId="77777777" w:rsidR="00DD7309" w:rsidRDefault="00DD7309">
      <w:pPr>
        <w:pStyle w:val="Normal1"/>
        <w:spacing w:line="360" w:lineRule="auto"/>
        <w:jc w:val="both"/>
        <w:rPr>
          <w:rFonts w:ascii="Times New Roman" w:eastAsia="Times New Roman" w:hAnsi="Times New Roman" w:cs="Times New Roman"/>
          <w:b/>
          <w:sz w:val="24"/>
          <w:szCs w:val="24"/>
        </w:rPr>
      </w:pPr>
    </w:p>
    <w:p w14:paraId="2D3C8A18" w14:textId="2352E8F6" w:rsidR="00DD7309" w:rsidRDefault="00B716DE" w:rsidP="002B210F">
      <w:pPr>
        <w:pStyle w:val="Heading2"/>
      </w:pPr>
      <w:bookmarkStart w:id="10" w:name="_Toc134114030"/>
      <w:r>
        <w:t>Application of evidence-based polici</w:t>
      </w:r>
      <w:r w:rsidR="002B210F">
        <w:t xml:space="preserve">ng on Antisocial </w:t>
      </w:r>
      <w:bookmarkEnd w:id="10"/>
      <w:r w:rsidR="0051017B">
        <w:t>behaviors</w:t>
      </w:r>
    </w:p>
    <w:p w14:paraId="068A9383" w14:textId="34B1F272"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people become involved in various antisocial </w:t>
      </w:r>
      <w:r w:rsidR="004A017A">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acts in which they have to promote discrimination by targeting a specific group. The police department has tackled various cases regarding antisocial </w:t>
      </w:r>
      <w:r w:rsidR="004A017A">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through which they have constructed such evidence behind the reasonable factors behind the criminal acts. It can be determined that some individuals are mentally devastated due to several reasons like working pressures, the uncertainty of their households, poor financial conditions, family reasons etc. (Heap, 2021). The law enforcement department has addressed the physical distress, cultural harassment, gender inequality, religious beliefs etc., which cause negative impacts on the country's legislation. The law enforcement department has investigated the conditions of the legislation through which they can develop those Criminal Acts in different time intervals. It is beneficial for every country to prevent antisocial </w:t>
      </w:r>
      <w:r w:rsidR="004A017A">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while </w:t>
      </w:r>
      <w:r>
        <w:rPr>
          <w:rFonts w:ascii="Times New Roman" w:eastAsia="Times New Roman" w:hAnsi="Times New Roman" w:cs="Times New Roman"/>
          <w:sz w:val="24"/>
          <w:szCs w:val="24"/>
        </w:rPr>
        <w:lastRenderedPageBreak/>
        <w:t xml:space="preserve">conducting political meetings, educational institutions, etc., which are valuable for improving evidence-based policies. </w:t>
      </w:r>
    </w:p>
    <w:p w14:paraId="0D49C56F" w14:textId="77777777" w:rsidR="00DD7309" w:rsidRDefault="00B716DE" w:rsidP="002B210F">
      <w:pPr>
        <w:pStyle w:val="Heading1"/>
      </w:pPr>
      <w:bookmarkStart w:id="11" w:name="_Toc134114031"/>
      <w:r>
        <w:t>Conclusion</w:t>
      </w:r>
      <w:bookmarkEnd w:id="11"/>
    </w:p>
    <w:p w14:paraId="6227F9AE" w14:textId="4439BB23" w:rsidR="00DD7309"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discussions, it can be stated that evidence-based policies are highly effective in preventing any discrimination acts, through which the police department can punish those criminals by applying their legislation policies. The upgradation of those policies can determine the safety of the global citizens, which can prevent domestic violence, antisocial </w:t>
      </w:r>
      <w:r w:rsidR="004A017A">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acts, street crimes, etc., through which they can ensure the proper maintenance of their societies. The </w:t>
      </w:r>
      <w:r w:rsidR="004A017A">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of body-worn cameras is applicable for </w:t>
      </w:r>
      <w:r w:rsidR="004A017A">
        <w:rPr>
          <w:rFonts w:ascii="Times New Roman" w:eastAsia="Times New Roman" w:hAnsi="Times New Roman" w:cs="Times New Roman"/>
          <w:sz w:val="24"/>
          <w:szCs w:val="24"/>
        </w:rPr>
        <w:t>visualizing</w:t>
      </w:r>
      <w:r>
        <w:rPr>
          <w:rFonts w:ascii="Times New Roman" w:eastAsia="Times New Roman" w:hAnsi="Times New Roman" w:cs="Times New Roman"/>
          <w:sz w:val="24"/>
          <w:szCs w:val="24"/>
        </w:rPr>
        <w:t xml:space="preserve"> the incident, through which they can draw up their action plans.</w:t>
      </w:r>
    </w:p>
    <w:p w14:paraId="32A2778E" w14:textId="77777777" w:rsidR="00DD7309" w:rsidRDefault="00B716DE">
      <w:pPr>
        <w:pStyle w:val="Normal1"/>
        <w:spacing w:line="360" w:lineRule="auto"/>
        <w:jc w:val="both"/>
        <w:rPr>
          <w:rFonts w:ascii="Times New Roman" w:eastAsia="Times New Roman" w:hAnsi="Times New Roman" w:cs="Times New Roman"/>
          <w:b/>
          <w:sz w:val="24"/>
          <w:szCs w:val="24"/>
        </w:rPr>
      </w:pPr>
      <w:r>
        <w:br w:type="page"/>
      </w:r>
    </w:p>
    <w:p w14:paraId="1DD15948" w14:textId="77777777" w:rsidR="00DD7309" w:rsidRDefault="00B716DE" w:rsidP="002B210F">
      <w:pPr>
        <w:pStyle w:val="Heading1"/>
      </w:pPr>
      <w:bookmarkStart w:id="12" w:name="_Toc134114032"/>
      <w:r>
        <w:lastRenderedPageBreak/>
        <w:t>Reference</w:t>
      </w:r>
      <w:bookmarkEnd w:id="12"/>
    </w:p>
    <w:p w14:paraId="035AD8B5"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Bowling, B. and Iyer, S., 2019. Automated policing: the case of body-worn video. International Journal of Law in Context, 15(2), pp.140-161. Available at: </w:t>
      </w:r>
      <w:hyperlink r:id="rId9">
        <w:r>
          <w:rPr>
            <w:rFonts w:ascii="Times New Roman" w:eastAsia="Times New Roman" w:hAnsi="Times New Roman" w:cs="Times New Roman"/>
            <w:color w:val="1155CC"/>
            <w:sz w:val="24"/>
            <w:szCs w:val="24"/>
            <w:u w:val="single"/>
          </w:rPr>
          <w:t>https://kclpure.kcl.ac.uk/portal/files/113034943/Automated_policing_the_case_BOWLING_Publishedonline20June2019_GREEN_AAM.pdf</w:t>
        </w:r>
      </w:hyperlink>
      <w:r>
        <w:rPr>
          <w:rFonts w:ascii="Times New Roman" w:eastAsia="Times New Roman" w:hAnsi="Times New Roman" w:cs="Times New Roman"/>
          <w:sz w:val="24"/>
          <w:szCs w:val="24"/>
        </w:rPr>
        <w:t xml:space="preserve"> [Accessed: 4 May 2023] </w:t>
      </w:r>
    </w:p>
    <w:p w14:paraId="4F38380C" w14:textId="07773F71"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Braga, A.A., </w:t>
      </w:r>
      <w:proofErr w:type="spellStart"/>
      <w:r>
        <w:rPr>
          <w:rFonts w:ascii="Times New Roman" w:eastAsia="Times New Roman" w:hAnsi="Times New Roman" w:cs="Times New Roman"/>
          <w:sz w:val="24"/>
          <w:szCs w:val="24"/>
        </w:rPr>
        <w:t>Turchan</w:t>
      </w:r>
      <w:proofErr w:type="spellEnd"/>
      <w:r>
        <w:rPr>
          <w:rFonts w:ascii="Times New Roman" w:eastAsia="Times New Roman" w:hAnsi="Times New Roman" w:cs="Times New Roman"/>
          <w:sz w:val="24"/>
          <w:szCs w:val="24"/>
        </w:rPr>
        <w:t xml:space="preserve">, B., </w:t>
      </w:r>
      <w:r w:rsidR="004A017A">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 A.V. and Hureau, D.M., 2019. Hot spot policing of small geographic areas affects crime. Campbell Systematic Reviews, 15(3), p.e1046. </w:t>
      </w:r>
      <w:hyperlink r:id="rId10">
        <w:r>
          <w:rPr>
            <w:rFonts w:ascii="Times New Roman" w:eastAsia="Times New Roman" w:hAnsi="Times New Roman" w:cs="Times New Roman"/>
            <w:color w:val="1155CC"/>
            <w:sz w:val="24"/>
            <w:szCs w:val="24"/>
            <w:u w:val="single"/>
          </w:rPr>
          <w:t>https://onlinelibrary.wiley.com/doi/pdf/10.1002/cl2.1046</w:t>
        </w:r>
      </w:hyperlink>
      <w:r>
        <w:rPr>
          <w:rFonts w:ascii="Times New Roman" w:eastAsia="Times New Roman" w:hAnsi="Times New Roman" w:cs="Times New Roman"/>
          <w:sz w:val="24"/>
          <w:szCs w:val="24"/>
        </w:rPr>
        <w:t xml:space="preserve"> [Accessed: 4 May 2023] </w:t>
      </w:r>
    </w:p>
    <w:p w14:paraId="3ACB0937" w14:textId="0058BCE6" w:rsidR="002B210F" w:rsidRDefault="00B716DE">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Chalfin</w:t>
      </w:r>
      <w:proofErr w:type="spellEnd"/>
      <w:r>
        <w:rPr>
          <w:rFonts w:ascii="Times New Roman" w:eastAsia="Times New Roman" w:hAnsi="Times New Roman" w:cs="Times New Roman"/>
          <w:sz w:val="24"/>
          <w:szCs w:val="24"/>
        </w:rPr>
        <w:t xml:space="preserve">, A., Hansen, B., Lerner, J. and Parker, L., 2021. Reducing crime through environmental design: Evidence from a </w:t>
      </w:r>
      <w:r w:rsidR="004A017A">
        <w:rPr>
          <w:rFonts w:ascii="Times New Roman" w:eastAsia="Times New Roman" w:hAnsi="Times New Roman" w:cs="Times New Roman"/>
          <w:sz w:val="24"/>
          <w:szCs w:val="24"/>
        </w:rPr>
        <w:t>randomized</w:t>
      </w:r>
      <w:r>
        <w:rPr>
          <w:rFonts w:ascii="Times New Roman" w:eastAsia="Times New Roman" w:hAnsi="Times New Roman" w:cs="Times New Roman"/>
          <w:sz w:val="24"/>
          <w:szCs w:val="24"/>
        </w:rPr>
        <w:t xml:space="preserve"> experiment of street lighting in New York City. Journal of Quantitative Criminology, pp.1-31. Available at: </w:t>
      </w:r>
      <w:hyperlink r:id="rId11">
        <w:r>
          <w:rPr>
            <w:rFonts w:ascii="Times New Roman" w:eastAsia="Times New Roman" w:hAnsi="Times New Roman" w:cs="Times New Roman"/>
            <w:color w:val="1155CC"/>
            <w:sz w:val="24"/>
            <w:szCs w:val="24"/>
            <w:u w:val="single"/>
          </w:rPr>
          <w:t>https://www.nber.org/system/files/working_papers/w25798/w25798.pdf</w:t>
        </w:r>
      </w:hyperlink>
      <w:r>
        <w:rPr>
          <w:rFonts w:ascii="Times New Roman" w:eastAsia="Times New Roman" w:hAnsi="Times New Roman" w:cs="Times New Roman"/>
          <w:sz w:val="24"/>
          <w:szCs w:val="24"/>
        </w:rPr>
        <w:t xml:space="preserve"> [Accessed: 4 May 2023] </w:t>
      </w:r>
    </w:p>
    <w:p w14:paraId="1A2D4931"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Clare, J., </w:t>
      </w:r>
      <w:proofErr w:type="spellStart"/>
      <w:r>
        <w:rPr>
          <w:rFonts w:ascii="Times New Roman" w:eastAsia="Times New Roman" w:hAnsi="Times New Roman" w:cs="Times New Roman"/>
          <w:sz w:val="24"/>
          <w:szCs w:val="24"/>
        </w:rPr>
        <w:t>Henstock</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McComb</w:t>
      </w:r>
      <w:proofErr w:type="spellEnd"/>
      <w:r>
        <w:rPr>
          <w:rFonts w:ascii="Times New Roman" w:eastAsia="Times New Roman" w:hAnsi="Times New Roman" w:cs="Times New Roman"/>
          <w:sz w:val="24"/>
          <w:szCs w:val="24"/>
        </w:rPr>
        <w:t xml:space="preserve">, C., Newland, R. and Barnes, G.C., 2021. The results of a </w:t>
      </w:r>
      <w:proofErr w:type="spellStart"/>
      <w:r>
        <w:rPr>
          <w:rFonts w:ascii="Times New Roman" w:eastAsia="Times New Roman" w:hAnsi="Times New Roman" w:cs="Times New Roman"/>
          <w:sz w:val="24"/>
          <w:szCs w:val="24"/>
        </w:rPr>
        <w:t>randomised</w:t>
      </w:r>
      <w:proofErr w:type="spellEnd"/>
      <w:r>
        <w:rPr>
          <w:rFonts w:ascii="Times New Roman" w:eastAsia="Times New Roman" w:hAnsi="Times New Roman" w:cs="Times New Roman"/>
          <w:sz w:val="24"/>
          <w:szCs w:val="24"/>
        </w:rPr>
        <w:t xml:space="preserve"> controlled trial of police body-worn video in Australia. Journal of experimental criminology, 17, pp.43-54. Available at: </w:t>
      </w:r>
      <w:hyperlink r:id="rId12">
        <w:r>
          <w:rPr>
            <w:rFonts w:ascii="Times New Roman" w:eastAsia="Times New Roman" w:hAnsi="Times New Roman" w:cs="Times New Roman"/>
            <w:color w:val="1155CC"/>
            <w:sz w:val="24"/>
            <w:szCs w:val="24"/>
            <w:u w:val="single"/>
          </w:rPr>
          <w:t>https://link.springer.com/article/10.1007/s11292-019-09387-w</w:t>
        </w:r>
      </w:hyperlink>
      <w:r>
        <w:rPr>
          <w:rFonts w:ascii="Times New Roman" w:eastAsia="Times New Roman" w:hAnsi="Times New Roman" w:cs="Times New Roman"/>
          <w:sz w:val="24"/>
          <w:szCs w:val="24"/>
        </w:rPr>
        <w:t xml:space="preserve"> [Accessed: 4 May 2023] </w:t>
      </w:r>
    </w:p>
    <w:p w14:paraId="565D97D8"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Clare, J., </w:t>
      </w:r>
      <w:proofErr w:type="spellStart"/>
      <w:r>
        <w:rPr>
          <w:rFonts w:ascii="Times New Roman" w:eastAsia="Times New Roman" w:hAnsi="Times New Roman" w:cs="Times New Roman"/>
          <w:sz w:val="24"/>
          <w:szCs w:val="24"/>
        </w:rPr>
        <w:t>Henstock</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McComb</w:t>
      </w:r>
      <w:proofErr w:type="spellEnd"/>
      <w:r>
        <w:rPr>
          <w:rFonts w:ascii="Times New Roman" w:eastAsia="Times New Roman" w:hAnsi="Times New Roman" w:cs="Times New Roman"/>
          <w:sz w:val="24"/>
          <w:szCs w:val="24"/>
        </w:rPr>
        <w:t xml:space="preserve">, C., Newland, R., Barnes, G.C., Lee, M. and Taylor, E., 2019. Police, public, and arrestee perceptions of body-worn video: A single jurisdictional multiple-perspective analysis. Criminal justice review, 44(3), pp.304-321. Available </w:t>
      </w:r>
      <w:proofErr w:type="spellStart"/>
      <w:r>
        <w:rPr>
          <w:rFonts w:ascii="Times New Roman" w:eastAsia="Times New Roman" w:hAnsi="Times New Roman" w:cs="Times New Roman"/>
          <w:sz w:val="24"/>
          <w:szCs w:val="24"/>
        </w:rPr>
        <w:t>at:</w:t>
      </w:r>
      <w:hyperlink r:id="rId1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://openaccess.city.ac.uk/id/</w:t>
        </w:r>
        <w:proofErr w:type="spellStart"/>
        <w:r>
          <w:rPr>
            <w:rFonts w:ascii="Times New Roman" w:eastAsia="Times New Roman" w:hAnsi="Times New Roman" w:cs="Times New Roman"/>
            <w:color w:val="1155CC"/>
            <w:sz w:val="24"/>
            <w:szCs w:val="24"/>
            <w:u w:val="single"/>
          </w:rPr>
          <w:t>eprint</w:t>
        </w:r>
        <w:proofErr w:type="spellEnd"/>
        <w:r>
          <w:rPr>
            <w:rFonts w:ascii="Times New Roman" w:eastAsia="Times New Roman" w:hAnsi="Times New Roman" w:cs="Times New Roman"/>
            <w:color w:val="1155CC"/>
            <w:sz w:val="24"/>
            <w:szCs w:val="24"/>
            <w:u w:val="single"/>
          </w:rPr>
          <w:t>/22485/1/</w:t>
        </w:r>
      </w:hyperlink>
      <w:r>
        <w:rPr>
          <w:rFonts w:ascii="Times New Roman" w:eastAsia="Times New Roman" w:hAnsi="Times New Roman" w:cs="Times New Roman"/>
          <w:sz w:val="24"/>
          <w:szCs w:val="24"/>
        </w:rPr>
        <w:t xml:space="preserve"> [Accessed: 4 May 2023] </w:t>
      </w:r>
    </w:p>
    <w:p w14:paraId="5F971867"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Dunham, R.G., Alpert, G.P. and McLean, K.D., 2020. Critical issues in policing: Contemporary readings. Waveland Press. Available at:</w:t>
      </w:r>
      <w:hyperlink r:id="rId14">
        <w:r>
          <w:rPr>
            <w:rFonts w:ascii="Times New Roman" w:eastAsia="Times New Roman" w:hAnsi="Times New Roman" w:cs="Times New Roman"/>
            <w:color w:val="1155CC"/>
            <w:sz w:val="24"/>
            <w:szCs w:val="24"/>
            <w:u w:val="single"/>
          </w:rPr>
          <w:t>https://emajor.usg.edu/img/pdf/syllabi/CRJU/CRJU4600-Syllabus.pdf</w:t>
        </w:r>
      </w:hyperlink>
      <w:r>
        <w:rPr>
          <w:rFonts w:ascii="Times New Roman" w:eastAsia="Times New Roman" w:hAnsi="Times New Roman" w:cs="Times New Roman"/>
          <w:sz w:val="24"/>
          <w:szCs w:val="24"/>
        </w:rPr>
        <w:t xml:space="preserve"> [Accessed: 4 May 2023] </w:t>
      </w:r>
    </w:p>
    <w:p w14:paraId="42900694"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Ellison, M., Bannister, J., Lee, W.D. and Haleem, M.S., 2021. Understanding policing demand and deployment through the lens of the city and with the application of big data. Urban Studies, 58(15), pp.3157-3175. Available at: </w:t>
      </w:r>
      <w:hyperlink r:id="rId15">
        <w:r>
          <w:rPr>
            <w:rFonts w:ascii="Times New Roman" w:eastAsia="Times New Roman" w:hAnsi="Times New Roman" w:cs="Times New Roman"/>
            <w:color w:val="1155CC"/>
            <w:sz w:val="24"/>
            <w:szCs w:val="24"/>
            <w:u w:val="single"/>
          </w:rPr>
          <w:t>https://journals.sagepub.com/doi/pdf/10.1177/0042098020981007</w:t>
        </w:r>
      </w:hyperlink>
      <w:r>
        <w:rPr>
          <w:rFonts w:ascii="Times New Roman" w:eastAsia="Times New Roman" w:hAnsi="Times New Roman" w:cs="Times New Roman"/>
          <w:sz w:val="24"/>
          <w:szCs w:val="24"/>
        </w:rPr>
        <w:t xml:space="preserve"> [Accessed: 4 May 2023] </w:t>
      </w:r>
    </w:p>
    <w:p w14:paraId="2A592978" w14:textId="6B3384B0"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Heap, V., 2021. Exploring the effects of long-term antisocial </w:t>
      </w:r>
      <w:r w:rsidR="004A017A">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w:t>
      </w:r>
      <w:r w:rsidR="004A017A">
        <w:rPr>
          <w:rFonts w:ascii="Times New Roman" w:eastAsia="Times New Roman" w:hAnsi="Times New Roman" w:cs="Times New Roman"/>
          <w:sz w:val="24"/>
          <w:szCs w:val="24"/>
        </w:rPr>
        <w:t>victimization</w:t>
      </w:r>
      <w:r>
        <w:rPr>
          <w:rFonts w:ascii="Times New Roman" w:eastAsia="Times New Roman" w:hAnsi="Times New Roman" w:cs="Times New Roman"/>
          <w:sz w:val="24"/>
          <w:szCs w:val="24"/>
        </w:rPr>
        <w:t xml:space="preserve">. International review of victimology, 27(2), pp.227-242. Available at: </w:t>
      </w:r>
      <w:hyperlink r:id="rId16">
        <w:r>
          <w:rPr>
            <w:rFonts w:ascii="Times New Roman" w:eastAsia="Times New Roman" w:hAnsi="Times New Roman" w:cs="Times New Roman"/>
            <w:color w:val="1155CC"/>
            <w:sz w:val="24"/>
            <w:szCs w:val="24"/>
            <w:u w:val="single"/>
          </w:rPr>
          <w:t>https://journals.sagepub.com/doi/pdf/10.1177/0269758020961979</w:t>
        </w:r>
      </w:hyperlink>
      <w:r>
        <w:rPr>
          <w:rFonts w:ascii="Times New Roman" w:eastAsia="Times New Roman" w:hAnsi="Times New Roman" w:cs="Times New Roman"/>
          <w:sz w:val="24"/>
          <w:szCs w:val="24"/>
        </w:rPr>
        <w:t xml:space="preserve"> [Accessed: 4 May 2023] </w:t>
      </w:r>
    </w:p>
    <w:p w14:paraId="3998A1EF"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Hinkle, J.C., Weisburd, D., </w:t>
      </w:r>
      <w:proofErr w:type="spellStart"/>
      <w:r>
        <w:rPr>
          <w:rFonts w:ascii="Times New Roman" w:eastAsia="Times New Roman" w:hAnsi="Times New Roman" w:cs="Times New Roman"/>
          <w:sz w:val="24"/>
          <w:szCs w:val="24"/>
        </w:rPr>
        <w:t>Telep</w:t>
      </w:r>
      <w:proofErr w:type="spellEnd"/>
      <w:r>
        <w:rPr>
          <w:rFonts w:ascii="Times New Roman" w:eastAsia="Times New Roman" w:hAnsi="Times New Roman" w:cs="Times New Roman"/>
          <w:sz w:val="24"/>
          <w:szCs w:val="24"/>
        </w:rPr>
        <w:t xml:space="preserve">, C.W. and Petersen, K., 2020. Problem‐oriented policing for reducing crime and disorder: An updated systematic review and meta‐analysis. Campbell systematic reviews, 16(2), p.e1089. Available </w:t>
      </w:r>
      <w:proofErr w:type="spellStart"/>
      <w:r>
        <w:rPr>
          <w:rFonts w:ascii="Times New Roman" w:eastAsia="Times New Roman" w:hAnsi="Times New Roman" w:cs="Times New Roman"/>
          <w:sz w:val="24"/>
          <w:szCs w:val="24"/>
        </w:rPr>
        <w:t>at:</w:t>
      </w:r>
      <w:hyperlink r:id="rId17">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://onlinelibrary.wiley.com/</w:t>
        </w:r>
        <w:proofErr w:type="spellStart"/>
        <w:r>
          <w:rPr>
            <w:rFonts w:ascii="Times New Roman" w:eastAsia="Times New Roman" w:hAnsi="Times New Roman" w:cs="Times New Roman"/>
            <w:color w:val="1155CC"/>
            <w:sz w:val="24"/>
            <w:szCs w:val="24"/>
            <w:u w:val="single"/>
          </w:rPr>
          <w:t>doi</w:t>
        </w:r>
        <w:proofErr w:type="spellEnd"/>
        <w:r>
          <w:rPr>
            <w:rFonts w:ascii="Times New Roman" w:eastAsia="Times New Roman" w:hAnsi="Times New Roman" w:cs="Times New Roman"/>
            <w:color w:val="1155CC"/>
            <w:sz w:val="24"/>
            <w:szCs w:val="24"/>
            <w:u w:val="single"/>
          </w:rPr>
          <w:t>/pdf/10.1002/cl2.1089</w:t>
        </w:r>
      </w:hyperlink>
      <w:r>
        <w:rPr>
          <w:rFonts w:ascii="Times New Roman" w:eastAsia="Times New Roman" w:hAnsi="Times New Roman" w:cs="Times New Roman"/>
          <w:sz w:val="24"/>
          <w:szCs w:val="24"/>
        </w:rPr>
        <w:t xml:space="preserve"> [Accessed: 4 May 2023] </w:t>
      </w:r>
    </w:p>
    <w:p w14:paraId="2F891049"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M., Taylor, E. and Willis, M., 2019. Being held to account: Detainees' perceptions of police body-worn cameras. Australian &amp; New Zealand Journal of Criminology, 52(2), pp.174-192. Available at: </w:t>
      </w:r>
      <w:hyperlink r:id="rId18">
        <w:r>
          <w:rPr>
            <w:rFonts w:ascii="Times New Roman" w:eastAsia="Times New Roman" w:hAnsi="Times New Roman" w:cs="Times New Roman"/>
            <w:color w:val="1155CC"/>
            <w:sz w:val="24"/>
            <w:szCs w:val="24"/>
            <w:u w:val="single"/>
          </w:rPr>
          <w:t>https://openaccess.city.ac.uk/id/eprint/20336/3/</w:t>
        </w:r>
      </w:hyperlink>
      <w:r>
        <w:rPr>
          <w:rFonts w:ascii="Times New Roman" w:eastAsia="Times New Roman" w:hAnsi="Times New Roman" w:cs="Times New Roman"/>
          <w:sz w:val="24"/>
          <w:szCs w:val="24"/>
        </w:rPr>
        <w:t xml:space="preserve"> [Accessed: 4 May 2023] </w:t>
      </w:r>
    </w:p>
    <w:p w14:paraId="38429EC8"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Meijer, A. and Wessels, M., 2019. Predictive policing: Review of benefits and drawbacks. International Journal of Public Administration, 42(12), pp.1031-1039. Available at: </w:t>
      </w:r>
      <w:hyperlink r:id="rId19">
        <w:r>
          <w:rPr>
            <w:rFonts w:ascii="Times New Roman" w:eastAsia="Times New Roman" w:hAnsi="Times New Roman" w:cs="Times New Roman"/>
            <w:color w:val="1155CC"/>
            <w:sz w:val="24"/>
            <w:szCs w:val="24"/>
            <w:u w:val="single"/>
          </w:rPr>
          <w:t>https://www.tandfonline.com/doi/pdf/10.1080/01900692.2019.1575664</w:t>
        </w:r>
      </w:hyperlink>
      <w:r>
        <w:rPr>
          <w:rFonts w:ascii="Times New Roman" w:eastAsia="Times New Roman" w:hAnsi="Times New Roman" w:cs="Times New Roman"/>
          <w:sz w:val="24"/>
          <w:szCs w:val="24"/>
        </w:rPr>
        <w:t xml:space="preserve"> [Accessed: 4 May 2023] </w:t>
      </w:r>
    </w:p>
    <w:p w14:paraId="6ED22576"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Movementforward.org, R.J. (2020) A look inside strategies contributing towards Community Policing: Sara Model. Available at: </w:t>
      </w:r>
      <w:hyperlink r:id="rId20">
        <w:r>
          <w:rPr>
            <w:rFonts w:ascii="Times New Roman" w:eastAsia="Times New Roman" w:hAnsi="Times New Roman" w:cs="Times New Roman"/>
            <w:color w:val="1155CC"/>
            <w:sz w:val="24"/>
            <w:szCs w:val="24"/>
            <w:u w:val="single"/>
          </w:rPr>
          <w:t>https://movementforward.org/a-look-inside-strategies-contributing-towards-community-policing-sara-model/</w:t>
        </w:r>
      </w:hyperlink>
      <w:r>
        <w:rPr>
          <w:rFonts w:ascii="Times New Roman" w:eastAsia="Times New Roman" w:hAnsi="Times New Roman" w:cs="Times New Roman"/>
          <w:sz w:val="24"/>
          <w:szCs w:val="24"/>
        </w:rPr>
        <w:t xml:space="preserve"> [Accessed: 4 May 2023] </w:t>
      </w:r>
    </w:p>
    <w:p w14:paraId="0EF412A9"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Murphy, A. and Hine, B., 2019. Investigating the demographic and attitudinal predictors of rape myth acceptance in U.K. Police officers: developing an evidence-base for training and professional development. Psychology, Crime &amp; Law, 25(1), pp.69-89. Available at:</w:t>
      </w:r>
      <w:hyperlink r:id="rId21">
        <w:r>
          <w:rPr>
            <w:rFonts w:ascii="Times New Roman" w:eastAsia="Times New Roman" w:hAnsi="Times New Roman" w:cs="Times New Roman"/>
            <w:color w:val="1155CC"/>
            <w:sz w:val="24"/>
            <w:szCs w:val="24"/>
            <w:u w:val="single"/>
          </w:rPr>
          <w:t>https://eprints.mdx.ac.uk/25243/1/Murphy%20Hine%202018%20final%20submission.pdf</w:t>
        </w:r>
      </w:hyperlink>
      <w:r>
        <w:rPr>
          <w:rFonts w:ascii="Times New Roman" w:eastAsia="Times New Roman" w:hAnsi="Times New Roman" w:cs="Times New Roman"/>
          <w:sz w:val="24"/>
          <w:szCs w:val="24"/>
        </w:rPr>
        <w:t xml:space="preserve"> [Accessed: 4 May 2023] </w:t>
      </w:r>
    </w:p>
    <w:p w14:paraId="447C9B5C"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Piquero, A.R., Jennings, W.G., Jemison, E., </w:t>
      </w:r>
      <w:proofErr w:type="spellStart"/>
      <w:r>
        <w:rPr>
          <w:rFonts w:ascii="Times New Roman" w:eastAsia="Times New Roman" w:hAnsi="Times New Roman" w:cs="Times New Roman"/>
          <w:sz w:val="24"/>
          <w:szCs w:val="24"/>
        </w:rPr>
        <w:t>Kaukinen</w:t>
      </w:r>
      <w:proofErr w:type="spellEnd"/>
      <w:r>
        <w:rPr>
          <w:rFonts w:ascii="Times New Roman" w:eastAsia="Times New Roman" w:hAnsi="Times New Roman" w:cs="Times New Roman"/>
          <w:sz w:val="24"/>
          <w:szCs w:val="24"/>
        </w:rPr>
        <w:t xml:space="preserve">, C. and Knaul, F.M., 2021. Domestic violence during the COVID-19 pandemic-Evidence from a systematic review and meta-analysis. Journal of criminal justice, 74, p.101806. Available at: </w:t>
      </w:r>
      <w:hyperlink r:id="rId22">
        <w:r>
          <w:rPr>
            <w:rFonts w:ascii="Times New Roman" w:eastAsia="Times New Roman" w:hAnsi="Times New Roman" w:cs="Times New Roman"/>
            <w:color w:val="1155CC"/>
            <w:sz w:val="24"/>
            <w:szCs w:val="24"/>
            <w:u w:val="single"/>
          </w:rPr>
          <w:t>https://prohic.nl/wp-content/uploads/2021/04/204-26april2021-DomesticViolenceCOVID-19SystematicReview.pdf</w:t>
        </w:r>
      </w:hyperlink>
      <w:r>
        <w:rPr>
          <w:rFonts w:ascii="Times New Roman" w:eastAsia="Times New Roman" w:hAnsi="Times New Roman" w:cs="Times New Roman"/>
          <w:sz w:val="24"/>
          <w:szCs w:val="24"/>
        </w:rPr>
        <w:t xml:space="preserve"> [Accessed: 4 May 2023] </w:t>
      </w:r>
    </w:p>
    <w:p w14:paraId="7B60FA93"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Pizza, E.L., 2021. The history, policy implications, and knowledge gaps of the CCTV literature: Insights for the development of body-worn video camera research. International criminal justice review, 31(3), pp.304-324. Available at: </w:t>
      </w:r>
      <w:hyperlink r:id="rId23">
        <w:r>
          <w:rPr>
            <w:rFonts w:ascii="Times New Roman" w:eastAsia="Times New Roman" w:hAnsi="Times New Roman" w:cs="Times New Roman"/>
            <w:color w:val="1155CC"/>
            <w:sz w:val="24"/>
            <w:szCs w:val="24"/>
            <w:u w:val="single"/>
          </w:rPr>
          <w:t>https://academicworks.cuny.edu/cgi/viewcontent.cgi?article=1234&amp;context=jj_pubs</w:t>
        </w:r>
      </w:hyperlink>
      <w:r>
        <w:rPr>
          <w:rFonts w:ascii="Times New Roman" w:eastAsia="Times New Roman" w:hAnsi="Times New Roman" w:cs="Times New Roman"/>
          <w:sz w:val="24"/>
          <w:szCs w:val="24"/>
        </w:rPr>
        <w:t xml:space="preserve"> [Accessed: 4 May 2023] </w:t>
      </w:r>
    </w:p>
    <w:p w14:paraId="5279D7A8" w14:textId="77777777" w:rsidR="002B210F" w:rsidRDefault="00B716D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Trang, S. and Brendel, B., 2019. A meta-analysis of deterrence theory in information security policy compliance research. Information Systems Frontiers, 21, pp.1265-1284. Available at:</w:t>
      </w:r>
      <w:hyperlink r:id="rId24">
        <w:r>
          <w:rPr>
            <w:rFonts w:ascii="Times New Roman" w:eastAsia="Times New Roman" w:hAnsi="Times New Roman" w:cs="Times New Roman"/>
            <w:color w:val="1155CC"/>
            <w:sz w:val="24"/>
            <w:szCs w:val="24"/>
            <w:u w:val="single"/>
          </w:rPr>
          <w:t>https://www.researchgate.net/profile/Simon-Trang/publication/336815279_A_Meta-</w:t>
        </w:r>
        <w:r>
          <w:rPr>
            <w:rFonts w:ascii="Times New Roman" w:eastAsia="Times New Roman" w:hAnsi="Times New Roman" w:cs="Times New Roman"/>
            <w:color w:val="1155CC"/>
            <w:sz w:val="24"/>
            <w:szCs w:val="24"/>
            <w:u w:val="single"/>
          </w:rPr>
          <w:lastRenderedPageBreak/>
          <w:t>Analysis_of_Deterrence_Theory_in_Information_Security_Policy_Compliance_Research/links/5dde4be892851c83644ba3c4/A-Meta-Analysis-of-Deterrence-Theory-in-Information-Security-Policy-Compliance-Research.pdf</w:t>
        </w:r>
      </w:hyperlink>
      <w:r>
        <w:rPr>
          <w:rFonts w:ascii="Times New Roman" w:eastAsia="Times New Roman" w:hAnsi="Times New Roman" w:cs="Times New Roman"/>
          <w:sz w:val="24"/>
          <w:szCs w:val="24"/>
        </w:rPr>
        <w:t xml:space="preserve"> [Accessed: 4 May 2023] </w:t>
      </w:r>
    </w:p>
    <w:sectPr w:rsidR="002B210F" w:rsidSect="002B210F">
      <w:footerReference w:type="defaul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902B7" w14:textId="77777777" w:rsidR="00BC18C0" w:rsidRDefault="00BC18C0">
      <w:pPr>
        <w:spacing w:line="240" w:lineRule="auto"/>
      </w:pPr>
      <w:r>
        <w:separator/>
      </w:r>
    </w:p>
  </w:endnote>
  <w:endnote w:type="continuationSeparator" w:id="0">
    <w:p w14:paraId="4645D3D9" w14:textId="77777777" w:rsidR="00BC18C0" w:rsidRDefault="00BC18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537563"/>
      <w:docPartObj>
        <w:docPartGallery w:val="Page Numbers (Bottom of Page)"/>
        <w:docPartUnique/>
      </w:docPartObj>
    </w:sdtPr>
    <w:sdtContent>
      <w:sdt>
        <w:sdtPr>
          <w:rPr>
            <w:rFonts w:ascii="Times New Roman" w:hAnsi="Times New Roman" w:cs="Times New Roman"/>
            <w:sz w:val="24"/>
            <w:szCs w:val="24"/>
          </w:rPr>
          <w:id w:val="565050523"/>
          <w:docPartObj>
            <w:docPartGallery w:val="Page Numbers (Top of Page)"/>
            <w:docPartUnique/>
          </w:docPartObj>
        </w:sdtPr>
        <w:sdtContent>
          <w:p w14:paraId="211CAE83" w14:textId="77777777" w:rsidR="002B210F" w:rsidRPr="002B210F" w:rsidRDefault="00B716DE">
            <w:pPr>
              <w:pStyle w:val="Footer"/>
              <w:jc w:val="right"/>
              <w:rPr>
                <w:rFonts w:ascii="Times New Roman" w:hAnsi="Times New Roman" w:cs="Times New Roman"/>
                <w:sz w:val="24"/>
                <w:szCs w:val="24"/>
              </w:rPr>
            </w:pPr>
            <w:r w:rsidRPr="002B210F">
              <w:rPr>
                <w:rFonts w:ascii="Times New Roman" w:hAnsi="Times New Roman" w:cs="Times New Roman"/>
                <w:sz w:val="24"/>
                <w:szCs w:val="24"/>
              </w:rPr>
              <w:t xml:space="preserve">Page </w:t>
            </w:r>
            <w:r w:rsidRPr="002B210F">
              <w:rPr>
                <w:rFonts w:ascii="Times New Roman" w:hAnsi="Times New Roman" w:cs="Times New Roman"/>
                <w:b/>
                <w:sz w:val="24"/>
                <w:szCs w:val="24"/>
              </w:rPr>
              <w:fldChar w:fldCharType="begin"/>
            </w:r>
            <w:r w:rsidRPr="002B210F">
              <w:rPr>
                <w:rFonts w:ascii="Times New Roman" w:hAnsi="Times New Roman" w:cs="Times New Roman"/>
                <w:b/>
                <w:sz w:val="24"/>
                <w:szCs w:val="24"/>
              </w:rPr>
              <w:instrText xml:space="preserve"> PAGE </w:instrText>
            </w:r>
            <w:r w:rsidRPr="002B210F">
              <w:rPr>
                <w:rFonts w:ascii="Times New Roman" w:hAnsi="Times New Roman" w:cs="Times New Roman"/>
                <w:b/>
                <w:sz w:val="24"/>
                <w:szCs w:val="24"/>
              </w:rPr>
              <w:fldChar w:fldCharType="separate"/>
            </w:r>
            <w:r>
              <w:rPr>
                <w:rFonts w:ascii="Times New Roman" w:hAnsi="Times New Roman" w:cs="Times New Roman"/>
                <w:b/>
                <w:noProof/>
                <w:sz w:val="24"/>
                <w:szCs w:val="24"/>
              </w:rPr>
              <w:t>2</w:t>
            </w:r>
            <w:r w:rsidRPr="002B210F">
              <w:rPr>
                <w:rFonts w:ascii="Times New Roman" w:hAnsi="Times New Roman" w:cs="Times New Roman"/>
                <w:b/>
                <w:sz w:val="24"/>
                <w:szCs w:val="24"/>
              </w:rPr>
              <w:fldChar w:fldCharType="end"/>
            </w:r>
            <w:r w:rsidRPr="002B210F">
              <w:rPr>
                <w:rFonts w:ascii="Times New Roman" w:hAnsi="Times New Roman" w:cs="Times New Roman"/>
                <w:sz w:val="24"/>
                <w:szCs w:val="24"/>
              </w:rPr>
              <w:t xml:space="preserve"> of </w:t>
            </w:r>
            <w:r w:rsidRPr="002B210F">
              <w:rPr>
                <w:rFonts w:ascii="Times New Roman" w:hAnsi="Times New Roman" w:cs="Times New Roman"/>
                <w:b/>
                <w:sz w:val="24"/>
                <w:szCs w:val="24"/>
              </w:rPr>
              <w:fldChar w:fldCharType="begin"/>
            </w:r>
            <w:r w:rsidRPr="002B210F">
              <w:rPr>
                <w:rFonts w:ascii="Times New Roman" w:hAnsi="Times New Roman" w:cs="Times New Roman"/>
                <w:b/>
                <w:sz w:val="24"/>
                <w:szCs w:val="24"/>
              </w:rPr>
              <w:instrText xml:space="preserve"> NUMPAGES  </w:instrText>
            </w:r>
            <w:r w:rsidRPr="002B210F">
              <w:rPr>
                <w:rFonts w:ascii="Times New Roman" w:hAnsi="Times New Roman" w:cs="Times New Roman"/>
                <w:b/>
                <w:sz w:val="24"/>
                <w:szCs w:val="24"/>
              </w:rPr>
              <w:fldChar w:fldCharType="separate"/>
            </w:r>
            <w:r>
              <w:rPr>
                <w:rFonts w:ascii="Times New Roman" w:hAnsi="Times New Roman" w:cs="Times New Roman"/>
                <w:b/>
                <w:noProof/>
                <w:sz w:val="24"/>
                <w:szCs w:val="24"/>
              </w:rPr>
              <w:t>12</w:t>
            </w:r>
            <w:r w:rsidRPr="002B210F">
              <w:rPr>
                <w:rFonts w:ascii="Times New Roman" w:hAnsi="Times New Roman" w:cs="Times New Roman"/>
                <w:b/>
                <w:sz w:val="24"/>
                <w:szCs w:val="24"/>
              </w:rPr>
              <w:fldChar w:fldCharType="end"/>
            </w:r>
          </w:p>
        </w:sdtContent>
      </w:sdt>
    </w:sdtContent>
  </w:sdt>
  <w:p w14:paraId="645FA25E" w14:textId="77777777" w:rsidR="002B210F" w:rsidRPr="002B210F" w:rsidRDefault="002B210F">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50B00" w14:textId="77777777" w:rsidR="00BC18C0" w:rsidRDefault="00BC18C0">
      <w:pPr>
        <w:spacing w:line="240" w:lineRule="auto"/>
      </w:pPr>
      <w:r>
        <w:separator/>
      </w:r>
    </w:p>
  </w:footnote>
  <w:footnote w:type="continuationSeparator" w:id="0">
    <w:p w14:paraId="277D9FD7" w14:textId="77777777" w:rsidR="00BC18C0" w:rsidRDefault="00BC18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60C1E"/>
    <w:multiLevelType w:val="multilevel"/>
    <w:tmpl w:val="586A7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7959F3"/>
    <w:multiLevelType w:val="multilevel"/>
    <w:tmpl w:val="0C7C5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845A61"/>
    <w:multiLevelType w:val="multilevel"/>
    <w:tmpl w:val="FDA8CD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64929279">
    <w:abstractNumId w:val="0"/>
  </w:num>
  <w:num w:numId="2" w16cid:durableId="1589460023">
    <w:abstractNumId w:val="1"/>
  </w:num>
  <w:num w:numId="3" w16cid:durableId="2079399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09"/>
    <w:rsid w:val="000D1603"/>
    <w:rsid w:val="002B210F"/>
    <w:rsid w:val="004A017A"/>
    <w:rsid w:val="0051017B"/>
    <w:rsid w:val="00816ADD"/>
    <w:rsid w:val="00B716DE"/>
    <w:rsid w:val="00BC18C0"/>
    <w:rsid w:val="00DD7309"/>
    <w:rsid w:val="00DE3C45"/>
    <w:rsid w:val="00DF7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E5256"/>
  <w15:docId w15:val="{992C016B-6163-4114-A480-A69136AB0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B210F"/>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2B210F"/>
    <w:pPr>
      <w:keepNext/>
      <w:keepLines/>
      <w:spacing w:before="360" w:after="120" w:line="360" w:lineRule="auto"/>
      <w:outlineLvl w:val="1"/>
    </w:pPr>
    <w:rPr>
      <w:rFonts w:ascii="Times New Roman" w:hAnsi="Times New Roman"/>
      <w:b/>
      <w:sz w:val="26"/>
      <w:szCs w:val="32"/>
    </w:rPr>
  </w:style>
  <w:style w:type="paragraph" w:styleId="Heading3">
    <w:name w:val="heading 3"/>
    <w:basedOn w:val="Normal1"/>
    <w:next w:val="Normal1"/>
    <w:rsid w:val="00DD7309"/>
    <w:pPr>
      <w:keepNext/>
      <w:keepLines/>
      <w:spacing w:before="320" w:after="80"/>
      <w:outlineLvl w:val="2"/>
    </w:pPr>
    <w:rPr>
      <w:color w:val="434343"/>
      <w:sz w:val="28"/>
      <w:szCs w:val="28"/>
    </w:rPr>
  </w:style>
  <w:style w:type="paragraph" w:styleId="Heading4">
    <w:name w:val="heading 4"/>
    <w:basedOn w:val="Normal1"/>
    <w:next w:val="Normal1"/>
    <w:rsid w:val="00DD7309"/>
    <w:pPr>
      <w:keepNext/>
      <w:keepLines/>
      <w:spacing w:before="280" w:after="80"/>
      <w:outlineLvl w:val="3"/>
    </w:pPr>
    <w:rPr>
      <w:color w:val="666666"/>
      <w:sz w:val="24"/>
      <w:szCs w:val="24"/>
    </w:rPr>
  </w:style>
  <w:style w:type="paragraph" w:styleId="Heading5">
    <w:name w:val="heading 5"/>
    <w:basedOn w:val="Normal1"/>
    <w:next w:val="Normal1"/>
    <w:rsid w:val="00DD7309"/>
    <w:pPr>
      <w:keepNext/>
      <w:keepLines/>
      <w:spacing w:before="240" w:after="80"/>
      <w:outlineLvl w:val="4"/>
    </w:pPr>
    <w:rPr>
      <w:color w:val="666666"/>
    </w:rPr>
  </w:style>
  <w:style w:type="paragraph" w:styleId="Heading6">
    <w:name w:val="heading 6"/>
    <w:basedOn w:val="Normal1"/>
    <w:next w:val="Normal1"/>
    <w:rsid w:val="00DD730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7309"/>
  </w:style>
  <w:style w:type="paragraph" w:styleId="Title">
    <w:name w:val="Title"/>
    <w:basedOn w:val="Normal1"/>
    <w:next w:val="Normal1"/>
    <w:rsid w:val="00DD7309"/>
    <w:pPr>
      <w:keepNext/>
      <w:keepLines/>
      <w:spacing w:after="60"/>
    </w:pPr>
    <w:rPr>
      <w:sz w:val="52"/>
      <w:szCs w:val="52"/>
    </w:rPr>
  </w:style>
  <w:style w:type="paragraph" w:styleId="Subtitle">
    <w:name w:val="Subtitle"/>
    <w:basedOn w:val="Normal1"/>
    <w:next w:val="Normal1"/>
    <w:rsid w:val="00DD730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B21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10F"/>
    <w:rPr>
      <w:rFonts w:ascii="Tahoma" w:hAnsi="Tahoma" w:cs="Tahoma"/>
      <w:sz w:val="16"/>
      <w:szCs w:val="16"/>
    </w:rPr>
  </w:style>
  <w:style w:type="paragraph" w:styleId="Header">
    <w:name w:val="header"/>
    <w:basedOn w:val="Normal"/>
    <w:link w:val="HeaderChar"/>
    <w:uiPriority w:val="99"/>
    <w:semiHidden/>
    <w:unhideWhenUsed/>
    <w:rsid w:val="002B210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210F"/>
  </w:style>
  <w:style w:type="paragraph" w:styleId="Footer">
    <w:name w:val="footer"/>
    <w:basedOn w:val="Normal"/>
    <w:link w:val="FooterChar"/>
    <w:uiPriority w:val="99"/>
    <w:unhideWhenUsed/>
    <w:rsid w:val="002B210F"/>
    <w:pPr>
      <w:tabs>
        <w:tab w:val="center" w:pos="4680"/>
        <w:tab w:val="right" w:pos="9360"/>
      </w:tabs>
      <w:spacing w:line="240" w:lineRule="auto"/>
    </w:pPr>
  </w:style>
  <w:style w:type="character" w:customStyle="1" w:styleId="FooterChar">
    <w:name w:val="Footer Char"/>
    <w:basedOn w:val="DefaultParagraphFont"/>
    <w:link w:val="Footer"/>
    <w:uiPriority w:val="99"/>
    <w:rsid w:val="002B210F"/>
  </w:style>
  <w:style w:type="paragraph" w:styleId="TOCHeading">
    <w:name w:val="TOC Heading"/>
    <w:basedOn w:val="Heading1"/>
    <w:next w:val="Normal"/>
    <w:uiPriority w:val="39"/>
    <w:unhideWhenUsed/>
    <w:qFormat/>
    <w:rsid w:val="002B210F"/>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B210F"/>
    <w:pPr>
      <w:spacing w:after="100"/>
    </w:pPr>
  </w:style>
  <w:style w:type="paragraph" w:styleId="TOC2">
    <w:name w:val="toc 2"/>
    <w:basedOn w:val="Normal"/>
    <w:next w:val="Normal"/>
    <w:autoRedefine/>
    <w:uiPriority w:val="39"/>
    <w:unhideWhenUsed/>
    <w:rsid w:val="002B210F"/>
    <w:pPr>
      <w:spacing w:after="100"/>
      <w:ind w:left="220"/>
    </w:pPr>
  </w:style>
  <w:style w:type="character" w:styleId="Hyperlink">
    <w:name w:val="Hyperlink"/>
    <w:basedOn w:val="DefaultParagraphFont"/>
    <w:uiPriority w:val="99"/>
    <w:unhideWhenUsed/>
    <w:rsid w:val="002B21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penaccess.city.ac.uk/id/eprint/22485/1/" TargetMode="External"/><Relationship Id="rId18" Type="http://schemas.openxmlformats.org/officeDocument/2006/relationships/hyperlink" Target="https://openaccess.city.ac.uk/id/eprint/20336/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prints.mdx.ac.uk/25243/1/Murphy%20Hine%202018%20final%20submission.pdf" TargetMode="External"/><Relationship Id="rId7" Type="http://schemas.openxmlformats.org/officeDocument/2006/relationships/endnotes" Target="endnotes.xml"/><Relationship Id="rId12" Type="http://schemas.openxmlformats.org/officeDocument/2006/relationships/hyperlink" Target="https://link.springer.com/article/10.1007/s11292-019-09387-w" TargetMode="External"/><Relationship Id="rId17" Type="http://schemas.openxmlformats.org/officeDocument/2006/relationships/hyperlink" Target="https://onlinelibrary.wiley.com/doi/pdf/10.1002/cl2.1089"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sagepub.com/doi/pdf/10.1177/0269758020961979" TargetMode="External"/><Relationship Id="rId20" Type="http://schemas.openxmlformats.org/officeDocument/2006/relationships/hyperlink" Target="https://movementforward.org/a-look-inside-strategies-contributing-towards-community-policing-sara-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ber.org/system/files/working_papers/w25798/w25798.pdf" TargetMode="External"/><Relationship Id="rId24" Type="http://schemas.openxmlformats.org/officeDocument/2006/relationships/hyperlink" Target="https://www.researchgate.net/profile/Simon-Trang/publication/336815279_A_Meta-Analysis_of_Deterrence_Theory_in_Information_Security_Policy_Compliance_Research/links/5dde4be892851c83644ba3c4/A-Meta-Analysis-of-Deterrence-Theory-in-Information-Security-Policy-Compliance-Research.pdf" TargetMode="External"/><Relationship Id="rId5" Type="http://schemas.openxmlformats.org/officeDocument/2006/relationships/webSettings" Target="webSettings.xml"/><Relationship Id="rId15" Type="http://schemas.openxmlformats.org/officeDocument/2006/relationships/hyperlink" Target="https://journals.sagepub.com/doi/pdf/10.1177/0042098020981007" TargetMode="External"/><Relationship Id="rId23" Type="http://schemas.openxmlformats.org/officeDocument/2006/relationships/hyperlink" Target="https://academicworks.cuny.edu/cgi/viewcontent.cgi?article=1234&amp;context=jj_pubs" TargetMode="External"/><Relationship Id="rId10" Type="http://schemas.openxmlformats.org/officeDocument/2006/relationships/hyperlink" Target="https://onlinelibrary.wiley.com/doi/pdf/10.1002/cl2.1046" TargetMode="External"/><Relationship Id="rId19" Type="http://schemas.openxmlformats.org/officeDocument/2006/relationships/hyperlink" Target="https://www.tandfonline.com/doi/pdf/10.1080/01900692.2019.1575664" TargetMode="External"/><Relationship Id="rId4" Type="http://schemas.openxmlformats.org/officeDocument/2006/relationships/settings" Target="settings.xml"/><Relationship Id="rId9" Type="http://schemas.openxmlformats.org/officeDocument/2006/relationships/hyperlink" Target="https://kclpure.kcl.ac.uk/portal/files/113034943/Automated_policing_the_case_BOWLING_Publishedonline20June2019_GREEN_AAM.pdf" TargetMode="External"/><Relationship Id="rId14" Type="http://schemas.openxmlformats.org/officeDocument/2006/relationships/hyperlink" Target="https://emajor.usg.edu/img/pdf/syllabi/CRJU/CRJU4600-Syllabus.pdf" TargetMode="External"/><Relationship Id="rId22" Type="http://schemas.openxmlformats.org/officeDocument/2006/relationships/hyperlink" Target="https://prohic.nl/wp-content/uploads/2021/04/204-26april2021-DomesticViolenceCOVID-19SystematicReview.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F288F07-2901-4F1A-B125-B202C3112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3050</Words>
  <Characters>17385</Characters>
  <Application>Microsoft Office Word</Application>
  <DocSecurity>0</DocSecurity>
  <Lines>144</Lines>
  <Paragraphs>40</Paragraphs>
  <ScaleCrop>false</ScaleCrop>
  <Company/>
  <LinksUpToDate>false</LinksUpToDate>
  <CharactersWithSpaces>20395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Ovidiu Godja (2217499)</cp:lastModifiedBy>
  <cp:revision>4</cp:revision>
  <dcterms:created xsi:type="dcterms:W3CDTF">2023-05-04T19:31:00Z</dcterms:created>
  <dcterms:modified xsi:type="dcterms:W3CDTF">2023-05-05T21:33:00Z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210193c78fcc662be6fffbf6190ba48abb77f00e96d1206806f183433706304c</vt:lpwstr>
  </property>
</Properties>
</file>