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C16CE" w14:textId="77777777" w:rsidR="003E4076" w:rsidRDefault="00000000" w:rsidP="00936C58">
      <w:pPr>
        <w:spacing w:after="46" w:line="360" w:lineRule="auto"/>
        <w:ind w:left="0" w:firstLine="0"/>
      </w:pPr>
      <w:r>
        <w:t xml:space="preserve"> </w:t>
      </w:r>
    </w:p>
    <w:p w14:paraId="780DCFF9" w14:textId="44112ED4" w:rsidR="0032709F" w:rsidRPr="0032709F" w:rsidRDefault="0032709F" w:rsidP="00936C58">
      <w:pPr>
        <w:spacing w:line="360" w:lineRule="auto"/>
      </w:pPr>
      <w:r w:rsidRPr="0032709F">
        <w:t xml:space="preserve">Principles </w:t>
      </w:r>
      <w:r w:rsidRPr="0032709F">
        <w:t>of Health</w:t>
      </w:r>
      <w:r w:rsidRPr="0032709F">
        <w:t xml:space="preserve"> and Social Care Practice </w:t>
      </w:r>
    </w:p>
    <w:p w14:paraId="44F06E28" w14:textId="77777777" w:rsidR="0032709F" w:rsidRPr="0032709F" w:rsidRDefault="0032709F" w:rsidP="00936C58">
      <w:pPr>
        <w:spacing w:line="360" w:lineRule="auto"/>
      </w:pPr>
      <w:r w:rsidRPr="0032709F">
        <w:rPr>
          <w:sz w:val="22"/>
          <w:szCs w:val="22"/>
        </w:rPr>
        <w:t xml:space="preserve">Module Title and Code: Principles of Health and Social Care Practice  </w:t>
      </w:r>
    </w:p>
    <w:p w14:paraId="56BEC12F" w14:textId="77777777" w:rsidR="0032709F" w:rsidRPr="0032709F" w:rsidRDefault="0032709F" w:rsidP="00936C58">
      <w:pPr>
        <w:spacing w:line="360" w:lineRule="auto"/>
      </w:pPr>
      <w:r w:rsidRPr="0032709F">
        <w:rPr>
          <w:sz w:val="22"/>
          <w:szCs w:val="22"/>
        </w:rPr>
        <w:t xml:space="preserve">Assignment Title: Component 1: Reflective Report </w:t>
      </w:r>
    </w:p>
    <w:p w14:paraId="6F05FAF1" w14:textId="77777777" w:rsidR="0032709F" w:rsidRPr="0032709F" w:rsidRDefault="0032709F" w:rsidP="00936C58">
      <w:pPr>
        <w:spacing w:line="360" w:lineRule="auto"/>
      </w:pPr>
      <w:r w:rsidRPr="0032709F">
        <w:rPr>
          <w:sz w:val="22"/>
          <w:szCs w:val="22"/>
        </w:rPr>
        <w:t>MEHERET ZELEKE</w:t>
      </w:r>
    </w:p>
    <w:p w14:paraId="5378EBB5" w14:textId="77777777" w:rsidR="0032709F" w:rsidRPr="0032709F" w:rsidRDefault="0032709F" w:rsidP="00936C58">
      <w:pPr>
        <w:spacing w:line="360" w:lineRule="auto"/>
      </w:pPr>
      <w:r w:rsidRPr="0032709F">
        <w:t>Module code: BMHP5016</w:t>
      </w:r>
    </w:p>
    <w:p w14:paraId="60F757D8" w14:textId="77777777" w:rsidR="0032709F" w:rsidRPr="0032709F" w:rsidRDefault="0032709F" w:rsidP="00936C58">
      <w:pPr>
        <w:spacing w:line="360" w:lineRule="auto"/>
      </w:pPr>
      <w:r w:rsidRPr="0032709F">
        <w:t>Student number: 2426669</w:t>
      </w:r>
    </w:p>
    <w:p w14:paraId="18AF4DF0" w14:textId="6FD1692B" w:rsidR="00936C58" w:rsidRDefault="00936C58">
      <w:pPr>
        <w:spacing w:after="160" w:line="278" w:lineRule="auto"/>
        <w:ind w:left="0" w:firstLine="0"/>
      </w:pPr>
    </w:p>
    <w:p w14:paraId="09BB41A1" w14:textId="77777777" w:rsidR="003E4076" w:rsidRDefault="003E4076" w:rsidP="00936C58">
      <w:pPr>
        <w:tabs>
          <w:tab w:val="center" w:pos="2880"/>
          <w:tab w:val="right" w:pos="9025"/>
        </w:tabs>
        <w:spacing w:after="7643" w:line="360" w:lineRule="auto"/>
        <w:ind w:left="0" w:firstLine="0"/>
      </w:pPr>
    </w:p>
    <w:p w14:paraId="184D9E6C" w14:textId="77777777" w:rsidR="003E4076" w:rsidRDefault="00000000" w:rsidP="00936C58">
      <w:pPr>
        <w:pStyle w:val="Heading1"/>
        <w:spacing w:line="360" w:lineRule="auto"/>
      </w:pPr>
      <w:r>
        <w:lastRenderedPageBreak/>
        <w:t xml:space="preserve">Contents </w:t>
      </w:r>
    </w:p>
    <w:p w14:paraId="74C34B7B" w14:textId="77777777" w:rsidR="003E4076" w:rsidRDefault="00000000" w:rsidP="00936C58">
      <w:pPr>
        <w:spacing w:after="127" w:line="360" w:lineRule="auto"/>
        <w:ind w:left="0" w:firstLine="0"/>
      </w:pPr>
      <w:r>
        <w:rPr>
          <w:rFonts w:ascii="Times New Roman" w:eastAsia="Times New Roman" w:hAnsi="Times New Roman" w:cs="Times New Roman"/>
          <w:b/>
          <w:sz w:val="36"/>
        </w:rPr>
        <w:t xml:space="preserve"> </w:t>
      </w:r>
    </w:p>
    <w:p w14:paraId="03339B02" w14:textId="77777777" w:rsidR="003E4076" w:rsidRDefault="00000000" w:rsidP="00936C58">
      <w:pPr>
        <w:numPr>
          <w:ilvl w:val="0"/>
          <w:numId w:val="1"/>
        </w:numPr>
        <w:spacing w:after="474" w:line="360" w:lineRule="auto"/>
        <w:ind w:hanging="360"/>
      </w:pPr>
      <w:r>
        <w:rPr>
          <w:rFonts w:ascii="Times New Roman" w:eastAsia="Times New Roman" w:hAnsi="Times New Roman" w:cs="Times New Roman"/>
          <w:b/>
        </w:rPr>
        <w:t>Introduction</w:t>
      </w:r>
      <w:r>
        <w:rPr>
          <w:rFonts w:ascii="Times New Roman" w:eastAsia="Times New Roman" w:hAnsi="Times New Roman" w:cs="Times New Roman"/>
        </w:rPr>
        <w:t xml:space="preserve"> </w:t>
      </w:r>
    </w:p>
    <w:p w14:paraId="6DCE4FCD" w14:textId="77777777" w:rsidR="003E4076" w:rsidRDefault="00000000" w:rsidP="00936C58">
      <w:pPr>
        <w:numPr>
          <w:ilvl w:val="0"/>
          <w:numId w:val="1"/>
        </w:numPr>
        <w:spacing w:after="474" w:line="360" w:lineRule="auto"/>
        <w:ind w:hanging="360"/>
      </w:pPr>
      <w:r>
        <w:rPr>
          <w:rFonts w:ascii="Times New Roman" w:eastAsia="Times New Roman" w:hAnsi="Times New Roman" w:cs="Times New Roman"/>
          <w:b/>
        </w:rPr>
        <w:t>Task 1: Reflection on Importance of Principles</w:t>
      </w:r>
      <w:r>
        <w:rPr>
          <w:rFonts w:ascii="Times New Roman" w:eastAsia="Times New Roman" w:hAnsi="Times New Roman" w:cs="Times New Roman"/>
        </w:rPr>
        <w:t xml:space="preserve"> </w:t>
      </w:r>
    </w:p>
    <w:p w14:paraId="1ED84E88" w14:textId="77777777" w:rsidR="003E4076" w:rsidRDefault="00000000" w:rsidP="00936C58">
      <w:pPr>
        <w:numPr>
          <w:ilvl w:val="0"/>
          <w:numId w:val="1"/>
        </w:numPr>
        <w:spacing w:after="474" w:line="360" w:lineRule="auto"/>
        <w:ind w:hanging="360"/>
      </w:pPr>
      <w:r>
        <w:rPr>
          <w:rFonts w:ascii="Times New Roman" w:eastAsia="Times New Roman" w:hAnsi="Times New Roman" w:cs="Times New Roman"/>
          <w:b/>
        </w:rPr>
        <w:t>Task 2: Practical Example in Practice</w:t>
      </w:r>
      <w:r>
        <w:rPr>
          <w:rFonts w:ascii="Times New Roman" w:eastAsia="Times New Roman" w:hAnsi="Times New Roman" w:cs="Times New Roman"/>
        </w:rPr>
        <w:t xml:space="preserve"> </w:t>
      </w:r>
    </w:p>
    <w:p w14:paraId="6B4986E7" w14:textId="77777777" w:rsidR="003E4076" w:rsidRDefault="00000000" w:rsidP="00936C58">
      <w:pPr>
        <w:numPr>
          <w:ilvl w:val="0"/>
          <w:numId w:val="1"/>
        </w:numPr>
        <w:spacing w:after="474" w:line="360" w:lineRule="auto"/>
        <w:ind w:hanging="360"/>
      </w:pPr>
      <w:r>
        <w:rPr>
          <w:rFonts w:ascii="Times New Roman" w:eastAsia="Times New Roman" w:hAnsi="Times New Roman" w:cs="Times New Roman"/>
          <w:b/>
        </w:rPr>
        <w:t>Task 3: Self-Reflection</w:t>
      </w:r>
      <w:r>
        <w:rPr>
          <w:rFonts w:ascii="Times New Roman" w:eastAsia="Times New Roman" w:hAnsi="Times New Roman" w:cs="Times New Roman"/>
        </w:rPr>
        <w:t xml:space="preserve"> </w:t>
      </w:r>
    </w:p>
    <w:p w14:paraId="7EC94167" w14:textId="77777777" w:rsidR="003E4076" w:rsidRDefault="00000000" w:rsidP="00936C58">
      <w:pPr>
        <w:numPr>
          <w:ilvl w:val="0"/>
          <w:numId w:val="1"/>
        </w:numPr>
        <w:spacing w:after="474" w:line="360" w:lineRule="auto"/>
        <w:ind w:hanging="360"/>
      </w:pPr>
      <w:r>
        <w:rPr>
          <w:rFonts w:ascii="Times New Roman" w:eastAsia="Times New Roman" w:hAnsi="Times New Roman" w:cs="Times New Roman"/>
          <w:b/>
        </w:rPr>
        <w:t>Conclusion</w:t>
      </w:r>
      <w:r>
        <w:rPr>
          <w:rFonts w:ascii="Times New Roman" w:eastAsia="Times New Roman" w:hAnsi="Times New Roman" w:cs="Times New Roman"/>
        </w:rPr>
        <w:t xml:space="preserve"> </w:t>
      </w:r>
    </w:p>
    <w:p w14:paraId="09DF056E" w14:textId="77777777" w:rsidR="003E4076" w:rsidRDefault="00000000" w:rsidP="00936C58">
      <w:pPr>
        <w:numPr>
          <w:ilvl w:val="0"/>
          <w:numId w:val="1"/>
        </w:numPr>
        <w:spacing w:after="869" w:line="360" w:lineRule="auto"/>
        <w:ind w:hanging="360"/>
      </w:pPr>
      <w:r>
        <w:rPr>
          <w:rFonts w:ascii="Times New Roman" w:eastAsia="Times New Roman" w:hAnsi="Times New Roman" w:cs="Times New Roman"/>
          <w:b/>
        </w:rPr>
        <w:t>Reference List</w:t>
      </w:r>
      <w:r>
        <w:rPr>
          <w:rFonts w:ascii="Times New Roman" w:eastAsia="Times New Roman" w:hAnsi="Times New Roman" w:cs="Times New Roman"/>
        </w:rPr>
        <w:t xml:space="preserve"> </w:t>
      </w:r>
    </w:p>
    <w:p w14:paraId="4BE00DEC" w14:textId="77777777" w:rsidR="003E4076" w:rsidRDefault="00000000" w:rsidP="00936C58">
      <w:pPr>
        <w:spacing w:after="0" w:line="360" w:lineRule="auto"/>
        <w:ind w:left="0" w:firstLine="0"/>
      </w:pPr>
      <w:r>
        <w:rPr>
          <w:sz w:val="36"/>
        </w:rPr>
        <w:t xml:space="preserve"> </w:t>
      </w:r>
      <w:r>
        <w:rPr>
          <w:sz w:val="36"/>
        </w:rPr>
        <w:tab/>
        <w:t xml:space="preserve"> </w:t>
      </w:r>
    </w:p>
    <w:p w14:paraId="5CBC92D3" w14:textId="77777777" w:rsidR="0032709F" w:rsidRDefault="0032709F" w:rsidP="00936C58">
      <w:pPr>
        <w:spacing w:after="160" w:line="360" w:lineRule="auto"/>
        <w:ind w:left="0" w:firstLine="0"/>
        <w:rPr>
          <w:sz w:val="36"/>
        </w:rPr>
      </w:pPr>
      <w:r>
        <w:rPr>
          <w:sz w:val="36"/>
        </w:rPr>
        <w:br w:type="page"/>
      </w:r>
    </w:p>
    <w:p w14:paraId="6D830314" w14:textId="73D56625" w:rsidR="003E4076" w:rsidRDefault="00000000" w:rsidP="00936C58">
      <w:pPr>
        <w:spacing w:after="245" w:line="360" w:lineRule="auto"/>
        <w:ind w:left="0" w:firstLine="0"/>
      </w:pPr>
      <w:r>
        <w:rPr>
          <w:sz w:val="36"/>
        </w:rPr>
        <w:lastRenderedPageBreak/>
        <w:t xml:space="preserve"> </w:t>
      </w:r>
    </w:p>
    <w:p w14:paraId="561A0921" w14:textId="77777777" w:rsidR="003E4076" w:rsidRDefault="00000000" w:rsidP="00936C58">
      <w:pPr>
        <w:pStyle w:val="Heading2"/>
        <w:spacing w:line="360" w:lineRule="auto"/>
        <w:ind w:left="-5"/>
      </w:pPr>
      <w:r>
        <w:t xml:space="preserve">Introduction  </w:t>
      </w:r>
    </w:p>
    <w:p w14:paraId="3FDD225C" w14:textId="77777777" w:rsidR="003E4076" w:rsidRDefault="00000000" w:rsidP="00936C58">
      <w:pPr>
        <w:spacing w:after="0" w:line="360" w:lineRule="auto"/>
        <w:ind w:left="-5"/>
      </w:pPr>
      <w:r>
        <w:t xml:space="preserve">This reflective report covers the basic principles of health and social care practice, including person-centred care, working in partnership, and ethical practice. The purpose of this report is to critically evaluate how these basic values are defined and practiced in the real world to achieve the highest standard of care delivery. By critically evaluating these basic principles, the report will demonstrate the understanding of how these values are supported through legislation and psychological theories to shape professional practice. </w:t>
      </w:r>
    </w:p>
    <w:p w14:paraId="217C086D" w14:textId="77777777" w:rsidR="003E4076" w:rsidRDefault="00000000" w:rsidP="00936C58">
      <w:pPr>
        <w:spacing w:after="0" w:line="360" w:lineRule="auto"/>
        <w:ind w:left="0" w:firstLine="0"/>
      </w:pPr>
      <w:r>
        <w:t xml:space="preserve"> </w:t>
      </w:r>
    </w:p>
    <w:p w14:paraId="2E5C11BE" w14:textId="77777777" w:rsidR="003E4076" w:rsidRDefault="00000000" w:rsidP="00936C58">
      <w:pPr>
        <w:spacing w:after="384" w:line="360" w:lineRule="auto"/>
        <w:ind w:left="-5"/>
      </w:pPr>
      <w:r>
        <w:t xml:space="preserve">The report is divided into three sections with Task 1 addressing the theoretical part of the report, the three basic principles of care and their importance in the UK health and social care sector, including the basic challenges that may occur in the implementation of these values in the sector. Task 2 is the application part of the report, critically evaluating the basic principles in the case study of Robyn’s Story. Task 3 is the reflective part of the report, which involves the application of the reflective cycle to identify the strengths and weaknesses of the individual in the future to become a professional in this sector. </w:t>
      </w:r>
    </w:p>
    <w:p w14:paraId="1D217F31" w14:textId="77777777" w:rsidR="003E4076" w:rsidRDefault="00000000" w:rsidP="00936C58">
      <w:pPr>
        <w:pStyle w:val="Heading2"/>
        <w:spacing w:line="360" w:lineRule="auto"/>
        <w:ind w:left="-5"/>
      </w:pPr>
      <w:r>
        <w:t xml:space="preserve">Task 1 - Reflection on Importance of Principles </w:t>
      </w:r>
    </w:p>
    <w:p w14:paraId="2919341F" w14:textId="77777777" w:rsidR="003E4076" w:rsidRDefault="00000000" w:rsidP="00936C58">
      <w:pPr>
        <w:pStyle w:val="Heading3"/>
        <w:spacing w:after="260" w:line="360" w:lineRule="auto"/>
        <w:ind w:left="-5"/>
      </w:pPr>
      <w:r>
        <w:t>Defining the Principles</w:t>
      </w:r>
      <w:r>
        <w:rPr>
          <w:u w:val="none"/>
        </w:rPr>
        <w:t xml:space="preserve"> </w:t>
      </w:r>
    </w:p>
    <w:p w14:paraId="46F16161" w14:textId="77777777" w:rsidR="003E4076" w:rsidRDefault="00000000" w:rsidP="00936C58">
      <w:pPr>
        <w:spacing w:line="360" w:lineRule="auto"/>
        <w:ind w:left="-5"/>
      </w:pPr>
      <w:r>
        <w:t xml:space="preserve">The health and social care system in the United Kingdom is based on several principles that emphasise the importance of individual autonomy and agency. Person-centred care (PCC) is a holistic care approach that shifts the focus beyond the medical model of treating a condition to the individual person’s unique needs, values, and preferences. It requires the individual to be seen as an equal partner in the care process. Partnership working is a collaborative process that includes the individual, their family and a multidisciplinary team of professionals such as social workers, nurses, and therapists. It is a working approach that ensures the care process is integrated and not fragmented. Ethics in care is a moral principle that emphasises the importance of autonomy, beneficence, non-maleficence, and justice in the care process. (Social Care Institute for Excellence, 2020) </w:t>
      </w:r>
    </w:p>
    <w:p w14:paraId="35319118" w14:textId="77777777" w:rsidR="003E4076" w:rsidRDefault="00000000" w:rsidP="00936C58">
      <w:pPr>
        <w:pStyle w:val="Heading3"/>
        <w:spacing w:after="255" w:line="360" w:lineRule="auto"/>
        <w:ind w:left="-5"/>
      </w:pPr>
      <w:r>
        <w:lastRenderedPageBreak/>
        <w:t>Significance to Practice and Theoretical Alignment</w:t>
      </w:r>
      <w:r>
        <w:rPr>
          <w:u w:val="none"/>
        </w:rPr>
        <w:t xml:space="preserve"> </w:t>
      </w:r>
    </w:p>
    <w:p w14:paraId="49980ACD" w14:textId="77777777" w:rsidR="003E4076" w:rsidRDefault="00000000" w:rsidP="00936C58">
      <w:pPr>
        <w:spacing w:line="360" w:lineRule="auto"/>
        <w:ind w:left="-5"/>
      </w:pPr>
      <w:r>
        <w:t xml:space="preserve">The importance of these principles is also supported in with other psychological theories such as Maslow's Hierarchy of Needs. (Maslow, 1943) Maslow's Hierarchy of Needs states that if an individual is to reach the level of "self-actualisation," their basic needs, such as safety and health, must first be fulfilled. Person-centred care ensures these needs are fulfilled in such a way that the individual's dignity is also upheld. Finally, Bronfenbrenner's Ecological Systems Theory can also be used to explain the role and benefits of partnership working. Bronfenbrenner's Ecological Systems Theory states that an individual is influenced by different systems, such as the microsystem, including family and care staff and the macrosystem, including national policies and laws. Therefore, partnership working ensures the individual's mesosystem, the interaction between these groups, is functional. </w:t>
      </w:r>
    </w:p>
    <w:p w14:paraId="68E34671" w14:textId="77777777" w:rsidR="003E4076" w:rsidRDefault="00000000" w:rsidP="00936C58">
      <w:pPr>
        <w:spacing w:line="360" w:lineRule="auto"/>
        <w:ind w:left="-5"/>
      </w:pPr>
      <w:r>
        <w:t xml:space="preserve">Legislation such as the Care Act 2014 provides the legal foundation to these principles and ensures there is a statutory duty placed upon the local authority to promote the individual's individual well-being. (Care Act, 2014) Therefore, this change in the law ensures care is personalised and moves away from the one size fits all model to the individual's right to control their own life. </w:t>
      </w:r>
    </w:p>
    <w:p w14:paraId="7212536F" w14:textId="77777777" w:rsidR="003E4076" w:rsidRDefault="00000000" w:rsidP="00936C58">
      <w:pPr>
        <w:spacing w:after="15" w:line="360" w:lineRule="auto"/>
        <w:ind w:left="0" w:firstLine="0"/>
      </w:pPr>
      <w:r>
        <w:rPr>
          <w:color w:val="1E3763"/>
        </w:rPr>
        <w:t xml:space="preserve"> </w:t>
      </w:r>
    </w:p>
    <w:p w14:paraId="4417C93A" w14:textId="77777777" w:rsidR="003E4076" w:rsidRDefault="00000000" w:rsidP="00936C58">
      <w:pPr>
        <w:pStyle w:val="Heading3"/>
        <w:spacing w:line="360" w:lineRule="auto"/>
        <w:ind w:left="-5"/>
      </w:pPr>
      <w:r>
        <w:t>Benefits and Challenges in Implementation</w:t>
      </w:r>
      <w:r>
        <w:rPr>
          <w:u w:val="none"/>
        </w:rPr>
        <w:t xml:space="preserve"> </w:t>
      </w:r>
    </w:p>
    <w:p w14:paraId="5F8F924E" w14:textId="77777777" w:rsidR="003E4076" w:rsidRDefault="00000000" w:rsidP="00936C58">
      <w:pPr>
        <w:spacing w:after="0" w:line="360" w:lineRule="auto"/>
        <w:ind w:left="0" w:firstLine="0"/>
      </w:pPr>
      <w:r>
        <w:t xml:space="preserve"> </w:t>
      </w:r>
    </w:p>
    <w:p w14:paraId="21ECAB2E" w14:textId="77777777" w:rsidR="003E4076" w:rsidRDefault="00000000" w:rsidP="00936C58">
      <w:pPr>
        <w:spacing w:after="384" w:line="360" w:lineRule="auto"/>
        <w:ind w:left="-5"/>
      </w:pPr>
      <w:r>
        <w:t xml:space="preserve">The benefits for implementing these principles have been significant, as service users experience increased satisfaction, health outcomes, and autonomy. (Health and Care Professions Council, 2016) For professionals, the need for partnership working eliminates the stress of individual decision-making, replacing it with a culture of collective expertise and mutual support. However, the obstacles that need to be overcome include the high turnover of staff, which may result in "task-centred" care, where the need for the completion of physical tasks, such as washing or feeding the service user, becomes more important than the time needed for the development of meaningful relationships with the service user. The ethical dilemma that may occur is the need for the professional to balance the service user’s autonomy with the professional’s duty of beneficence, especially when the service user has </w:t>
      </w:r>
      <w:r>
        <w:lastRenderedPageBreak/>
        <w:t xml:space="preserve">diminished capacity. It is also important that the professional reflects on the need to adhere to professional codes of practice. </w:t>
      </w:r>
    </w:p>
    <w:p w14:paraId="0F6FCC52" w14:textId="77777777" w:rsidR="003E4076" w:rsidRDefault="00000000" w:rsidP="00936C58">
      <w:pPr>
        <w:pStyle w:val="Heading2"/>
        <w:spacing w:line="360" w:lineRule="auto"/>
        <w:ind w:left="-5"/>
      </w:pPr>
      <w:r>
        <w:t xml:space="preserve">Task 2 - Example in Practice  </w:t>
      </w:r>
    </w:p>
    <w:p w14:paraId="4EFE19A4" w14:textId="77777777" w:rsidR="003E4076" w:rsidRDefault="00000000" w:rsidP="00936C58">
      <w:pPr>
        <w:pStyle w:val="Heading3"/>
        <w:spacing w:line="360" w:lineRule="auto"/>
        <w:ind w:left="-5"/>
      </w:pPr>
      <w:r>
        <w:t>The Failure of Principles: The Agency Model</w:t>
      </w:r>
      <w:r>
        <w:rPr>
          <w:u w:val="none"/>
        </w:rPr>
        <w:t xml:space="preserve"> </w:t>
      </w:r>
    </w:p>
    <w:p w14:paraId="052A76BB" w14:textId="77777777" w:rsidR="003E4076" w:rsidRDefault="00000000" w:rsidP="00936C58">
      <w:pPr>
        <w:spacing w:after="0" w:line="360" w:lineRule="auto"/>
        <w:ind w:left="0" w:firstLine="0"/>
      </w:pPr>
      <w:r>
        <w:t xml:space="preserve"> </w:t>
      </w:r>
    </w:p>
    <w:p w14:paraId="4919A8B8" w14:textId="77777777" w:rsidR="003E4076" w:rsidRDefault="00000000" w:rsidP="00936C58">
      <w:pPr>
        <w:spacing w:after="0" w:line="360" w:lineRule="auto"/>
        <w:ind w:left="-5"/>
      </w:pPr>
      <w:r>
        <w:t xml:space="preserve">Robyn’s first experience after her spinal injury was a significant failure in providing </w:t>
      </w:r>
      <w:proofErr w:type="spellStart"/>
      <w:r>
        <w:t>personcentred</w:t>
      </w:r>
      <w:proofErr w:type="spellEnd"/>
      <w:r>
        <w:t xml:space="preserve"> care and partnership working. For eight years, Robyn was under the support of a home care agency whose focus was centred on meeting Robyn’s basic needs and ensuring that she was safe. Robyn was provided with 36 different personal assistants in one year, indicating a complete lack of continuity of care, which is one of the 6 C’s principles of care, which are Care, Compassion, Competence, Communication, Courage, and Commitment. (NHS England, 2016) </w:t>
      </w:r>
    </w:p>
    <w:p w14:paraId="786A6AF0" w14:textId="77777777" w:rsidR="003E4076" w:rsidRDefault="00000000" w:rsidP="00936C58">
      <w:pPr>
        <w:spacing w:after="0" w:line="360" w:lineRule="auto"/>
        <w:ind w:left="0" w:firstLine="0"/>
      </w:pPr>
      <w:r>
        <w:t xml:space="preserve"> </w:t>
      </w:r>
    </w:p>
    <w:p w14:paraId="2595800F" w14:textId="77777777" w:rsidR="003E4076" w:rsidRDefault="00000000" w:rsidP="00936C58">
      <w:pPr>
        <w:spacing w:after="0" w:line="360" w:lineRule="auto"/>
        <w:ind w:left="-5"/>
      </w:pPr>
      <w:r>
        <w:t xml:space="preserve">The agency did not work in partnership with Robyn because they consistently sent personal assistants who were allergic to Robyn’s animals or were afraid of them, or who did not know how to drive and were unable to take Robyn outside her own home. This was a complete failure in partnership working because it did not consider Robyn’s identity as an active person and an animal lover, demonstrating a lack of respect for Robyn’s holistic care. (Skills for Care, 2015) From an ethical perspective, Robyn’s agency provided Robyn with "safe" care from a physical perspective but did not provide Robyn with autonomy as she was unable Robyn to make plans and commitments.  </w:t>
      </w:r>
    </w:p>
    <w:p w14:paraId="735E977D" w14:textId="77777777" w:rsidR="003E4076" w:rsidRDefault="00000000" w:rsidP="00936C58">
      <w:pPr>
        <w:spacing w:after="15" w:line="360" w:lineRule="auto"/>
        <w:ind w:left="0" w:firstLine="0"/>
      </w:pPr>
      <w:r>
        <w:t xml:space="preserve"> </w:t>
      </w:r>
    </w:p>
    <w:p w14:paraId="0EE680A9" w14:textId="77777777" w:rsidR="003E4076" w:rsidRDefault="00000000" w:rsidP="00936C58">
      <w:pPr>
        <w:pStyle w:val="Heading3"/>
        <w:spacing w:line="360" w:lineRule="auto"/>
        <w:ind w:left="-5"/>
      </w:pPr>
      <w:r>
        <w:t>Effective Application: The Personal Health Budget (PHB)</w:t>
      </w:r>
      <w:r>
        <w:rPr>
          <w:u w:val="none"/>
        </w:rPr>
        <w:t xml:space="preserve"> </w:t>
      </w:r>
    </w:p>
    <w:p w14:paraId="3BE29CC0" w14:textId="77777777" w:rsidR="003E4076" w:rsidRDefault="00000000" w:rsidP="00936C58">
      <w:pPr>
        <w:spacing w:after="0" w:line="360" w:lineRule="auto"/>
        <w:ind w:left="0" w:firstLine="0"/>
      </w:pPr>
      <w:r>
        <w:t xml:space="preserve"> </w:t>
      </w:r>
    </w:p>
    <w:p w14:paraId="7FA444EB" w14:textId="77777777" w:rsidR="003E4076" w:rsidRDefault="00000000" w:rsidP="00936C58">
      <w:pPr>
        <w:spacing w:after="10" w:line="360" w:lineRule="auto"/>
        <w:ind w:left="-5"/>
      </w:pPr>
      <w:r>
        <w:t xml:space="preserve">However, the turning point for Robyn’s care was the introduction of the Personal Health </w:t>
      </w:r>
    </w:p>
    <w:p w14:paraId="5BF4DD09" w14:textId="77777777" w:rsidR="003E4076" w:rsidRDefault="00000000" w:rsidP="00936C58">
      <w:pPr>
        <w:spacing w:line="360" w:lineRule="auto"/>
        <w:ind w:left="-5"/>
      </w:pPr>
      <w:r>
        <w:t xml:space="preserve">Budget (PHB) and the move towards true partnership working. This was achieved by the </w:t>
      </w:r>
    </w:p>
    <w:p w14:paraId="5BD0913D" w14:textId="77777777" w:rsidR="003E4076" w:rsidRDefault="00000000" w:rsidP="00936C58">
      <w:pPr>
        <w:spacing w:after="0" w:line="360" w:lineRule="auto"/>
        <w:ind w:left="-5"/>
      </w:pPr>
      <w:r>
        <w:t xml:space="preserve">CHC PHB Nurse and the Personal Budget Support Service (PBSS) attending a meeting with Robyn, not only to discuss her care needs, but also her aspirations. This is true partnership working, as advocated by the Person-Centred Care Framework, which is built on the </w:t>
      </w:r>
      <w:r>
        <w:lastRenderedPageBreak/>
        <w:t xml:space="preserve">principles of co-production, working with the service user to develop their own support network. </w:t>
      </w:r>
    </w:p>
    <w:p w14:paraId="6B60AB5F" w14:textId="77777777" w:rsidR="003E4076" w:rsidRDefault="00000000" w:rsidP="00936C58">
      <w:pPr>
        <w:spacing w:after="0" w:line="360" w:lineRule="auto"/>
        <w:ind w:left="0" w:firstLine="0"/>
      </w:pPr>
      <w:r>
        <w:t xml:space="preserve"> </w:t>
      </w:r>
    </w:p>
    <w:p w14:paraId="769B5006" w14:textId="77777777" w:rsidR="003E4076" w:rsidRDefault="00000000" w:rsidP="00936C58">
      <w:pPr>
        <w:spacing w:after="0" w:line="360" w:lineRule="auto"/>
        <w:ind w:left="-5"/>
      </w:pPr>
      <w:r>
        <w:t xml:space="preserve">By taking control of her PHB, Robyn was able to employ her own Personal Assistants. This has given Robyn autonomy, as the individuals living with her are compatible with her way of life. Robyn has gone back to being self-employed, socializing, and has even taken part in carriage driving. This is the essence of the Health and Care Act 2022, providing integrated, personalised care that is tailored to the individual’s outcomes, not the convenience of the service provider. </w:t>
      </w:r>
    </w:p>
    <w:p w14:paraId="3F59E167" w14:textId="77777777" w:rsidR="003E4076" w:rsidRDefault="00000000" w:rsidP="00936C58">
      <w:pPr>
        <w:spacing w:after="15" w:line="360" w:lineRule="auto"/>
        <w:ind w:left="0" w:firstLine="0"/>
      </w:pPr>
      <w:r>
        <w:t xml:space="preserve"> </w:t>
      </w:r>
    </w:p>
    <w:p w14:paraId="7629038E" w14:textId="77777777" w:rsidR="003E4076" w:rsidRDefault="00000000" w:rsidP="00936C58">
      <w:pPr>
        <w:pStyle w:val="Heading3"/>
        <w:spacing w:line="360" w:lineRule="auto"/>
        <w:ind w:left="-5"/>
      </w:pPr>
      <w:r>
        <w:t>Impact on Professionals and Overcoming Challenges</w:t>
      </w:r>
      <w:r>
        <w:rPr>
          <w:u w:val="none"/>
        </w:rPr>
        <w:t xml:space="preserve"> </w:t>
      </w:r>
    </w:p>
    <w:p w14:paraId="1E7A684E" w14:textId="77777777" w:rsidR="003E4076" w:rsidRDefault="00000000" w:rsidP="00936C58">
      <w:pPr>
        <w:spacing w:after="0" w:line="360" w:lineRule="auto"/>
        <w:ind w:left="0" w:firstLine="0"/>
      </w:pPr>
      <w:r>
        <w:t xml:space="preserve"> </w:t>
      </w:r>
    </w:p>
    <w:p w14:paraId="59004CC7" w14:textId="77777777" w:rsidR="003E4076" w:rsidRDefault="00000000" w:rsidP="00936C58">
      <w:pPr>
        <w:spacing w:after="384" w:line="360" w:lineRule="auto"/>
        <w:ind w:left="-5"/>
      </w:pPr>
      <w:r>
        <w:t xml:space="preserve">The change also had a positive impact on the professionals involved in the care process. PHB Nurse moved from being the manager of care to the partner in care, helping Robyn to identify how she could become more independent through delegating her health needs to her Personal assistant. This alleviated the pressure on community nursing, which is indicative of the success of the Partnership Working model. The biggest challenge was the length of the process, which was 18 months long. This was daunting to Robyn due to the lack of contact at times suggesting the need for better communication throughout the administrative change process. However, through persevering and finally producing her own care plan, a well-led and responsive care service was achieved, to meet the changing needs of the individual. (Social Care Institute for Excellence, 2020) </w:t>
      </w:r>
    </w:p>
    <w:p w14:paraId="7B8E6354" w14:textId="77777777" w:rsidR="003E4076" w:rsidRDefault="00000000" w:rsidP="00936C58">
      <w:pPr>
        <w:spacing w:after="245" w:line="360" w:lineRule="auto"/>
        <w:ind w:left="0" w:firstLine="0"/>
      </w:pPr>
      <w:r>
        <w:rPr>
          <w:b/>
          <w:sz w:val="36"/>
        </w:rPr>
        <w:t xml:space="preserve"> </w:t>
      </w:r>
    </w:p>
    <w:p w14:paraId="20858315" w14:textId="77777777" w:rsidR="003E4076" w:rsidRDefault="00000000" w:rsidP="00936C58">
      <w:pPr>
        <w:pStyle w:val="Heading2"/>
        <w:spacing w:line="360" w:lineRule="auto"/>
        <w:ind w:left="-5"/>
      </w:pPr>
      <w:r>
        <w:t xml:space="preserve">Task 3 - Self-Reflection </w:t>
      </w:r>
    </w:p>
    <w:p w14:paraId="3D026FF5" w14:textId="77777777" w:rsidR="003E4076" w:rsidRDefault="00000000" w:rsidP="00936C58">
      <w:pPr>
        <w:spacing w:line="360" w:lineRule="auto"/>
        <w:ind w:left="-5"/>
      </w:pPr>
      <w:r>
        <w:t xml:space="preserve">In this section, I will use Gibbs’ Reflective Cycle (1988) to reflect on a personal experience where I applied the principles of person-centred care and partnership working during my work-based placement in a community support centre.  </w:t>
      </w:r>
    </w:p>
    <w:p w14:paraId="218DCDBE" w14:textId="77777777" w:rsidR="003E4076" w:rsidRDefault="00000000" w:rsidP="00936C58">
      <w:pPr>
        <w:spacing w:line="360" w:lineRule="auto"/>
        <w:ind w:left="-5"/>
      </w:pPr>
      <w:r>
        <w:t xml:space="preserve">During my placement, one individual that I was assigned to assist throughout my placement was an elderly male in the early stages of dementia who had begun to attend our day centre. </w:t>
      </w:r>
      <w:r>
        <w:lastRenderedPageBreak/>
        <w:t xml:space="preserve">He was known to be agitated and would not participate in any activities that the staff had planned, such as bingo or a sing-along. He was described as a difficult person. However, I opted to sit in the garden with him, as he did not want to participate in any activities in the main room. It was clear that he was a skilled woodcarver, having worked as a carpenter for 40 years. He described the activities that the staff were providing as childish. I discussed his case with my supervisor and the activities coordinator to see if we could acquire wood-sanding sets. David was given a "job" to complete, which involved sanding and smoothing wooden blocks. David was no longer agitated and was talking to other service users about his craft. </w:t>
      </w:r>
    </w:p>
    <w:p w14:paraId="581AAD4A" w14:textId="77777777" w:rsidR="003E4076" w:rsidRDefault="00000000" w:rsidP="00936C58">
      <w:pPr>
        <w:spacing w:line="360" w:lineRule="auto"/>
        <w:ind w:left="-5"/>
      </w:pPr>
      <w:r>
        <w:t xml:space="preserve">Initially, I felt quite anxious about his agitation, as I didn't want to say the wrong thing and escalate his distress. I also felt a sense of frustration on his behalf when I heard other staff members dismissing him as difficult. I felt a strong conviction that we were failing to see the man behind the diagnosis. Once the wood-sanding activity started and I saw David smile for the first time, I felt a deep sense of relief and professional pride. </w:t>
      </w:r>
    </w:p>
    <w:p w14:paraId="1276E3BA" w14:textId="77777777" w:rsidR="003E4076" w:rsidRDefault="00000000" w:rsidP="00936C58">
      <w:pPr>
        <w:spacing w:line="360" w:lineRule="auto"/>
        <w:ind w:left="-5"/>
      </w:pPr>
      <w:r>
        <w:t xml:space="preserve">The positive aspect of the experience was that I was successful in advocating a </w:t>
      </w:r>
      <w:proofErr w:type="spellStart"/>
      <w:r>
        <w:t>personcentred</w:t>
      </w:r>
      <w:proofErr w:type="spellEnd"/>
      <w:r>
        <w:t xml:space="preserve"> approach, which respected the individual. I was successful in the principle of partnership working, as I communicated the findings to the coordinator instead of trying to change things myself. The negative aspect of the experience was that I did not raise the issue of the activity with the coordinator until almost two weeks after the observation, as I was concerned about being an inconvenience to permanent staff. </w:t>
      </w:r>
    </w:p>
    <w:p w14:paraId="760B0300" w14:textId="77777777" w:rsidR="003E4076" w:rsidRDefault="00000000" w:rsidP="00936C58">
      <w:pPr>
        <w:spacing w:line="360" w:lineRule="auto"/>
        <w:ind w:left="-5"/>
      </w:pPr>
      <w:r>
        <w:t xml:space="preserve">This scenario relates to the Care Act 2014, which requires that the care provided promotes the well-being of the individual and considers the wishes of the individual regarding their past and present history. I was moving from a service-led approach to a person-led approach by finding an activity that matched the skills of the service user. This scenario also relates to the theory of Personhood by </w:t>
      </w:r>
      <w:proofErr w:type="spellStart"/>
      <w:r>
        <w:t>Kitwood</w:t>
      </w:r>
      <w:proofErr w:type="spellEnd"/>
      <w:r>
        <w:t>, which requires the identity of the person with dementia to be respected to maintain health. (</w:t>
      </w:r>
      <w:proofErr w:type="spellStart"/>
      <w:r>
        <w:t>Kitwood</w:t>
      </w:r>
      <w:proofErr w:type="spellEnd"/>
      <w:r>
        <w:t xml:space="preserve">, 1997) Ethically, I was promoting the principle of beneficence by actively seeking a way to improve the quality of life of the individual, as I was not merely managing the behaviour of the individual. </w:t>
      </w:r>
    </w:p>
    <w:p w14:paraId="1F7F0C31" w14:textId="77777777" w:rsidR="003E4076" w:rsidRDefault="00000000" w:rsidP="00936C58">
      <w:pPr>
        <w:spacing w:after="384" w:line="360" w:lineRule="auto"/>
        <w:ind w:left="-5"/>
      </w:pPr>
      <w:r>
        <w:lastRenderedPageBreak/>
        <w:t xml:space="preserve">I have discovered that being person-centred is not only about adhering to a care plan but also involves listening to the service user and having the courage to advocate for the service user as a nurse who is person-centred. I have also discovered my strengths, which include my ability to empathise with the service user and communicate one-on-one. However, I also discovered my weakness, which involves my lack of confidence as a professional nurse when working as a team. In the future, for me to improve my practice, I have planned to undertake extra training on "Advocacy for Dementia Care" as a I continue with my professional development course. I also plan to find a mentor who is a senior health care worker for me to acquire a newfound level of confidence.  </w:t>
      </w:r>
    </w:p>
    <w:p w14:paraId="68036A92" w14:textId="77777777" w:rsidR="003E4076" w:rsidRDefault="00000000" w:rsidP="00936C58">
      <w:pPr>
        <w:pStyle w:val="Heading2"/>
        <w:spacing w:after="148" w:line="360" w:lineRule="auto"/>
        <w:ind w:left="-5" w:right="7286"/>
      </w:pPr>
      <w:r>
        <w:rPr>
          <w:b/>
        </w:rPr>
        <w:t xml:space="preserve">Conclusion </w:t>
      </w:r>
    </w:p>
    <w:p w14:paraId="661C5AC6" w14:textId="77777777" w:rsidR="003E4076" w:rsidRDefault="00000000" w:rsidP="00936C58">
      <w:pPr>
        <w:spacing w:line="360" w:lineRule="auto"/>
        <w:ind w:left="-5"/>
      </w:pPr>
      <w:r>
        <w:t xml:space="preserve">This report has shown that person-centred care, partnership working, and ethics are not abstract concepts but the very foundation of effective health and social care practice. From the exploration of Task 1, it is evident that these principles have their roots embedded firmly in UK legislation (Care Act 2014) and psychological theory such as Maslow and Bronfenbrenner theories. The exploration of Robyn’s narrative in Task 2 has also revealed the potential of Personal Health Budgets to restore autonomy and quality of life through the effective application of these principles. Moreover, the personal reflection of Task 3 has helped me to recognise my strengths in empathetic care provision while also recognizing the need to build my levels of confidence when working in partnership settings. Each of these sections of the report has reaffirmed the importance of the service user’s dignity and autonomy as the aim of professional development and quality care provision </w:t>
      </w:r>
    </w:p>
    <w:p w14:paraId="624B7C46" w14:textId="77777777" w:rsidR="00936C58" w:rsidRDefault="00936C58">
      <w:pPr>
        <w:spacing w:after="160" w:line="278" w:lineRule="auto"/>
        <w:ind w:left="0" w:firstLine="0"/>
        <w:rPr>
          <w:b/>
          <w:sz w:val="36"/>
        </w:rPr>
      </w:pPr>
      <w:r>
        <w:rPr>
          <w:b/>
        </w:rPr>
        <w:br w:type="page"/>
      </w:r>
    </w:p>
    <w:p w14:paraId="68D341CF" w14:textId="1B59E24E" w:rsidR="003E4076" w:rsidRDefault="00000000" w:rsidP="00936C58">
      <w:pPr>
        <w:pStyle w:val="Heading2"/>
        <w:spacing w:after="148" w:line="360" w:lineRule="auto"/>
        <w:ind w:left="-5" w:right="7286"/>
      </w:pPr>
      <w:r>
        <w:rPr>
          <w:b/>
        </w:rPr>
        <w:lastRenderedPageBreak/>
        <w:t xml:space="preserve">References  </w:t>
      </w:r>
    </w:p>
    <w:p w14:paraId="0B9080E9" w14:textId="77777777" w:rsidR="003E4076" w:rsidRDefault="00000000" w:rsidP="00936C58">
      <w:pPr>
        <w:numPr>
          <w:ilvl w:val="0"/>
          <w:numId w:val="2"/>
        </w:numPr>
        <w:spacing w:after="0" w:line="360" w:lineRule="auto"/>
        <w:ind w:hanging="360"/>
      </w:pPr>
      <w:r>
        <w:rPr>
          <w:rFonts w:ascii="Times New Roman" w:eastAsia="Times New Roman" w:hAnsi="Times New Roman" w:cs="Times New Roman"/>
          <w:b/>
        </w:rPr>
        <w:t>Care Act 2014</w:t>
      </w:r>
      <w:r>
        <w:rPr>
          <w:rFonts w:ascii="Times New Roman" w:eastAsia="Times New Roman" w:hAnsi="Times New Roman" w:cs="Times New Roman"/>
        </w:rPr>
        <w:t xml:space="preserve">, c. 23. London: The Stationery Office. </w:t>
      </w:r>
    </w:p>
    <w:p w14:paraId="41AE34E6" w14:textId="77777777" w:rsidR="003E4076" w:rsidRDefault="00000000" w:rsidP="00936C58">
      <w:pPr>
        <w:numPr>
          <w:ilvl w:val="0"/>
          <w:numId w:val="2"/>
        </w:numPr>
        <w:spacing w:after="0" w:line="360" w:lineRule="auto"/>
        <w:ind w:hanging="360"/>
      </w:pPr>
      <w:r>
        <w:rPr>
          <w:rFonts w:ascii="Times New Roman" w:eastAsia="Times New Roman" w:hAnsi="Times New Roman" w:cs="Times New Roman"/>
          <w:b/>
        </w:rPr>
        <w:t>Department of Health and Social Care</w:t>
      </w:r>
      <w:r>
        <w:rPr>
          <w:rFonts w:ascii="Times New Roman" w:eastAsia="Times New Roman" w:hAnsi="Times New Roman" w:cs="Times New Roman"/>
        </w:rPr>
        <w:t xml:space="preserve"> (2022). </w:t>
      </w:r>
      <w:r>
        <w:rPr>
          <w:rFonts w:ascii="Times New Roman" w:eastAsia="Times New Roman" w:hAnsi="Times New Roman" w:cs="Times New Roman"/>
          <w:i/>
        </w:rPr>
        <w:t>Health and Care Act 2022</w:t>
      </w:r>
      <w:r>
        <w:rPr>
          <w:rFonts w:ascii="Times New Roman" w:eastAsia="Times New Roman" w:hAnsi="Times New Roman" w:cs="Times New Roman"/>
        </w:rPr>
        <w:t xml:space="preserve">. London: HMSO. </w:t>
      </w:r>
    </w:p>
    <w:p w14:paraId="5330359E" w14:textId="77777777" w:rsidR="003E4076" w:rsidRDefault="00000000" w:rsidP="00936C58">
      <w:pPr>
        <w:numPr>
          <w:ilvl w:val="0"/>
          <w:numId w:val="2"/>
        </w:numPr>
        <w:spacing w:after="4" w:line="360" w:lineRule="auto"/>
        <w:ind w:hanging="360"/>
      </w:pPr>
      <w:r>
        <w:rPr>
          <w:rFonts w:ascii="Times New Roman" w:eastAsia="Times New Roman" w:hAnsi="Times New Roman" w:cs="Times New Roman"/>
          <w:b/>
        </w:rPr>
        <w:t>Gibbs, G.</w:t>
      </w:r>
      <w:r>
        <w:rPr>
          <w:rFonts w:ascii="Times New Roman" w:eastAsia="Times New Roman" w:hAnsi="Times New Roman" w:cs="Times New Roman"/>
        </w:rPr>
        <w:t xml:space="preserve"> (1988). </w:t>
      </w:r>
      <w:r>
        <w:rPr>
          <w:rFonts w:ascii="Times New Roman" w:eastAsia="Times New Roman" w:hAnsi="Times New Roman" w:cs="Times New Roman"/>
          <w:i/>
        </w:rPr>
        <w:t>Learning by Doing: A guide to teaching and learning methods</w:t>
      </w:r>
      <w:r>
        <w:rPr>
          <w:rFonts w:ascii="Times New Roman" w:eastAsia="Times New Roman" w:hAnsi="Times New Roman" w:cs="Times New Roman"/>
        </w:rPr>
        <w:t xml:space="preserve">. Oxford: Further Education Unit. </w:t>
      </w:r>
    </w:p>
    <w:p w14:paraId="7B85D4F9" w14:textId="77777777" w:rsidR="003E4076" w:rsidRDefault="00000000" w:rsidP="00936C58">
      <w:pPr>
        <w:numPr>
          <w:ilvl w:val="0"/>
          <w:numId w:val="2"/>
        </w:numPr>
        <w:spacing w:after="4" w:line="360" w:lineRule="auto"/>
        <w:ind w:hanging="360"/>
      </w:pPr>
      <w:r>
        <w:rPr>
          <w:rFonts w:ascii="Times New Roman" w:eastAsia="Times New Roman" w:hAnsi="Times New Roman" w:cs="Times New Roman"/>
          <w:b/>
        </w:rPr>
        <w:t>Health and Care Professions Council (HCPC)</w:t>
      </w:r>
      <w:r>
        <w:rPr>
          <w:rFonts w:ascii="Times New Roman" w:eastAsia="Times New Roman" w:hAnsi="Times New Roman" w:cs="Times New Roman"/>
        </w:rPr>
        <w:t xml:space="preserve"> (2016). </w:t>
      </w:r>
      <w:r>
        <w:rPr>
          <w:rFonts w:ascii="Times New Roman" w:eastAsia="Times New Roman" w:hAnsi="Times New Roman" w:cs="Times New Roman"/>
          <w:i/>
        </w:rPr>
        <w:t>Standards of conduct, performance and ethics</w:t>
      </w:r>
      <w:r>
        <w:rPr>
          <w:rFonts w:ascii="Times New Roman" w:eastAsia="Times New Roman" w:hAnsi="Times New Roman" w:cs="Times New Roman"/>
        </w:rPr>
        <w:t xml:space="preserve">. London: HCPC. </w:t>
      </w:r>
    </w:p>
    <w:p w14:paraId="584847D8" w14:textId="77777777" w:rsidR="003E4076" w:rsidRDefault="00000000" w:rsidP="00936C58">
      <w:pPr>
        <w:numPr>
          <w:ilvl w:val="0"/>
          <w:numId w:val="2"/>
        </w:numPr>
        <w:spacing w:after="0" w:line="360" w:lineRule="auto"/>
        <w:ind w:hanging="360"/>
      </w:pPr>
      <w:proofErr w:type="spellStart"/>
      <w:r>
        <w:rPr>
          <w:rFonts w:ascii="Times New Roman" w:eastAsia="Times New Roman" w:hAnsi="Times New Roman" w:cs="Times New Roman"/>
          <w:b/>
        </w:rPr>
        <w:t>Kitwood</w:t>
      </w:r>
      <w:proofErr w:type="spellEnd"/>
      <w:r>
        <w:rPr>
          <w:rFonts w:ascii="Times New Roman" w:eastAsia="Times New Roman" w:hAnsi="Times New Roman" w:cs="Times New Roman"/>
          <w:b/>
        </w:rPr>
        <w:t>, T.</w:t>
      </w:r>
      <w:r>
        <w:rPr>
          <w:rFonts w:ascii="Times New Roman" w:eastAsia="Times New Roman" w:hAnsi="Times New Roman" w:cs="Times New Roman"/>
        </w:rPr>
        <w:t xml:space="preserve"> (1997). </w:t>
      </w:r>
      <w:r>
        <w:rPr>
          <w:rFonts w:ascii="Times New Roman" w:eastAsia="Times New Roman" w:hAnsi="Times New Roman" w:cs="Times New Roman"/>
          <w:i/>
        </w:rPr>
        <w:t>Dementia Reconsidered: The Person Comes First</w:t>
      </w:r>
      <w:r>
        <w:rPr>
          <w:rFonts w:ascii="Times New Roman" w:eastAsia="Times New Roman" w:hAnsi="Times New Roman" w:cs="Times New Roman"/>
        </w:rPr>
        <w:t xml:space="preserve">. Buckingham: Open University Press. </w:t>
      </w:r>
    </w:p>
    <w:p w14:paraId="67F91F2E" w14:textId="77777777" w:rsidR="003E4076" w:rsidRDefault="00000000" w:rsidP="00936C58">
      <w:pPr>
        <w:numPr>
          <w:ilvl w:val="0"/>
          <w:numId w:val="2"/>
        </w:numPr>
        <w:spacing w:after="0" w:line="360" w:lineRule="auto"/>
        <w:ind w:hanging="360"/>
      </w:pPr>
      <w:r>
        <w:rPr>
          <w:rFonts w:ascii="Times New Roman" w:eastAsia="Times New Roman" w:hAnsi="Times New Roman" w:cs="Times New Roman"/>
          <w:b/>
        </w:rPr>
        <w:t>Maslow, A. H.</w:t>
      </w:r>
      <w:r>
        <w:rPr>
          <w:rFonts w:ascii="Times New Roman" w:eastAsia="Times New Roman" w:hAnsi="Times New Roman" w:cs="Times New Roman"/>
        </w:rPr>
        <w:t xml:space="preserve"> (1943). A theory of human motivation. </w:t>
      </w:r>
      <w:r>
        <w:rPr>
          <w:rFonts w:ascii="Times New Roman" w:eastAsia="Times New Roman" w:hAnsi="Times New Roman" w:cs="Times New Roman"/>
          <w:i/>
        </w:rPr>
        <w:t>Psychological Review</w:t>
      </w:r>
      <w:r>
        <w:rPr>
          <w:rFonts w:ascii="Times New Roman" w:eastAsia="Times New Roman" w:hAnsi="Times New Roman" w:cs="Times New Roman"/>
        </w:rPr>
        <w:t xml:space="preserve">, 50(4), pp. 370-396. </w:t>
      </w:r>
    </w:p>
    <w:p w14:paraId="5B2E0F43" w14:textId="77777777" w:rsidR="003E4076" w:rsidRDefault="00000000" w:rsidP="00936C58">
      <w:pPr>
        <w:numPr>
          <w:ilvl w:val="0"/>
          <w:numId w:val="2"/>
        </w:numPr>
        <w:spacing w:after="0" w:line="360" w:lineRule="auto"/>
        <w:ind w:hanging="360"/>
      </w:pPr>
      <w:r>
        <w:rPr>
          <w:rFonts w:ascii="Times New Roman" w:eastAsia="Times New Roman" w:hAnsi="Times New Roman" w:cs="Times New Roman"/>
          <w:b/>
        </w:rPr>
        <w:t>National Institute for Health and Care Excellence (NICE)</w:t>
      </w:r>
      <w:r>
        <w:rPr>
          <w:rFonts w:ascii="Times New Roman" w:eastAsia="Times New Roman" w:hAnsi="Times New Roman" w:cs="Times New Roman"/>
        </w:rPr>
        <w:t xml:space="preserve"> (2012). </w:t>
      </w:r>
      <w:r>
        <w:rPr>
          <w:rFonts w:ascii="Times New Roman" w:eastAsia="Times New Roman" w:hAnsi="Times New Roman" w:cs="Times New Roman"/>
          <w:i/>
        </w:rPr>
        <w:t>Patient experience in adult NHS services</w:t>
      </w:r>
      <w:r>
        <w:rPr>
          <w:rFonts w:ascii="Times New Roman" w:eastAsia="Times New Roman" w:hAnsi="Times New Roman" w:cs="Times New Roman"/>
        </w:rPr>
        <w:t xml:space="preserve"> (CG138). </w:t>
      </w:r>
    </w:p>
    <w:p w14:paraId="110C583B" w14:textId="77777777" w:rsidR="003E4076" w:rsidRDefault="00000000" w:rsidP="00936C58">
      <w:pPr>
        <w:numPr>
          <w:ilvl w:val="0"/>
          <w:numId w:val="2"/>
        </w:numPr>
        <w:spacing w:after="0" w:line="360" w:lineRule="auto"/>
        <w:ind w:hanging="360"/>
      </w:pPr>
      <w:r>
        <w:rPr>
          <w:rFonts w:ascii="Times New Roman" w:eastAsia="Times New Roman" w:hAnsi="Times New Roman" w:cs="Times New Roman"/>
          <w:b/>
        </w:rPr>
        <w:t>NHS England</w:t>
      </w:r>
      <w:r>
        <w:rPr>
          <w:rFonts w:ascii="Times New Roman" w:eastAsia="Times New Roman" w:hAnsi="Times New Roman" w:cs="Times New Roman"/>
        </w:rPr>
        <w:t xml:space="preserve"> (2016). </w:t>
      </w:r>
      <w:r>
        <w:rPr>
          <w:rFonts w:ascii="Times New Roman" w:eastAsia="Times New Roman" w:hAnsi="Times New Roman" w:cs="Times New Roman"/>
          <w:i/>
        </w:rPr>
        <w:t>The 6Cs</w:t>
      </w:r>
      <w:r>
        <w:rPr>
          <w:rFonts w:ascii="Times New Roman" w:eastAsia="Times New Roman" w:hAnsi="Times New Roman" w:cs="Times New Roman"/>
        </w:rPr>
        <w:t xml:space="preserve">. [Online]. Available at: </w:t>
      </w:r>
      <w:r>
        <w:rPr>
          <w:rFonts w:ascii="Times New Roman" w:eastAsia="Times New Roman" w:hAnsi="Times New Roman" w:cs="Times New Roman"/>
          <w:color w:val="954E71"/>
          <w:u w:val="single" w:color="954E71"/>
        </w:rPr>
        <w:t>https://www.england.nhs.uk/</w:t>
      </w:r>
      <w:r>
        <w:rPr>
          <w:rFonts w:ascii="Times New Roman" w:eastAsia="Times New Roman" w:hAnsi="Times New Roman" w:cs="Times New Roman"/>
        </w:rPr>
        <w:t xml:space="preserve"> 9)</w:t>
      </w:r>
      <w:r>
        <w:rPr>
          <w:rFonts w:ascii="Arial" w:eastAsia="Arial" w:hAnsi="Arial" w:cs="Arial"/>
        </w:rPr>
        <w:t xml:space="preserve"> </w:t>
      </w:r>
      <w:r>
        <w:rPr>
          <w:rFonts w:ascii="Times New Roman" w:eastAsia="Times New Roman" w:hAnsi="Times New Roman" w:cs="Times New Roman"/>
          <w:b/>
        </w:rPr>
        <w:t>Social Care Institute for Excellence (SCIE)</w:t>
      </w:r>
      <w:r>
        <w:rPr>
          <w:rFonts w:ascii="Times New Roman" w:eastAsia="Times New Roman" w:hAnsi="Times New Roman" w:cs="Times New Roman"/>
        </w:rPr>
        <w:t xml:space="preserve"> (2020). </w:t>
      </w:r>
      <w:r>
        <w:rPr>
          <w:rFonts w:ascii="Times New Roman" w:eastAsia="Times New Roman" w:hAnsi="Times New Roman" w:cs="Times New Roman"/>
          <w:i/>
        </w:rPr>
        <w:t>Person-centred care</w:t>
      </w:r>
      <w:r>
        <w:rPr>
          <w:rFonts w:ascii="Times New Roman" w:eastAsia="Times New Roman" w:hAnsi="Times New Roman" w:cs="Times New Roman"/>
        </w:rPr>
        <w:t xml:space="preserve">. [Online]. Available at: </w:t>
      </w:r>
      <w:r>
        <w:rPr>
          <w:rFonts w:ascii="Times New Roman" w:eastAsia="Times New Roman" w:hAnsi="Times New Roman" w:cs="Times New Roman"/>
          <w:color w:val="0463C1"/>
          <w:u w:val="single" w:color="0463C1"/>
        </w:rPr>
        <w:t>https://www.scie.org.uk/</w:t>
      </w:r>
      <w:r>
        <w:rPr>
          <w:rFonts w:ascii="Times New Roman" w:eastAsia="Times New Roman" w:hAnsi="Times New Roman" w:cs="Times New Roman"/>
        </w:rPr>
        <w:t xml:space="preserve"> </w:t>
      </w:r>
    </w:p>
    <w:p w14:paraId="21A18F93" w14:textId="77777777" w:rsidR="003E4076" w:rsidRDefault="00000000" w:rsidP="00936C58">
      <w:pPr>
        <w:spacing w:after="393" w:line="360" w:lineRule="auto"/>
        <w:ind w:left="639" w:hanging="370"/>
      </w:pPr>
      <w:r>
        <w:rPr>
          <w:rFonts w:ascii="Times New Roman" w:eastAsia="Times New Roman" w:hAnsi="Times New Roman" w:cs="Times New Roman"/>
        </w:rPr>
        <w:t>10)</w:t>
      </w:r>
      <w:r>
        <w:rPr>
          <w:rFonts w:ascii="Arial" w:eastAsia="Arial" w:hAnsi="Arial" w:cs="Arial"/>
        </w:rPr>
        <w:t xml:space="preserve"> </w:t>
      </w:r>
      <w:r>
        <w:rPr>
          <w:rFonts w:ascii="Times New Roman" w:eastAsia="Times New Roman" w:hAnsi="Times New Roman" w:cs="Times New Roman"/>
          <w:b/>
        </w:rPr>
        <w:t>Skills for Care</w:t>
      </w:r>
      <w:r>
        <w:rPr>
          <w:rFonts w:ascii="Times New Roman" w:eastAsia="Times New Roman" w:hAnsi="Times New Roman" w:cs="Times New Roman"/>
        </w:rPr>
        <w:t xml:space="preserve"> (2015). </w:t>
      </w:r>
      <w:r>
        <w:rPr>
          <w:rFonts w:ascii="Times New Roman" w:eastAsia="Times New Roman" w:hAnsi="Times New Roman" w:cs="Times New Roman"/>
          <w:i/>
        </w:rPr>
        <w:t>The Code of Conduct for Healthcare Support Workers and Adult Social Care Workers in England</w:t>
      </w:r>
      <w:r>
        <w:rPr>
          <w:rFonts w:ascii="Times New Roman" w:eastAsia="Times New Roman" w:hAnsi="Times New Roman" w:cs="Times New Roman"/>
        </w:rPr>
        <w:t xml:space="preserve">. Leeds: Skills for Care. </w:t>
      </w:r>
    </w:p>
    <w:p w14:paraId="4E0DC076" w14:textId="77777777" w:rsidR="003E4076" w:rsidRDefault="00000000" w:rsidP="00936C58">
      <w:pPr>
        <w:spacing w:after="0" w:line="360" w:lineRule="auto"/>
        <w:ind w:left="0" w:firstLine="0"/>
      </w:pPr>
      <w:r>
        <w:rPr>
          <w:b/>
          <w:sz w:val="36"/>
        </w:rPr>
        <w:t xml:space="preserve"> </w:t>
      </w:r>
    </w:p>
    <w:sectPr w:rsidR="003E4076">
      <w:pgSz w:w="11906" w:h="16838"/>
      <w:pgMar w:top="1454" w:right="1443" w:bottom="1426" w:left="143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55AE0"/>
    <w:multiLevelType w:val="hybridMultilevel"/>
    <w:tmpl w:val="5AE68820"/>
    <w:lvl w:ilvl="0" w:tplc="9BF4553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FA0416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6F2151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1D8DD4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54CF36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778797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0DE409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82C404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2CEDAF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24D73AD"/>
    <w:multiLevelType w:val="hybridMultilevel"/>
    <w:tmpl w:val="E998FA0C"/>
    <w:lvl w:ilvl="0" w:tplc="66D0C58A">
      <w:start w:val="1"/>
      <w:numFmt w:val="decimal"/>
      <w:lvlText w:val="%1)"/>
      <w:lvlJc w:val="left"/>
      <w:pPr>
        <w:ind w:left="62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A76BE42">
      <w:start w:val="1"/>
      <w:numFmt w:val="lowerLetter"/>
      <w:lvlText w:val="%2"/>
      <w:lvlJc w:val="left"/>
      <w:pPr>
        <w:ind w:left="13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04C1A10">
      <w:start w:val="1"/>
      <w:numFmt w:val="lowerRoman"/>
      <w:lvlText w:val="%3"/>
      <w:lvlJc w:val="left"/>
      <w:pPr>
        <w:ind w:left="20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A261B0A">
      <w:start w:val="1"/>
      <w:numFmt w:val="decimal"/>
      <w:lvlText w:val="%4"/>
      <w:lvlJc w:val="left"/>
      <w:pPr>
        <w:ind w:left="28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A3A20B2">
      <w:start w:val="1"/>
      <w:numFmt w:val="lowerLetter"/>
      <w:lvlText w:val="%5"/>
      <w:lvlJc w:val="left"/>
      <w:pPr>
        <w:ind w:left="352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C1C1994">
      <w:start w:val="1"/>
      <w:numFmt w:val="lowerRoman"/>
      <w:lvlText w:val="%6"/>
      <w:lvlJc w:val="left"/>
      <w:pPr>
        <w:ind w:left="42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4A079EA">
      <w:start w:val="1"/>
      <w:numFmt w:val="decimal"/>
      <w:lvlText w:val="%7"/>
      <w:lvlJc w:val="left"/>
      <w:pPr>
        <w:ind w:left="49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A5E5482">
      <w:start w:val="1"/>
      <w:numFmt w:val="lowerLetter"/>
      <w:lvlText w:val="%8"/>
      <w:lvlJc w:val="left"/>
      <w:pPr>
        <w:ind w:left="56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044FF02">
      <w:start w:val="1"/>
      <w:numFmt w:val="lowerRoman"/>
      <w:lvlText w:val="%9"/>
      <w:lvlJc w:val="left"/>
      <w:pPr>
        <w:ind w:left="64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542403808">
    <w:abstractNumId w:val="0"/>
  </w:num>
  <w:num w:numId="2" w16cid:durableId="310906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076"/>
    <w:rsid w:val="00043DAC"/>
    <w:rsid w:val="0032709F"/>
    <w:rsid w:val="003E4076"/>
    <w:rsid w:val="0093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57968"/>
  <w15:docId w15:val="{EDAC0407-0B21-491E-891E-2A0F27BBC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1" w:line="250"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246" w:line="259" w:lineRule="auto"/>
      <w:outlineLvl w:val="0"/>
    </w:pPr>
    <w:rPr>
      <w:rFonts w:ascii="Times New Roman" w:eastAsia="Times New Roman" w:hAnsi="Times New Roman" w:cs="Times New Roman"/>
      <w:b/>
      <w:color w:val="000000"/>
      <w:sz w:val="36"/>
    </w:rPr>
  </w:style>
  <w:style w:type="paragraph" w:styleId="Heading2">
    <w:name w:val="heading 2"/>
    <w:next w:val="Normal"/>
    <w:link w:val="Heading2Char"/>
    <w:uiPriority w:val="9"/>
    <w:unhideWhenUsed/>
    <w:qFormat/>
    <w:pPr>
      <w:keepNext/>
      <w:keepLines/>
      <w:spacing w:after="133" w:line="259" w:lineRule="auto"/>
      <w:ind w:left="10" w:hanging="10"/>
      <w:outlineLvl w:val="1"/>
    </w:pPr>
    <w:rPr>
      <w:rFonts w:ascii="Calibri" w:eastAsia="Calibri" w:hAnsi="Calibri" w:cs="Calibri"/>
      <w:color w:val="000000"/>
      <w:sz w:val="36"/>
    </w:rPr>
  </w:style>
  <w:style w:type="paragraph" w:styleId="Heading3">
    <w:name w:val="heading 3"/>
    <w:next w:val="Normal"/>
    <w:link w:val="Heading3Char"/>
    <w:uiPriority w:val="9"/>
    <w:unhideWhenUsed/>
    <w:qFormat/>
    <w:pPr>
      <w:keepNext/>
      <w:keepLines/>
      <w:spacing w:after="0" w:line="259" w:lineRule="auto"/>
      <w:ind w:left="10" w:hanging="10"/>
      <w:outlineLvl w:val="2"/>
    </w:pPr>
    <w:rPr>
      <w:rFonts w:ascii="Calibri" w:eastAsia="Calibri" w:hAnsi="Calibri" w:cs="Calibri"/>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000000"/>
      <w:sz w:val="24"/>
      <w:u w:val="single" w:color="000000"/>
    </w:rPr>
  </w:style>
  <w:style w:type="character" w:customStyle="1" w:styleId="Heading2Char">
    <w:name w:val="Heading 2 Char"/>
    <w:link w:val="Heading2"/>
    <w:rPr>
      <w:rFonts w:ascii="Calibri" w:eastAsia="Calibri" w:hAnsi="Calibri" w:cs="Calibri"/>
      <w:color w:val="000000"/>
      <w:sz w:val="36"/>
    </w:rPr>
  </w:style>
  <w:style w:type="character" w:customStyle="1" w:styleId="Heading1Char">
    <w:name w:val="Heading 1 Char"/>
    <w:link w:val="Heading1"/>
    <w:rPr>
      <w:rFonts w:ascii="Times New Roman" w:eastAsia="Times New Roman" w:hAnsi="Times New Roman" w:cs="Times New Roman"/>
      <w:b/>
      <w:color w:val="000000"/>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2201</Words>
  <Characters>11735</Characters>
  <Application>Microsoft Office Word</Application>
  <DocSecurity>0</DocSecurity>
  <Lines>202</Lines>
  <Paragraphs>58</Paragraphs>
  <ScaleCrop>false</ScaleCrop>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Document6</dc:title>
  <dc:subject/>
  <dc:creator>Yonathan Wondimu</dc:creator>
  <cp:keywords/>
  <cp:lastModifiedBy>Yonathan Wondimu</cp:lastModifiedBy>
  <cp:revision>6</cp:revision>
  <dcterms:created xsi:type="dcterms:W3CDTF">2026-03-02T00:04:00Z</dcterms:created>
  <dcterms:modified xsi:type="dcterms:W3CDTF">2026-03-02T00:21:00Z</dcterms:modified>
</cp:coreProperties>
</file>