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BA10E" w14:textId="77777777" w:rsidR="001B4477" w:rsidRPr="001B4477" w:rsidRDefault="001B4477" w:rsidP="001B4477">
      <w:r w:rsidRPr="001B4477">
        <w:rPr>
          <w:noProof/>
        </w:rPr>
        <w:drawing>
          <wp:inline distT="0" distB="0" distL="0" distR="0" wp14:anchorId="7E6AD5B8" wp14:editId="63960055">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05E539A" w14:textId="77777777" w:rsidR="001B4477" w:rsidRPr="001B4477" w:rsidRDefault="001B4477" w:rsidP="001B4477"/>
    <w:p w14:paraId="7DBA19A7" w14:textId="77777777" w:rsidR="001B4477" w:rsidRPr="001B4477" w:rsidRDefault="001B4477" w:rsidP="001B4477"/>
    <w:p w14:paraId="67770C48" w14:textId="77777777" w:rsidR="001B4477" w:rsidRPr="001B4477" w:rsidRDefault="001B4477" w:rsidP="001B4477"/>
    <w:p w14:paraId="5D1F26A8" w14:textId="77777777" w:rsidR="001B4477" w:rsidRPr="001B4477" w:rsidRDefault="001B4477" w:rsidP="001B4477"/>
    <w:p w14:paraId="0F1AE894" w14:textId="77777777" w:rsidR="001B4477" w:rsidRPr="001B4477" w:rsidRDefault="001B4477" w:rsidP="001B4477"/>
    <w:p w14:paraId="16593EAC" w14:textId="77777777" w:rsidR="001B4477" w:rsidRPr="00514523" w:rsidRDefault="001B4477" w:rsidP="00514523">
      <w:pPr>
        <w:spacing w:line="360" w:lineRule="auto"/>
        <w:rPr>
          <w:rFonts w:ascii="Arial" w:hAnsi="Arial" w:cs="Arial"/>
        </w:rPr>
      </w:pPr>
      <w:r w:rsidRPr="00514523">
        <w:rPr>
          <w:rFonts w:ascii="Arial" w:hAnsi="Arial" w:cs="Arial"/>
        </w:rPr>
        <w:t>Name: Liudmyla Radchenko</w:t>
      </w:r>
    </w:p>
    <w:p w14:paraId="78C61C34" w14:textId="77777777" w:rsidR="001B4477" w:rsidRPr="00514523" w:rsidRDefault="001B4477" w:rsidP="00514523">
      <w:pPr>
        <w:spacing w:line="360" w:lineRule="auto"/>
        <w:rPr>
          <w:rFonts w:ascii="Arial" w:hAnsi="Arial" w:cs="Arial"/>
        </w:rPr>
      </w:pPr>
      <w:r w:rsidRPr="00514523">
        <w:rPr>
          <w:rFonts w:ascii="Arial" w:hAnsi="Arial" w:cs="Arial"/>
        </w:rPr>
        <w:t>Student ID: 2509256</w:t>
      </w:r>
    </w:p>
    <w:p w14:paraId="2559883D" w14:textId="76CC62A0" w:rsidR="008D7ACC" w:rsidRPr="00514523" w:rsidRDefault="001B4477" w:rsidP="00514523">
      <w:pPr>
        <w:spacing w:line="360" w:lineRule="auto"/>
        <w:rPr>
          <w:rFonts w:ascii="Arial" w:hAnsi="Arial" w:cs="Arial"/>
        </w:rPr>
      </w:pPr>
      <w:r w:rsidRPr="00514523">
        <w:rPr>
          <w:rFonts w:ascii="Arial" w:hAnsi="Arial" w:cs="Arial"/>
        </w:rPr>
        <w:t>Module Code: BMHP5016</w:t>
      </w:r>
    </w:p>
    <w:p w14:paraId="037F13E2" w14:textId="282B8321" w:rsidR="001B4477" w:rsidRPr="00514523" w:rsidRDefault="001B4477" w:rsidP="00514523">
      <w:pPr>
        <w:spacing w:line="360" w:lineRule="auto"/>
        <w:rPr>
          <w:rFonts w:ascii="Arial" w:hAnsi="Arial" w:cs="Arial"/>
        </w:rPr>
      </w:pPr>
      <w:r w:rsidRPr="00514523">
        <w:rPr>
          <w:rFonts w:ascii="Arial" w:hAnsi="Arial" w:cs="Arial"/>
        </w:rPr>
        <w:t xml:space="preserve">Module: </w:t>
      </w:r>
      <w:r w:rsidR="00514523" w:rsidRPr="00514523">
        <w:rPr>
          <w:rFonts w:ascii="Arial" w:hAnsi="Arial" w:cs="Arial"/>
        </w:rPr>
        <w:t>Principles of Health and Social Care Practice</w:t>
      </w:r>
    </w:p>
    <w:p w14:paraId="3D2A67B8" w14:textId="12AB3254" w:rsidR="001B4477" w:rsidRPr="00514523" w:rsidRDefault="001B4477" w:rsidP="00514523">
      <w:pPr>
        <w:spacing w:line="360" w:lineRule="auto"/>
        <w:rPr>
          <w:rFonts w:ascii="Arial" w:hAnsi="Arial" w:cs="Arial"/>
        </w:rPr>
      </w:pPr>
      <w:r w:rsidRPr="00514523">
        <w:rPr>
          <w:rFonts w:ascii="Arial" w:hAnsi="Arial" w:cs="Arial"/>
        </w:rPr>
        <w:t xml:space="preserve">Component 1: </w:t>
      </w:r>
      <w:r w:rsidR="00514523" w:rsidRPr="00514523">
        <w:rPr>
          <w:rFonts w:ascii="Arial" w:hAnsi="Arial" w:cs="Arial"/>
        </w:rPr>
        <w:t>Reflective Report</w:t>
      </w:r>
    </w:p>
    <w:p w14:paraId="1ED9D48A" w14:textId="3B4AED73" w:rsidR="001B4477" w:rsidRPr="00514523" w:rsidRDefault="001B4477" w:rsidP="00514523">
      <w:pPr>
        <w:spacing w:line="360" w:lineRule="auto"/>
        <w:rPr>
          <w:rFonts w:ascii="Arial" w:hAnsi="Arial" w:cs="Arial"/>
        </w:rPr>
      </w:pPr>
      <w:r w:rsidRPr="00514523">
        <w:rPr>
          <w:rFonts w:ascii="Arial" w:hAnsi="Arial" w:cs="Arial"/>
        </w:rPr>
        <w:t xml:space="preserve">Case </w:t>
      </w:r>
      <w:r w:rsidR="00B03526" w:rsidRPr="00514523">
        <w:rPr>
          <w:rFonts w:ascii="Arial" w:hAnsi="Arial" w:cs="Arial"/>
        </w:rPr>
        <w:t>Study:</w:t>
      </w:r>
      <w:r w:rsidRPr="00514523">
        <w:rPr>
          <w:rFonts w:ascii="Arial" w:hAnsi="Arial" w:cs="Arial"/>
        </w:rPr>
        <w:t xml:space="preserve"> </w:t>
      </w:r>
      <w:r w:rsidR="00514523" w:rsidRPr="00514523">
        <w:rPr>
          <w:rFonts w:ascii="Arial" w:hAnsi="Arial" w:cs="Arial"/>
        </w:rPr>
        <w:t>Robyn’s story</w:t>
      </w:r>
    </w:p>
    <w:p w14:paraId="25BB6BAE" w14:textId="2C827374" w:rsidR="001B4477" w:rsidRPr="00514523" w:rsidRDefault="001B4477" w:rsidP="00514523">
      <w:pPr>
        <w:spacing w:line="360" w:lineRule="auto"/>
        <w:rPr>
          <w:rFonts w:ascii="Arial" w:hAnsi="Arial" w:cs="Arial"/>
        </w:rPr>
      </w:pPr>
      <w:r w:rsidRPr="00514523">
        <w:rPr>
          <w:rFonts w:ascii="Arial" w:hAnsi="Arial" w:cs="Arial"/>
        </w:rPr>
        <w:t xml:space="preserve">Lecturer: </w:t>
      </w:r>
      <w:r w:rsidR="00514523" w:rsidRPr="00514523">
        <w:rPr>
          <w:rFonts w:ascii="Arial" w:hAnsi="Arial" w:cs="Arial"/>
        </w:rPr>
        <w:t>Robert Nartowski</w:t>
      </w:r>
    </w:p>
    <w:p w14:paraId="221EB8DF" w14:textId="77777777" w:rsidR="001B4477" w:rsidRPr="00514523" w:rsidRDefault="001B4477" w:rsidP="001B4477">
      <w:pPr>
        <w:rPr>
          <w:rFonts w:ascii="Arial" w:hAnsi="Arial" w:cs="Arial"/>
          <w:sz w:val="28"/>
          <w:szCs w:val="28"/>
        </w:rPr>
      </w:pPr>
    </w:p>
    <w:p w14:paraId="0FA70181" w14:textId="77777777" w:rsidR="001B4477" w:rsidRPr="00514523" w:rsidRDefault="001B4477" w:rsidP="001B4477">
      <w:pPr>
        <w:rPr>
          <w:rFonts w:ascii="Arial" w:hAnsi="Arial" w:cs="Arial"/>
          <w:sz w:val="28"/>
          <w:szCs w:val="28"/>
        </w:rPr>
      </w:pPr>
    </w:p>
    <w:p w14:paraId="14F17813" w14:textId="77777777" w:rsidR="001B4477" w:rsidRPr="00514523" w:rsidRDefault="001B4477" w:rsidP="001B4477">
      <w:pPr>
        <w:rPr>
          <w:rFonts w:ascii="Arial" w:hAnsi="Arial" w:cs="Arial"/>
          <w:sz w:val="28"/>
          <w:szCs w:val="28"/>
        </w:rPr>
      </w:pPr>
    </w:p>
    <w:p w14:paraId="0E982BF3" w14:textId="77777777" w:rsidR="001B4477" w:rsidRPr="00514523" w:rsidRDefault="001B4477" w:rsidP="001B4477">
      <w:pPr>
        <w:rPr>
          <w:rFonts w:ascii="Arial" w:hAnsi="Arial" w:cs="Arial"/>
          <w:sz w:val="28"/>
          <w:szCs w:val="28"/>
        </w:rPr>
      </w:pPr>
    </w:p>
    <w:p w14:paraId="7EDAC1D8" w14:textId="77777777" w:rsidR="001B4477" w:rsidRPr="00514523" w:rsidRDefault="001B4477" w:rsidP="001B4477">
      <w:pPr>
        <w:rPr>
          <w:rFonts w:ascii="Arial" w:hAnsi="Arial" w:cs="Arial"/>
          <w:sz w:val="28"/>
          <w:szCs w:val="28"/>
        </w:rPr>
      </w:pPr>
    </w:p>
    <w:p w14:paraId="294B80FE" w14:textId="77777777" w:rsidR="001B4477" w:rsidRPr="00514523" w:rsidRDefault="001B4477" w:rsidP="001B4477">
      <w:pPr>
        <w:rPr>
          <w:rFonts w:ascii="Arial" w:hAnsi="Arial" w:cs="Arial"/>
          <w:sz w:val="28"/>
          <w:szCs w:val="28"/>
        </w:rPr>
      </w:pPr>
    </w:p>
    <w:p w14:paraId="50A05E20" w14:textId="77777777" w:rsidR="001B4477" w:rsidRPr="00514523" w:rsidRDefault="001B4477" w:rsidP="001B4477">
      <w:pPr>
        <w:rPr>
          <w:rFonts w:ascii="Arial" w:hAnsi="Arial" w:cs="Arial"/>
          <w:sz w:val="28"/>
          <w:szCs w:val="28"/>
        </w:rPr>
      </w:pPr>
    </w:p>
    <w:p w14:paraId="3347C0E6" w14:textId="77777777" w:rsidR="001B4477" w:rsidRPr="00514523" w:rsidRDefault="001B4477" w:rsidP="001B4477">
      <w:pPr>
        <w:rPr>
          <w:rFonts w:ascii="Arial" w:hAnsi="Arial" w:cs="Arial"/>
        </w:rPr>
      </w:pPr>
      <w:r w:rsidRPr="00514523">
        <w:rPr>
          <w:rFonts w:ascii="Arial" w:hAnsi="Arial" w:cs="Arial"/>
          <w:sz w:val="28"/>
          <w:szCs w:val="28"/>
        </w:rPr>
        <w:tab/>
      </w:r>
      <w:r w:rsidRPr="00514523">
        <w:rPr>
          <w:rFonts w:ascii="Arial" w:hAnsi="Arial" w:cs="Arial"/>
          <w:sz w:val="28"/>
          <w:szCs w:val="28"/>
        </w:rPr>
        <w:tab/>
      </w:r>
      <w:r w:rsidRPr="00514523">
        <w:rPr>
          <w:rFonts w:ascii="Arial" w:hAnsi="Arial" w:cs="Arial"/>
          <w:sz w:val="28"/>
          <w:szCs w:val="28"/>
        </w:rPr>
        <w:tab/>
      </w:r>
      <w:r w:rsidRPr="00514523">
        <w:rPr>
          <w:rFonts w:ascii="Arial" w:hAnsi="Arial" w:cs="Arial"/>
          <w:sz w:val="28"/>
          <w:szCs w:val="28"/>
        </w:rPr>
        <w:tab/>
      </w:r>
      <w:r w:rsidRPr="00514523">
        <w:rPr>
          <w:rFonts w:ascii="Arial" w:hAnsi="Arial" w:cs="Arial"/>
        </w:rPr>
        <w:t>Submitted on: 25.10.2026</w:t>
      </w:r>
    </w:p>
    <w:p w14:paraId="62C01823" w14:textId="77777777" w:rsidR="001B4477" w:rsidRPr="001B4477" w:rsidRDefault="001B4477" w:rsidP="001B4477"/>
    <w:p w14:paraId="793427A5" w14:textId="18FD24C0" w:rsidR="00533FF7" w:rsidRDefault="00533FF7" w:rsidP="00903297"/>
    <w:sdt>
      <w:sdtPr>
        <w:rPr>
          <w:rFonts w:asciiTheme="minorHAnsi" w:eastAsiaTheme="minorEastAsia" w:hAnsiTheme="minorHAnsi" w:cstheme="minorBidi"/>
          <w:color w:val="auto"/>
          <w:kern w:val="2"/>
          <w:sz w:val="24"/>
          <w:szCs w:val="24"/>
          <w:lang w:val="en-GB" w:eastAsia="en-GB"/>
          <w14:ligatures w14:val="standardContextual"/>
        </w:rPr>
        <w:id w:val="1843200060"/>
        <w:docPartObj>
          <w:docPartGallery w:val="Table of Contents"/>
          <w:docPartUnique/>
        </w:docPartObj>
      </w:sdtPr>
      <w:sdtEndPr>
        <w:rPr>
          <w:b/>
          <w:bCs/>
          <w:noProof/>
        </w:rPr>
      </w:sdtEndPr>
      <w:sdtContent>
        <w:p w14:paraId="737006CC" w14:textId="3655E095" w:rsidR="00581C89" w:rsidRPr="00581C89" w:rsidRDefault="00581C89" w:rsidP="00B03526">
          <w:pPr>
            <w:pStyle w:val="TOCHeading"/>
            <w:spacing w:line="360" w:lineRule="auto"/>
            <w:rPr>
              <w:b/>
              <w:bCs/>
            </w:rPr>
          </w:pPr>
          <w:r w:rsidRPr="00581C89">
            <w:rPr>
              <w:b/>
              <w:bCs/>
            </w:rPr>
            <w:t>Content</w:t>
          </w:r>
          <w:r>
            <w:rPr>
              <w:b/>
              <w:bCs/>
            </w:rPr>
            <w:t>s:</w:t>
          </w:r>
        </w:p>
        <w:p w14:paraId="1E5A27D8" w14:textId="09A13A07" w:rsidR="00581C89" w:rsidRDefault="00581C89" w:rsidP="00F90921">
          <w:pPr>
            <w:pStyle w:val="TOC1"/>
            <w:tabs>
              <w:tab w:val="right" w:leader="dot" w:pos="9016"/>
            </w:tabs>
            <w:spacing w:line="360" w:lineRule="auto"/>
            <w:rPr>
              <w:noProof/>
            </w:rPr>
          </w:pPr>
          <w:r>
            <w:fldChar w:fldCharType="begin"/>
          </w:r>
          <w:r>
            <w:instrText xml:space="preserve"> TOC \o "1-3" \h \z \u </w:instrText>
          </w:r>
          <w:r>
            <w:fldChar w:fldCharType="separate"/>
          </w:r>
          <w:hyperlink w:anchor="_Toc243511407" w:history="1">
            <w:r w:rsidRPr="004210A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_Toc243511407 \h </w:instrText>
            </w:r>
            <w:r>
              <w:rPr>
                <w:noProof/>
                <w:webHidden/>
              </w:rPr>
            </w:r>
            <w:r>
              <w:rPr>
                <w:noProof/>
                <w:webHidden/>
              </w:rPr>
              <w:fldChar w:fldCharType="separate"/>
            </w:r>
            <w:r>
              <w:rPr>
                <w:noProof/>
                <w:webHidden/>
              </w:rPr>
              <w:t>3</w:t>
            </w:r>
            <w:r>
              <w:rPr>
                <w:noProof/>
                <w:webHidden/>
              </w:rPr>
              <w:fldChar w:fldCharType="end"/>
            </w:r>
          </w:hyperlink>
        </w:p>
        <w:p w14:paraId="03B7518E" w14:textId="59EE9937" w:rsidR="00581C89" w:rsidRDefault="00581C89" w:rsidP="00F90921">
          <w:pPr>
            <w:pStyle w:val="TOC1"/>
            <w:tabs>
              <w:tab w:val="right" w:leader="dot" w:pos="9016"/>
            </w:tabs>
            <w:spacing w:line="360" w:lineRule="auto"/>
            <w:rPr>
              <w:noProof/>
            </w:rPr>
          </w:pPr>
          <w:hyperlink w:anchor="_Toc243511408" w:history="1">
            <w:r w:rsidRPr="004210AF">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_Toc243511408 \h </w:instrText>
            </w:r>
            <w:r>
              <w:rPr>
                <w:noProof/>
                <w:webHidden/>
              </w:rPr>
            </w:r>
            <w:r>
              <w:rPr>
                <w:noProof/>
                <w:webHidden/>
              </w:rPr>
              <w:fldChar w:fldCharType="separate"/>
            </w:r>
            <w:r>
              <w:rPr>
                <w:noProof/>
                <w:webHidden/>
              </w:rPr>
              <w:t>3</w:t>
            </w:r>
            <w:r>
              <w:rPr>
                <w:noProof/>
                <w:webHidden/>
              </w:rPr>
              <w:fldChar w:fldCharType="end"/>
            </w:r>
          </w:hyperlink>
        </w:p>
        <w:p w14:paraId="2AC05E06" w14:textId="008A436F" w:rsidR="00581C89" w:rsidRDefault="00581C89" w:rsidP="00F90921">
          <w:pPr>
            <w:pStyle w:val="TOC1"/>
            <w:tabs>
              <w:tab w:val="right" w:leader="dot" w:pos="9016"/>
            </w:tabs>
            <w:spacing w:line="360" w:lineRule="auto"/>
            <w:rPr>
              <w:noProof/>
            </w:rPr>
          </w:pPr>
          <w:hyperlink w:anchor="_Toc243511409" w:history="1">
            <w:r w:rsidRPr="004210AF">
              <w:rPr>
                <w:rStyle w:val="Hyperlink"/>
                <w:rFonts w:ascii="Arial" w:hAnsi="Arial" w:cs="Arial"/>
                <w:noProof/>
              </w:rPr>
              <w:t>Figure 1</w:t>
            </w:r>
            <w:r>
              <w:rPr>
                <w:noProof/>
                <w:webHidden/>
              </w:rPr>
              <w:tab/>
            </w:r>
            <w:r>
              <w:rPr>
                <w:noProof/>
                <w:webHidden/>
              </w:rPr>
              <w:fldChar w:fldCharType="begin"/>
            </w:r>
            <w:r>
              <w:rPr>
                <w:noProof/>
                <w:webHidden/>
              </w:rPr>
              <w:instrText xml:space="preserve"> PAGEREF _Toc243511409 \h </w:instrText>
            </w:r>
            <w:r>
              <w:rPr>
                <w:noProof/>
                <w:webHidden/>
              </w:rPr>
            </w:r>
            <w:r>
              <w:rPr>
                <w:noProof/>
                <w:webHidden/>
              </w:rPr>
              <w:fldChar w:fldCharType="separate"/>
            </w:r>
            <w:r>
              <w:rPr>
                <w:noProof/>
                <w:webHidden/>
              </w:rPr>
              <w:t>4</w:t>
            </w:r>
            <w:r>
              <w:rPr>
                <w:noProof/>
                <w:webHidden/>
              </w:rPr>
              <w:fldChar w:fldCharType="end"/>
            </w:r>
          </w:hyperlink>
        </w:p>
        <w:p w14:paraId="30E3D0D1" w14:textId="4E3A51D7" w:rsidR="00581C89" w:rsidRDefault="00581C89" w:rsidP="00F90921">
          <w:pPr>
            <w:pStyle w:val="TOC1"/>
            <w:tabs>
              <w:tab w:val="right" w:leader="dot" w:pos="9016"/>
            </w:tabs>
            <w:spacing w:line="360" w:lineRule="auto"/>
            <w:rPr>
              <w:noProof/>
            </w:rPr>
          </w:pPr>
          <w:hyperlink w:anchor="_Toc243511410" w:history="1">
            <w:r w:rsidRPr="004210AF">
              <w:rPr>
                <w:rStyle w:val="Hyperlink"/>
                <w:rFonts w:ascii="Arial" w:hAnsi="Arial" w:cs="Arial"/>
                <w:noProof/>
              </w:rPr>
              <w:t>Task 2: Practical Example in Practice – Robyn’s Story</w:t>
            </w:r>
            <w:r>
              <w:rPr>
                <w:noProof/>
                <w:webHidden/>
              </w:rPr>
              <w:tab/>
            </w:r>
            <w:r>
              <w:rPr>
                <w:noProof/>
                <w:webHidden/>
              </w:rPr>
              <w:fldChar w:fldCharType="begin"/>
            </w:r>
            <w:r>
              <w:rPr>
                <w:noProof/>
                <w:webHidden/>
              </w:rPr>
              <w:instrText xml:space="preserve"> PAGEREF _Toc243511410 \h </w:instrText>
            </w:r>
            <w:r>
              <w:rPr>
                <w:noProof/>
                <w:webHidden/>
              </w:rPr>
            </w:r>
            <w:r>
              <w:rPr>
                <w:noProof/>
                <w:webHidden/>
              </w:rPr>
              <w:fldChar w:fldCharType="separate"/>
            </w:r>
            <w:r>
              <w:rPr>
                <w:noProof/>
                <w:webHidden/>
              </w:rPr>
              <w:t>5</w:t>
            </w:r>
            <w:r>
              <w:rPr>
                <w:noProof/>
                <w:webHidden/>
              </w:rPr>
              <w:fldChar w:fldCharType="end"/>
            </w:r>
          </w:hyperlink>
        </w:p>
        <w:p w14:paraId="2ECEA417" w14:textId="1619BFA8" w:rsidR="00581C89" w:rsidRDefault="00581C89" w:rsidP="00F90921">
          <w:pPr>
            <w:pStyle w:val="TOC1"/>
            <w:tabs>
              <w:tab w:val="right" w:leader="dot" w:pos="9016"/>
            </w:tabs>
            <w:spacing w:line="360" w:lineRule="auto"/>
            <w:rPr>
              <w:noProof/>
            </w:rPr>
          </w:pPr>
          <w:hyperlink w:anchor="_Toc243511411" w:history="1">
            <w:r w:rsidRPr="004210AF">
              <w:rPr>
                <w:rStyle w:val="Hyperlink"/>
                <w:rFonts w:ascii="Arial" w:hAnsi="Arial" w:cs="Arial"/>
                <w:noProof/>
              </w:rPr>
              <w:t>Task 3: Self-Reflection as a Health and Social Care Professional</w:t>
            </w:r>
            <w:r>
              <w:rPr>
                <w:noProof/>
                <w:webHidden/>
              </w:rPr>
              <w:tab/>
            </w:r>
            <w:r>
              <w:rPr>
                <w:noProof/>
                <w:webHidden/>
              </w:rPr>
              <w:fldChar w:fldCharType="begin"/>
            </w:r>
            <w:r>
              <w:rPr>
                <w:noProof/>
                <w:webHidden/>
              </w:rPr>
              <w:instrText xml:space="preserve"> PAGEREF _Toc243511411 \h </w:instrText>
            </w:r>
            <w:r>
              <w:rPr>
                <w:noProof/>
                <w:webHidden/>
              </w:rPr>
            </w:r>
            <w:r>
              <w:rPr>
                <w:noProof/>
                <w:webHidden/>
              </w:rPr>
              <w:fldChar w:fldCharType="separate"/>
            </w:r>
            <w:r>
              <w:rPr>
                <w:noProof/>
                <w:webHidden/>
              </w:rPr>
              <w:t>7</w:t>
            </w:r>
            <w:r>
              <w:rPr>
                <w:noProof/>
                <w:webHidden/>
              </w:rPr>
              <w:fldChar w:fldCharType="end"/>
            </w:r>
          </w:hyperlink>
        </w:p>
        <w:p w14:paraId="4879C8BE" w14:textId="7320721F" w:rsidR="00581C89" w:rsidRDefault="00581C89">
          <w:pPr>
            <w:pStyle w:val="TOC1"/>
            <w:tabs>
              <w:tab w:val="right" w:leader="dot" w:pos="9016"/>
            </w:tabs>
            <w:rPr>
              <w:noProof/>
            </w:rPr>
          </w:pPr>
          <w:hyperlink w:anchor="_Toc243511412" w:history="1">
            <w:r w:rsidRPr="004210A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_Toc243511412 \h </w:instrText>
            </w:r>
            <w:r>
              <w:rPr>
                <w:noProof/>
                <w:webHidden/>
              </w:rPr>
            </w:r>
            <w:r>
              <w:rPr>
                <w:noProof/>
                <w:webHidden/>
              </w:rPr>
              <w:fldChar w:fldCharType="separate"/>
            </w:r>
            <w:r>
              <w:rPr>
                <w:noProof/>
                <w:webHidden/>
              </w:rPr>
              <w:t>9</w:t>
            </w:r>
            <w:r>
              <w:rPr>
                <w:noProof/>
                <w:webHidden/>
              </w:rPr>
              <w:fldChar w:fldCharType="end"/>
            </w:r>
          </w:hyperlink>
        </w:p>
        <w:p w14:paraId="0316F852" w14:textId="7489A6E8" w:rsidR="00581C89" w:rsidRDefault="00581C89">
          <w:pPr>
            <w:pStyle w:val="TOC1"/>
            <w:tabs>
              <w:tab w:val="right" w:leader="dot" w:pos="9016"/>
            </w:tabs>
            <w:rPr>
              <w:noProof/>
            </w:rPr>
          </w:pPr>
          <w:hyperlink w:anchor="_Toc243511413" w:history="1">
            <w:r w:rsidRPr="004210A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_Toc243511413 \h </w:instrText>
            </w:r>
            <w:r>
              <w:rPr>
                <w:noProof/>
                <w:webHidden/>
              </w:rPr>
            </w:r>
            <w:r>
              <w:rPr>
                <w:noProof/>
                <w:webHidden/>
              </w:rPr>
              <w:fldChar w:fldCharType="separate"/>
            </w:r>
            <w:r>
              <w:rPr>
                <w:noProof/>
                <w:webHidden/>
              </w:rPr>
              <w:t>10</w:t>
            </w:r>
            <w:r>
              <w:rPr>
                <w:noProof/>
                <w:webHidden/>
              </w:rPr>
              <w:fldChar w:fldCharType="end"/>
            </w:r>
          </w:hyperlink>
        </w:p>
        <w:p w14:paraId="2039E90C" w14:textId="5FD50F1C" w:rsidR="00581C89" w:rsidRDefault="00581C89">
          <w:r>
            <w:rPr>
              <w:b/>
              <w:bCs/>
              <w:noProof/>
            </w:rPr>
            <w:fldChar w:fldCharType="end"/>
          </w:r>
        </w:p>
      </w:sdtContent>
    </w:sdt>
    <w:p w14:paraId="74A27F5E" w14:textId="77777777" w:rsidR="00533FF7" w:rsidRDefault="00533FF7" w:rsidP="00903297"/>
    <w:p w14:paraId="5620629A" w14:textId="77777777" w:rsidR="00533FF7" w:rsidRDefault="00533FF7">
      <w:r>
        <w:br w:type="page"/>
      </w:r>
    </w:p>
    <w:p w14:paraId="30F5B601" w14:textId="5D540BFE" w:rsidR="00581C89" w:rsidRPr="00581C89" w:rsidRDefault="00903297" w:rsidP="00581C89">
      <w:pPr>
        <w:pStyle w:val="Heading1"/>
        <w:rPr>
          <w:rFonts w:ascii="Arial" w:hAnsi="Arial" w:cs="Arial"/>
          <w:sz w:val="32"/>
          <w:szCs w:val="32"/>
          <w:u w:val="single"/>
        </w:rPr>
      </w:pPr>
      <w:bookmarkStart w:id="0" w:name="_Toc243511407"/>
      <w:r w:rsidRPr="00581C89">
        <w:rPr>
          <w:rFonts w:ascii="Arial" w:hAnsi="Arial" w:cs="Arial"/>
          <w:sz w:val="32"/>
          <w:szCs w:val="32"/>
          <w:u w:val="single"/>
        </w:rPr>
        <w:lastRenderedPageBreak/>
        <w:t>Introduction</w:t>
      </w:r>
      <w:bookmarkEnd w:id="0"/>
    </w:p>
    <w:p w14:paraId="701BB776" w14:textId="738E4B04" w:rsidR="00903297" w:rsidRPr="00581C89" w:rsidRDefault="00581C89" w:rsidP="00922F62">
      <w:pPr>
        <w:spacing w:line="360" w:lineRule="auto"/>
        <w:jc w:val="both"/>
        <w:rPr>
          <w:rFonts w:ascii="Arial" w:hAnsi="Arial" w:cs="Arial"/>
          <w:sz w:val="22"/>
          <w:szCs w:val="22"/>
        </w:rPr>
      </w:pPr>
      <w:r>
        <w:t xml:space="preserve">               </w:t>
      </w:r>
      <w:r w:rsidR="00903297" w:rsidRPr="00581C89">
        <w:rPr>
          <w:rFonts w:ascii="Arial" w:hAnsi="Arial" w:cs="Arial"/>
          <w:sz w:val="22"/>
          <w:szCs w:val="22"/>
        </w:rPr>
        <w:t xml:space="preserve">Health and social care </w:t>
      </w:r>
      <w:proofErr w:type="gramStart"/>
      <w:r w:rsidR="00903297" w:rsidRPr="00581C89">
        <w:rPr>
          <w:rFonts w:ascii="Arial" w:hAnsi="Arial" w:cs="Arial"/>
          <w:sz w:val="22"/>
          <w:szCs w:val="22"/>
        </w:rPr>
        <w:t>plays</w:t>
      </w:r>
      <w:proofErr w:type="gramEnd"/>
      <w:r w:rsidR="00903297" w:rsidRPr="00581C89">
        <w:rPr>
          <w:rFonts w:ascii="Arial" w:hAnsi="Arial" w:cs="Arial"/>
          <w:sz w:val="22"/>
          <w:szCs w:val="22"/>
        </w:rPr>
        <w:t xml:space="preserve"> an important role in supporting people’s health, wellbeing and quality of life. Good care is not only about meeting people’s physical needs. It is also about respecting their choices, understanding their feelings and helping them live as independently as possible.</w:t>
      </w:r>
    </w:p>
    <w:p w14:paraId="08F2BBF2" w14:textId="41F06B5E" w:rsidR="00903297" w:rsidRPr="00581C89" w:rsidRDefault="00581C89"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 xml:space="preserve">Three important principles in health and social care are person-centred care, partnership working and ethics. Person-centred care focuses on the needs and wishes of </w:t>
      </w:r>
      <w:proofErr w:type="gramStart"/>
      <w:r w:rsidR="00903297" w:rsidRPr="00581C89">
        <w:rPr>
          <w:rFonts w:ascii="Arial" w:hAnsi="Arial" w:cs="Arial"/>
          <w:sz w:val="22"/>
          <w:szCs w:val="22"/>
        </w:rPr>
        <w:t>each individual</w:t>
      </w:r>
      <w:proofErr w:type="gramEnd"/>
      <w:r w:rsidR="00903297" w:rsidRPr="00581C89">
        <w:rPr>
          <w:rFonts w:ascii="Arial" w:hAnsi="Arial" w:cs="Arial"/>
          <w:sz w:val="22"/>
          <w:szCs w:val="22"/>
        </w:rPr>
        <w:t>. Partnership working helps different professionals and services provide better support. Ethics guides workers to make fair and responsible decisions.</w:t>
      </w:r>
    </w:p>
    <w:p w14:paraId="6320D634" w14:textId="080D5899" w:rsidR="00903297" w:rsidRPr="00581C89" w:rsidRDefault="00581C89"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This report explores why these principles are important in UK health and social care. It also discusses how they work in practice through Robyn’s story, a real case study published by NHS England. Finally, the report reflects on how these principles could influence my future work in health and social care and identifies areas for professional development.</w:t>
      </w:r>
    </w:p>
    <w:p w14:paraId="7DC677EE" w14:textId="77777777" w:rsidR="00903297" w:rsidRDefault="00903297" w:rsidP="00903297"/>
    <w:p w14:paraId="45D82FD5" w14:textId="75E0B1E7" w:rsidR="00903297" w:rsidRPr="00581C89" w:rsidRDefault="00903297" w:rsidP="00581C89">
      <w:pPr>
        <w:pStyle w:val="Heading1"/>
        <w:rPr>
          <w:rFonts w:ascii="Arial" w:hAnsi="Arial" w:cs="Arial"/>
          <w:sz w:val="32"/>
          <w:szCs w:val="32"/>
          <w:u w:val="single"/>
        </w:rPr>
      </w:pPr>
      <w:bookmarkStart w:id="1" w:name="_Toc243511408"/>
      <w:r w:rsidRPr="00581C89">
        <w:rPr>
          <w:rFonts w:ascii="Arial" w:hAnsi="Arial" w:cs="Arial"/>
          <w:sz w:val="32"/>
          <w:szCs w:val="32"/>
          <w:u w:val="single"/>
        </w:rPr>
        <w:t>Task 1: Reflection on the Importance of Principles of Health and Social Care</w:t>
      </w:r>
      <w:bookmarkEnd w:id="1"/>
    </w:p>
    <w:p w14:paraId="1FF8A5AF" w14:textId="0DCFBF0B" w:rsidR="00903297" w:rsidRPr="00581C89" w:rsidRDefault="00715CC8" w:rsidP="00922F62">
      <w:pPr>
        <w:spacing w:line="360" w:lineRule="auto"/>
        <w:jc w:val="both"/>
        <w:rPr>
          <w:rFonts w:ascii="Arial" w:hAnsi="Arial" w:cs="Arial"/>
          <w:sz w:val="22"/>
          <w:szCs w:val="22"/>
        </w:rPr>
      </w:pPr>
      <w:r>
        <w:t xml:space="preserve">                </w:t>
      </w:r>
      <w:r w:rsidR="00903297" w:rsidRPr="00581C89">
        <w:rPr>
          <w:rFonts w:ascii="Arial" w:hAnsi="Arial" w:cs="Arial"/>
          <w:sz w:val="22"/>
          <w:szCs w:val="22"/>
        </w:rPr>
        <w:t xml:space="preserve">Health and social care </w:t>
      </w:r>
      <w:proofErr w:type="gramStart"/>
      <w:r w:rsidR="00903297" w:rsidRPr="00581C89">
        <w:rPr>
          <w:rFonts w:ascii="Arial" w:hAnsi="Arial" w:cs="Arial"/>
          <w:sz w:val="22"/>
          <w:szCs w:val="22"/>
        </w:rPr>
        <w:t>is</w:t>
      </w:r>
      <w:proofErr w:type="gramEnd"/>
      <w:r w:rsidR="00903297" w:rsidRPr="00581C89">
        <w:rPr>
          <w:rFonts w:ascii="Arial" w:hAnsi="Arial" w:cs="Arial"/>
          <w:sz w:val="22"/>
          <w:szCs w:val="22"/>
        </w:rPr>
        <w:t xml:space="preserve"> not only about treating illnesses. It is also about helping people feel safe, respected and supported in their daily lives. Three important principles are person-centred care, partnership working and ethics. These principles help care workers understand people’s needs and provide better support.</w:t>
      </w:r>
    </w:p>
    <w:p w14:paraId="76E867E3" w14:textId="5010C25C" w:rsidR="00903297" w:rsidRPr="00581C89" w:rsidRDefault="00715CC8"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Person-centred care means treating every person as an individual. People have different needs, feelings, beliefs and preferences. Care workers should listen to them and involve them in decisions about their care. For example, an older person living in a care home may prefer to get up later in the morning. Staff should respect this choice where possible. This can help the person feel more comfortable and independent. The Care Quality Commission (CQC, 2024) explains that care should meet people’s needs and respect their preferences. However, this can sometimes be difficult when staff are busy or there are not enough workers.</w:t>
      </w:r>
    </w:p>
    <w:p w14:paraId="4CE66CF8" w14:textId="47EADA56" w:rsidR="00903297" w:rsidRPr="00581C89" w:rsidRDefault="00715CC8"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 xml:space="preserve">Maslow’s Hierarchy of Needs helps explain why person-centred care is important. Maslow (1943) described five main groups of human needs, including physical needs, safety, love and belonging, esteem and self-actualisation. In health and social care, a person needs food, water and a safe place to live. However, they also need friendship, respect and opportunities to make their own choices. For example, giving an older person healthy meals </w:t>
      </w:r>
      <w:proofErr w:type="gramStart"/>
      <w:r w:rsidR="00903297" w:rsidRPr="00581C89">
        <w:rPr>
          <w:rFonts w:ascii="Arial" w:hAnsi="Arial" w:cs="Arial"/>
          <w:sz w:val="22"/>
          <w:szCs w:val="22"/>
        </w:rPr>
        <w:t>is</w:t>
      </w:r>
      <w:proofErr w:type="gramEnd"/>
      <w:r w:rsidR="00903297" w:rsidRPr="00581C89">
        <w:rPr>
          <w:rFonts w:ascii="Arial" w:hAnsi="Arial" w:cs="Arial"/>
          <w:sz w:val="22"/>
          <w:szCs w:val="22"/>
        </w:rPr>
        <w:t xml:space="preserve"> important, but spending time talking to them can also improve their wellbeing. Maslow’s </w:t>
      </w:r>
      <w:r w:rsidR="00903297" w:rsidRPr="00581C89">
        <w:rPr>
          <w:rFonts w:ascii="Arial" w:hAnsi="Arial" w:cs="Arial"/>
          <w:sz w:val="22"/>
          <w:szCs w:val="22"/>
        </w:rPr>
        <w:lastRenderedPageBreak/>
        <w:t>theory is useful because it reminds care workers to consider the whole person, not only their illness. However, people may have different priorities, so their needs should not always be treated in the same order.</w:t>
      </w:r>
    </w:p>
    <w:p w14:paraId="3EEF4986" w14:textId="4CA70ECB" w:rsidR="00903297" w:rsidRDefault="00533FF7" w:rsidP="00903297">
      <w:r w:rsidRPr="00533FF7">
        <w:rPr>
          <w:noProof/>
        </w:rPr>
        <w:drawing>
          <wp:inline distT="0" distB="0" distL="0" distR="0" wp14:anchorId="664F662B" wp14:editId="1E6ABCE3">
            <wp:extent cx="5731510" cy="5163820"/>
            <wp:effectExtent l="0" t="0" r="2540" b="0"/>
            <wp:docPr id="118910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163820"/>
                    </a:xfrm>
                    <a:prstGeom prst="rect">
                      <a:avLst/>
                    </a:prstGeom>
                    <a:noFill/>
                    <a:ln>
                      <a:noFill/>
                    </a:ln>
                  </pic:spPr>
                </pic:pic>
              </a:graphicData>
            </a:graphic>
          </wp:inline>
        </w:drawing>
      </w:r>
    </w:p>
    <w:p w14:paraId="6C38BB76" w14:textId="61B216E7" w:rsidR="0041427C" w:rsidRPr="00581C89" w:rsidRDefault="0041427C" w:rsidP="00922F62">
      <w:pPr>
        <w:spacing w:line="240" w:lineRule="auto"/>
        <w:jc w:val="center"/>
        <w:rPr>
          <w:rFonts w:ascii="Arial" w:hAnsi="Arial" w:cs="Arial"/>
          <w:sz w:val="22"/>
          <w:szCs w:val="22"/>
        </w:rPr>
      </w:pPr>
      <w:bookmarkStart w:id="2" w:name="_Toc243511409"/>
      <w:r w:rsidRPr="00581C89">
        <w:rPr>
          <w:rStyle w:val="Heading1Char"/>
          <w:rFonts w:ascii="Arial" w:hAnsi="Arial" w:cs="Arial"/>
          <w:sz w:val="22"/>
          <w:szCs w:val="22"/>
        </w:rPr>
        <w:t>Figure 1</w:t>
      </w:r>
      <w:bookmarkEnd w:id="2"/>
      <w:r w:rsidRPr="00581C89">
        <w:rPr>
          <w:rFonts w:ascii="Arial" w:hAnsi="Arial" w:cs="Arial"/>
          <w:sz w:val="22"/>
          <w:szCs w:val="22"/>
        </w:rPr>
        <w:t>: An early illustration of Maslow’s Hierarchy of Needs.</w:t>
      </w:r>
    </w:p>
    <w:p w14:paraId="7CE474F0" w14:textId="577C96CD" w:rsidR="00903297" w:rsidRPr="00581C89" w:rsidRDefault="0041427C" w:rsidP="00922F62">
      <w:pPr>
        <w:spacing w:line="240" w:lineRule="auto"/>
        <w:jc w:val="center"/>
        <w:rPr>
          <w:rFonts w:ascii="Arial" w:hAnsi="Arial" w:cs="Arial"/>
          <w:sz w:val="22"/>
          <w:szCs w:val="22"/>
        </w:rPr>
      </w:pPr>
      <w:r w:rsidRPr="00581C89">
        <w:rPr>
          <w:rFonts w:ascii="Arial" w:hAnsi="Arial" w:cs="Arial"/>
          <w:sz w:val="22"/>
          <w:szCs w:val="22"/>
        </w:rPr>
        <w:t>Source: Davis (1957, p. 41), reproduced in Bridgman et al. (2019, p. 86).</w:t>
      </w:r>
    </w:p>
    <w:p w14:paraId="63672487" w14:textId="77777777" w:rsidR="00903297" w:rsidRDefault="00903297" w:rsidP="00903297"/>
    <w:p w14:paraId="06F14D4D" w14:textId="77777777" w:rsidR="00903297" w:rsidRDefault="00903297" w:rsidP="00903297"/>
    <w:p w14:paraId="18A7872F" w14:textId="3E52DD08" w:rsidR="00903297" w:rsidRPr="00581C89" w:rsidRDefault="00715CC8"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 xml:space="preserve">Partnership working means different professionals working together to support a person. For example, doctors, nurses, social workers and family members may work together to help someone with dementia. They can share important information and agree on a care plan. The </w:t>
      </w:r>
      <w:r w:rsidR="00903297" w:rsidRPr="00922F62">
        <w:rPr>
          <w:rFonts w:ascii="Arial" w:hAnsi="Arial" w:cs="Arial"/>
          <w:i/>
          <w:iCs/>
          <w:sz w:val="22"/>
          <w:szCs w:val="22"/>
        </w:rPr>
        <w:t>Care Act 2014</w:t>
      </w:r>
      <w:r w:rsidR="00903297" w:rsidRPr="00581C89">
        <w:rPr>
          <w:rFonts w:ascii="Arial" w:hAnsi="Arial" w:cs="Arial"/>
          <w:sz w:val="22"/>
          <w:szCs w:val="22"/>
        </w:rPr>
        <w:t xml:space="preserve"> supports cooperation between services to improve people’s wellbeing (</w:t>
      </w:r>
      <w:r w:rsidR="00903297" w:rsidRPr="00922F62">
        <w:rPr>
          <w:rFonts w:ascii="Arial" w:hAnsi="Arial" w:cs="Arial"/>
          <w:i/>
          <w:iCs/>
          <w:sz w:val="22"/>
          <w:szCs w:val="22"/>
        </w:rPr>
        <w:t>Care Act 2014</w:t>
      </w:r>
      <w:r w:rsidR="00903297" w:rsidRPr="00581C89">
        <w:rPr>
          <w:rFonts w:ascii="Arial" w:hAnsi="Arial" w:cs="Arial"/>
          <w:sz w:val="22"/>
          <w:szCs w:val="22"/>
        </w:rPr>
        <w:t xml:space="preserve">). This can help people receive better care. However, poor communication and unclear responsibilities can sometimes cause problems. Research by Cameron et al. (2014) </w:t>
      </w:r>
      <w:r w:rsidR="00903297" w:rsidRPr="00581C89">
        <w:rPr>
          <w:rFonts w:ascii="Arial" w:hAnsi="Arial" w:cs="Arial"/>
          <w:sz w:val="22"/>
          <w:szCs w:val="22"/>
        </w:rPr>
        <w:lastRenderedPageBreak/>
        <w:t>also shows that working together can improve support, but unclear goals and poor communication can make cooperation difficult.</w:t>
      </w:r>
    </w:p>
    <w:p w14:paraId="25455A69" w14:textId="043E9252" w:rsidR="00903297" w:rsidRPr="00581C89" w:rsidRDefault="00715CC8"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Bronfenbrenner’s Ecological Theory explains that people’s lives are influenced by their family, community and environment (Bronfenbrenner, 1979). For example, a person’s health may be affected by their living conditions and family relationships. This shows why different services should work together to understand the person’s needs. However, organising support from several professionals can take time.</w:t>
      </w:r>
    </w:p>
    <w:p w14:paraId="4CB2C196" w14:textId="1ECE7FED" w:rsidR="00903297" w:rsidRPr="00581C89" w:rsidRDefault="00715CC8"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Ethics means understanding what is right and wrong when supporting people. Beauchamp and Childress (2019) describe four important ethical principles: autonomy, beneficence, non-maleficence and justice. These mean respecting people’s choices, doing good, avoiding harm and treating people fairly.</w:t>
      </w:r>
    </w:p>
    <w:p w14:paraId="00B965F2" w14:textId="232AEB86" w:rsidR="00903297" w:rsidRPr="00581C89" w:rsidRDefault="00715CC8" w:rsidP="00922F62">
      <w:pPr>
        <w:spacing w:line="360" w:lineRule="auto"/>
        <w:jc w:val="both"/>
        <w:rPr>
          <w:rFonts w:ascii="Arial" w:hAnsi="Arial" w:cs="Arial"/>
          <w:sz w:val="22"/>
          <w:szCs w:val="22"/>
        </w:rPr>
      </w:pPr>
      <w:r w:rsidRPr="00581C89">
        <w:rPr>
          <w:rFonts w:ascii="Arial" w:hAnsi="Arial" w:cs="Arial"/>
          <w:sz w:val="22"/>
          <w:szCs w:val="22"/>
        </w:rPr>
        <w:t xml:space="preserve">               </w:t>
      </w:r>
      <w:r w:rsidR="00903297" w:rsidRPr="00581C89">
        <w:rPr>
          <w:rFonts w:ascii="Arial" w:hAnsi="Arial" w:cs="Arial"/>
          <w:sz w:val="22"/>
          <w:szCs w:val="22"/>
        </w:rPr>
        <w:t>For example, an older person may refuse help with washing. Care workers should respect their decision while also considering their health and safety. This can be difficult because respecting someone’s independence and protecting them from harm may sometimes conflict.</w:t>
      </w:r>
    </w:p>
    <w:p w14:paraId="2A1646E8" w14:textId="77777777" w:rsidR="00903297" w:rsidRDefault="00903297" w:rsidP="00922F62">
      <w:pPr>
        <w:jc w:val="both"/>
      </w:pPr>
    </w:p>
    <w:p w14:paraId="6B770117" w14:textId="15A839D5" w:rsidR="00903297" w:rsidRPr="00715CC8" w:rsidRDefault="00903297" w:rsidP="00715CC8">
      <w:pPr>
        <w:pStyle w:val="Heading1"/>
        <w:rPr>
          <w:rFonts w:ascii="Arial" w:hAnsi="Arial" w:cs="Arial"/>
          <w:sz w:val="32"/>
          <w:szCs w:val="32"/>
          <w:u w:val="single"/>
        </w:rPr>
      </w:pPr>
      <w:bookmarkStart w:id="3" w:name="_Toc243511410"/>
      <w:r w:rsidRPr="00715CC8">
        <w:rPr>
          <w:rFonts w:ascii="Arial" w:hAnsi="Arial" w:cs="Arial"/>
          <w:sz w:val="32"/>
          <w:szCs w:val="32"/>
          <w:u w:val="single"/>
        </w:rPr>
        <w:t>Task 2: Practical Example in Practice – Robyn’s Story</w:t>
      </w:r>
      <w:bookmarkEnd w:id="3"/>
    </w:p>
    <w:p w14:paraId="59CD4E5F" w14:textId="05D5C6D1"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Person-centred care, partnership working and ethics play an important role in health and social care. A real-life example can help show how these principles work in practice and improve people’s lives.</w:t>
      </w:r>
    </w:p>
    <w:p w14:paraId="40E65FE4" w14:textId="5CF80822" w:rsidR="00903297" w:rsidRPr="00715CC8" w:rsidRDefault="0006772B" w:rsidP="00922F62">
      <w:pPr>
        <w:spacing w:line="360" w:lineRule="auto"/>
        <w:jc w:val="both"/>
        <w:rPr>
          <w:rFonts w:ascii="Arial" w:hAnsi="Arial" w:cs="Arial"/>
          <w:sz w:val="22"/>
          <w:szCs w:val="22"/>
        </w:rPr>
      </w:pPr>
      <w:r>
        <w:rPr>
          <w:rFonts w:ascii="Arial" w:hAnsi="Arial" w:cs="Arial"/>
          <w:sz w:val="22"/>
          <w:szCs w:val="22"/>
        </w:rPr>
        <w:t xml:space="preserve">             </w:t>
      </w:r>
      <w:r w:rsidR="00903297" w:rsidRPr="00715CC8">
        <w:rPr>
          <w:rFonts w:ascii="Arial" w:hAnsi="Arial" w:cs="Arial"/>
          <w:sz w:val="22"/>
          <w:szCs w:val="22"/>
        </w:rPr>
        <w:t>Robyn’s story is a real example of how person-centred care, partnership working and ethics can improve someone’s life. Her story was published by NHS England (n.d.).</w:t>
      </w:r>
    </w:p>
    <w:p w14:paraId="617D09C8" w14:textId="70EE4CB9"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Robyn had a spinal injury in 2006 when she was 21 years old. She needed care 24 hours a day. A care agency provided personal assistants (PAs) to help her. However, the agency had problems finding suitable staff. In 2014, Robyn had 36 different PAs. Some could not drive or work around animals. This was difficult because Robyn loved horses and wanted to visit her ponies. She also found it hard to make plans because she did not know who would be helping her (NHS England, n.d.).</w:t>
      </w:r>
    </w:p>
    <w:p w14:paraId="67CD87BF" w14:textId="010237D1"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 xml:space="preserve">This shows why person-centred care is important. Robyn’s basic needs were being met, but her personal wishes were not always considered. In May 2014, she asked for more control over her care. She wanted to choose her own assistants and have regular support. Her care team suggested a personal health budget (PHB). This allowed her to plan care </w:t>
      </w:r>
      <w:r w:rsidR="00903297" w:rsidRPr="00715CC8">
        <w:rPr>
          <w:rFonts w:ascii="Arial" w:hAnsi="Arial" w:cs="Arial"/>
          <w:sz w:val="22"/>
          <w:szCs w:val="22"/>
        </w:rPr>
        <w:lastRenderedPageBreak/>
        <w:t>around her needs and interests. NICE (2021) explains that people should be involved in decisions about their care.</w:t>
      </w:r>
    </w:p>
    <w:p w14:paraId="17F28D90" w14:textId="787E9559"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Partnership working was also important. Robyn worked with her social care team, Continuing Healthcare team, PHB nurse and Personal Budget Support Service. They helped her plan her care and employ her own assistants. Her new budget started in November 2015. This shows how different services can work together to support one person.</w:t>
      </w:r>
    </w:p>
    <w:p w14:paraId="21C65F22" w14:textId="30C0AE6F"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However, there were problems. The process took 18 months, and Robyn sometimes received little information. Her first care plan did not fully reflect her wishes. Later, she rewrote the plan herself. This shows that working together is not enough if professionals do not communicate well or listen carefully.</w:t>
      </w:r>
    </w:p>
    <w:p w14:paraId="6F52850E" w14:textId="406CF381"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 xml:space="preserve">Ethics can also be seen in this story. Robyn wanted independence, dignity and the right to make her own decisions. This relates to autonomy, which means respecting people’s choices. Helping her receive suitable care also relates to beneficence, which means doing good (Beauchamp and Childress, 2019). The </w:t>
      </w:r>
      <w:r w:rsidR="00903297" w:rsidRPr="00922F62">
        <w:rPr>
          <w:rFonts w:ascii="Arial" w:hAnsi="Arial" w:cs="Arial"/>
          <w:i/>
          <w:iCs/>
          <w:sz w:val="22"/>
          <w:szCs w:val="22"/>
        </w:rPr>
        <w:t>Care Act 2014</w:t>
      </w:r>
      <w:r w:rsidR="00903297" w:rsidRPr="00715CC8">
        <w:rPr>
          <w:rFonts w:ascii="Arial" w:hAnsi="Arial" w:cs="Arial"/>
          <w:sz w:val="22"/>
          <w:szCs w:val="22"/>
        </w:rPr>
        <w:t xml:space="preserve"> also supports people’s wellbeing and control over daily life (</w:t>
      </w:r>
      <w:r w:rsidR="00903297" w:rsidRPr="00922F62">
        <w:rPr>
          <w:rFonts w:ascii="Arial" w:hAnsi="Arial" w:cs="Arial"/>
          <w:i/>
          <w:iCs/>
          <w:sz w:val="22"/>
          <w:szCs w:val="22"/>
        </w:rPr>
        <w:t>Care Act 2014</w:t>
      </w:r>
      <w:r w:rsidR="00903297" w:rsidRPr="00715CC8">
        <w:rPr>
          <w:rFonts w:ascii="Arial" w:hAnsi="Arial" w:cs="Arial"/>
          <w:sz w:val="22"/>
          <w:szCs w:val="22"/>
        </w:rPr>
        <w:t>).</w:t>
      </w:r>
    </w:p>
    <w:p w14:paraId="3A42E1B4" w14:textId="5973388F"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 xml:space="preserve">The Code of Conduct for Healthcare Support Workers and Adult Social Care Workers </w:t>
      </w:r>
      <w:proofErr w:type="gramStart"/>
      <w:r w:rsidR="00903297" w:rsidRPr="00715CC8">
        <w:rPr>
          <w:rFonts w:ascii="Arial" w:hAnsi="Arial" w:cs="Arial"/>
          <w:sz w:val="22"/>
          <w:szCs w:val="22"/>
        </w:rPr>
        <w:t>explains</w:t>
      </w:r>
      <w:proofErr w:type="gramEnd"/>
      <w:r w:rsidR="00903297" w:rsidRPr="00715CC8">
        <w:rPr>
          <w:rFonts w:ascii="Arial" w:hAnsi="Arial" w:cs="Arial"/>
          <w:sz w:val="22"/>
          <w:szCs w:val="22"/>
        </w:rPr>
        <w:t xml:space="preserve"> that workers should respect people’s dignity, rights and choices (Skills for Care and Skills for Health, 2013). Robyn’s earlier care arrangements did not always meet her personal needs. Her later care better reflected these standards because she could choose her assistants and make decisions about her life. However, the case study does not prove that individual workers broke the Code.</w:t>
      </w:r>
    </w:p>
    <w:p w14:paraId="75AF440F" w14:textId="3BA9427E" w:rsidR="00903297" w:rsidRPr="00581C89"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The changes had a positive effect on Robyn. She had regular assistants who understood her needs. She could work part-time, spend time with her animals and enjoy an active social life. The support service also helped her manage her responsibilities as an employer.</w:t>
      </w:r>
      <w:r w:rsidR="00E53F8C" w:rsidRPr="00E53F8C">
        <w:t xml:space="preserve"> </w:t>
      </w:r>
      <w:r w:rsidR="00E53F8C" w:rsidRPr="00E53F8C">
        <w:rPr>
          <w:rFonts w:ascii="Arial" w:hAnsi="Arial" w:cs="Arial"/>
          <w:sz w:val="22"/>
          <w:szCs w:val="22"/>
        </w:rPr>
        <w:t>Having regular assistants may also have helped the staff understand Robyn’s needs and preferences better. However, the case study does not provide enough information to know how the changes affected the assistants themselves.</w:t>
      </w:r>
      <w:r w:rsidR="00903297" w:rsidRPr="00715CC8">
        <w:rPr>
          <w:rFonts w:ascii="Arial" w:hAnsi="Arial" w:cs="Arial"/>
          <w:sz w:val="22"/>
          <w:szCs w:val="22"/>
        </w:rPr>
        <w:t xml:space="preserve"> Her story shows how listening, teamwork and respect can improve care, although delays and poor communication can still create difficulties</w:t>
      </w:r>
      <w:r w:rsidR="00581C89">
        <w:rPr>
          <w:rFonts w:ascii="Arial" w:hAnsi="Arial" w:cs="Arial"/>
          <w:sz w:val="22"/>
          <w:szCs w:val="22"/>
        </w:rPr>
        <w:t>.</w:t>
      </w:r>
    </w:p>
    <w:p w14:paraId="39982DE6" w14:textId="6DC36632" w:rsidR="00903297" w:rsidRPr="00715CC8" w:rsidRDefault="00903297" w:rsidP="00715CC8">
      <w:pPr>
        <w:pStyle w:val="Heading1"/>
        <w:rPr>
          <w:rFonts w:ascii="Arial" w:hAnsi="Arial" w:cs="Arial"/>
          <w:sz w:val="32"/>
          <w:szCs w:val="32"/>
          <w:u w:val="single"/>
        </w:rPr>
      </w:pPr>
      <w:bookmarkStart w:id="4" w:name="_Toc243511411"/>
      <w:r w:rsidRPr="00715CC8">
        <w:rPr>
          <w:rFonts w:ascii="Arial" w:hAnsi="Arial" w:cs="Arial"/>
          <w:sz w:val="32"/>
          <w:szCs w:val="32"/>
          <w:u w:val="single"/>
        </w:rPr>
        <w:t>Task 3: Self-Reflection as a Health and Social Care Professional</w:t>
      </w:r>
      <w:bookmarkEnd w:id="4"/>
    </w:p>
    <w:p w14:paraId="532160A7" w14:textId="24174D6D"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 xml:space="preserve">I believe that person-centred care, partnership working and ethics are important principles in health and social care. They influence how professionals communicate with </w:t>
      </w:r>
      <w:r w:rsidRPr="0084476A">
        <w:rPr>
          <w:rFonts w:ascii="Arial" w:hAnsi="Arial" w:cs="Arial"/>
          <w:sz w:val="22"/>
          <w:szCs w:val="22"/>
        </w:rPr>
        <w:lastRenderedPageBreak/>
        <w:t>people, make decisions and provide support. Although I do not currently work in health and social care, I can reflect on my experience in my current job and consider how these principles could guide my future professional practice.</w:t>
      </w:r>
    </w:p>
    <w:p w14:paraId="4285D9C2" w14:textId="6299459A"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In my current job, I often work with a colleague who sometimes feels unwell. When this happens, I try to listen to her, ask how she is feeling and find out whether she needs any help. We work together regularly, so I believe it is important to support each other. Although this is not a care setting, the experience has helped me understand the value of communication, respect and teamwork.</w:t>
      </w:r>
    </w:p>
    <w:p w14:paraId="23FFC151" w14:textId="1AACE989"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I can reflect on this experience using Gibbs’ Reflective Cycle (Gibbs, 1988). When my colleague feels unwell, I am concerned about her and want to help. I think listening and offering support are positive parts of my response. However, I also recognise that I do not always know what kind of help is most appropriate. This shows that I need to develop my confidence and understanding of professional responsibilities.</w:t>
      </w:r>
    </w:p>
    <w:p w14:paraId="25A81219" w14:textId="45CACE63"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This experience relates to person-centred care because I try to understand what my colleague needs rather than making assumptions. In my future health and social care role, I would use a similar approach by listening carefully and involving people in decisions about their support. For example, a person receiving care at home might have preferences about their daily routine. I would respect these choices whenever possible. The Care Quality Commission explains that care should reflect individual needs and preferences (CQC, 2024). NICE (2021) also highlights the importance of shared decision-making.</w:t>
      </w:r>
    </w:p>
    <w:p w14:paraId="3BCB2279" w14:textId="105C84FC"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 xml:space="preserve">Partnership working is another important principle. In my current job, working with colleagues helps us support each other and complete our responsibilities. In health and social care, teamwork is more complex because different professionals may need to work together. For example, nurses, social workers and care workers may support an older person returning home from hospital. The </w:t>
      </w:r>
      <w:r w:rsidRPr="00922F62">
        <w:rPr>
          <w:rFonts w:ascii="Arial" w:hAnsi="Arial" w:cs="Arial"/>
          <w:i/>
          <w:iCs/>
          <w:sz w:val="22"/>
          <w:szCs w:val="22"/>
        </w:rPr>
        <w:t>Care Act 2014</w:t>
      </w:r>
      <w:r w:rsidRPr="0084476A">
        <w:rPr>
          <w:rFonts w:ascii="Arial" w:hAnsi="Arial" w:cs="Arial"/>
          <w:sz w:val="22"/>
          <w:szCs w:val="22"/>
        </w:rPr>
        <w:t xml:space="preserve"> supports cooperation between services to promote wellbeing (</w:t>
      </w:r>
      <w:r w:rsidRPr="00922F62">
        <w:rPr>
          <w:rFonts w:ascii="Arial" w:hAnsi="Arial" w:cs="Arial"/>
          <w:i/>
          <w:iCs/>
          <w:sz w:val="22"/>
          <w:szCs w:val="22"/>
        </w:rPr>
        <w:t>Care Act 2014</w:t>
      </w:r>
      <w:r w:rsidRPr="0084476A">
        <w:rPr>
          <w:rFonts w:ascii="Arial" w:hAnsi="Arial" w:cs="Arial"/>
          <w:sz w:val="22"/>
          <w:szCs w:val="22"/>
        </w:rPr>
        <w:t>).</w:t>
      </w:r>
    </w:p>
    <w:p w14:paraId="7AF64A2E" w14:textId="3D075665"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I understand that good partnership working requires clear communication and respect for different responsibilities. One of my strengths is that I am willing to listen and cooperate with others. However, I would need to improve my confidence in sharing information, asking questions and reporting concerns. I would also need to learn how to maintain confidentiality and recognise when a situation requires support from a more experienced professional.</w:t>
      </w:r>
    </w:p>
    <w:p w14:paraId="5588B8D3" w14:textId="18E63CBF"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Ethics would also guide my future decisions. Beauchamp and Childress (2019) describe four ethical principles: autonomy, beneficence, non-maleficence and justice. These mean respecting people’s choices, doing good, avoiding harm and treating people fairly.</w:t>
      </w:r>
    </w:p>
    <w:p w14:paraId="79276911" w14:textId="6A254B26" w:rsidR="0084476A" w:rsidRPr="0084476A" w:rsidRDefault="0084476A" w:rsidP="00922F62">
      <w:pPr>
        <w:spacing w:line="360" w:lineRule="auto"/>
        <w:jc w:val="both"/>
        <w:rPr>
          <w:rFonts w:ascii="Arial" w:hAnsi="Arial" w:cs="Arial"/>
          <w:sz w:val="22"/>
          <w:szCs w:val="22"/>
        </w:rPr>
      </w:pPr>
      <w:r>
        <w:rPr>
          <w:rFonts w:ascii="Arial" w:hAnsi="Arial" w:cs="Arial"/>
          <w:sz w:val="22"/>
          <w:szCs w:val="22"/>
        </w:rPr>
        <w:lastRenderedPageBreak/>
        <w:t xml:space="preserve">            </w:t>
      </w:r>
      <w:r w:rsidRPr="0084476A">
        <w:rPr>
          <w:rFonts w:ascii="Arial" w:hAnsi="Arial" w:cs="Arial"/>
          <w:sz w:val="22"/>
          <w:szCs w:val="22"/>
        </w:rPr>
        <w:t xml:space="preserve">For example, if a person refused help with personal care, I would try to understand their reasons rather than force them to accept support. I would also consider their safety and ask for guidance when necessary. The </w:t>
      </w:r>
      <w:r w:rsidRPr="00922F62">
        <w:rPr>
          <w:rFonts w:ascii="Arial" w:hAnsi="Arial" w:cs="Arial"/>
          <w:i/>
          <w:iCs/>
          <w:sz w:val="22"/>
          <w:szCs w:val="22"/>
        </w:rPr>
        <w:t>Mental Capacity Act 2005</w:t>
      </w:r>
      <w:r w:rsidRPr="0084476A">
        <w:rPr>
          <w:rFonts w:ascii="Arial" w:hAnsi="Arial" w:cs="Arial"/>
          <w:sz w:val="22"/>
          <w:szCs w:val="22"/>
        </w:rPr>
        <w:t xml:space="preserve"> explains that adults should be assumed to have capacity unless it is established otherwise (</w:t>
      </w:r>
      <w:r w:rsidRPr="00922F62">
        <w:rPr>
          <w:rFonts w:ascii="Arial" w:hAnsi="Arial" w:cs="Arial"/>
          <w:i/>
          <w:iCs/>
          <w:sz w:val="22"/>
          <w:szCs w:val="22"/>
        </w:rPr>
        <w:t>Mental Capacity Act 2005</w:t>
      </w:r>
      <w:r w:rsidRPr="0084476A">
        <w:rPr>
          <w:rFonts w:ascii="Arial" w:hAnsi="Arial" w:cs="Arial"/>
          <w:sz w:val="22"/>
          <w:szCs w:val="22"/>
        </w:rPr>
        <w:t>). I would need appropriate training to understand consent, capacity and professional boundaries.</w:t>
      </w:r>
    </w:p>
    <w:p w14:paraId="77F69906" w14:textId="33C0DB34"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The NMC Code also shows the importance of professional behaviour, including prioritising people, practising effectively, preserving safety and promoting professionalism and trust (NMC, 2018). Although I am not a nurse, these standards help me understand the responsibilities involved in providing safe and respectful care.</w:t>
      </w:r>
    </w:p>
    <w:p w14:paraId="4A597217" w14:textId="08A63109"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Reflecting on my experience through Gibbs’ model has helped me recognise that listening and showing concern are strengths, but they are not enough on their own. I need to understand when to offer support, when to seek advice and how to respond appropriately to different situations.</w:t>
      </w:r>
    </w:p>
    <w:p w14:paraId="647AC062" w14:textId="122255A3" w:rsidR="0084476A" w:rsidRPr="0084476A"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To develop professionally, I would attend training in safeguarding, communication and confidentiality. I would also look for volunteering opportunities in health and social care, learn from experienced workers and ask for feedback. After difficult situations, I could use Gibbs’ Reflective Cycle to consider what happened, what went well and what I could improve next time.</w:t>
      </w:r>
    </w:p>
    <w:p w14:paraId="0A973E8C" w14:textId="7D167E14" w:rsidR="00581C89" w:rsidRPr="00715CC8" w:rsidRDefault="0084476A" w:rsidP="00922F62">
      <w:pPr>
        <w:spacing w:line="360" w:lineRule="auto"/>
        <w:jc w:val="both"/>
        <w:rPr>
          <w:rFonts w:ascii="Arial" w:hAnsi="Arial" w:cs="Arial"/>
          <w:sz w:val="22"/>
          <w:szCs w:val="22"/>
        </w:rPr>
      </w:pPr>
      <w:r>
        <w:rPr>
          <w:rFonts w:ascii="Arial" w:hAnsi="Arial" w:cs="Arial"/>
          <w:sz w:val="22"/>
          <w:szCs w:val="22"/>
        </w:rPr>
        <w:t xml:space="preserve">          </w:t>
      </w:r>
      <w:r w:rsidRPr="0084476A">
        <w:rPr>
          <w:rFonts w:ascii="Arial" w:hAnsi="Arial" w:cs="Arial"/>
          <w:sz w:val="22"/>
          <w:szCs w:val="22"/>
        </w:rPr>
        <w:t>Overall, this reflection has helped me understand how my current communication and teamwork skills could support my future career in health and social care. I want to continue developing my knowledge, confidence and ability to provide safe, respectful and person-centred support.</w:t>
      </w:r>
    </w:p>
    <w:p w14:paraId="54F73A65" w14:textId="77777777" w:rsidR="00903297" w:rsidRPr="00715CC8" w:rsidRDefault="00903297" w:rsidP="00715CC8">
      <w:pPr>
        <w:pStyle w:val="Heading1"/>
        <w:rPr>
          <w:rFonts w:ascii="Arial" w:hAnsi="Arial" w:cs="Arial"/>
          <w:sz w:val="32"/>
          <w:szCs w:val="32"/>
          <w:u w:val="single"/>
        </w:rPr>
      </w:pPr>
      <w:bookmarkStart w:id="5" w:name="_Toc243511412"/>
      <w:r w:rsidRPr="00715CC8">
        <w:rPr>
          <w:rFonts w:ascii="Arial" w:hAnsi="Arial" w:cs="Arial"/>
          <w:sz w:val="32"/>
          <w:szCs w:val="32"/>
          <w:u w:val="single"/>
        </w:rPr>
        <w:t>Conclusion</w:t>
      </w:r>
      <w:bookmarkEnd w:id="5"/>
    </w:p>
    <w:p w14:paraId="1CBDFAAF" w14:textId="671CB013"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Pr>
          <w:rFonts w:ascii="Arial" w:hAnsi="Arial" w:cs="Arial"/>
          <w:sz w:val="22"/>
          <w:szCs w:val="22"/>
        </w:rPr>
        <w:t xml:space="preserve"> </w:t>
      </w:r>
      <w:r w:rsidRPr="00715CC8">
        <w:rPr>
          <w:rFonts w:ascii="Arial" w:hAnsi="Arial" w:cs="Arial"/>
          <w:sz w:val="22"/>
          <w:szCs w:val="22"/>
        </w:rPr>
        <w:t xml:space="preserve">  </w:t>
      </w:r>
      <w:r w:rsidR="00903297" w:rsidRPr="00715CC8">
        <w:rPr>
          <w:rFonts w:ascii="Arial" w:hAnsi="Arial" w:cs="Arial"/>
          <w:sz w:val="22"/>
          <w:szCs w:val="22"/>
        </w:rPr>
        <w:t>In conclusion, person-centred care, partnership working and ethics are important for providing safe, respectful and effective health and social care. These principles help professionals understand people’s needs, work together and make responsible decisions.</w:t>
      </w:r>
    </w:p>
    <w:p w14:paraId="19BFD484" w14:textId="3A5446F3"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Pr>
          <w:rFonts w:ascii="Arial" w:hAnsi="Arial" w:cs="Arial"/>
          <w:sz w:val="22"/>
          <w:szCs w:val="22"/>
        </w:rPr>
        <w:t xml:space="preserve">  </w:t>
      </w:r>
      <w:r w:rsidRPr="00715CC8">
        <w:rPr>
          <w:rFonts w:ascii="Arial" w:hAnsi="Arial" w:cs="Arial"/>
          <w:sz w:val="22"/>
          <w:szCs w:val="22"/>
        </w:rPr>
        <w:t xml:space="preserve"> </w:t>
      </w:r>
      <w:r w:rsidR="00903297" w:rsidRPr="00715CC8">
        <w:rPr>
          <w:rFonts w:ascii="Arial" w:hAnsi="Arial" w:cs="Arial"/>
          <w:sz w:val="22"/>
          <w:szCs w:val="22"/>
        </w:rPr>
        <w:t>Robyn’s story shows how listening to a person’s wishes and giving them more control can improve their independence and quality of life. It also shows that poor communication and delays can create difficulties.</w:t>
      </w:r>
    </w:p>
    <w:p w14:paraId="4D0DDC75" w14:textId="221ECCBB"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t xml:space="preserve">          </w:t>
      </w:r>
      <w:r w:rsidR="00903297" w:rsidRPr="00715CC8">
        <w:rPr>
          <w:rFonts w:ascii="Arial" w:hAnsi="Arial" w:cs="Arial"/>
          <w:sz w:val="22"/>
          <w:szCs w:val="22"/>
        </w:rPr>
        <w:t>The self-reflection shows how these principles could guide my future</w:t>
      </w:r>
      <w:r w:rsidR="00922F62">
        <w:rPr>
          <w:rFonts w:ascii="Arial" w:hAnsi="Arial" w:cs="Arial"/>
          <w:sz w:val="22"/>
          <w:szCs w:val="22"/>
        </w:rPr>
        <w:t xml:space="preserve"> </w:t>
      </w:r>
      <w:r w:rsidR="00903297" w:rsidRPr="00715CC8">
        <w:rPr>
          <w:rFonts w:ascii="Arial" w:hAnsi="Arial" w:cs="Arial"/>
          <w:sz w:val="22"/>
          <w:szCs w:val="22"/>
        </w:rPr>
        <w:t>professional practice. It also highlights the importance of developing communication skills, understanding professional responsibilities and continuing to learn.</w:t>
      </w:r>
    </w:p>
    <w:p w14:paraId="27CF5730" w14:textId="4E32BCE8" w:rsidR="00903297" w:rsidRPr="00715CC8" w:rsidRDefault="00715CC8" w:rsidP="00922F62">
      <w:pPr>
        <w:spacing w:line="360" w:lineRule="auto"/>
        <w:jc w:val="both"/>
        <w:rPr>
          <w:rFonts w:ascii="Arial" w:hAnsi="Arial" w:cs="Arial"/>
          <w:sz w:val="22"/>
          <w:szCs w:val="22"/>
        </w:rPr>
      </w:pPr>
      <w:r w:rsidRPr="00715CC8">
        <w:rPr>
          <w:rFonts w:ascii="Arial" w:hAnsi="Arial" w:cs="Arial"/>
          <w:sz w:val="22"/>
          <w:szCs w:val="22"/>
        </w:rPr>
        <w:lastRenderedPageBreak/>
        <w:t xml:space="preserve">          </w:t>
      </w:r>
      <w:r>
        <w:rPr>
          <w:rFonts w:ascii="Arial" w:hAnsi="Arial" w:cs="Arial"/>
          <w:sz w:val="22"/>
          <w:szCs w:val="22"/>
        </w:rPr>
        <w:t xml:space="preserve"> </w:t>
      </w:r>
      <w:r w:rsidR="00903297" w:rsidRPr="00715CC8">
        <w:rPr>
          <w:rFonts w:ascii="Arial" w:hAnsi="Arial" w:cs="Arial"/>
          <w:sz w:val="22"/>
          <w:szCs w:val="22"/>
        </w:rPr>
        <w:t>Overall, good care depends on respect, teamwork and understanding each person as an individual. Continuing to learn and improve these skills can help professionals provide better support in the future.</w:t>
      </w:r>
    </w:p>
    <w:p w14:paraId="58508861" w14:textId="77777777" w:rsidR="00903297" w:rsidRDefault="00903297" w:rsidP="00903297"/>
    <w:p w14:paraId="248CD711" w14:textId="77777777" w:rsidR="00903297" w:rsidRDefault="00903297" w:rsidP="00903297"/>
    <w:p w14:paraId="595EC4E8" w14:textId="77777777" w:rsidR="0041427C" w:rsidRDefault="0041427C" w:rsidP="00903297"/>
    <w:p w14:paraId="6ECA9471" w14:textId="77777777" w:rsidR="0041427C" w:rsidRDefault="0041427C" w:rsidP="00903297"/>
    <w:p w14:paraId="5EF65408" w14:textId="77777777" w:rsidR="0041427C" w:rsidRDefault="0041427C" w:rsidP="00903297"/>
    <w:p w14:paraId="1DD67149" w14:textId="77777777" w:rsidR="0041427C" w:rsidRDefault="0041427C" w:rsidP="00903297"/>
    <w:p w14:paraId="021A8012" w14:textId="77777777" w:rsidR="0041427C" w:rsidRDefault="0041427C" w:rsidP="00903297"/>
    <w:p w14:paraId="72961C6A" w14:textId="77777777" w:rsidR="0041427C" w:rsidRDefault="0041427C" w:rsidP="00903297"/>
    <w:p w14:paraId="7994B3E4" w14:textId="77777777" w:rsidR="002A003F" w:rsidRDefault="002A003F" w:rsidP="00903297"/>
    <w:p w14:paraId="44B9C2D4" w14:textId="77777777" w:rsidR="002A003F" w:rsidRDefault="002A003F" w:rsidP="00903297"/>
    <w:p w14:paraId="71800003" w14:textId="77777777" w:rsidR="002A003F" w:rsidRDefault="002A003F" w:rsidP="00903297"/>
    <w:p w14:paraId="0B563861" w14:textId="77777777" w:rsidR="002A003F" w:rsidRDefault="002A003F" w:rsidP="00903297"/>
    <w:p w14:paraId="6B3BDF23" w14:textId="77777777" w:rsidR="0041427C" w:rsidRDefault="0041427C" w:rsidP="00903297"/>
    <w:p w14:paraId="6A95DE1E" w14:textId="77777777" w:rsidR="0041427C" w:rsidRDefault="0041427C" w:rsidP="00903297"/>
    <w:p w14:paraId="5C72F249" w14:textId="77777777" w:rsidR="00922F62" w:rsidRDefault="00922F62" w:rsidP="00903297"/>
    <w:p w14:paraId="64CB1FD2" w14:textId="77777777" w:rsidR="00922F62" w:rsidRDefault="00922F62" w:rsidP="00903297"/>
    <w:p w14:paraId="4AA16E8C" w14:textId="77777777" w:rsidR="00922F62" w:rsidRDefault="00922F62" w:rsidP="00903297"/>
    <w:p w14:paraId="52AE7FEB" w14:textId="77777777" w:rsidR="00922F62" w:rsidRDefault="00922F62" w:rsidP="00903297"/>
    <w:p w14:paraId="1D76F18F" w14:textId="77777777" w:rsidR="00922F62" w:rsidRDefault="00922F62" w:rsidP="00903297"/>
    <w:p w14:paraId="4BCA19F7" w14:textId="77777777" w:rsidR="00922F62" w:rsidRDefault="00922F62" w:rsidP="00903297"/>
    <w:p w14:paraId="3E4232F5" w14:textId="77777777" w:rsidR="00922F62" w:rsidRDefault="00922F62" w:rsidP="00903297"/>
    <w:p w14:paraId="7DE9A4F7" w14:textId="77777777" w:rsidR="00922F62" w:rsidRDefault="00922F62" w:rsidP="00903297"/>
    <w:p w14:paraId="4A237B3F" w14:textId="77777777" w:rsidR="00903297" w:rsidRDefault="00903297" w:rsidP="00903297"/>
    <w:p w14:paraId="6CC2F36E" w14:textId="6F9916DF" w:rsidR="00903297" w:rsidRPr="00D66EE1" w:rsidRDefault="00903297" w:rsidP="00D66EE1">
      <w:pPr>
        <w:pStyle w:val="Heading1"/>
        <w:rPr>
          <w:rFonts w:ascii="Arial" w:hAnsi="Arial" w:cs="Arial"/>
          <w:sz w:val="32"/>
          <w:szCs w:val="32"/>
          <w:u w:val="single"/>
        </w:rPr>
      </w:pPr>
      <w:bookmarkStart w:id="6" w:name="_Toc243511413"/>
      <w:r w:rsidRPr="00715CC8">
        <w:rPr>
          <w:rFonts w:ascii="Arial" w:hAnsi="Arial" w:cs="Arial"/>
          <w:sz w:val="32"/>
          <w:szCs w:val="32"/>
          <w:u w:val="single"/>
        </w:rPr>
        <w:lastRenderedPageBreak/>
        <w:t>Reference List</w:t>
      </w:r>
      <w:bookmarkEnd w:id="6"/>
      <w:r w:rsidR="00581C89">
        <w:rPr>
          <w:rFonts w:ascii="Arial" w:hAnsi="Arial" w:cs="Arial"/>
          <w:sz w:val="32"/>
          <w:szCs w:val="32"/>
          <w:u w:val="single"/>
        </w:rPr>
        <w:t>:</w:t>
      </w:r>
    </w:p>
    <w:p w14:paraId="0E01C112" w14:textId="39392787"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Beauchamp, T.L. and Childress, J.F. (2019</w:t>
      </w:r>
      <w:r w:rsidRPr="001B4477">
        <w:rPr>
          <w:rFonts w:ascii="Arial" w:hAnsi="Arial" w:cs="Arial"/>
          <w:i/>
          <w:iCs/>
          <w:sz w:val="22"/>
          <w:szCs w:val="22"/>
        </w:rPr>
        <w:t>) Principles of Biomedical Ethics</w:t>
      </w:r>
      <w:r w:rsidRPr="00715CC8">
        <w:rPr>
          <w:rFonts w:ascii="Arial" w:hAnsi="Arial" w:cs="Arial"/>
          <w:sz w:val="22"/>
          <w:szCs w:val="22"/>
        </w:rPr>
        <w:t xml:space="preserve">. 8th </w:t>
      </w:r>
      <w:proofErr w:type="spellStart"/>
      <w:r w:rsidRPr="00715CC8">
        <w:rPr>
          <w:rFonts w:ascii="Arial" w:hAnsi="Arial" w:cs="Arial"/>
          <w:sz w:val="22"/>
          <w:szCs w:val="22"/>
        </w:rPr>
        <w:t>edn</w:t>
      </w:r>
      <w:proofErr w:type="spellEnd"/>
      <w:r w:rsidRPr="00715CC8">
        <w:rPr>
          <w:rFonts w:ascii="Arial" w:hAnsi="Arial" w:cs="Arial"/>
          <w:sz w:val="22"/>
          <w:szCs w:val="22"/>
        </w:rPr>
        <w:t xml:space="preserve">. New York: Oxford University Press. Available at: https://www.oup.com.au/books/higher-education/health-nursing-social-work/9780190640873 (Accessed: </w:t>
      </w:r>
      <w:r w:rsidR="0041427C" w:rsidRPr="00715CC8">
        <w:rPr>
          <w:rFonts w:ascii="Arial" w:hAnsi="Arial" w:cs="Arial"/>
          <w:sz w:val="22"/>
          <w:szCs w:val="22"/>
        </w:rPr>
        <w:t>16</w:t>
      </w:r>
      <w:r w:rsidRPr="00715CC8">
        <w:rPr>
          <w:rFonts w:ascii="Arial" w:hAnsi="Arial" w:cs="Arial"/>
          <w:sz w:val="22"/>
          <w:szCs w:val="22"/>
        </w:rPr>
        <w:t xml:space="preserve"> October 2026).</w:t>
      </w:r>
    </w:p>
    <w:p w14:paraId="7458779F" w14:textId="33695E3B" w:rsidR="00903297" w:rsidRPr="00715CC8" w:rsidRDefault="0041427C" w:rsidP="00715CC8">
      <w:pPr>
        <w:spacing w:line="360" w:lineRule="auto"/>
        <w:ind w:left="720" w:hanging="720"/>
        <w:rPr>
          <w:rFonts w:ascii="Arial" w:hAnsi="Arial" w:cs="Arial"/>
          <w:sz w:val="22"/>
          <w:szCs w:val="22"/>
        </w:rPr>
      </w:pPr>
      <w:r w:rsidRPr="00715CC8">
        <w:rPr>
          <w:rFonts w:ascii="Arial" w:hAnsi="Arial" w:cs="Arial"/>
          <w:sz w:val="22"/>
          <w:szCs w:val="22"/>
        </w:rPr>
        <w:t xml:space="preserve">Bridgman, T., Cummings, S. and Ballard, J. (2019) ‘Who built Maslow’s pyramid? A history of the creation of management studies’ most famous symbol and its implications for management education’, </w:t>
      </w:r>
      <w:r w:rsidRPr="001B4477">
        <w:rPr>
          <w:rFonts w:ascii="Arial" w:hAnsi="Arial" w:cs="Arial"/>
          <w:i/>
          <w:iCs/>
          <w:sz w:val="22"/>
          <w:szCs w:val="22"/>
        </w:rPr>
        <w:t>Academy of Management Learning &amp; Education</w:t>
      </w:r>
      <w:r w:rsidRPr="00715CC8">
        <w:rPr>
          <w:rFonts w:ascii="Arial" w:hAnsi="Arial" w:cs="Arial"/>
          <w:sz w:val="22"/>
          <w:szCs w:val="22"/>
        </w:rPr>
        <w:t>, 18(1), pp. 81–98. Available at: https://openaccess.wgtn.ac.nz/articles/journal_contribution/12735929 (Accessed: 18 October 2026).</w:t>
      </w:r>
    </w:p>
    <w:p w14:paraId="623A7FA2" w14:textId="293981F0"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 xml:space="preserve">Bronfenbrenner, U. (1979) </w:t>
      </w:r>
      <w:r w:rsidRPr="001B4477">
        <w:rPr>
          <w:rFonts w:ascii="Arial" w:hAnsi="Arial" w:cs="Arial"/>
          <w:i/>
          <w:iCs/>
          <w:sz w:val="22"/>
          <w:szCs w:val="22"/>
        </w:rPr>
        <w:t>The Ecology of Human Development: Experiments by Nature and</w:t>
      </w:r>
      <w:r w:rsidRPr="00715CC8">
        <w:rPr>
          <w:rFonts w:ascii="Arial" w:hAnsi="Arial" w:cs="Arial"/>
          <w:sz w:val="22"/>
          <w:szCs w:val="22"/>
        </w:rPr>
        <w:t xml:space="preserve"> </w:t>
      </w:r>
      <w:r w:rsidRPr="001B4477">
        <w:rPr>
          <w:rFonts w:ascii="Arial" w:hAnsi="Arial" w:cs="Arial"/>
          <w:i/>
          <w:iCs/>
          <w:sz w:val="22"/>
          <w:szCs w:val="22"/>
        </w:rPr>
        <w:t>Design</w:t>
      </w:r>
      <w:r w:rsidRPr="00715CC8">
        <w:rPr>
          <w:rFonts w:ascii="Arial" w:hAnsi="Arial" w:cs="Arial"/>
          <w:sz w:val="22"/>
          <w:szCs w:val="22"/>
        </w:rPr>
        <w:t xml:space="preserve">. Cambridge, MA: Harvard University Press. Available at: https://doi.org/10.4159/9780674028845 (Accessed: </w:t>
      </w:r>
      <w:r w:rsidR="0041427C" w:rsidRPr="00715CC8">
        <w:rPr>
          <w:rFonts w:ascii="Arial" w:hAnsi="Arial" w:cs="Arial"/>
          <w:sz w:val="22"/>
          <w:szCs w:val="22"/>
        </w:rPr>
        <w:t>18</w:t>
      </w:r>
      <w:r w:rsidRPr="00715CC8">
        <w:rPr>
          <w:rFonts w:ascii="Arial" w:hAnsi="Arial" w:cs="Arial"/>
          <w:sz w:val="22"/>
          <w:szCs w:val="22"/>
        </w:rPr>
        <w:t xml:space="preserve"> October 2026).</w:t>
      </w:r>
    </w:p>
    <w:p w14:paraId="0C4E0C58" w14:textId="1FF5869A"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 xml:space="preserve">Cameron, A., Lart, R., Bostock, L. and Coomber, C. (2014) ‘Factors that promote and hinder joint and integrated working between health and social care services: a review of research literature’, </w:t>
      </w:r>
      <w:r w:rsidRPr="001B4477">
        <w:rPr>
          <w:rFonts w:ascii="Arial" w:hAnsi="Arial" w:cs="Arial"/>
          <w:i/>
          <w:iCs/>
          <w:sz w:val="22"/>
          <w:szCs w:val="22"/>
        </w:rPr>
        <w:t>Health &amp; Social Care in the Community</w:t>
      </w:r>
      <w:r w:rsidRPr="00715CC8">
        <w:rPr>
          <w:rFonts w:ascii="Arial" w:hAnsi="Arial" w:cs="Arial"/>
          <w:sz w:val="22"/>
          <w:szCs w:val="22"/>
        </w:rPr>
        <w:t>, 22(3), pp. 225–233. Available at: https://doi.org/10.1111/hsc.12057 (Accessed: 20 October 2026).</w:t>
      </w:r>
    </w:p>
    <w:p w14:paraId="07C2456F" w14:textId="358A9150" w:rsidR="00903297" w:rsidRPr="00715CC8" w:rsidRDefault="00903297" w:rsidP="00715CC8">
      <w:pPr>
        <w:spacing w:line="360" w:lineRule="auto"/>
        <w:ind w:left="720" w:hanging="720"/>
        <w:rPr>
          <w:rFonts w:ascii="Arial" w:hAnsi="Arial" w:cs="Arial"/>
          <w:sz w:val="22"/>
          <w:szCs w:val="22"/>
        </w:rPr>
      </w:pPr>
      <w:r w:rsidRPr="001B4477">
        <w:rPr>
          <w:rFonts w:ascii="Arial" w:hAnsi="Arial" w:cs="Arial"/>
          <w:i/>
          <w:iCs/>
          <w:sz w:val="22"/>
          <w:szCs w:val="22"/>
        </w:rPr>
        <w:t>Care Act 2014</w:t>
      </w:r>
      <w:r w:rsidRPr="00715CC8">
        <w:rPr>
          <w:rFonts w:ascii="Arial" w:hAnsi="Arial" w:cs="Arial"/>
          <w:sz w:val="22"/>
          <w:szCs w:val="22"/>
        </w:rPr>
        <w:t xml:space="preserve">, c. 23. Available at: https://www.legislation.gov.uk/ukpga/2014/23/contents (Accessed: </w:t>
      </w:r>
      <w:r w:rsidR="0041427C" w:rsidRPr="00715CC8">
        <w:rPr>
          <w:rFonts w:ascii="Arial" w:hAnsi="Arial" w:cs="Arial"/>
          <w:sz w:val="22"/>
          <w:szCs w:val="22"/>
        </w:rPr>
        <w:t xml:space="preserve">19 </w:t>
      </w:r>
      <w:r w:rsidRPr="00715CC8">
        <w:rPr>
          <w:rFonts w:ascii="Arial" w:hAnsi="Arial" w:cs="Arial"/>
          <w:sz w:val="22"/>
          <w:szCs w:val="22"/>
        </w:rPr>
        <w:t>October 2026).</w:t>
      </w:r>
    </w:p>
    <w:p w14:paraId="4F9CD020" w14:textId="48CE8329"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 xml:space="preserve">Care Quality Commission (CQC) (2024) </w:t>
      </w:r>
      <w:r w:rsidRPr="001B4477">
        <w:rPr>
          <w:rFonts w:ascii="Arial" w:hAnsi="Arial" w:cs="Arial"/>
          <w:i/>
          <w:iCs/>
          <w:sz w:val="22"/>
          <w:szCs w:val="22"/>
        </w:rPr>
        <w:t>Person-centred care</w:t>
      </w:r>
      <w:r w:rsidRPr="00715CC8">
        <w:rPr>
          <w:rFonts w:ascii="Arial" w:hAnsi="Arial" w:cs="Arial"/>
          <w:sz w:val="22"/>
          <w:szCs w:val="22"/>
        </w:rPr>
        <w:t>. Available at: https://www.cqc.org.uk/guidance-regulation/providers/assessment/single-assessment-framework/responsive/person-centred-care (Accessed: 20 October 2026).</w:t>
      </w:r>
    </w:p>
    <w:p w14:paraId="0897D22E" w14:textId="5B178CED" w:rsidR="00903297" w:rsidRPr="00715CC8" w:rsidRDefault="00903297" w:rsidP="00BF674E">
      <w:pPr>
        <w:spacing w:line="360" w:lineRule="auto"/>
        <w:ind w:left="720" w:hanging="720"/>
        <w:rPr>
          <w:rFonts w:ascii="Arial" w:hAnsi="Arial" w:cs="Arial"/>
          <w:sz w:val="22"/>
          <w:szCs w:val="22"/>
        </w:rPr>
      </w:pPr>
      <w:r w:rsidRPr="00715CC8">
        <w:rPr>
          <w:rFonts w:ascii="Arial" w:hAnsi="Arial" w:cs="Arial"/>
          <w:sz w:val="22"/>
          <w:szCs w:val="22"/>
        </w:rPr>
        <w:t xml:space="preserve">Gibbs, G. (1988) </w:t>
      </w:r>
      <w:r w:rsidRPr="001B4477">
        <w:rPr>
          <w:rFonts w:ascii="Arial" w:hAnsi="Arial" w:cs="Arial"/>
          <w:i/>
          <w:iCs/>
          <w:sz w:val="22"/>
          <w:szCs w:val="22"/>
        </w:rPr>
        <w:t>Learning by Doing: A Guide to Teaching and Learning Methods</w:t>
      </w:r>
      <w:r w:rsidRPr="00715CC8">
        <w:rPr>
          <w:rFonts w:ascii="Arial" w:hAnsi="Arial" w:cs="Arial"/>
          <w:sz w:val="22"/>
          <w:szCs w:val="22"/>
        </w:rPr>
        <w:t xml:space="preserve">. London: Further Education Unit. Available at: https://books.google.com/books/about/Learning_by_Doing.html?id=z2CxAAAACAAJ (Accessed: </w:t>
      </w:r>
      <w:r w:rsidR="0041427C" w:rsidRPr="00715CC8">
        <w:rPr>
          <w:rFonts w:ascii="Arial" w:hAnsi="Arial" w:cs="Arial"/>
          <w:sz w:val="22"/>
          <w:szCs w:val="22"/>
        </w:rPr>
        <w:t>18</w:t>
      </w:r>
      <w:r w:rsidRPr="00715CC8">
        <w:rPr>
          <w:rFonts w:ascii="Arial" w:hAnsi="Arial" w:cs="Arial"/>
          <w:sz w:val="22"/>
          <w:szCs w:val="22"/>
        </w:rPr>
        <w:t xml:space="preserve"> October 2026).</w:t>
      </w:r>
    </w:p>
    <w:p w14:paraId="5CA9E0FD" w14:textId="3EC5E427"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Maslow, A.H. (1943) ‘</w:t>
      </w:r>
      <w:r w:rsidRPr="001B4477">
        <w:rPr>
          <w:rFonts w:ascii="Arial" w:hAnsi="Arial" w:cs="Arial"/>
          <w:i/>
          <w:iCs/>
          <w:sz w:val="22"/>
          <w:szCs w:val="22"/>
        </w:rPr>
        <w:t>A theory of human motivation’</w:t>
      </w:r>
      <w:r w:rsidRPr="00715CC8">
        <w:rPr>
          <w:rFonts w:ascii="Arial" w:hAnsi="Arial" w:cs="Arial"/>
          <w:sz w:val="22"/>
          <w:szCs w:val="22"/>
        </w:rPr>
        <w:t xml:space="preserve">, Psychological Review, 50(4), pp. 370–396. Available at: https://doi.org/10.1037/h0054346 (Accessed: </w:t>
      </w:r>
      <w:r w:rsidR="0041427C" w:rsidRPr="00715CC8">
        <w:rPr>
          <w:rFonts w:ascii="Arial" w:hAnsi="Arial" w:cs="Arial"/>
          <w:sz w:val="22"/>
          <w:szCs w:val="22"/>
        </w:rPr>
        <w:t>16</w:t>
      </w:r>
      <w:r w:rsidRPr="00715CC8">
        <w:rPr>
          <w:rFonts w:ascii="Arial" w:hAnsi="Arial" w:cs="Arial"/>
          <w:sz w:val="22"/>
          <w:szCs w:val="22"/>
        </w:rPr>
        <w:t xml:space="preserve"> October 2026).</w:t>
      </w:r>
    </w:p>
    <w:p w14:paraId="5283C074" w14:textId="2EEFC0D8" w:rsidR="00903297" w:rsidRPr="00715CC8" w:rsidRDefault="00903297" w:rsidP="00715CC8">
      <w:pPr>
        <w:spacing w:line="360" w:lineRule="auto"/>
        <w:ind w:left="720" w:hanging="720"/>
        <w:rPr>
          <w:rFonts w:ascii="Arial" w:hAnsi="Arial" w:cs="Arial"/>
          <w:sz w:val="22"/>
          <w:szCs w:val="22"/>
        </w:rPr>
      </w:pPr>
      <w:r w:rsidRPr="001B4477">
        <w:rPr>
          <w:rFonts w:ascii="Arial" w:hAnsi="Arial" w:cs="Arial"/>
          <w:i/>
          <w:iCs/>
          <w:sz w:val="22"/>
          <w:szCs w:val="22"/>
        </w:rPr>
        <w:t>Mental Capacity Act 2005</w:t>
      </w:r>
      <w:r w:rsidRPr="00715CC8">
        <w:rPr>
          <w:rFonts w:ascii="Arial" w:hAnsi="Arial" w:cs="Arial"/>
          <w:sz w:val="22"/>
          <w:szCs w:val="22"/>
        </w:rPr>
        <w:t xml:space="preserve">, c. 9. Available at: https://www.legislation.gov.uk/ukpga/2005/9/contents (Accessed: </w:t>
      </w:r>
      <w:r w:rsidR="0041427C" w:rsidRPr="00715CC8">
        <w:rPr>
          <w:rFonts w:ascii="Arial" w:hAnsi="Arial" w:cs="Arial"/>
          <w:sz w:val="22"/>
          <w:szCs w:val="22"/>
        </w:rPr>
        <w:t>18</w:t>
      </w:r>
      <w:r w:rsidRPr="00715CC8">
        <w:rPr>
          <w:rFonts w:ascii="Arial" w:hAnsi="Arial" w:cs="Arial"/>
          <w:sz w:val="22"/>
          <w:szCs w:val="22"/>
        </w:rPr>
        <w:t xml:space="preserve"> October 2026).</w:t>
      </w:r>
    </w:p>
    <w:p w14:paraId="425AC440" w14:textId="4A3D5B98"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lastRenderedPageBreak/>
        <w:t xml:space="preserve">National Institute for Health and Care Excellence (NICE) (2021) </w:t>
      </w:r>
      <w:r w:rsidRPr="001B4477">
        <w:rPr>
          <w:rFonts w:ascii="Arial" w:hAnsi="Arial" w:cs="Arial"/>
          <w:i/>
          <w:iCs/>
          <w:sz w:val="22"/>
          <w:szCs w:val="22"/>
        </w:rPr>
        <w:t>Shared decision making</w:t>
      </w:r>
      <w:r w:rsidRPr="00715CC8">
        <w:rPr>
          <w:rFonts w:ascii="Arial" w:hAnsi="Arial" w:cs="Arial"/>
          <w:sz w:val="22"/>
          <w:szCs w:val="22"/>
        </w:rPr>
        <w:t xml:space="preserve">. NICE guideline NG197. Available at: https://www.nice.org.uk/guidance/ng197 (Accessed: </w:t>
      </w:r>
      <w:r w:rsidR="0041427C" w:rsidRPr="00715CC8">
        <w:rPr>
          <w:rFonts w:ascii="Arial" w:hAnsi="Arial" w:cs="Arial"/>
          <w:sz w:val="22"/>
          <w:szCs w:val="22"/>
        </w:rPr>
        <w:t>18</w:t>
      </w:r>
      <w:r w:rsidRPr="00715CC8">
        <w:rPr>
          <w:rFonts w:ascii="Arial" w:hAnsi="Arial" w:cs="Arial"/>
          <w:sz w:val="22"/>
          <w:szCs w:val="22"/>
        </w:rPr>
        <w:t xml:space="preserve"> October 2026).</w:t>
      </w:r>
    </w:p>
    <w:p w14:paraId="1D5747A7" w14:textId="649F3190"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 xml:space="preserve">NHS England (n.d.) </w:t>
      </w:r>
      <w:r w:rsidRPr="001B4477">
        <w:rPr>
          <w:rFonts w:ascii="Arial" w:hAnsi="Arial" w:cs="Arial"/>
          <w:i/>
          <w:iCs/>
          <w:sz w:val="22"/>
          <w:szCs w:val="22"/>
        </w:rPr>
        <w:t>Robyn’s story</w:t>
      </w:r>
      <w:r w:rsidRPr="00715CC8">
        <w:rPr>
          <w:rFonts w:ascii="Arial" w:hAnsi="Arial" w:cs="Arial"/>
          <w:sz w:val="22"/>
          <w:szCs w:val="22"/>
        </w:rPr>
        <w:t>. Available at: https://www.england.nhs.uk/personalisedcare/comprehensive-model/case-studies/robyns-story/ (Accessed: 20 October 2026).</w:t>
      </w:r>
    </w:p>
    <w:p w14:paraId="05F54FDB" w14:textId="462DC303"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 xml:space="preserve">Nursing and Midwifery Council (NMC) (2018) </w:t>
      </w:r>
      <w:r w:rsidRPr="001B4477">
        <w:rPr>
          <w:rFonts w:ascii="Arial" w:hAnsi="Arial" w:cs="Arial"/>
          <w:i/>
          <w:iCs/>
          <w:sz w:val="22"/>
          <w:szCs w:val="22"/>
        </w:rPr>
        <w:t>The Code: Professional standards of practice</w:t>
      </w:r>
      <w:r w:rsidRPr="00715CC8">
        <w:rPr>
          <w:rFonts w:ascii="Arial" w:hAnsi="Arial" w:cs="Arial"/>
          <w:sz w:val="22"/>
          <w:szCs w:val="22"/>
        </w:rPr>
        <w:t xml:space="preserve"> </w:t>
      </w:r>
      <w:r w:rsidRPr="001B4477">
        <w:rPr>
          <w:rFonts w:ascii="Arial" w:hAnsi="Arial" w:cs="Arial"/>
          <w:i/>
          <w:iCs/>
          <w:sz w:val="22"/>
          <w:szCs w:val="22"/>
        </w:rPr>
        <w:t>and behaviour for nurses, midwives and nursing associates</w:t>
      </w:r>
      <w:r w:rsidRPr="00715CC8">
        <w:rPr>
          <w:rFonts w:ascii="Arial" w:hAnsi="Arial" w:cs="Arial"/>
          <w:sz w:val="22"/>
          <w:szCs w:val="22"/>
        </w:rPr>
        <w:t xml:space="preserve">. Available at: https://www.nmc.org.uk/standards/code/ (Accessed: </w:t>
      </w:r>
      <w:r w:rsidR="0041427C" w:rsidRPr="00715CC8">
        <w:rPr>
          <w:rFonts w:ascii="Arial" w:hAnsi="Arial" w:cs="Arial"/>
          <w:sz w:val="22"/>
          <w:szCs w:val="22"/>
        </w:rPr>
        <w:t>18</w:t>
      </w:r>
      <w:r w:rsidRPr="00715CC8">
        <w:rPr>
          <w:rFonts w:ascii="Arial" w:hAnsi="Arial" w:cs="Arial"/>
          <w:sz w:val="22"/>
          <w:szCs w:val="22"/>
        </w:rPr>
        <w:t xml:space="preserve"> October 2026).</w:t>
      </w:r>
    </w:p>
    <w:p w14:paraId="300341BB" w14:textId="1A1C30EC" w:rsidR="00903297" w:rsidRPr="00715CC8" w:rsidRDefault="00903297" w:rsidP="00715CC8">
      <w:pPr>
        <w:spacing w:line="360" w:lineRule="auto"/>
        <w:ind w:left="720" w:hanging="720"/>
        <w:rPr>
          <w:rFonts w:ascii="Arial" w:hAnsi="Arial" w:cs="Arial"/>
          <w:sz w:val="22"/>
          <w:szCs w:val="22"/>
        </w:rPr>
      </w:pPr>
      <w:r w:rsidRPr="00715CC8">
        <w:rPr>
          <w:rFonts w:ascii="Arial" w:hAnsi="Arial" w:cs="Arial"/>
          <w:sz w:val="22"/>
          <w:szCs w:val="22"/>
        </w:rPr>
        <w:t xml:space="preserve">Skills for Care and Skills for Health (2013) </w:t>
      </w:r>
      <w:r w:rsidRPr="001B4477">
        <w:rPr>
          <w:rFonts w:ascii="Arial" w:hAnsi="Arial" w:cs="Arial"/>
          <w:i/>
          <w:iCs/>
          <w:sz w:val="22"/>
          <w:szCs w:val="22"/>
        </w:rPr>
        <w:t>Code of Conduct for Healthcare Support Workers</w:t>
      </w:r>
      <w:r w:rsidRPr="00715CC8">
        <w:rPr>
          <w:rFonts w:ascii="Arial" w:hAnsi="Arial" w:cs="Arial"/>
          <w:sz w:val="22"/>
          <w:szCs w:val="22"/>
        </w:rPr>
        <w:t xml:space="preserve"> </w:t>
      </w:r>
      <w:r w:rsidRPr="001B4477">
        <w:rPr>
          <w:rFonts w:ascii="Arial" w:hAnsi="Arial" w:cs="Arial"/>
          <w:i/>
          <w:iCs/>
          <w:sz w:val="22"/>
          <w:szCs w:val="22"/>
        </w:rPr>
        <w:t>and Adult Social Care Workers in England</w:t>
      </w:r>
      <w:r w:rsidRPr="00715CC8">
        <w:rPr>
          <w:rFonts w:ascii="Arial" w:hAnsi="Arial" w:cs="Arial"/>
          <w:sz w:val="22"/>
          <w:szCs w:val="22"/>
        </w:rPr>
        <w:t xml:space="preserve">. Available at: https://www.skillsforcare.org.uk/Support-for-leaders-and-managers/Managing-people/Code-of-Conduct.aspx (Accessed: </w:t>
      </w:r>
      <w:r w:rsidR="0041427C" w:rsidRPr="00715CC8">
        <w:rPr>
          <w:rFonts w:ascii="Arial" w:hAnsi="Arial" w:cs="Arial"/>
          <w:sz w:val="22"/>
          <w:szCs w:val="22"/>
        </w:rPr>
        <w:t>16</w:t>
      </w:r>
      <w:r w:rsidRPr="00715CC8">
        <w:rPr>
          <w:rFonts w:ascii="Arial" w:hAnsi="Arial" w:cs="Arial"/>
          <w:sz w:val="22"/>
          <w:szCs w:val="22"/>
        </w:rPr>
        <w:t xml:space="preserve"> October 2026).</w:t>
      </w:r>
    </w:p>
    <w:sectPr w:rsidR="00903297" w:rsidRPr="00715CC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C0D74" w14:textId="77777777" w:rsidR="004E60FD" w:rsidRDefault="004E60FD" w:rsidP="0041427C">
      <w:pPr>
        <w:spacing w:after="0" w:line="240" w:lineRule="auto"/>
      </w:pPr>
      <w:r>
        <w:separator/>
      </w:r>
    </w:p>
  </w:endnote>
  <w:endnote w:type="continuationSeparator" w:id="0">
    <w:p w14:paraId="309180C0" w14:textId="77777777" w:rsidR="004E60FD" w:rsidRDefault="004E60FD" w:rsidP="00414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2809649"/>
      <w:docPartObj>
        <w:docPartGallery w:val="Page Numbers (Bottom of Page)"/>
        <w:docPartUnique/>
      </w:docPartObj>
    </w:sdtPr>
    <w:sdtEndPr>
      <w:rPr>
        <w:noProof/>
      </w:rPr>
    </w:sdtEndPr>
    <w:sdtContent>
      <w:p w14:paraId="4A08985C" w14:textId="4ADBD4C4" w:rsidR="0041427C" w:rsidRDefault="004142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CFF2A8" w14:textId="77777777" w:rsidR="0041427C" w:rsidRDefault="00414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DAD52" w14:textId="77777777" w:rsidR="004E60FD" w:rsidRDefault="004E60FD" w:rsidP="0041427C">
      <w:pPr>
        <w:spacing w:after="0" w:line="240" w:lineRule="auto"/>
      </w:pPr>
      <w:r>
        <w:separator/>
      </w:r>
    </w:p>
  </w:footnote>
  <w:footnote w:type="continuationSeparator" w:id="0">
    <w:p w14:paraId="6720ABBD" w14:textId="77777777" w:rsidR="004E60FD" w:rsidRDefault="004E60FD" w:rsidP="004142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297"/>
    <w:rsid w:val="00021093"/>
    <w:rsid w:val="00026300"/>
    <w:rsid w:val="0006772B"/>
    <w:rsid w:val="001038E7"/>
    <w:rsid w:val="001363DE"/>
    <w:rsid w:val="00140E66"/>
    <w:rsid w:val="001903F5"/>
    <w:rsid w:val="001B4477"/>
    <w:rsid w:val="002A003F"/>
    <w:rsid w:val="002B7977"/>
    <w:rsid w:val="002E4875"/>
    <w:rsid w:val="0041427C"/>
    <w:rsid w:val="004E416C"/>
    <w:rsid w:val="004E60FD"/>
    <w:rsid w:val="00514523"/>
    <w:rsid w:val="00533FF7"/>
    <w:rsid w:val="00581C89"/>
    <w:rsid w:val="00655CDB"/>
    <w:rsid w:val="006902A1"/>
    <w:rsid w:val="00715CC8"/>
    <w:rsid w:val="00807A35"/>
    <w:rsid w:val="0084476A"/>
    <w:rsid w:val="008D7ACC"/>
    <w:rsid w:val="00903297"/>
    <w:rsid w:val="00922F62"/>
    <w:rsid w:val="00B03526"/>
    <w:rsid w:val="00B64C7C"/>
    <w:rsid w:val="00BF674E"/>
    <w:rsid w:val="00C325E9"/>
    <w:rsid w:val="00CF51F9"/>
    <w:rsid w:val="00D66EE1"/>
    <w:rsid w:val="00DA2F4B"/>
    <w:rsid w:val="00E53F8C"/>
    <w:rsid w:val="00EB60A4"/>
    <w:rsid w:val="00F15E2E"/>
    <w:rsid w:val="00F90921"/>
    <w:rsid w:val="00FF3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6C410"/>
  <w15:chartTrackingRefBased/>
  <w15:docId w15:val="{9BCE1890-51DA-9748-A7CC-AAFE9C0A4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2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2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2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2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2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2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2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2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2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2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2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2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2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2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2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2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2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297"/>
    <w:rPr>
      <w:rFonts w:eastAsiaTheme="majorEastAsia" w:cstheme="majorBidi"/>
      <w:color w:val="272727" w:themeColor="text1" w:themeTint="D8"/>
    </w:rPr>
  </w:style>
  <w:style w:type="paragraph" w:styleId="Title">
    <w:name w:val="Title"/>
    <w:basedOn w:val="Normal"/>
    <w:next w:val="Normal"/>
    <w:link w:val="TitleChar"/>
    <w:uiPriority w:val="10"/>
    <w:qFormat/>
    <w:rsid w:val="009032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2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2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2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297"/>
    <w:pPr>
      <w:spacing w:before="160"/>
      <w:jc w:val="center"/>
    </w:pPr>
    <w:rPr>
      <w:i/>
      <w:iCs/>
      <w:color w:val="404040" w:themeColor="text1" w:themeTint="BF"/>
    </w:rPr>
  </w:style>
  <w:style w:type="character" w:customStyle="1" w:styleId="QuoteChar">
    <w:name w:val="Quote Char"/>
    <w:basedOn w:val="DefaultParagraphFont"/>
    <w:link w:val="Quote"/>
    <w:uiPriority w:val="29"/>
    <w:rsid w:val="00903297"/>
    <w:rPr>
      <w:i/>
      <w:iCs/>
      <w:color w:val="404040" w:themeColor="text1" w:themeTint="BF"/>
    </w:rPr>
  </w:style>
  <w:style w:type="paragraph" w:styleId="ListParagraph">
    <w:name w:val="List Paragraph"/>
    <w:basedOn w:val="Normal"/>
    <w:uiPriority w:val="34"/>
    <w:qFormat/>
    <w:rsid w:val="00903297"/>
    <w:pPr>
      <w:ind w:left="720"/>
      <w:contextualSpacing/>
    </w:pPr>
  </w:style>
  <w:style w:type="character" w:styleId="IntenseEmphasis">
    <w:name w:val="Intense Emphasis"/>
    <w:basedOn w:val="DefaultParagraphFont"/>
    <w:uiPriority w:val="21"/>
    <w:qFormat/>
    <w:rsid w:val="00903297"/>
    <w:rPr>
      <w:i/>
      <w:iCs/>
      <w:color w:val="0F4761" w:themeColor="accent1" w:themeShade="BF"/>
    </w:rPr>
  </w:style>
  <w:style w:type="paragraph" w:styleId="IntenseQuote">
    <w:name w:val="Intense Quote"/>
    <w:basedOn w:val="Normal"/>
    <w:next w:val="Normal"/>
    <w:link w:val="IntenseQuoteChar"/>
    <w:uiPriority w:val="30"/>
    <w:qFormat/>
    <w:rsid w:val="009032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297"/>
    <w:rPr>
      <w:i/>
      <w:iCs/>
      <w:color w:val="0F4761" w:themeColor="accent1" w:themeShade="BF"/>
    </w:rPr>
  </w:style>
  <w:style w:type="character" w:styleId="IntenseReference">
    <w:name w:val="Intense Reference"/>
    <w:basedOn w:val="DefaultParagraphFont"/>
    <w:uiPriority w:val="32"/>
    <w:qFormat/>
    <w:rsid w:val="00903297"/>
    <w:rPr>
      <w:b/>
      <w:bCs/>
      <w:smallCaps/>
      <w:color w:val="0F4761" w:themeColor="accent1" w:themeShade="BF"/>
      <w:spacing w:val="5"/>
    </w:rPr>
  </w:style>
  <w:style w:type="paragraph" w:styleId="Header">
    <w:name w:val="header"/>
    <w:basedOn w:val="Normal"/>
    <w:link w:val="HeaderChar"/>
    <w:uiPriority w:val="99"/>
    <w:unhideWhenUsed/>
    <w:rsid w:val="00414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27C"/>
  </w:style>
  <w:style w:type="paragraph" w:styleId="Footer">
    <w:name w:val="footer"/>
    <w:basedOn w:val="Normal"/>
    <w:link w:val="FooterChar"/>
    <w:uiPriority w:val="99"/>
    <w:unhideWhenUsed/>
    <w:rsid w:val="00414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27C"/>
  </w:style>
  <w:style w:type="paragraph" w:styleId="TOCHeading">
    <w:name w:val="TOC Heading"/>
    <w:basedOn w:val="Heading1"/>
    <w:next w:val="Normal"/>
    <w:uiPriority w:val="39"/>
    <w:unhideWhenUsed/>
    <w:qFormat/>
    <w:rsid w:val="00581C8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81C89"/>
    <w:pPr>
      <w:spacing w:after="100"/>
    </w:pPr>
  </w:style>
  <w:style w:type="character" w:styleId="Hyperlink">
    <w:name w:val="Hyperlink"/>
    <w:basedOn w:val="DefaultParagraphFont"/>
    <w:uiPriority w:val="99"/>
    <w:unhideWhenUsed/>
    <w:rsid w:val="00581C8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6FD1-3299-4011-964A-1C7492CCD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Pages>
  <Words>2702</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38</cp:revision>
  <dcterms:created xsi:type="dcterms:W3CDTF">2026-10-21T20:08:00Z</dcterms:created>
  <dcterms:modified xsi:type="dcterms:W3CDTF">2026-10-23T15:22:00Z</dcterms:modified>
</cp:coreProperties>
</file>