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01798A6" wp14:paraId="30612103" wp14:textId="31F8146B">
      <w:pPr>
        <w:pStyle w:val="Normal"/>
        <w:tabs>
          <w:tab w:val="left" w:leader="none" w:pos="720"/>
        </w:tabs>
        <w:spacing w:before="0" w:beforeAutospacing="off" w:after="0" w:afterAutospacing="off"/>
        <w:jc w:val="right"/>
        <w:rPr>
          <w:rFonts w:ascii="Arial" w:hAnsi="Arial" w:eastAsia="Arial" w:cs="Arial"/>
          <w:noProof w:val="0"/>
          <w:sz w:val="20"/>
          <w:szCs w:val="20"/>
          <w:lang w:val="en-US"/>
        </w:rPr>
      </w:pPr>
      <w:r w:rsidR="601798A6">
        <w:drawing>
          <wp:anchor xmlns:wp14="http://schemas.microsoft.com/office/word/2010/wordprocessingDrawing" distT="0" distB="0" distL="114300" distR="114300" simplePos="0" relativeHeight="251658240" behindDoc="1" locked="0" layoutInCell="1" allowOverlap="1" wp14:editId="79A6241C" wp14:anchorId="2C77130C">
            <wp:simplePos x="0" y="0"/>
            <wp:positionH relativeFrom="column">
              <wp:align>left</wp:align>
            </wp:positionH>
            <wp:positionV relativeFrom="paragraph">
              <wp:posOffset>0</wp:posOffset>
            </wp:positionV>
            <wp:extent cx="1810669" cy="725487"/>
            <wp:effectExtent l="0" t="0" r="0" b="0"/>
            <wp:wrapNone/>
            <wp:docPr id="68344426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3444267" name="Picture 683444267"/>
                    <pic:cNvPicPr/>
                  </pic:nvPicPr>
                  <pic:blipFill>
                    <a:blip xmlns:r="http://schemas.openxmlformats.org/officeDocument/2006/relationships" r:embed="rId1481464912">
                      <a:extLst>
                        <a:ext uri="{28A0092B-C50C-407E-A947-70E740481C1C}">
                          <a14:useLocalDpi xmlns:a14="http://schemas.microsoft.com/office/drawing/2010/main"/>
                        </a:ext>
                      </a:extLst>
                    </a:blip>
                    <a:stretch>
                      <a:fillRect/>
                    </a:stretch>
                  </pic:blipFill>
                  <pic:spPr>
                    <a:xfrm>
                      <a:off x="0" y="0"/>
                      <a:ext cx="1810669" cy="725487"/>
                    </a:xfrm>
                    <a:prstGeom prst="rect">
                      <a:avLst/>
                    </a:prstGeom>
                  </pic:spPr>
                </pic:pic>
              </a:graphicData>
            </a:graphic>
            <wp14:sizeRelH relativeFrom="page">
              <wp14:pctWidth>0</wp14:pctWidth>
            </wp14:sizeRelH>
            <wp14:sizeRelV relativeFrom="page">
              <wp14:pctHeight>0</wp14:pctHeight>
            </wp14:sizeRelV>
          </wp:anchor>
        </w:drawing>
      </w:r>
      <w:r w:rsidRPr="601798A6" w:rsidR="601798A6">
        <w:rPr>
          <w:rFonts w:ascii="Arial" w:hAnsi="Arial" w:eastAsia="Arial" w:cs="Arial"/>
          <w:noProof w:val="0"/>
          <w:sz w:val="20"/>
          <w:szCs w:val="20"/>
          <w:lang w:val="en-US"/>
        </w:rPr>
        <w:t xml:space="preserve">01 </w:t>
      </w:r>
      <w:r>
        <w:br/>
      </w:r>
    </w:p>
    <w:p xmlns:wp14="http://schemas.microsoft.com/office/word/2010/wordml" w:rsidP="601798A6" wp14:paraId="64EF8D45" wp14:textId="31089782">
      <w:pPr>
        <w:pStyle w:val="Normal"/>
        <w:tabs>
          <w:tab w:val="left" w:leader="none" w:pos="720"/>
        </w:tabs>
        <w:spacing w:before="0" w:beforeAutospacing="off" w:after="0" w:afterAutospacing="off"/>
        <w:jc w:val="right"/>
      </w:pPr>
      <w:r w:rsidRPr="6ABE6469" w:rsidR="601798A6">
        <w:rPr>
          <w:rFonts w:ascii="Arial" w:hAnsi="Arial" w:eastAsia="Arial" w:cs="Arial"/>
          <w:b w:val="1"/>
          <w:bCs w:val="1"/>
          <w:noProof w:val="0"/>
          <w:sz w:val="28"/>
          <w:szCs w:val="28"/>
          <w:lang w:val="en-US"/>
        </w:rPr>
        <w:t>APPENDIX GA36a</w:t>
      </w:r>
    </w:p>
    <w:p xmlns:wp14="http://schemas.microsoft.com/office/word/2010/wordml" w:rsidP="601798A6" wp14:paraId="2A4102CC" wp14:textId="6BB8443C">
      <w:pPr>
        <w:spacing w:before="0" w:beforeAutospacing="off" w:after="0" w:afterAutospacing="off"/>
      </w:pPr>
      <w:r w:rsidRPr="601798A6" w:rsidR="12BF2997">
        <w:rPr>
          <w:rFonts w:ascii="Arial" w:hAnsi="Arial" w:eastAsia="Arial" w:cs="Arial"/>
          <w:noProof w:val="0"/>
          <w:sz w:val="20"/>
          <w:szCs w:val="20"/>
          <w:lang w:val="en-US"/>
        </w:rPr>
        <w:t xml:space="preserve"> </w:t>
      </w:r>
    </w:p>
    <w:tbl>
      <w:tblPr>
        <w:tblStyle w:val="TableNormal"/>
        <w:bidiVisual w:val="0"/>
        <w:tblW w:w="0" w:type="auto"/>
        <w:tblInd w:w="390" w:type="dxa"/>
        <w:tblLook w:val="01E0" w:firstRow="1" w:lastRow="1" w:firstColumn="1" w:lastColumn="1" w:noHBand="0" w:noVBand="0"/>
      </w:tblPr>
      <w:tblGrid>
        <w:gridCol w:w="9922"/>
      </w:tblGrid>
      <w:tr w:rsidR="601798A6" w:rsidTr="601798A6" w14:paraId="01926F64">
        <w:trPr>
          <w:trHeight w:val="300"/>
        </w:trPr>
        <w:tc>
          <w:tcPr>
            <w:tcW w:w="9922" w:type="dxa"/>
            <w:tcBorders>
              <w:top w:val="single" w:sz="8"/>
              <w:left w:val="single" w:sz="8"/>
              <w:bottom w:val="single" w:sz="8"/>
              <w:right w:val="single" w:sz="8"/>
            </w:tcBorders>
            <w:shd w:val="clear" w:color="auto" w:fill="C0C0C0"/>
            <w:tcMar>
              <w:left w:w="108" w:type="dxa"/>
              <w:right w:w="108" w:type="dxa"/>
            </w:tcMar>
            <w:vAlign w:val="top"/>
          </w:tcPr>
          <w:p w:rsidR="601798A6" w:rsidP="601798A6" w:rsidRDefault="601798A6" w14:paraId="74DC0C4C" w14:textId="45F1F383">
            <w:pPr>
              <w:pStyle w:val="Heading4"/>
              <w:spacing w:before="120" w:beforeAutospacing="off" w:after="120" w:afterAutospacing="off"/>
              <w:jc w:val="center"/>
            </w:pPr>
            <w:r w:rsidRPr="601798A6" w:rsidR="601798A6">
              <w:rPr>
                <w:rFonts w:ascii="Arial" w:hAnsi="Arial" w:eastAsia="Arial" w:cs="Arial"/>
                <w:b w:val="1"/>
                <w:bCs w:val="1"/>
                <w:color w:val="000000" w:themeColor="text1" w:themeTint="FF" w:themeShade="FF"/>
                <w:sz w:val="40"/>
                <w:szCs w:val="40"/>
              </w:rPr>
              <w:t xml:space="preserve">LEVEL 4 ASSESSMENT SPECIFICATION </w:t>
            </w:r>
          </w:p>
        </w:tc>
      </w:tr>
    </w:tbl>
    <w:p xmlns:wp14="http://schemas.microsoft.com/office/word/2010/wordml" w:rsidP="601798A6" wp14:paraId="6B2A2A1F" wp14:textId="5121AB1F">
      <w:pPr>
        <w:bidi w:val="0"/>
        <w:spacing w:before="0" w:beforeAutospacing="off" w:after="0" w:afterAutospacing="off"/>
        <w:jc w:val="center"/>
      </w:pPr>
      <w:r w:rsidRPr="601798A6" w:rsidR="12BF2997">
        <w:rPr>
          <w:rFonts w:ascii="Arial" w:hAnsi="Arial" w:eastAsia="Arial" w:cs="Arial"/>
          <w:b w:val="1"/>
          <w:bCs w:val="1"/>
          <w:i w:val="1"/>
          <w:iCs w:val="1"/>
          <w:noProof w:val="0"/>
          <w:sz w:val="32"/>
          <w:szCs w:val="32"/>
          <w:lang w:val="en-US"/>
        </w:rPr>
        <w:t xml:space="preserve"> </w:t>
      </w:r>
    </w:p>
    <w:tbl>
      <w:tblPr>
        <w:tblStyle w:val="TableNormal"/>
        <w:bidiVisual w:val="0"/>
        <w:tblW w:w="0" w:type="auto"/>
        <w:tblInd w:w="390" w:type="dxa"/>
        <w:tblLook w:val="06A0" w:firstRow="1" w:lastRow="0" w:firstColumn="1" w:lastColumn="0" w:noHBand="1" w:noVBand="1"/>
      </w:tblPr>
      <w:tblGrid>
        <w:gridCol w:w="1938"/>
        <w:gridCol w:w="2917"/>
        <w:gridCol w:w="2083"/>
        <w:gridCol w:w="2039"/>
      </w:tblGrid>
      <w:tr w:rsidR="601798A6" w:rsidTr="6A037FDB" w14:paraId="1F317049">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58B6FD6F" w14:textId="66D42CA0">
            <w:pPr>
              <w:bidi w:val="0"/>
              <w:spacing w:before="120" w:beforeAutospacing="off" w:after="120" w:afterAutospacing="off"/>
              <w:jc w:val="both"/>
            </w:pPr>
            <w:r w:rsidRPr="601798A6" w:rsidR="601798A6">
              <w:rPr>
                <w:rFonts w:ascii="Arial" w:hAnsi="Arial" w:eastAsia="Arial" w:cs="Arial"/>
                <w:b w:val="1"/>
                <w:bCs w:val="1"/>
                <w:sz w:val="22"/>
                <w:szCs w:val="22"/>
              </w:rPr>
              <w:t>Student name:</w:t>
            </w:r>
          </w:p>
        </w:tc>
        <w:tc>
          <w:tcPr>
            <w:tcW w:w="2917" w:type="dxa"/>
            <w:tcBorders>
              <w:top w:val="single" w:sz="8"/>
              <w:left w:val="single" w:sz="8"/>
              <w:bottom w:val="single" w:sz="8"/>
              <w:right w:val="single" w:sz="8"/>
            </w:tcBorders>
            <w:tcMar>
              <w:left w:w="108" w:type="dxa"/>
              <w:right w:w="108" w:type="dxa"/>
            </w:tcMar>
            <w:vAlign w:val="top"/>
          </w:tcPr>
          <w:p w:rsidR="601798A6" w:rsidP="601798A6" w:rsidRDefault="601798A6" w14:paraId="71413A8F" w14:noSpellErr="1" w14:textId="19B63829">
            <w:pPr>
              <w:bidi w:val="0"/>
              <w:spacing w:before="120" w:beforeAutospacing="off" w:after="120" w:afterAutospacing="off"/>
              <w:jc w:val="both"/>
              <w:rPr>
                <w:rFonts w:ascii="Arial" w:hAnsi="Arial" w:eastAsia="Arial" w:cs="Arial"/>
                <w:b w:val="1"/>
                <w:bCs w:val="1"/>
                <w:sz w:val="22"/>
                <w:szCs w:val="22"/>
              </w:rPr>
            </w:pPr>
            <w:r w:rsidRPr="6ABE6469" w:rsidR="601798A6">
              <w:rPr>
                <w:rFonts w:ascii="Arial" w:hAnsi="Arial" w:eastAsia="Arial" w:cs="Arial"/>
                <w:b w:val="1"/>
                <w:bCs w:val="1"/>
                <w:sz w:val="22"/>
                <w:szCs w:val="22"/>
              </w:rPr>
              <w:t xml:space="preserve">     </w:t>
            </w:r>
            <w:r w:rsidRPr="6ABE6469" w:rsidR="016FC937">
              <w:rPr>
                <w:rFonts w:ascii="Arial" w:hAnsi="Arial" w:eastAsia="Arial" w:cs="Arial"/>
                <w:b w:val="1"/>
                <w:bCs w:val="1"/>
                <w:sz w:val="22"/>
                <w:szCs w:val="22"/>
              </w:rPr>
              <w:t>Rowan F</w:t>
            </w:r>
            <w:r w:rsidRPr="6ABE6469" w:rsidR="016FC937">
              <w:rPr>
                <w:rFonts w:ascii="Arial" w:hAnsi="Arial" w:eastAsia="Arial" w:cs="Arial"/>
                <w:b w:val="1"/>
                <w:bCs w:val="1"/>
                <w:sz w:val="22"/>
                <w:szCs w:val="22"/>
              </w:rPr>
              <w:t>r</w:t>
            </w:r>
            <w:r w:rsidRPr="6ABE6469" w:rsidR="016FC937">
              <w:rPr>
                <w:rFonts w:ascii="Arial" w:hAnsi="Arial" w:eastAsia="Arial" w:cs="Arial"/>
                <w:b w:val="1"/>
                <w:bCs w:val="1"/>
                <w:sz w:val="22"/>
                <w:szCs w:val="22"/>
              </w:rPr>
              <w:t>a</w:t>
            </w:r>
            <w:r w:rsidRPr="6ABE6469" w:rsidR="016FC937">
              <w:rPr>
                <w:rFonts w:ascii="Arial" w:hAnsi="Arial" w:eastAsia="Arial" w:cs="Arial"/>
                <w:b w:val="1"/>
                <w:bCs w:val="1"/>
                <w:sz w:val="22"/>
                <w:szCs w:val="22"/>
              </w:rPr>
              <w:t>n</w:t>
            </w:r>
            <w:r w:rsidRPr="6ABE6469" w:rsidR="016FC937">
              <w:rPr>
                <w:rFonts w:ascii="Arial" w:hAnsi="Arial" w:eastAsia="Arial" w:cs="Arial"/>
                <w:b w:val="1"/>
                <w:bCs w:val="1"/>
                <w:sz w:val="22"/>
                <w:szCs w:val="22"/>
              </w:rPr>
              <w:t>c</w:t>
            </w:r>
            <w:r w:rsidRPr="6ABE6469" w:rsidR="016FC937">
              <w:rPr>
                <w:rFonts w:ascii="Arial" w:hAnsi="Arial" w:eastAsia="Arial" w:cs="Arial"/>
                <w:b w:val="1"/>
                <w:bCs w:val="1"/>
                <w:sz w:val="22"/>
                <w:szCs w:val="22"/>
              </w:rPr>
              <w:t>i</w:t>
            </w:r>
            <w:r w:rsidRPr="6ABE6469" w:rsidR="016FC937">
              <w:rPr>
                <w:rFonts w:ascii="Arial" w:hAnsi="Arial" w:eastAsia="Arial" w:cs="Arial"/>
                <w:b w:val="1"/>
                <w:bCs w:val="1"/>
                <w:sz w:val="22"/>
                <w:szCs w:val="22"/>
              </w:rPr>
              <w:t>s</w:t>
            </w:r>
            <w:r w:rsidRPr="6ABE6469" w:rsidR="016FC937">
              <w:rPr>
                <w:rFonts w:ascii="Arial" w:hAnsi="Arial" w:eastAsia="Arial" w:cs="Arial"/>
                <w:b w:val="1"/>
                <w:bCs w:val="1"/>
                <w:sz w:val="22"/>
                <w:szCs w:val="22"/>
              </w:rPr>
              <w:t>-</w:t>
            </w:r>
            <w:r w:rsidRPr="6ABE6469" w:rsidR="016FC937">
              <w:rPr>
                <w:rFonts w:ascii="Arial" w:hAnsi="Arial" w:eastAsia="Arial" w:cs="Arial"/>
                <w:b w:val="1"/>
                <w:bCs w:val="1"/>
                <w:sz w:val="22"/>
                <w:szCs w:val="22"/>
              </w:rPr>
              <w:t>J</w:t>
            </w:r>
            <w:r w:rsidRPr="6ABE6469" w:rsidR="016FC937">
              <w:rPr>
                <w:rFonts w:ascii="Arial" w:hAnsi="Arial" w:eastAsia="Arial" w:cs="Arial"/>
                <w:b w:val="1"/>
                <w:bCs w:val="1"/>
                <w:sz w:val="22"/>
                <w:szCs w:val="22"/>
              </w:rPr>
              <w:t>o</w:t>
            </w:r>
            <w:r w:rsidRPr="6ABE6469" w:rsidR="016FC937">
              <w:rPr>
                <w:rFonts w:ascii="Arial" w:hAnsi="Arial" w:eastAsia="Arial" w:cs="Arial"/>
                <w:b w:val="1"/>
                <w:bCs w:val="1"/>
                <w:sz w:val="22"/>
                <w:szCs w:val="22"/>
              </w:rPr>
              <w:t>n</w:t>
            </w:r>
            <w:r w:rsidRPr="6ABE6469" w:rsidR="016FC937">
              <w:rPr>
                <w:rFonts w:ascii="Arial" w:hAnsi="Arial" w:eastAsia="Arial" w:cs="Arial"/>
                <w:b w:val="1"/>
                <w:bCs w:val="1"/>
                <w:sz w:val="22"/>
                <w:szCs w:val="22"/>
              </w:rPr>
              <w:t>e</w:t>
            </w:r>
            <w:r w:rsidRPr="6ABE6469" w:rsidR="016FC937">
              <w:rPr>
                <w:rFonts w:ascii="Arial" w:hAnsi="Arial" w:eastAsia="Arial" w:cs="Arial"/>
                <w:b w:val="1"/>
                <w:bCs w:val="1"/>
                <w:sz w:val="22"/>
                <w:szCs w:val="22"/>
              </w:rPr>
              <w:t>s</w:t>
            </w:r>
          </w:p>
        </w:tc>
        <w:tc>
          <w:tcPr>
            <w:tcW w:w="2083"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01798A6" w:rsidP="601798A6" w:rsidRDefault="601798A6" w14:paraId="465AEB57" w14:textId="54DC9650">
            <w:pPr>
              <w:bidi w:val="0"/>
              <w:spacing w:before="120" w:beforeAutospacing="off" w:after="120" w:afterAutospacing="off"/>
              <w:jc w:val="both"/>
            </w:pPr>
            <w:r w:rsidRPr="601798A6" w:rsidR="601798A6">
              <w:rPr>
                <w:rFonts w:ascii="Arial" w:hAnsi="Arial" w:eastAsia="Arial" w:cs="Arial"/>
                <w:b w:val="1"/>
                <w:bCs w:val="1"/>
                <w:color w:val="000000" w:themeColor="text1" w:themeTint="FF" w:themeShade="FF"/>
                <w:sz w:val="22"/>
                <w:szCs w:val="22"/>
              </w:rPr>
              <w:t>Student ID number:</w:t>
            </w:r>
          </w:p>
        </w:tc>
        <w:tc>
          <w:tcPr>
            <w:tcW w:w="2039" w:type="dxa"/>
            <w:tcBorders>
              <w:top w:val="single" w:sz="8"/>
              <w:left w:val="single" w:sz="8"/>
              <w:bottom w:val="single" w:sz="8"/>
              <w:right w:val="single" w:sz="8"/>
            </w:tcBorders>
            <w:tcMar>
              <w:left w:w="108" w:type="dxa"/>
              <w:right w:w="108" w:type="dxa"/>
            </w:tcMar>
            <w:vAlign w:val="top"/>
          </w:tcPr>
          <w:p w:rsidR="601798A6" w:rsidP="601798A6" w:rsidRDefault="601798A6" w14:paraId="1A448A73" w14:textId="4B305F40">
            <w:pPr>
              <w:bidi w:val="0"/>
              <w:spacing w:before="120" w:beforeAutospacing="off" w:after="120" w:afterAutospacing="off"/>
              <w:jc w:val="both"/>
            </w:pPr>
            <w:r w:rsidRPr="6ABE6469" w:rsidR="601798A6">
              <w:rPr>
                <w:rFonts w:ascii="Arial" w:hAnsi="Arial" w:eastAsia="Arial" w:cs="Arial"/>
                <w:b w:val="1"/>
                <w:bCs w:val="1"/>
                <w:sz w:val="22"/>
                <w:szCs w:val="22"/>
              </w:rPr>
              <w:t xml:space="preserve"> </w:t>
            </w:r>
            <w:r w:rsidRPr="6ABE6469" w:rsidR="55CB6AC0">
              <w:rPr>
                <w:rFonts w:ascii="Arial" w:hAnsi="Arial" w:eastAsia="Arial" w:cs="Arial"/>
                <w:b w:val="1"/>
                <w:bCs w:val="1"/>
                <w:sz w:val="22"/>
                <w:szCs w:val="22"/>
              </w:rPr>
              <w:t>2516294</w:t>
            </w:r>
          </w:p>
        </w:tc>
      </w:tr>
      <w:tr w:rsidR="601798A6" w:rsidTr="6A037FDB" w14:paraId="16D9816B">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66D46173" w14:textId="1E7074EB">
            <w:pPr>
              <w:bidi w:val="0"/>
              <w:spacing w:before="120" w:beforeAutospacing="off" w:after="120" w:afterAutospacing="off"/>
              <w:jc w:val="both"/>
            </w:pPr>
            <w:r w:rsidRPr="601798A6" w:rsidR="601798A6">
              <w:rPr>
                <w:rFonts w:ascii="Arial" w:hAnsi="Arial" w:eastAsia="Arial" w:cs="Arial"/>
                <w:b w:val="1"/>
                <w:bCs w:val="1"/>
                <w:sz w:val="22"/>
                <w:szCs w:val="22"/>
              </w:rPr>
              <w:t>Programme:</w:t>
            </w:r>
          </w:p>
        </w:tc>
        <w:tc>
          <w:tcPr>
            <w:tcW w:w="7039" w:type="dxa"/>
            <w:gridSpan w:val="3"/>
            <w:tcBorders>
              <w:top w:val="single" w:sz="8"/>
              <w:left w:val="single" w:sz="8"/>
              <w:bottom w:val="single" w:sz="8"/>
              <w:right w:val="single" w:sz="8"/>
            </w:tcBorders>
            <w:tcMar>
              <w:left w:w="108" w:type="dxa"/>
              <w:right w:w="108" w:type="dxa"/>
            </w:tcMar>
            <w:vAlign w:val="top"/>
          </w:tcPr>
          <w:p w:rsidR="601798A6" w:rsidP="601798A6" w:rsidRDefault="601798A6" w14:paraId="4E90F509" w14:textId="74D3AE18">
            <w:pPr>
              <w:bidi w:val="0"/>
              <w:spacing w:before="120" w:beforeAutospacing="off" w:after="120" w:afterAutospacing="off"/>
              <w:jc w:val="both"/>
            </w:pPr>
            <w:r w:rsidRPr="601798A6" w:rsidR="601798A6">
              <w:rPr>
                <w:rFonts w:ascii="Arial" w:hAnsi="Arial" w:eastAsia="Arial" w:cs="Arial"/>
                <w:b w:val="1"/>
                <w:bCs w:val="1"/>
                <w:sz w:val="22"/>
                <w:szCs w:val="22"/>
              </w:rPr>
              <w:t>HNC, HND, BSc Quantity Surveying &amp; Construction Management</w:t>
            </w:r>
          </w:p>
        </w:tc>
      </w:tr>
      <w:tr w:rsidR="601798A6" w:rsidTr="6A037FDB" w14:paraId="20E2B54A">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710390C1" w14:textId="570984B1">
            <w:pPr>
              <w:bidi w:val="0"/>
              <w:spacing w:before="120" w:beforeAutospacing="off" w:after="120" w:afterAutospacing="off"/>
              <w:jc w:val="both"/>
            </w:pPr>
            <w:r w:rsidRPr="601798A6" w:rsidR="601798A6">
              <w:rPr>
                <w:rFonts w:ascii="Arial" w:hAnsi="Arial" w:eastAsia="Arial" w:cs="Arial"/>
                <w:b w:val="1"/>
                <w:bCs w:val="1"/>
                <w:sz w:val="22"/>
                <w:szCs w:val="22"/>
              </w:rPr>
              <w:t>Module:</w:t>
            </w:r>
          </w:p>
        </w:tc>
        <w:tc>
          <w:tcPr>
            <w:tcW w:w="7039" w:type="dxa"/>
            <w:gridSpan w:val="3"/>
            <w:tcBorders>
              <w:top w:val="single" w:sz="8"/>
              <w:left w:val="single" w:sz="8"/>
              <w:bottom w:val="single" w:sz="8"/>
              <w:right w:val="single" w:sz="8"/>
            </w:tcBorders>
            <w:tcMar>
              <w:left w:w="108" w:type="dxa"/>
              <w:right w:w="108" w:type="dxa"/>
            </w:tcMar>
            <w:vAlign w:val="top"/>
          </w:tcPr>
          <w:p w:rsidR="601798A6" w:rsidP="601798A6" w:rsidRDefault="601798A6" w14:paraId="6D2F9A58" w14:textId="039E6C21">
            <w:pPr>
              <w:bidi w:val="0"/>
              <w:spacing w:before="120" w:beforeAutospacing="off" w:after="120" w:afterAutospacing="off"/>
              <w:jc w:val="both"/>
            </w:pPr>
            <w:r w:rsidRPr="601798A6" w:rsidR="601798A6">
              <w:rPr>
                <w:rFonts w:ascii="Arial" w:hAnsi="Arial" w:eastAsia="Arial" w:cs="Arial"/>
                <w:b w:val="1"/>
                <w:bCs w:val="1"/>
                <w:sz w:val="22"/>
                <w:szCs w:val="22"/>
              </w:rPr>
              <w:t>Procurement Process</w:t>
            </w:r>
          </w:p>
        </w:tc>
      </w:tr>
      <w:tr w:rsidR="601798A6" w:rsidTr="6A037FDB" w14:paraId="622ADDCF">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71A9C3C4" w14:textId="5760BAB5">
            <w:pPr>
              <w:bidi w:val="0"/>
              <w:spacing w:before="120" w:beforeAutospacing="off" w:after="120" w:afterAutospacing="off"/>
              <w:jc w:val="both"/>
            </w:pPr>
            <w:r w:rsidRPr="601798A6" w:rsidR="601798A6">
              <w:rPr>
                <w:rFonts w:ascii="Arial" w:hAnsi="Arial" w:eastAsia="Arial" w:cs="Arial"/>
                <w:b w:val="1"/>
                <w:bCs w:val="1"/>
                <w:sz w:val="22"/>
                <w:szCs w:val="22"/>
              </w:rPr>
              <w:t>Module code:</w:t>
            </w:r>
          </w:p>
        </w:tc>
        <w:tc>
          <w:tcPr>
            <w:tcW w:w="2917" w:type="dxa"/>
            <w:tcBorders>
              <w:top w:val="single" w:sz="8"/>
              <w:left w:val="single" w:sz="8"/>
              <w:bottom w:val="single" w:sz="8"/>
              <w:right w:val="single" w:sz="8"/>
            </w:tcBorders>
            <w:tcMar>
              <w:left w:w="108" w:type="dxa"/>
              <w:right w:w="108" w:type="dxa"/>
            </w:tcMar>
            <w:vAlign w:val="top"/>
          </w:tcPr>
          <w:p w:rsidR="601798A6" w:rsidP="601798A6" w:rsidRDefault="601798A6" w14:paraId="3901AF60" w14:textId="4FDC96AE">
            <w:pPr>
              <w:bidi w:val="0"/>
              <w:spacing w:before="120" w:beforeAutospacing="off" w:after="120" w:afterAutospacing="off"/>
              <w:jc w:val="both"/>
            </w:pPr>
            <w:r w:rsidRPr="601798A6" w:rsidR="601798A6">
              <w:rPr>
                <w:rFonts w:ascii="Arial" w:hAnsi="Arial" w:eastAsia="Arial" w:cs="Arial"/>
                <w:b w:val="1"/>
                <w:bCs w:val="1"/>
                <w:sz w:val="22"/>
                <w:szCs w:val="22"/>
              </w:rPr>
              <w:t>ACBA4026</w:t>
            </w:r>
          </w:p>
        </w:tc>
        <w:tc>
          <w:tcPr>
            <w:tcW w:w="2083" w:type="dxa"/>
            <w:tcBorders>
              <w:top w:val="nil" w:sz="8"/>
              <w:left w:val="single" w:sz="8"/>
              <w:bottom w:val="single" w:sz="8"/>
              <w:right w:val="single" w:sz="8"/>
            </w:tcBorders>
            <w:shd w:val="clear" w:color="auto" w:fill="D9D9D9" w:themeFill="background1" w:themeFillShade="D9"/>
            <w:tcMar>
              <w:left w:w="108" w:type="dxa"/>
              <w:right w:w="108" w:type="dxa"/>
            </w:tcMar>
            <w:vAlign w:val="top"/>
          </w:tcPr>
          <w:p w:rsidR="601798A6" w:rsidP="601798A6" w:rsidRDefault="601798A6" w14:paraId="1B1EDE3A" w14:textId="4AD9FFFF">
            <w:pPr>
              <w:pStyle w:val="Heading2"/>
              <w:bidi w:val="0"/>
              <w:spacing w:before="0" w:beforeAutospacing="off" w:after="0" w:afterAutospacing="off"/>
              <w:jc w:val="both"/>
            </w:pPr>
            <w:r w:rsidRPr="601798A6" w:rsidR="601798A6">
              <w:rPr>
                <w:rFonts w:ascii="Arial" w:hAnsi="Arial" w:eastAsia="Arial" w:cs="Arial"/>
                <w:b w:val="1"/>
                <w:bCs w:val="1"/>
                <w:color w:val="000000" w:themeColor="text1" w:themeTint="FF" w:themeShade="FF"/>
                <w:sz w:val="22"/>
                <w:szCs w:val="22"/>
              </w:rPr>
              <w:t>Contribution to Overall Module Assessment (%):</w:t>
            </w:r>
          </w:p>
        </w:tc>
        <w:tc>
          <w:tcPr>
            <w:tcW w:w="2039" w:type="dxa"/>
            <w:tcBorders>
              <w:top w:val="nil" w:sz="8"/>
              <w:left w:val="single" w:sz="8"/>
              <w:bottom w:val="single" w:sz="8"/>
              <w:right w:val="single" w:sz="8"/>
            </w:tcBorders>
            <w:tcMar>
              <w:left w:w="108" w:type="dxa"/>
              <w:right w:w="108" w:type="dxa"/>
            </w:tcMar>
            <w:vAlign w:val="top"/>
          </w:tcPr>
          <w:p w:rsidR="601798A6" w:rsidP="601798A6" w:rsidRDefault="601798A6" w14:paraId="68761DB7" w14:textId="3B56D3EA">
            <w:pPr>
              <w:bidi w:val="0"/>
              <w:spacing w:before="120" w:beforeAutospacing="off" w:after="120" w:afterAutospacing="off"/>
              <w:jc w:val="both"/>
            </w:pPr>
            <w:r w:rsidRPr="601798A6" w:rsidR="601798A6">
              <w:rPr>
                <w:rFonts w:ascii="Arial" w:hAnsi="Arial" w:eastAsia="Arial" w:cs="Arial"/>
                <w:b w:val="1"/>
                <w:bCs w:val="1"/>
                <w:sz w:val="22"/>
                <w:szCs w:val="22"/>
              </w:rPr>
              <w:t>100%</w:t>
            </w:r>
          </w:p>
        </w:tc>
      </w:tr>
      <w:tr w:rsidR="601798A6" w:rsidTr="6A037FDB" w14:paraId="37D7FD11">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7EA3339E" w14:textId="0C3FE3BA">
            <w:pPr>
              <w:bidi w:val="0"/>
              <w:spacing w:before="120" w:beforeAutospacing="off" w:after="120" w:afterAutospacing="off"/>
              <w:jc w:val="both"/>
            </w:pPr>
            <w:r w:rsidRPr="601798A6" w:rsidR="601798A6">
              <w:rPr>
                <w:rFonts w:ascii="Arial" w:hAnsi="Arial" w:eastAsia="Arial" w:cs="Arial"/>
                <w:b w:val="1"/>
                <w:bCs w:val="1"/>
                <w:sz w:val="22"/>
                <w:szCs w:val="22"/>
              </w:rPr>
              <w:t>Lecturer:</w:t>
            </w:r>
          </w:p>
        </w:tc>
        <w:tc>
          <w:tcPr>
            <w:tcW w:w="2917" w:type="dxa"/>
            <w:tcBorders>
              <w:top w:val="single" w:sz="8"/>
              <w:left w:val="single" w:sz="8"/>
              <w:bottom w:val="single" w:sz="8"/>
              <w:right w:val="single" w:sz="8"/>
            </w:tcBorders>
            <w:tcMar>
              <w:left w:w="108" w:type="dxa"/>
              <w:right w:w="108" w:type="dxa"/>
            </w:tcMar>
            <w:vAlign w:val="top"/>
          </w:tcPr>
          <w:p w:rsidR="601798A6" w:rsidP="601798A6" w:rsidRDefault="601798A6" w14:paraId="29968072" w14:textId="46FC8521">
            <w:pPr>
              <w:bidi w:val="0"/>
              <w:spacing w:before="120" w:beforeAutospacing="off" w:after="120" w:afterAutospacing="off" w:line="257" w:lineRule="auto"/>
              <w:jc w:val="both"/>
            </w:pPr>
            <w:r w:rsidRPr="601798A6" w:rsidR="601798A6">
              <w:rPr>
                <w:rFonts w:ascii="Arial" w:hAnsi="Arial" w:eastAsia="Arial" w:cs="Arial"/>
                <w:b w:val="1"/>
                <w:bCs w:val="1"/>
                <w:sz w:val="22"/>
                <w:szCs w:val="22"/>
              </w:rPr>
              <w:t>Dr Deborah Hughes</w:t>
            </w:r>
          </w:p>
        </w:tc>
        <w:tc>
          <w:tcPr>
            <w:tcW w:w="2083" w:type="dxa"/>
            <w:tcBorders>
              <w:top w:val="single" w:sz="8"/>
              <w:left w:val="single" w:sz="8"/>
              <w:bottom w:val="single" w:sz="8"/>
              <w:right w:val="single" w:sz="8"/>
            </w:tcBorders>
            <w:shd w:val="clear" w:color="auto" w:fill="D9D9D9" w:themeFill="background1" w:themeFillShade="D9"/>
            <w:tcMar>
              <w:left w:w="108" w:type="dxa"/>
              <w:right w:w="108" w:type="dxa"/>
            </w:tcMar>
            <w:vAlign w:val="top"/>
          </w:tcPr>
          <w:p w:rsidR="601798A6" w:rsidP="601798A6" w:rsidRDefault="601798A6" w14:paraId="277F422F" w14:textId="133A0BD8">
            <w:pPr>
              <w:bidi w:val="0"/>
              <w:spacing w:before="120" w:beforeAutospacing="off" w:after="120" w:afterAutospacing="off"/>
              <w:jc w:val="both"/>
            </w:pPr>
            <w:r w:rsidRPr="601798A6" w:rsidR="601798A6">
              <w:rPr>
                <w:rFonts w:ascii="Arial" w:hAnsi="Arial" w:eastAsia="Arial" w:cs="Arial"/>
                <w:b w:val="1"/>
                <w:bCs w:val="1"/>
                <w:color w:val="000000" w:themeColor="text1" w:themeTint="FF" w:themeShade="FF"/>
                <w:sz w:val="22"/>
                <w:szCs w:val="22"/>
              </w:rPr>
              <w:t>Internal Verifier:</w:t>
            </w:r>
          </w:p>
        </w:tc>
        <w:tc>
          <w:tcPr>
            <w:tcW w:w="2039" w:type="dxa"/>
            <w:tcBorders>
              <w:top w:val="single" w:sz="8"/>
              <w:left w:val="single" w:sz="8"/>
              <w:bottom w:val="single" w:sz="8"/>
              <w:right w:val="single" w:sz="8"/>
            </w:tcBorders>
            <w:tcMar>
              <w:left w:w="108" w:type="dxa"/>
              <w:right w:w="108" w:type="dxa"/>
            </w:tcMar>
            <w:vAlign w:val="top"/>
          </w:tcPr>
          <w:p w:rsidR="601798A6" w:rsidP="601798A6" w:rsidRDefault="601798A6" w14:paraId="29E89ECC" w14:textId="192057E3">
            <w:pPr>
              <w:bidi w:val="0"/>
              <w:spacing w:before="120" w:beforeAutospacing="off" w:after="120" w:afterAutospacing="off"/>
              <w:jc w:val="both"/>
            </w:pPr>
            <w:r w:rsidRPr="601798A6" w:rsidR="601798A6">
              <w:rPr>
                <w:rFonts w:ascii="Arial" w:hAnsi="Arial" w:eastAsia="Arial" w:cs="Arial"/>
                <w:b w:val="1"/>
                <w:bCs w:val="1"/>
                <w:sz w:val="22"/>
                <w:szCs w:val="22"/>
              </w:rPr>
              <w:t>Steve Tindall</w:t>
            </w:r>
          </w:p>
        </w:tc>
      </w:tr>
      <w:tr w:rsidR="601798A6" w:rsidTr="6A037FDB" w14:paraId="08E815BA">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497CEDE1" w14:textId="131824A1">
            <w:pPr>
              <w:bidi w:val="0"/>
              <w:spacing w:before="120" w:beforeAutospacing="off" w:after="120" w:afterAutospacing="off"/>
              <w:jc w:val="both"/>
            </w:pPr>
            <w:r w:rsidRPr="601798A6" w:rsidR="601798A6">
              <w:rPr>
                <w:rFonts w:ascii="Arial" w:hAnsi="Arial" w:eastAsia="Arial" w:cs="Arial"/>
                <w:b w:val="1"/>
                <w:bCs w:val="1"/>
                <w:sz w:val="22"/>
                <w:szCs w:val="22"/>
              </w:rPr>
              <w:t>Assignment Title:</w:t>
            </w:r>
          </w:p>
        </w:tc>
        <w:tc>
          <w:tcPr>
            <w:tcW w:w="2917" w:type="dxa"/>
            <w:tcBorders>
              <w:top w:val="single" w:sz="8"/>
              <w:left w:val="single" w:sz="8"/>
              <w:bottom w:val="single" w:sz="8"/>
              <w:right w:val="single" w:sz="8"/>
            </w:tcBorders>
            <w:tcMar>
              <w:left w:w="108" w:type="dxa"/>
              <w:right w:w="108" w:type="dxa"/>
            </w:tcMar>
            <w:vAlign w:val="top"/>
          </w:tcPr>
          <w:p w:rsidR="601798A6" w:rsidP="601798A6" w:rsidRDefault="601798A6" w14:paraId="5685D48F" w14:textId="483BB907">
            <w:pPr>
              <w:bidi w:val="0"/>
              <w:spacing w:before="120" w:beforeAutospacing="off" w:after="120" w:afterAutospacing="off"/>
              <w:jc w:val="both"/>
            </w:pPr>
            <w:r w:rsidRPr="601798A6" w:rsidR="601798A6">
              <w:rPr>
                <w:rFonts w:ascii="Arial" w:hAnsi="Arial" w:eastAsia="Arial" w:cs="Arial"/>
                <w:b w:val="1"/>
                <w:bCs w:val="1"/>
                <w:sz w:val="22"/>
                <w:szCs w:val="22"/>
              </w:rPr>
              <w:t>Procurement &amp; Contract Selection</w:t>
            </w:r>
          </w:p>
        </w:tc>
        <w:tc>
          <w:tcPr>
            <w:tcW w:w="2083" w:type="dxa"/>
            <w:tcBorders>
              <w:top w:val="single" w:sz="8"/>
              <w:left w:val="single" w:sz="8"/>
              <w:bottom w:val="single" w:sz="8"/>
              <w:right w:val="single" w:sz="8"/>
            </w:tcBorders>
            <w:tcMar>
              <w:left w:w="108" w:type="dxa"/>
              <w:right w:w="108" w:type="dxa"/>
            </w:tcMar>
            <w:vAlign w:val="top"/>
          </w:tcPr>
          <w:p w:rsidR="601798A6" w:rsidP="601798A6" w:rsidRDefault="601798A6" w14:paraId="222FEF19" w14:textId="7E08D798">
            <w:pPr>
              <w:bidi w:val="0"/>
              <w:spacing w:before="120" w:beforeAutospacing="off" w:after="120" w:afterAutospacing="off"/>
              <w:jc w:val="both"/>
            </w:pPr>
            <w:r w:rsidRPr="601798A6" w:rsidR="601798A6">
              <w:rPr>
                <w:rFonts w:ascii="Arial" w:hAnsi="Arial" w:eastAsia="Arial" w:cs="Arial"/>
                <w:b w:val="1"/>
                <w:bCs w:val="1"/>
                <w:sz w:val="22"/>
                <w:szCs w:val="22"/>
              </w:rPr>
              <w:t>Word count (or equivalent):</w:t>
            </w:r>
          </w:p>
        </w:tc>
        <w:tc>
          <w:tcPr>
            <w:tcW w:w="2039" w:type="dxa"/>
            <w:tcBorders>
              <w:top w:val="single" w:sz="8"/>
              <w:left w:val="single" w:sz="8"/>
              <w:bottom w:val="single" w:sz="8"/>
              <w:right w:val="single" w:sz="8"/>
            </w:tcBorders>
            <w:tcMar>
              <w:left w:w="108" w:type="dxa"/>
              <w:right w:w="108" w:type="dxa"/>
            </w:tcMar>
            <w:vAlign w:val="top"/>
          </w:tcPr>
          <w:p w:rsidR="601798A6" w:rsidP="601798A6" w:rsidRDefault="601798A6" w14:paraId="18898478" w14:textId="6E095F61">
            <w:pPr>
              <w:bidi w:val="0"/>
              <w:spacing w:before="120" w:beforeAutospacing="off" w:after="120" w:afterAutospacing="off"/>
              <w:jc w:val="both"/>
            </w:pPr>
            <w:r w:rsidRPr="601798A6" w:rsidR="601798A6">
              <w:rPr>
                <w:rFonts w:ascii="Arial" w:hAnsi="Arial" w:eastAsia="Arial" w:cs="Arial"/>
                <w:b w:val="1"/>
                <w:bCs w:val="1"/>
                <w:sz w:val="22"/>
                <w:szCs w:val="22"/>
              </w:rPr>
              <w:t>1,500 words or equivalent</w:t>
            </w:r>
          </w:p>
        </w:tc>
      </w:tr>
      <w:tr w:rsidR="601798A6" w:rsidTr="6A037FDB" w14:paraId="1583C187">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69A89A0B" w14:textId="106FD8B1">
            <w:pPr>
              <w:bidi w:val="0"/>
              <w:spacing w:before="120" w:beforeAutospacing="off" w:after="120" w:afterAutospacing="off"/>
              <w:jc w:val="both"/>
            </w:pPr>
            <w:r w:rsidRPr="601798A6" w:rsidR="601798A6">
              <w:rPr>
                <w:rFonts w:ascii="Arial" w:hAnsi="Arial" w:eastAsia="Arial" w:cs="Arial"/>
                <w:b w:val="1"/>
                <w:bCs w:val="1"/>
                <w:sz w:val="22"/>
                <w:szCs w:val="22"/>
              </w:rPr>
              <w:t>Submission deadline:</w:t>
            </w:r>
          </w:p>
        </w:tc>
        <w:tc>
          <w:tcPr>
            <w:tcW w:w="2917" w:type="dxa"/>
            <w:tcBorders>
              <w:top w:val="single" w:sz="8"/>
              <w:left w:val="single" w:sz="8"/>
              <w:bottom w:val="single" w:sz="8"/>
              <w:right w:val="single" w:sz="8"/>
            </w:tcBorders>
            <w:tcMar>
              <w:left w:w="108" w:type="dxa"/>
              <w:right w:w="108" w:type="dxa"/>
            </w:tcMar>
            <w:vAlign w:val="top"/>
          </w:tcPr>
          <w:p w:rsidR="601798A6" w:rsidP="601798A6" w:rsidRDefault="601798A6" w14:paraId="4AC086F8" w14:textId="1C73C204">
            <w:pPr>
              <w:bidi w:val="0"/>
              <w:spacing w:before="120" w:beforeAutospacing="off" w:after="120" w:afterAutospacing="off"/>
              <w:jc w:val="both"/>
            </w:pPr>
            <w:r w:rsidRPr="601798A6" w:rsidR="601798A6">
              <w:rPr>
                <w:rFonts w:ascii="Arial" w:hAnsi="Arial" w:eastAsia="Arial" w:cs="Arial"/>
                <w:b w:val="1"/>
                <w:bCs w:val="1"/>
                <w:sz w:val="22"/>
                <w:szCs w:val="22"/>
              </w:rPr>
              <w:t>23</w:t>
            </w:r>
            <w:r w:rsidRPr="601798A6" w:rsidR="601798A6">
              <w:rPr>
                <w:rFonts w:ascii="Arial" w:hAnsi="Arial" w:eastAsia="Arial" w:cs="Arial"/>
                <w:b w:val="1"/>
                <w:bCs w:val="1"/>
                <w:sz w:val="22"/>
                <w:szCs w:val="22"/>
                <w:vertAlign w:val="superscript"/>
              </w:rPr>
              <w:t>rd</w:t>
            </w:r>
            <w:r w:rsidRPr="601798A6" w:rsidR="601798A6">
              <w:rPr>
                <w:rFonts w:ascii="Arial" w:hAnsi="Arial" w:eastAsia="Arial" w:cs="Arial"/>
                <w:b w:val="1"/>
                <w:bCs w:val="1"/>
                <w:sz w:val="22"/>
                <w:szCs w:val="22"/>
              </w:rPr>
              <w:t xml:space="preserve"> April 2026</w:t>
            </w:r>
          </w:p>
        </w:tc>
        <w:tc>
          <w:tcPr>
            <w:tcW w:w="2083" w:type="dxa"/>
            <w:tcBorders>
              <w:top w:val="single" w:sz="8"/>
              <w:left w:val="single" w:sz="8"/>
              <w:bottom w:val="single" w:sz="8"/>
              <w:right w:val="single" w:sz="8"/>
            </w:tcBorders>
            <w:tcMar>
              <w:left w:w="108" w:type="dxa"/>
              <w:right w:w="108" w:type="dxa"/>
            </w:tcMar>
            <w:vAlign w:val="top"/>
          </w:tcPr>
          <w:p w:rsidR="601798A6" w:rsidP="601798A6" w:rsidRDefault="601798A6" w14:paraId="19804711" w14:textId="15F8D047">
            <w:pPr>
              <w:bidi w:val="0"/>
              <w:spacing w:before="120" w:beforeAutospacing="off" w:after="120" w:afterAutospacing="off"/>
              <w:jc w:val="both"/>
            </w:pPr>
            <w:r w:rsidRPr="601798A6" w:rsidR="601798A6">
              <w:rPr>
                <w:rFonts w:ascii="Arial" w:hAnsi="Arial" w:eastAsia="Arial" w:cs="Arial"/>
                <w:b w:val="1"/>
                <w:bCs w:val="1"/>
                <w:sz w:val="22"/>
                <w:szCs w:val="22"/>
              </w:rPr>
              <w:t>Return date of provisional marks &amp; written feedback:</w:t>
            </w:r>
          </w:p>
        </w:tc>
        <w:tc>
          <w:tcPr>
            <w:tcW w:w="2039" w:type="dxa"/>
            <w:tcBorders>
              <w:top w:val="single" w:sz="8"/>
              <w:left w:val="single" w:sz="8"/>
              <w:bottom w:val="single" w:sz="8"/>
              <w:right w:val="single" w:sz="8"/>
            </w:tcBorders>
            <w:tcMar>
              <w:left w:w="108" w:type="dxa"/>
              <w:right w:w="108" w:type="dxa"/>
            </w:tcMar>
            <w:vAlign w:val="top"/>
          </w:tcPr>
          <w:p w:rsidR="601798A6" w:rsidP="601798A6" w:rsidRDefault="601798A6" w14:paraId="5E2F2DE2" w14:textId="5599FAB0">
            <w:pPr>
              <w:bidi w:val="0"/>
              <w:spacing w:before="120" w:beforeAutospacing="off" w:after="120" w:afterAutospacing="off" w:line="257" w:lineRule="auto"/>
              <w:jc w:val="both"/>
            </w:pPr>
            <w:r w:rsidRPr="601798A6" w:rsidR="601798A6">
              <w:rPr>
                <w:rFonts w:ascii="Arial" w:hAnsi="Arial" w:eastAsia="Arial" w:cs="Arial"/>
                <w:b w:val="1"/>
                <w:bCs w:val="1"/>
                <w:sz w:val="22"/>
                <w:szCs w:val="22"/>
              </w:rPr>
              <w:t>21</w:t>
            </w:r>
            <w:r w:rsidRPr="601798A6" w:rsidR="601798A6">
              <w:rPr>
                <w:rFonts w:ascii="Arial" w:hAnsi="Arial" w:eastAsia="Arial" w:cs="Arial"/>
                <w:b w:val="1"/>
                <w:bCs w:val="1"/>
                <w:sz w:val="22"/>
                <w:szCs w:val="22"/>
                <w:vertAlign w:val="superscript"/>
              </w:rPr>
              <w:t>st</w:t>
            </w:r>
            <w:r w:rsidRPr="601798A6" w:rsidR="601798A6">
              <w:rPr>
                <w:rFonts w:ascii="Arial" w:hAnsi="Arial" w:eastAsia="Arial" w:cs="Arial"/>
                <w:b w:val="1"/>
                <w:bCs w:val="1"/>
                <w:sz w:val="22"/>
                <w:szCs w:val="22"/>
              </w:rPr>
              <w:t xml:space="preserve"> May 2026</w:t>
            </w:r>
          </w:p>
        </w:tc>
      </w:tr>
      <w:tr w:rsidR="601798A6" w:rsidTr="6A037FDB" w14:paraId="59285B98">
        <w:trPr>
          <w:trHeight w:val="300"/>
        </w:trPr>
        <w:tc>
          <w:tcPr>
            <w:tcW w:w="1938" w:type="dxa"/>
            <w:tcBorders>
              <w:top w:val="single" w:sz="8"/>
              <w:left w:val="single" w:sz="8"/>
              <w:bottom w:val="single" w:sz="8"/>
              <w:right w:val="single" w:sz="8"/>
            </w:tcBorders>
            <w:tcMar>
              <w:left w:w="108" w:type="dxa"/>
              <w:right w:w="108" w:type="dxa"/>
            </w:tcMar>
            <w:vAlign w:val="top"/>
          </w:tcPr>
          <w:p w:rsidR="601798A6" w:rsidP="601798A6" w:rsidRDefault="601798A6" w14:paraId="419A3F9F" w14:textId="45F29052">
            <w:pPr>
              <w:bidi w:val="0"/>
              <w:spacing w:before="120" w:beforeAutospacing="off" w:after="120" w:afterAutospacing="off"/>
              <w:jc w:val="both"/>
            </w:pPr>
            <w:r w:rsidRPr="601798A6" w:rsidR="601798A6">
              <w:rPr>
                <w:rFonts w:ascii="Arial" w:hAnsi="Arial" w:eastAsia="Arial" w:cs="Arial"/>
                <w:b w:val="1"/>
                <w:bCs w:val="1"/>
                <w:sz w:val="22"/>
                <w:szCs w:val="22"/>
              </w:rPr>
              <w:t>Submission method:</w:t>
            </w:r>
          </w:p>
        </w:tc>
        <w:tc>
          <w:tcPr>
            <w:tcW w:w="7039" w:type="dxa"/>
            <w:gridSpan w:val="3"/>
            <w:tcBorders>
              <w:top w:val="single" w:sz="8"/>
              <w:left w:val="single" w:sz="8"/>
              <w:bottom w:val="single" w:sz="8"/>
              <w:right w:val="single" w:sz="8"/>
            </w:tcBorders>
            <w:tcMar>
              <w:left w:w="108" w:type="dxa"/>
              <w:right w:w="108" w:type="dxa"/>
            </w:tcMar>
            <w:vAlign w:val="top"/>
          </w:tcPr>
          <w:p w:rsidR="601798A6" w:rsidP="601798A6" w:rsidRDefault="601798A6" w14:paraId="2448125D" w14:textId="6B30F572">
            <w:pPr>
              <w:bidi w:val="0"/>
              <w:spacing w:before="0" w:beforeAutospacing="off" w:after="0" w:afterAutospacing="off"/>
            </w:pPr>
            <w:r w:rsidRPr="601798A6" w:rsidR="601798A6">
              <w:rPr>
                <w:rFonts w:ascii="Arial" w:hAnsi="Arial" w:eastAsia="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601798A6" w:rsidP="601798A6" w:rsidRDefault="601798A6" w14:paraId="367402E7" w14:textId="66D760A7">
            <w:pPr>
              <w:bidi w:val="0"/>
              <w:spacing w:before="120" w:beforeAutospacing="off" w:after="120" w:afterAutospacing="off"/>
              <w:jc w:val="both"/>
            </w:pPr>
            <w:r w:rsidRPr="601798A6" w:rsidR="601798A6">
              <w:rPr>
                <w:rFonts w:ascii="Arial" w:hAnsi="Arial" w:eastAsia="Arial" w:cs="Arial"/>
                <w:b w:val="1"/>
                <w:bCs w:val="1"/>
                <w:sz w:val="22"/>
                <w:szCs w:val="22"/>
              </w:rPr>
              <w:t>Alternative submission method (if applicable): N/A</w:t>
            </w:r>
          </w:p>
          <w:p w:rsidR="601798A6" w:rsidP="601798A6" w:rsidRDefault="601798A6" w14:paraId="6B670E17" w14:textId="125EA274">
            <w:pPr>
              <w:bidi w:val="0"/>
              <w:spacing w:before="120" w:beforeAutospacing="off" w:after="120" w:afterAutospacing="off"/>
              <w:jc w:val="both"/>
            </w:pPr>
            <w:r w:rsidRPr="601798A6" w:rsidR="601798A6">
              <w:rPr>
                <w:rFonts w:ascii="Arial" w:hAnsi="Arial" w:eastAsia="Arial" w:cs="Arial"/>
                <w:b w:val="1"/>
                <w:bCs w:val="1"/>
                <w:sz w:val="22"/>
                <w:szCs w:val="22"/>
              </w:rPr>
              <w:t>Late submission of the assessment will result in a late penalty mark:</w:t>
            </w:r>
          </w:p>
          <w:p w:rsidR="601798A6" w:rsidP="601798A6" w:rsidRDefault="601798A6" w14:paraId="69ACC838" w14:textId="2B96C535">
            <w:pPr>
              <w:bidi w:val="0"/>
              <w:spacing w:before="120" w:beforeAutospacing="off" w:after="120" w:afterAutospacing="off"/>
              <w:jc w:val="both"/>
            </w:pPr>
            <w:r w:rsidRPr="601798A6" w:rsidR="601798A6">
              <w:rPr>
                <w:rFonts w:ascii="Arial" w:hAnsi="Arial" w:eastAsia="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601798A6" w:rsidP="601798A6" w:rsidRDefault="601798A6" w14:paraId="17FC3AFE" w14:textId="3CE003DC">
            <w:pPr>
              <w:bidi w:val="0"/>
              <w:spacing w:before="120" w:beforeAutospacing="off" w:after="120" w:afterAutospacing="off"/>
              <w:jc w:val="both"/>
            </w:pPr>
            <w:r w:rsidRPr="601798A6" w:rsidR="601798A6">
              <w:rPr>
                <w:rFonts w:ascii="Arial" w:hAnsi="Arial" w:eastAsia="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bl>
    <w:p xmlns:wp14="http://schemas.microsoft.com/office/word/2010/wordml" w:rsidP="6A037FDB" wp14:paraId="332D8C54" wp14:textId="4A4F0A9A">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The development of a new construction training centre in Swansea (SA1) represents a significant investment and a complex project, particularly due to its scale and reliance on external funding. Projects of this nature require careful planning from the outset, and one of the most important early decisions is the selection of an appropriate procurement strategy. A well-considered procurement route will help ensure that the project is delivered within budget, completed within a reasonable timeframe, and achieves the required standards in terms of functionality and quality. It also plays a central role in determining how risk is allocated between the client and other project stakeholders.</w:t>
      </w:r>
    </w:p>
    <w:p xmlns:wp14="http://schemas.microsoft.com/office/word/2010/wordml" w:rsidP="6A037FDB" wp14:paraId="33A5D2D1" wp14:textId="7869BF1B">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In the UK construction industry, three main procurement routes are widely used: traditional procurement, design and build, and management-based approaches such as management contracting and construction management. Each route offers a different balance of control, risk, cost certainty, and programme duration. The suitability of each option depends largely on the client’s objectives, their level of experience, and the specific requirements of the project.</w:t>
      </w:r>
    </w:p>
    <w:p xmlns:wp14="http://schemas.microsoft.com/office/word/2010/wordml" w:rsidP="6A037FDB" wp14:paraId="4AD026C7" wp14:textId="3EF139E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The traditional procurement route is one of the oldest and most widely recognised methods. It involves a clear separation between the design and construction phases. Under this approach, the client appoints a team of professional consultants</w:t>
      </w:r>
      <w:r w:rsidRPr="6A037FDB" w:rsidR="66C9B621">
        <w:rPr>
          <w:rFonts w:ascii="Aptos" w:hAnsi="Aptos" w:eastAsia="Aptos" w:cs="Aptos"/>
          <w:b w:val="0"/>
          <w:bCs w:val="0"/>
          <w:i w:val="0"/>
          <w:iCs w:val="0"/>
          <w:caps w:val="0"/>
          <w:smallCaps w:val="0"/>
          <w:noProof w:val="0"/>
          <w:color w:val="000000" w:themeColor="text1" w:themeTint="FF" w:themeShade="FF"/>
          <w:sz w:val="24"/>
          <w:szCs w:val="24"/>
          <w:lang w:val="en-GB"/>
        </w:rPr>
        <w:t xml:space="preserve">, typically including an architect, structural engineer, and quantity surveyor, </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to fully develop the design before any construction work begins. Once the design is complete, contractors are invited to tender based on a detailed set of drawings and specifications, and the contract is usually awarded to the lowest compliant bidder.</w:t>
      </w:r>
    </w:p>
    <w:p xmlns:wp14="http://schemas.microsoft.com/office/word/2010/wordml" w:rsidP="6A037FDB" wp14:paraId="76E41BFF" wp14:textId="6574200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 xml:space="preserve">One of the main advantages of traditional procurement is the high level of design control it offers the client. Because the design is completed before construction begins, the client has greater influence over the </w:t>
      </w:r>
      <w:bookmarkStart w:name="_Int_UewG1VGB" w:id="955457671"/>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final outcome</w:t>
      </w:r>
      <w:bookmarkEnd w:id="955457671"/>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 This is particularly important for a construction training centre, where specific requirements such as workshop layouts, specialist equipment, and compliance with educational or industry standards must be carefully considered. In addition, the competitive tendering process can lead to greater price transparency, as all contractors are pricing the same information, making it easier to compare bids.</w:t>
      </w:r>
    </w:p>
    <w:p xmlns:wp14="http://schemas.microsoft.com/office/word/2010/wordml" w:rsidP="6A037FDB" wp14:paraId="04E42524" wp14:textId="5F902E39">
      <w:pPr>
        <w:pStyle w:val="Normal"/>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 xml:space="preserve">However, the traditional route also has several disadvantages. </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Perhaps the</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 xml:space="preserve"> most significant is the longer overall programme. Since construction cannot begin until the design is fully completed, this sequential process can result in delays, particularly if design changes are </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required</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 xml:space="preserve">. This may not be ideal for a project that depends on external funding, where there may be strict deadlines for completion. Another limitation is the lack of contractor involvement during the design stage. Without input from those who will </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actually build</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 xml:space="preserve"> the project, there is a risk that the design may not be as </w:t>
      </w:r>
      <w:r w:rsidRPr="6A037FDB" w:rsidR="2B6B4265">
        <w:rPr>
          <w:rFonts w:ascii="Aptos" w:hAnsi="Aptos" w:eastAsia="Aptos" w:cs="Aptos"/>
          <w:noProof w:val="0"/>
          <w:sz w:val="24"/>
          <w:szCs w:val="24"/>
          <w:lang w:val="en-GB"/>
        </w:rPr>
        <w:t>efficient</w:t>
      </w: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 xml:space="preserve"> or cost-effective as it could be. This can lead to issues during construction, including variations and increased costs.</w:t>
      </w:r>
    </w:p>
    <w:p xmlns:wp14="http://schemas.microsoft.com/office/word/2010/wordml" w:rsidP="6A037FDB" wp14:paraId="47862E2E" wp14:textId="754B2D4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Furthermore, the separation of responsibilities between the design team and the contractor can sometimes result in disputes. If there are errors or omissions in the design, contractors may seek additional payment, which can create tension and uncertainty. For a client whose primary objective is cost control, this level of risk may be a concern.</w:t>
      </w:r>
    </w:p>
    <w:p xmlns:wp14="http://schemas.microsoft.com/office/word/2010/wordml" w:rsidP="6A037FDB" wp14:paraId="54C9A931" wp14:textId="5E08F4C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The design-and-build procurement route offers a more integrated alternative. In this approach, a single contractor is responsible for both the design and construction of the project. The client provides a set of employer’s requirements, which outline the key objectives and performance criteria, and the contractor takes responsibility for delivering the completed facility.</w:t>
      </w:r>
    </w:p>
    <w:p xmlns:wp14="http://schemas.microsoft.com/office/word/2010/wordml" w:rsidP="6A037FDB" wp14:paraId="79A2A34A" wp14:textId="7A34215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A major advantage of design and build is the single point of responsibility. This can significantly reduce the likelihood of disputes, as there is no separation between designer and contractor. It also simplifies communication, which can be particularly beneficial for clients who may not have extensive experience managing complex construction projects. By dealing with one main contractor, the client can reduce the administrative burden associated with coordinating multiple parties.</w:t>
      </w:r>
    </w:p>
    <w:p xmlns:wp14="http://schemas.microsoft.com/office/word/2010/wordml" w:rsidP="6A037FDB" wp14:paraId="564E0155" wp14:textId="407539B8">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Another important benefit is the potential for early cost certainty. Because the contractor is responsible for both design and construction, it is often possible to agree on a fixed price at an earlier stage than with traditional procurement. This is especially valuable for projects that rely on external funding, where staying within budget is essential. Cost overruns could jeopardise the entire project, so having a clearer understanding of costs from the outset is a significant advantage.</w:t>
      </w:r>
    </w:p>
    <w:p xmlns:wp14="http://schemas.microsoft.com/office/word/2010/wordml" w:rsidP="6A037FDB" wp14:paraId="0E2AD2B7" wp14:textId="27BBA7BE">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In addition, the design-and-build route allows for overlap between the design and construction phases. This can shorten the overall programme and enable earlier completion of the training centre. For example, site preparation and early construction work can begin while later stages of the design are still being finalised. This time-saving aspect can be crucial if there are deadlines linked to funding or operational requirements.</w:t>
      </w:r>
    </w:p>
    <w:p xmlns:wp14="http://schemas.microsoft.com/office/word/2010/wordml" w:rsidP="6A037FDB" wp14:paraId="38D42F07" wp14:textId="370000E3">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Despite these advantages, design and build is not without its drawbacks. One of the main concerns is the potential loss of design control. Since the contractor is responsible for developing the design, there is a risk that decisions may be driven more by cost considerations than by quality or long-term performance. This could result in a facility that meets minimum requirements but does not fully achieve the client’s vision.</w:t>
      </w:r>
    </w:p>
    <w:p xmlns:wp14="http://schemas.microsoft.com/office/word/2010/wordml" w:rsidP="6A037FDB" wp14:paraId="76C8B7A5" wp14:textId="36D2FB6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However, this risk can be managed through careful preparation of the employer’s requirements. By clearly specifying expectations in terms of performance, materials, and finishes, the client can retain a degree of control over the final outcome. It is also advisable to appoint experienced professional advisors, such as a project manager or employer’s agent, to monitor progress and ensure that the contractor meets these requirements. In addition, adopting a two-stage design-and-build process can further improve outcomes by allowing time for collaboration and refinement of the design before the final contract price is agreed.</w:t>
      </w:r>
    </w:p>
    <w:p xmlns:wp14="http://schemas.microsoft.com/office/word/2010/wordml" w:rsidP="6A037FDB" wp14:paraId="384A06A4" wp14:textId="671DB73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Management-based procurement routes, including management contracting and construction management, offer a different approach to project delivery. In these methods, the client appoints a manager to oversee the project, while the actual construction work is carried out by a series of trade contractors. This allows for greater flexibility, as construction can begin before the design is fully complete, and changes can be made more easily as the project progresses.</w:t>
      </w:r>
    </w:p>
    <w:p xmlns:wp14="http://schemas.microsoft.com/office/word/2010/wordml" w:rsidP="6A037FDB" wp14:paraId="2F606786" wp14:textId="6DA99067">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However, management-based routes come with significant disadvantages. One of the main issues is the lack of cost certainty. Because trade packages are procured individually throughout the project, the final cost is not known until all packages have been agreed. This creates a higher level of financial risk, which may not be acceptable for a project with a fixed budget. Additionally, these routes require a high level of involvement from the client, who must take on more responsibility for managing the process. This can be challenging for clients with limited experience in construction projects of this scale.</w:t>
      </w:r>
    </w:p>
    <w:p xmlns:wp14="http://schemas.microsoft.com/office/word/2010/wordml" w:rsidP="6A037FDB" wp14:paraId="7A2412E7" wp14:textId="70C62AB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When considering all three procurement routes, it becomes clear that each has its place, but not all are equally suitable for this particular project. Given the client’s primary objective of delivering the training centre within budget, the design-and-build route stands out as the most appropriate choice. Its ability to provide early cost certainty, combined with the transfer of risk to the contractor, makes it well suited to projects with external funding constraints.</w:t>
      </w:r>
    </w:p>
    <w:p xmlns:wp14="http://schemas.microsoft.com/office/word/2010/wordml" w:rsidP="6A037FDB" wp14:paraId="14DA4F3B" wp14:textId="41F5212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In addition, the relatively straightforward structure of design and build makes it easier to manage, reducing the burden on the client. The potential for a shorter programme is another key advantage, particularly if there are time pressures associated with funding or the need to begin training operations.</w:t>
      </w:r>
    </w:p>
    <w:p xmlns:wp14="http://schemas.microsoft.com/office/word/2010/wordml" w:rsidP="6A037FDB" wp14:paraId="66479C50" wp14:textId="604D2071">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To ensure the success of this approach, it is important to implement effective risk management strategies. Developing detailed employer’s requirements is essential, as this document defines what the contractor is expected to deliver. These requirements should not only focus on functional aspects but also set clear quality standards. For example, they may include specifications for durability, sustainability, and future adaptability of the training centre.</w:t>
      </w:r>
    </w:p>
    <w:p xmlns:wp14="http://schemas.microsoft.com/office/word/2010/wordml" w:rsidP="6A037FDB" wp14:paraId="76BCF907" wp14:textId="6601150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In terms of tendering, a two-stage selective tendering process is widely regarded as the most suitable approach for projects of this nature. In the first stage, a small number of pre-qualified contractors are invited to submit proposals based on outline information. This allows the client to assess their experience, technical capability, and approach to the project, as well as obtain initial pricing information.</w:t>
      </w:r>
    </w:p>
    <w:p xmlns:wp14="http://schemas.microsoft.com/office/word/2010/wordml" w:rsidP="6A037FDB" wp14:paraId="1D3F3775" wp14:textId="23424F09">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By limiting the number of contractors involved, the client can focus on quality rather than simply selecting the lowest price. This is particularly important for a project like a training centre, where specialist knowledge and experience are likely to be required.</w:t>
      </w:r>
    </w:p>
    <w:p xmlns:wp14="http://schemas.microsoft.com/office/word/2010/wordml" w:rsidP="6A037FDB" wp14:paraId="4CBDEDED" wp14:textId="712AB9DC">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In the second stage, the preferred contractor is selected and works collaboratively with the client to develop the design and refine the cost plan. This stage often involves an open-book approach, which provides greater transparency and allows the client to understand how costs are being calculated. Once the design has been developed to a sufficient level, a final contract price is agreed.</w:t>
      </w:r>
    </w:p>
    <w:p xmlns:wp14="http://schemas.microsoft.com/office/word/2010/wordml" w:rsidP="6A037FDB" wp14:paraId="3075CDDB" wp14:textId="1DDB112F">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This approach offers several advantages. It improves cost certainty, as the price is based on a more developed design. It also reduces the risk of disputes, as potential issues can be identified and resolved before construction begins. In addition, early contractor involvement can lead to better design solutions and more efficient construction methods.</w:t>
      </w:r>
    </w:p>
    <w:p xmlns:wp14="http://schemas.microsoft.com/office/word/2010/wordml" w:rsidP="6A037FDB" wp14:paraId="322E25BB" wp14:textId="55494C32">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In contrast, single-stage competitive tendering may be quicker but is generally less suitable for complex projects. Contractors may include higher risk allowances in their bids due to uncertainty, which can lead to higher overall costs. There is also less opportunity for collaboration, which can result in missed opportunities for improving the design or reducing costs.</w:t>
      </w:r>
    </w:p>
    <w:p xmlns:wp14="http://schemas.microsoft.com/office/word/2010/wordml" w:rsidP="6A037FDB" wp14:paraId="1A88C2AE" wp14:textId="05F5B4A0">
      <w:p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GB"/>
        </w:rPr>
      </w:pPr>
      <w:r w:rsidRPr="6A037FDB" w:rsidR="6B73A572">
        <w:rPr>
          <w:rFonts w:ascii="Aptos" w:hAnsi="Aptos" w:eastAsia="Aptos" w:cs="Aptos"/>
          <w:b w:val="0"/>
          <w:bCs w:val="0"/>
          <w:i w:val="0"/>
          <w:iCs w:val="0"/>
          <w:caps w:val="0"/>
          <w:smallCaps w:val="0"/>
          <w:noProof w:val="0"/>
          <w:color w:val="000000" w:themeColor="text1" w:themeTint="FF" w:themeShade="FF"/>
          <w:sz w:val="24"/>
          <w:szCs w:val="24"/>
          <w:lang w:val="en-GB"/>
        </w:rPr>
        <w:t>In conclusion, the successful delivery of the proposed construction training centre in Swansea will depend heavily on the selection of an appropriate procurement and tendering strategy. While traditional and management-based routes each offer certain advantages, they also present limitations that make them less suitable for this particular project. The design-and-build procurement route provides the best balance of cost certainty, risk management, and programme efficiency, aligning closely with the client’s objectives.</w:t>
      </w:r>
    </w:p>
    <w:p xmlns:wp14="http://schemas.microsoft.com/office/word/2010/wordml" w:rsidP="6A037FDB" wp14:paraId="1206F930" wp14:textId="333ABC23">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A037FDB" wp14:paraId="5B095B92" wp14:textId="14F786E6">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A037FDB" wp14:paraId="274C9A93" wp14:textId="20F15AD7">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6A037FDB" wp14:paraId="5E5787A5" wp14:textId="313C4373">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US"/>
        </w:rPr>
      </w:pPr>
    </w:p>
    <w:p w:rsidR="0531082A" w:rsidP="6ABE6469" w:rsidRDefault="0531082A" w14:paraId="04512A14" w14:textId="42FFBA68">
      <w:pPr/>
      <w:r w:rsidRPr="6A037FDB" w:rsidR="0531082A">
        <w:rPr>
          <w:sz w:val="32"/>
          <w:szCs w:val="32"/>
          <w:u w:val="single"/>
        </w:rPr>
        <w:t>References</w:t>
      </w:r>
      <w:r w:rsidRPr="6A037FDB" w:rsidR="0AA3EE68">
        <w:rPr>
          <w:sz w:val="32"/>
          <w:szCs w:val="32"/>
          <w:u w:val="single"/>
        </w:rPr>
        <w:t xml:space="preserve"> List</w:t>
      </w:r>
    </w:p>
    <w:p w:rsidR="62911653" w:rsidP="6A037FDB" w:rsidRDefault="62911653" w14:paraId="4D0D3763" w14:textId="41E63213">
      <w:pPr>
        <w:spacing w:before="0" w:beforeAutospacing="off" w:after="0" w:afterAutospacing="off"/>
      </w:pPr>
      <w:hyperlink r:id="Rcfbcc9c927f34937">
        <w:r w:rsidRPr="6A037FDB" w:rsidR="62911653">
          <w:rPr>
            <w:rStyle w:val="Hyperlink"/>
            <w:rFonts w:ascii="Calibri" w:hAnsi="Calibri" w:eastAsia="Calibri" w:cs="Calibri"/>
            <w:b w:val="0"/>
            <w:bCs w:val="0"/>
            <w:i w:val="0"/>
            <w:iCs w:val="0"/>
            <w:caps w:val="0"/>
            <w:smallCaps w:val="0"/>
            <w:noProof w:val="0"/>
            <w:sz w:val="27"/>
            <w:szCs w:val="27"/>
            <w:lang w:val="en-GB"/>
          </w:rPr>
          <w:t>www.designingbuildings.co.uk</w:t>
        </w:r>
      </w:hyperlink>
      <w:r w:rsidRPr="6A037FDB" w:rsidR="629116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(2022). </w:t>
      </w:r>
      <w:r w:rsidRPr="6A037FDB" w:rsidR="62911653">
        <w:rPr>
          <w:rFonts w:ascii="Calibri" w:hAnsi="Calibri" w:eastAsia="Calibri" w:cs="Calibri"/>
          <w:b w:val="0"/>
          <w:bCs w:val="0"/>
          <w:i w:val="1"/>
          <w:iCs w:val="1"/>
          <w:caps w:val="0"/>
          <w:smallCaps w:val="0"/>
          <w:noProof w:val="0"/>
          <w:color w:val="000000" w:themeColor="text1" w:themeTint="FF" w:themeShade="FF"/>
          <w:sz w:val="27"/>
          <w:szCs w:val="27"/>
          <w:lang w:val="en-GB"/>
        </w:rPr>
        <w:t>Badtitle</w:t>
      </w:r>
      <w:r w:rsidRPr="6A037FDB" w:rsidR="629116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d613cb68e0264975">
        <w:r w:rsidRPr="6A037FDB" w:rsidR="62911653">
          <w:rPr>
            <w:rStyle w:val="Hyperlink"/>
            <w:rFonts w:ascii="Calibri" w:hAnsi="Calibri" w:eastAsia="Calibri" w:cs="Calibri"/>
            <w:b w:val="0"/>
            <w:bCs w:val="0"/>
            <w:i w:val="0"/>
            <w:iCs w:val="0"/>
            <w:caps w:val="0"/>
            <w:smallCaps w:val="0"/>
            <w:noProof w:val="0"/>
            <w:sz w:val="27"/>
            <w:szCs w:val="27"/>
            <w:lang w:val="en-GB"/>
          </w:rPr>
          <w:t>https://www.designingbuildings.co.uk/wiki/What_is_the_most_common_procurement_route%3F</w:t>
        </w:r>
      </w:hyperlink>
      <w:r w:rsidRPr="6A037FDB" w:rsidR="62911653">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6A037FDB" w:rsidP="6A037FDB" w:rsidRDefault="6A037FDB" w14:paraId="05129572" w14:textId="09068749">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p>
    <w:p w:rsidR="08C308CF" w:rsidP="6A037FDB" w:rsidRDefault="08C308CF" w14:paraId="15F362A7" w14:textId="0A21139F">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hyperlink r:id="Rd838fe2e89834c07">
        <w:r w:rsidRPr="6A037FDB" w:rsidR="08C308CF">
          <w:rPr>
            <w:rStyle w:val="Hyperlink"/>
            <w:rFonts w:ascii="Calibri" w:hAnsi="Calibri" w:eastAsia="Calibri" w:cs="Calibri"/>
            <w:b w:val="0"/>
            <w:bCs w:val="0"/>
            <w:i w:val="0"/>
            <w:iCs w:val="0"/>
            <w:caps w:val="0"/>
            <w:smallCaps w:val="0"/>
            <w:noProof w:val="0"/>
            <w:sz w:val="27"/>
            <w:szCs w:val="27"/>
            <w:lang w:val="en-GB"/>
          </w:rPr>
          <w:t>www.lexisnexis.co.uk</w:t>
        </w:r>
      </w:hyperlink>
      <w:r w:rsidRPr="6A037FDB" w:rsidR="08C308C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(n.d.). </w:t>
      </w:r>
      <w:r w:rsidRPr="6A037FDB" w:rsidR="08C308CF">
        <w:rPr>
          <w:rFonts w:ascii="Calibri" w:hAnsi="Calibri" w:eastAsia="Calibri" w:cs="Calibri"/>
          <w:b w:val="0"/>
          <w:bCs w:val="0"/>
          <w:i w:val="1"/>
          <w:iCs w:val="1"/>
          <w:caps w:val="0"/>
          <w:smallCaps w:val="0"/>
          <w:noProof w:val="0"/>
          <w:color w:val="000000" w:themeColor="text1" w:themeTint="FF" w:themeShade="FF"/>
          <w:sz w:val="27"/>
          <w:szCs w:val="27"/>
          <w:lang w:val="en-GB"/>
        </w:rPr>
        <w:t>Construction procurement routes | Procurement in Construction | Construction | LexisNexis</w:t>
      </w:r>
      <w:r w:rsidRPr="6A037FDB" w:rsidR="08C308CF">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99198456929147bc">
        <w:r w:rsidRPr="6A037FDB" w:rsidR="08C308CF">
          <w:rPr>
            <w:rStyle w:val="Hyperlink"/>
            <w:rFonts w:ascii="Calibri" w:hAnsi="Calibri" w:eastAsia="Calibri" w:cs="Calibri"/>
            <w:b w:val="0"/>
            <w:bCs w:val="0"/>
            <w:i w:val="0"/>
            <w:iCs w:val="0"/>
            <w:caps w:val="0"/>
            <w:smallCaps w:val="0"/>
            <w:noProof w:val="0"/>
            <w:sz w:val="27"/>
            <w:szCs w:val="27"/>
            <w:lang w:val="en-GB"/>
          </w:rPr>
          <w:t>https://www.lexisnexis.co.uk/legal/construction-law/procurement-in-construction/construction-procurement-routes</w:t>
        </w:r>
      </w:hyperlink>
      <w:r w:rsidRPr="6A037FDB" w:rsidR="08C308CF">
        <w:rPr>
          <w:rFonts w:ascii="Calibri" w:hAnsi="Calibri" w:eastAsia="Calibri" w:cs="Calibri"/>
          <w:b w:val="0"/>
          <w:bCs w:val="0"/>
          <w:i w:val="0"/>
          <w:iCs w:val="0"/>
          <w:caps w:val="0"/>
          <w:smallCaps w:val="0"/>
          <w:noProof w:val="0"/>
          <w:color w:val="000000" w:themeColor="text1" w:themeTint="FF" w:themeShade="FF"/>
          <w:sz w:val="27"/>
          <w:szCs w:val="27"/>
          <w:lang w:val="en-GB"/>
        </w:rPr>
        <w:t>.</w:t>
      </w:r>
      <w:r>
        <w:br/>
      </w:r>
    </w:p>
    <w:p w:rsidR="62911653" w:rsidP="6A037FDB" w:rsidRDefault="62911653" w14:paraId="15A4B9A8" w14:textId="111BF735">
      <w:pPr>
        <w:spacing w:before="0" w:beforeAutospacing="off" w:after="0" w:afterAutospacing="off"/>
        <w:rPr>
          <w:rFonts w:ascii="Calibri" w:hAnsi="Calibri" w:eastAsia="Calibri" w:cs="Calibri"/>
          <w:b w:val="0"/>
          <w:bCs w:val="0"/>
          <w:i w:val="0"/>
          <w:iCs w:val="0"/>
          <w:caps w:val="0"/>
          <w:smallCaps w:val="0"/>
          <w:noProof w:val="0"/>
          <w:color w:val="000000" w:themeColor="text1" w:themeTint="FF" w:themeShade="FF"/>
          <w:sz w:val="27"/>
          <w:szCs w:val="27"/>
          <w:lang w:val="en-GB"/>
        </w:rPr>
      </w:pPr>
      <w:r w:rsidRPr="6A037FDB" w:rsidR="629116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Designing buildings (2023). </w:t>
      </w:r>
      <w:r w:rsidRPr="6A037FDB" w:rsidR="62911653">
        <w:rPr>
          <w:rFonts w:ascii="Calibri" w:hAnsi="Calibri" w:eastAsia="Calibri" w:cs="Calibri"/>
          <w:b w:val="0"/>
          <w:bCs w:val="0"/>
          <w:i w:val="1"/>
          <w:iCs w:val="1"/>
          <w:caps w:val="0"/>
          <w:smallCaps w:val="0"/>
          <w:noProof w:val="0"/>
          <w:color w:val="000000" w:themeColor="text1" w:themeTint="FF" w:themeShade="FF"/>
          <w:sz w:val="27"/>
          <w:szCs w:val="27"/>
          <w:lang w:val="en-GB"/>
        </w:rPr>
        <w:t>Traditional contract for construction - Designing Buildings Wiki</w:t>
      </w:r>
      <w:r w:rsidRPr="6A037FDB" w:rsidR="62911653">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Designingbuildings.co.uk. Available at: </w:t>
      </w:r>
      <w:hyperlink r:id="R2dec60c6a3944bd2">
        <w:r w:rsidRPr="6A037FDB" w:rsidR="62911653">
          <w:rPr>
            <w:rStyle w:val="Hyperlink"/>
            <w:rFonts w:ascii="Calibri" w:hAnsi="Calibri" w:eastAsia="Calibri" w:cs="Calibri"/>
            <w:b w:val="0"/>
            <w:bCs w:val="0"/>
            <w:i w:val="0"/>
            <w:iCs w:val="0"/>
            <w:caps w:val="0"/>
            <w:smallCaps w:val="0"/>
            <w:noProof w:val="0"/>
            <w:sz w:val="27"/>
            <w:szCs w:val="27"/>
            <w:lang w:val="en-GB"/>
          </w:rPr>
          <w:t>https://www.designingbuildings.co.uk/wiki/Traditional_contract_for_construction</w:t>
        </w:r>
      </w:hyperlink>
      <w:r w:rsidRPr="6A037FDB" w:rsidR="62911653">
        <w:rPr>
          <w:rFonts w:ascii="Calibri" w:hAnsi="Calibri" w:eastAsia="Calibri" w:cs="Calibri"/>
          <w:b w:val="0"/>
          <w:bCs w:val="0"/>
          <w:i w:val="0"/>
          <w:iCs w:val="0"/>
          <w:caps w:val="0"/>
          <w:smallCaps w:val="0"/>
          <w:noProof w:val="0"/>
          <w:color w:val="000000" w:themeColor="text1" w:themeTint="FF" w:themeShade="FF"/>
          <w:sz w:val="27"/>
          <w:szCs w:val="27"/>
          <w:lang w:val="en-GB"/>
        </w:rPr>
        <w:t>.</w:t>
      </w:r>
      <w:r>
        <w:br/>
      </w:r>
      <w:r>
        <w:br/>
      </w:r>
      <w:r w:rsidRPr="6A037FDB" w:rsidR="5B460A2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Area. (2024). </w:t>
      </w:r>
      <w:r w:rsidRPr="6A037FDB" w:rsidR="5B460A2E">
        <w:rPr>
          <w:rFonts w:ascii="Calibri" w:hAnsi="Calibri" w:eastAsia="Calibri" w:cs="Calibri"/>
          <w:b w:val="0"/>
          <w:bCs w:val="0"/>
          <w:i w:val="1"/>
          <w:iCs w:val="1"/>
          <w:caps w:val="0"/>
          <w:smallCaps w:val="0"/>
          <w:noProof w:val="0"/>
          <w:color w:val="000000" w:themeColor="text1" w:themeTint="FF" w:themeShade="FF"/>
          <w:sz w:val="27"/>
          <w:szCs w:val="27"/>
          <w:lang w:val="en-GB"/>
        </w:rPr>
        <w:t>Area Design and Build, London</w:t>
      </w:r>
      <w:r w:rsidRPr="6A037FDB" w:rsidR="5B460A2E">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0d952175869149a8">
        <w:r w:rsidRPr="6A037FDB" w:rsidR="5B460A2E">
          <w:rPr>
            <w:rStyle w:val="Hyperlink"/>
            <w:rFonts w:ascii="Calibri" w:hAnsi="Calibri" w:eastAsia="Calibri" w:cs="Calibri"/>
            <w:b w:val="0"/>
            <w:bCs w:val="0"/>
            <w:i w:val="0"/>
            <w:iCs w:val="0"/>
            <w:caps w:val="0"/>
            <w:smallCaps w:val="0"/>
            <w:noProof w:val="0"/>
            <w:sz w:val="27"/>
            <w:szCs w:val="27"/>
            <w:lang w:val="en-GB"/>
          </w:rPr>
          <w:t>https://area.co.uk/news-knowledge/what-is-traditional-procurement-vs-design-and-build</w:t>
        </w:r>
      </w:hyperlink>
    </w:p>
    <w:p w:rsidR="6A037FDB" w:rsidP="6A037FDB" w:rsidRDefault="6A037FDB" w14:paraId="36A5EBC3" w14:textId="1434BE84">
      <w:pPr>
        <w:spacing w:before="0" w:beforeAutospacing="off" w:after="0" w:afterAutospacing="off"/>
      </w:pPr>
      <w:r>
        <w:br/>
      </w: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Metroun</w:t>
      </w: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(2020). </w:t>
      </w:r>
      <w:r w:rsidRPr="6A037FDB" w:rsidR="18A65D72">
        <w:rPr>
          <w:rFonts w:ascii="Calibri" w:hAnsi="Calibri" w:eastAsia="Calibri" w:cs="Calibri"/>
          <w:b w:val="0"/>
          <w:bCs w:val="0"/>
          <w:i w:val="1"/>
          <w:iCs w:val="1"/>
          <w:caps w:val="0"/>
          <w:smallCaps w:val="0"/>
          <w:noProof w:val="0"/>
          <w:color w:val="000000" w:themeColor="text1" w:themeTint="FF" w:themeShade="FF"/>
          <w:sz w:val="27"/>
          <w:szCs w:val="27"/>
          <w:lang w:val="en-GB"/>
        </w:rPr>
        <w:t>The JCT Design &amp; Build Procurement Route</w:t>
      </w: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Metroun</w:t>
      </w: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d941de2df5724d4d">
        <w:r w:rsidRPr="6A037FDB" w:rsidR="18A65D72">
          <w:rPr>
            <w:rStyle w:val="Hyperlink"/>
            <w:rFonts w:ascii="Calibri" w:hAnsi="Calibri" w:eastAsia="Calibri" w:cs="Calibri"/>
            <w:b w:val="0"/>
            <w:bCs w:val="0"/>
            <w:i w:val="0"/>
            <w:iCs w:val="0"/>
            <w:caps w:val="0"/>
            <w:smallCaps w:val="0"/>
            <w:noProof w:val="0"/>
            <w:sz w:val="27"/>
            <w:szCs w:val="27"/>
            <w:lang w:val="en-GB"/>
          </w:rPr>
          <w:t>https://metroun.co.uk/post/the-jct-design-build-procurement-route/</w:t>
        </w:r>
      </w:hyperlink>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8A65D72" w:rsidP="6A037FDB" w:rsidRDefault="18A65D72" w14:paraId="6D91D29F" w14:textId="225E7854">
      <w:pPr>
        <w:spacing w:before="0" w:beforeAutospacing="off" w:after="0" w:afterAutospacing="off"/>
      </w:pP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w:t>
      </w:r>
      <w:r>
        <w:br/>
      </w: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Barrett, J. (2022). </w:t>
      </w:r>
      <w:r w:rsidRPr="6A037FDB" w:rsidR="18A65D72">
        <w:rPr>
          <w:rFonts w:ascii="Calibri" w:hAnsi="Calibri" w:eastAsia="Calibri" w:cs="Calibri"/>
          <w:b w:val="0"/>
          <w:bCs w:val="0"/>
          <w:i w:val="1"/>
          <w:iCs w:val="1"/>
          <w:caps w:val="0"/>
          <w:smallCaps w:val="0"/>
          <w:noProof w:val="0"/>
          <w:color w:val="000000" w:themeColor="text1" w:themeTint="FF" w:themeShade="FF"/>
          <w:sz w:val="27"/>
          <w:szCs w:val="27"/>
          <w:lang w:val="en-GB"/>
        </w:rPr>
        <w:t>Construction procurement | Evolution5</w:t>
      </w: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Evolution5. Available at: </w:t>
      </w:r>
      <w:hyperlink r:id="Rfa3290fb696a45e9">
        <w:r w:rsidRPr="6A037FDB" w:rsidR="18A65D72">
          <w:rPr>
            <w:rStyle w:val="Hyperlink"/>
            <w:rFonts w:ascii="Calibri" w:hAnsi="Calibri" w:eastAsia="Calibri" w:cs="Calibri"/>
            <w:b w:val="0"/>
            <w:bCs w:val="0"/>
            <w:i w:val="0"/>
            <w:iCs w:val="0"/>
            <w:caps w:val="0"/>
            <w:smallCaps w:val="0"/>
            <w:noProof w:val="0"/>
            <w:sz w:val="27"/>
            <w:szCs w:val="27"/>
            <w:lang w:val="en-GB"/>
          </w:rPr>
          <w:t>https://evolution5.co.uk/construction-procurement/</w:t>
        </w:r>
      </w:hyperlink>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8A65D72" w:rsidP="6A037FDB" w:rsidRDefault="18A65D72" w14:paraId="5A55313E" w14:textId="14FCAF61">
      <w:pPr>
        <w:spacing w:before="0" w:beforeAutospacing="off" w:after="0" w:afterAutospacing="off"/>
      </w:pPr>
      <w:r w:rsidRPr="6A037FDB" w:rsidR="18A65D72">
        <w:rPr>
          <w:rFonts w:ascii="Calibri" w:hAnsi="Calibri" w:eastAsia="Calibri" w:cs="Calibri"/>
          <w:b w:val="0"/>
          <w:bCs w:val="0"/>
          <w:i w:val="0"/>
          <w:iCs w:val="0"/>
          <w:caps w:val="0"/>
          <w:smallCaps w:val="0"/>
          <w:noProof w:val="0"/>
          <w:color w:val="000000" w:themeColor="text1" w:themeTint="FF" w:themeShade="FF"/>
          <w:sz w:val="27"/>
          <w:szCs w:val="27"/>
          <w:lang w:val="en-GB"/>
        </w:rPr>
        <w:t>‌</w:t>
      </w:r>
      <w:r>
        <w:br/>
      </w:r>
      <w:r w:rsidRPr="6A037FDB" w:rsidR="4CE2F6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Procore UK. (2025). </w:t>
      </w:r>
      <w:r w:rsidRPr="6A037FDB" w:rsidR="4CE2F620">
        <w:rPr>
          <w:rFonts w:ascii="Calibri" w:hAnsi="Calibri" w:eastAsia="Calibri" w:cs="Calibri"/>
          <w:b w:val="0"/>
          <w:bCs w:val="0"/>
          <w:i w:val="1"/>
          <w:iCs w:val="1"/>
          <w:caps w:val="0"/>
          <w:smallCaps w:val="0"/>
          <w:noProof w:val="0"/>
          <w:color w:val="000000" w:themeColor="text1" w:themeTint="FF" w:themeShade="FF"/>
          <w:sz w:val="27"/>
          <w:szCs w:val="27"/>
          <w:lang w:val="en-GB"/>
        </w:rPr>
        <w:t>UK Construction Tendering Routes | Procore UK</w:t>
      </w:r>
      <w:r w:rsidRPr="6A037FDB" w:rsidR="4CE2F62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Available at: </w:t>
      </w:r>
      <w:hyperlink r:id="R410d133053ce44a2">
        <w:r w:rsidRPr="6A037FDB" w:rsidR="4CE2F620">
          <w:rPr>
            <w:rStyle w:val="Hyperlink"/>
            <w:rFonts w:ascii="Calibri" w:hAnsi="Calibri" w:eastAsia="Calibri" w:cs="Calibri"/>
            <w:b w:val="0"/>
            <w:bCs w:val="0"/>
            <w:i w:val="0"/>
            <w:iCs w:val="0"/>
            <w:caps w:val="0"/>
            <w:smallCaps w:val="0"/>
            <w:noProof w:val="0"/>
            <w:sz w:val="27"/>
            <w:szCs w:val="27"/>
            <w:lang w:val="en-GB"/>
          </w:rPr>
          <w:t>https://www.procore.com/en-gb/library/tendering-routes</w:t>
        </w:r>
      </w:hyperlink>
      <w:r w:rsidRPr="6A037FDB" w:rsidR="4CE2F620">
        <w:rPr>
          <w:rFonts w:ascii="Calibri" w:hAnsi="Calibri" w:eastAsia="Calibri" w:cs="Calibri"/>
          <w:b w:val="0"/>
          <w:bCs w:val="0"/>
          <w:i w:val="0"/>
          <w:iCs w:val="0"/>
          <w:caps w:val="0"/>
          <w:smallCaps w:val="0"/>
          <w:noProof w:val="0"/>
          <w:color w:val="000000" w:themeColor="text1" w:themeTint="FF" w:themeShade="FF"/>
          <w:sz w:val="27"/>
          <w:szCs w:val="27"/>
          <w:lang w:val="en-GB"/>
        </w:rPr>
        <w:t>.</w:t>
      </w:r>
      <w:r>
        <w:br/>
      </w:r>
      <w:r>
        <w:br/>
      </w:r>
      <w:r w:rsidRPr="6A037FDB" w:rsidR="735EB0E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Metroun (2020). </w:t>
      </w:r>
      <w:r w:rsidRPr="6A037FDB" w:rsidR="735EB0E0">
        <w:rPr>
          <w:rFonts w:ascii="Calibri" w:hAnsi="Calibri" w:eastAsia="Calibri" w:cs="Calibri"/>
          <w:b w:val="0"/>
          <w:bCs w:val="0"/>
          <w:i w:val="1"/>
          <w:iCs w:val="1"/>
          <w:caps w:val="0"/>
          <w:smallCaps w:val="0"/>
          <w:noProof w:val="0"/>
          <w:color w:val="000000" w:themeColor="text1" w:themeTint="FF" w:themeShade="FF"/>
          <w:sz w:val="27"/>
          <w:szCs w:val="27"/>
          <w:lang w:val="en-GB"/>
        </w:rPr>
        <w:t>The JCT Management Procurement Route</w:t>
      </w:r>
      <w:r w:rsidRPr="6A037FDB" w:rsidR="735EB0E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w:t>
      </w:r>
      <w:r w:rsidRPr="6A037FDB" w:rsidR="735EB0E0">
        <w:rPr>
          <w:rFonts w:ascii="Calibri" w:hAnsi="Calibri" w:eastAsia="Calibri" w:cs="Calibri"/>
          <w:b w:val="0"/>
          <w:bCs w:val="0"/>
          <w:i w:val="0"/>
          <w:iCs w:val="0"/>
          <w:caps w:val="0"/>
          <w:smallCaps w:val="0"/>
          <w:noProof w:val="0"/>
          <w:color w:val="000000" w:themeColor="text1" w:themeTint="FF" w:themeShade="FF"/>
          <w:sz w:val="27"/>
          <w:szCs w:val="27"/>
          <w:lang w:val="en-GB"/>
        </w:rPr>
        <w:t>Metroun</w:t>
      </w:r>
      <w:r w:rsidRPr="6A037FDB" w:rsidR="735EB0E0">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Available at: </w:t>
      </w:r>
      <w:hyperlink r:id="R7c2d43b1c6f742e8">
        <w:r w:rsidRPr="6A037FDB" w:rsidR="735EB0E0">
          <w:rPr>
            <w:rStyle w:val="Hyperlink"/>
            <w:rFonts w:ascii="Calibri" w:hAnsi="Calibri" w:eastAsia="Calibri" w:cs="Calibri"/>
            <w:b w:val="0"/>
            <w:bCs w:val="0"/>
            <w:i w:val="0"/>
            <w:iCs w:val="0"/>
            <w:caps w:val="0"/>
            <w:smallCaps w:val="0"/>
            <w:noProof w:val="0"/>
            <w:sz w:val="27"/>
            <w:szCs w:val="27"/>
            <w:lang w:val="en-GB"/>
          </w:rPr>
          <w:t>https://metroun.co.uk/post/the-jct-management-procurement-route/</w:t>
        </w:r>
      </w:hyperlink>
      <w:r w:rsidRPr="6A037FDB" w:rsidR="735EB0E0">
        <w:rPr>
          <w:rFonts w:ascii="Calibri" w:hAnsi="Calibri" w:eastAsia="Calibri" w:cs="Calibri"/>
          <w:b w:val="0"/>
          <w:bCs w:val="0"/>
          <w:i w:val="0"/>
          <w:iCs w:val="0"/>
          <w:caps w:val="0"/>
          <w:smallCaps w:val="0"/>
          <w:noProof w:val="0"/>
          <w:color w:val="000000" w:themeColor="text1" w:themeTint="FF" w:themeShade="FF"/>
          <w:sz w:val="27"/>
          <w:szCs w:val="27"/>
          <w:lang w:val="en-GB"/>
        </w:rPr>
        <w:t>.</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UewG1VGB" int2:invalidationBookmarkName="" int2:hashCode="hwFrgo4Hg7BPIR" int2:id="oca30R1W">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99BB2CA"/>
    <w:rsid w:val="016FC937"/>
    <w:rsid w:val="03B02F48"/>
    <w:rsid w:val="047C731C"/>
    <w:rsid w:val="0531082A"/>
    <w:rsid w:val="05D5B8AD"/>
    <w:rsid w:val="0819676E"/>
    <w:rsid w:val="08C308CF"/>
    <w:rsid w:val="0AA3EE68"/>
    <w:rsid w:val="0AFFD659"/>
    <w:rsid w:val="0B6D2404"/>
    <w:rsid w:val="0B6D2404"/>
    <w:rsid w:val="12BF2997"/>
    <w:rsid w:val="18A65D72"/>
    <w:rsid w:val="19ED1095"/>
    <w:rsid w:val="2186B299"/>
    <w:rsid w:val="25EB1661"/>
    <w:rsid w:val="27780A48"/>
    <w:rsid w:val="2A8BFE9B"/>
    <w:rsid w:val="2B6B4265"/>
    <w:rsid w:val="2F2A7243"/>
    <w:rsid w:val="3150941C"/>
    <w:rsid w:val="38356C07"/>
    <w:rsid w:val="38356C07"/>
    <w:rsid w:val="399BB2CA"/>
    <w:rsid w:val="3ABC0C59"/>
    <w:rsid w:val="40575B97"/>
    <w:rsid w:val="4293A106"/>
    <w:rsid w:val="4CE2F620"/>
    <w:rsid w:val="4F2DE758"/>
    <w:rsid w:val="507F29CA"/>
    <w:rsid w:val="54591A13"/>
    <w:rsid w:val="54D41CE3"/>
    <w:rsid w:val="55CB6AC0"/>
    <w:rsid w:val="5B460A2E"/>
    <w:rsid w:val="5F2BB4BF"/>
    <w:rsid w:val="601798A6"/>
    <w:rsid w:val="6279CA9C"/>
    <w:rsid w:val="62911653"/>
    <w:rsid w:val="64A57314"/>
    <w:rsid w:val="65D3527A"/>
    <w:rsid w:val="66B30050"/>
    <w:rsid w:val="66C9B621"/>
    <w:rsid w:val="6A037FDB"/>
    <w:rsid w:val="6ABE6469"/>
    <w:rsid w:val="6B285BD8"/>
    <w:rsid w:val="6B4A63B4"/>
    <w:rsid w:val="6B73A572"/>
    <w:rsid w:val="6DF0ED69"/>
    <w:rsid w:val="735EB0E0"/>
    <w:rsid w:val="78F587DA"/>
    <w:rsid w:val="7F0642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9BB2CA"/>
  <w15:chartTrackingRefBased/>
  <w15:docId w15:val="{B5B2B047-79C3-40C1-8DC0-431ABDE2E20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6ABE6469"/>
    <w:rPr>
      <w:noProof w:val="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2">
    <w:uiPriority w:val="9"/>
    <w:name w:val="heading 2"/>
    <w:basedOn w:val="Normal"/>
    <w:next w:val="Normal"/>
    <w:unhideWhenUsed/>
    <w:qFormat/>
    <w:rsid w:val="6ABE6469"/>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4">
    <w:uiPriority w:val="9"/>
    <w:name w:val="heading 4"/>
    <w:basedOn w:val="Normal"/>
    <w:next w:val="Normal"/>
    <w:unhideWhenUsed/>
    <w:qFormat/>
    <w:rsid w:val="6ABE6469"/>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6A037FDB"/>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481464912" /><Relationship Type="http://schemas.openxmlformats.org/officeDocument/2006/relationships/hyperlink" Target="https://www.designingbuildings.co.uk" TargetMode="External" Id="Rcfbcc9c927f34937" /><Relationship Type="http://schemas.openxmlformats.org/officeDocument/2006/relationships/hyperlink" Target="https://www.designingbuildings.co.uk/wiki/What_is_the_most_common_procurement_route%3F" TargetMode="External" Id="Rd613cb68e0264975" /><Relationship Type="http://schemas.openxmlformats.org/officeDocument/2006/relationships/hyperlink" Target="https://www.lexisnexis.co.uk" TargetMode="External" Id="Rd838fe2e89834c07" /><Relationship Type="http://schemas.openxmlformats.org/officeDocument/2006/relationships/hyperlink" Target="https://www.lexisnexis.co.uk/legal/construction-law/procurement-in-construction/construction-procurement-routes" TargetMode="External" Id="R99198456929147bc" /><Relationship Type="http://schemas.openxmlformats.org/officeDocument/2006/relationships/hyperlink" Target="https://www.designingbuildings.co.uk/wiki/Traditional_contract_for_construction" TargetMode="External" Id="R2dec60c6a3944bd2" /><Relationship Type="http://schemas.openxmlformats.org/officeDocument/2006/relationships/hyperlink" Target="https://area.co.uk/news-knowledge/what-is-traditional-procurement-vs-design-and-build?utm_source=chatgpt.com" TargetMode="External" Id="R0d952175869149a8" /><Relationship Type="http://schemas.openxmlformats.org/officeDocument/2006/relationships/hyperlink" Target="https://metroun.co.uk/post/the-jct-design-build-procurement-route/" TargetMode="External" Id="Rd941de2df5724d4d" /><Relationship Type="http://schemas.openxmlformats.org/officeDocument/2006/relationships/hyperlink" Target="https://evolution5.co.uk/construction-procurement/" TargetMode="External" Id="Rfa3290fb696a45e9" /><Relationship Type="http://schemas.openxmlformats.org/officeDocument/2006/relationships/hyperlink" Target="https://www.procore.com/en-gb/library/tendering-routes" TargetMode="External" Id="R410d133053ce44a2" /><Relationship Type="http://schemas.openxmlformats.org/officeDocument/2006/relationships/hyperlink" Target="https://metroun.co.uk/post/the-jct-management-procurement-route/" TargetMode="External" Id="R7c2d43b1c6f742e8" /><Relationship Type="http://schemas.microsoft.com/office/2020/10/relationships/intelligence" Target="/word/intelligence2.xml" Id="R0eb281739906456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Rowan Francis-Jones (2516294)</dc:creator>
  <keywords/>
  <dc:description/>
  <lastModifiedBy>Rowan Francis-Jones (2516294)</lastModifiedBy>
  <revision>4</revision>
  <dcterms:created xsi:type="dcterms:W3CDTF">2026-04-23T08:04:28.3735247Z</dcterms:created>
  <dcterms:modified xsi:type="dcterms:W3CDTF">2026-04-23T19:52:34.1630507Z</dcterms:modified>
</coreProperties>
</file>