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E43BA" w14:textId="77777777" w:rsidR="00B048A6" w:rsidRDefault="00B048A6" w:rsidP="00214C89">
      <w:pPr>
        <w:spacing w:line="480" w:lineRule="auto"/>
        <w:jc w:val="both"/>
        <w:rPr>
          <w:rFonts w:ascii="Times New Roman" w:hAnsi="Times New Roman" w:cs="Times New Roman"/>
          <w:b/>
          <w:bCs/>
          <w:sz w:val="24"/>
          <w:szCs w:val="24"/>
          <w:u w:val="single"/>
        </w:rPr>
      </w:pPr>
    </w:p>
    <w:p w14:paraId="4B406B27" w14:textId="77777777" w:rsidR="00B048A6" w:rsidRDefault="00B048A6" w:rsidP="00214C89">
      <w:pPr>
        <w:spacing w:line="480" w:lineRule="auto"/>
        <w:jc w:val="both"/>
        <w:rPr>
          <w:rFonts w:ascii="Times New Roman" w:hAnsi="Times New Roman" w:cs="Times New Roman"/>
          <w:b/>
          <w:bCs/>
          <w:sz w:val="24"/>
          <w:szCs w:val="24"/>
          <w:u w:val="single"/>
        </w:rPr>
      </w:pPr>
    </w:p>
    <w:p w14:paraId="32243C66" w14:textId="77777777" w:rsidR="00B048A6" w:rsidRDefault="00B048A6" w:rsidP="00214C89">
      <w:pPr>
        <w:spacing w:line="480" w:lineRule="auto"/>
        <w:jc w:val="both"/>
        <w:rPr>
          <w:rFonts w:ascii="Times New Roman" w:hAnsi="Times New Roman" w:cs="Times New Roman"/>
          <w:b/>
          <w:bCs/>
          <w:sz w:val="24"/>
          <w:szCs w:val="24"/>
          <w:u w:val="single"/>
        </w:rPr>
      </w:pPr>
    </w:p>
    <w:p w14:paraId="1E33071B" w14:textId="1A5BE3F1" w:rsidR="003461A4" w:rsidRDefault="00B048A6" w:rsidP="00B048A6">
      <w:pPr>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 </w:t>
      </w:r>
      <w:r w:rsidR="003859C3">
        <w:rPr>
          <w:rFonts w:ascii="Times New Roman" w:hAnsi="Times New Roman" w:cs="Times New Roman"/>
          <w:b/>
          <w:bCs/>
          <w:sz w:val="24"/>
          <w:szCs w:val="24"/>
          <w:u w:val="single"/>
        </w:rPr>
        <w:t>I</w:t>
      </w:r>
      <w:r>
        <w:rPr>
          <w:rFonts w:ascii="Times New Roman" w:hAnsi="Times New Roman" w:cs="Times New Roman"/>
          <w:b/>
          <w:bCs/>
          <w:sz w:val="24"/>
          <w:szCs w:val="24"/>
          <w:u w:val="single"/>
        </w:rPr>
        <w:t xml:space="preserve">nvestigation </w:t>
      </w:r>
      <w:r w:rsidR="003859C3">
        <w:rPr>
          <w:rFonts w:ascii="Times New Roman" w:hAnsi="Times New Roman" w:cs="Times New Roman"/>
          <w:b/>
          <w:bCs/>
          <w:sz w:val="24"/>
          <w:szCs w:val="24"/>
          <w:u w:val="single"/>
        </w:rPr>
        <w:t>I</w:t>
      </w:r>
      <w:r w:rsidR="003461A4">
        <w:rPr>
          <w:rFonts w:ascii="Times New Roman" w:hAnsi="Times New Roman" w:cs="Times New Roman"/>
          <w:b/>
          <w:bCs/>
          <w:sz w:val="24"/>
          <w:szCs w:val="24"/>
          <w:u w:val="single"/>
        </w:rPr>
        <w:t>nto</w:t>
      </w:r>
    </w:p>
    <w:p w14:paraId="2E588FEB" w14:textId="77777777" w:rsidR="003461A4" w:rsidRDefault="003461A4" w:rsidP="00B048A6">
      <w:pPr>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UK Market Failures</w:t>
      </w:r>
    </w:p>
    <w:p w14:paraId="14E45504" w14:textId="1D92A561" w:rsidR="003461A4" w:rsidRDefault="003461A4" w:rsidP="00B048A6">
      <w:pPr>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and </w:t>
      </w:r>
      <w:r w:rsidR="003859C3">
        <w:rPr>
          <w:rFonts w:ascii="Times New Roman" w:hAnsi="Times New Roman" w:cs="Times New Roman"/>
          <w:b/>
          <w:bCs/>
          <w:sz w:val="24"/>
          <w:szCs w:val="24"/>
          <w:u w:val="single"/>
        </w:rPr>
        <w:t>T</w:t>
      </w:r>
      <w:r>
        <w:rPr>
          <w:rFonts w:ascii="Times New Roman" w:hAnsi="Times New Roman" w:cs="Times New Roman"/>
          <w:b/>
          <w:bCs/>
          <w:sz w:val="24"/>
          <w:szCs w:val="24"/>
          <w:u w:val="single"/>
        </w:rPr>
        <w:t xml:space="preserve">he Consequences of </w:t>
      </w:r>
      <w:r w:rsidR="003859C3">
        <w:rPr>
          <w:rFonts w:ascii="Times New Roman" w:hAnsi="Times New Roman" w:cs="Times New Roman"/>
          <w:b/>
          <w:bCs/>
          <w:sz w:val="24"/>
          <w:szCs w:val="24"/>
          <w:u w:val="single"/>
        </w:rPr>
        <w:t>T</w:t>
      </w:r>
      <w:r>
        <w:rPr>
          <w:rFonts w:ascii="Times New Roman" w:hAnsi="Times New Roman" w:cs="Times New Roman"/>
          <w:b/>
          <w:bCs/>
          <w:sz w:val="24"/>
          <w:szCs w:val="24"/>
          <w:u w:val="single"/>
        </w:rPr>
        <w:t xml:space="preserve">he  </w:t>
      </w:r>
    </w:p>
    <w:p w14:paraId="104DAD2F" w14:textId="2F871619" w:rsidR="00B048A6" w:rsidRDefault="003461A4" w:rsidP="00B048A6">
      <w:pPr>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Solutions Implemented </w:t>
      </w:r>
    </w:p>
    <w:p w14:paraId="017B03AA" w14:textId="7051E1BB" w:rsidR="00B048A6" w:rsidRPr="003859C3" w:rsidRDefault="00B048A6" w:rsidP="00B048A6">
      <w:pPr>
        <w:spacing w:line="480" w:lineRule="auto"/>
        <w:jc w:val="center"/>
        <w:rPr>
          <w:rFonts w:ascii="Times New Roman" w:hAnsi="Times New Roman" w:cs="Times New Roman"/>
          <w:b/>
          <w:bCs/>
          <w:sz w:val="24"/>
          <w:szCs w:val="24"/>
        </w:rPr>
      </w:pPr>
      <w:r w:rsidRPr="003859C3">
        <w:rPr>
          <w:rFonts w:ascii="Times New Roman" w:hAnsi="Times New Roman" w:cs="Times New Roman"/>
          <w:b/>
          <w:bCs/>
          <w:sz w:val="24"/>
          <w:szCs w:val="24"/>
        </w:rPr>
        <w:t>Rachel Vetter</w:t>
      </w:r>
    </w:p>
    <w:p w14:paraId="24BD71ED" w14:textId="2F87C4EF" w:rsidR="00B048A6" w:rsidRPr="003859C3" w:rsidRDefault="00B048A6" w:rsidP="00B048A6">
      <w:pPr>
        <w:spacing w:line="480" w:lineRule="auto"/>
        <w:jc w:val="center"/>
        <w:rPr>
          <w:rFonts w:ascii="Times New Roman" w:hAnsi="Times New Roman" w:cs="Times New Roman"/>
          <w:b/>
          <w:bCs/>
          <w:sz w:val="24"/>
          <w:szCs w:val="24"/>
        </w:rPr>
      </w:pPr>
      <w:r w:rsidRPr="003859C3">
        <w:rPr>
          <w:rFonts w:ascii="Times New Roman" w:hAnsi="Times New Roman" w:cs="Times New Roman"/>
          <w:b/>
          <w:bCs/>
          <w:sz w:val="24"/>
          <w:szCs w:val="24"/>
        </w:rPr>
        <w:t>1708006</w:t>
      </w:r>
    </w:p>
    <w:p w14:paraId="069AC8F0" w14:textId="00718A9F" w:rsidR="00B048A6" w:rsidRPr="003859C3" w:rsidRDefault="00B048A6" w:rsidP="00B048A6">
      <w:pPr>
        <w:spacing w:line="480" w:lineRule="auto"/>
        <w:jc w:val="center"/>
        <w:rPr>
          <w:rFonts w:ascii="Times New Roman" w:hAnsi="Times New Roman" w:cs="Times New Roman"/>
          <w:b/>
          <w:bCs/>
          <w:sz w:val="24"/>
          <w:szCs w:val="24"/>
        </w:rPr>
      </w:pPr>
      <w:r w:rsidRPr="003859C3">
        <w:rPr>
          <w:rFonts w:ascii="Times New Roman" w:hAnsi="Times New Roman" w:cs="Times New Roman"/>
          <w:b/>
          <w:bCs/>
          <w:sz w:val="24"/>
          <w:szCs w:val="24"/>
        </w:rPr>
        <w:t>March 2020</w:t>
      </w:r>
    </w:p>
    <w:p w14:paraId="1EDFABA3" w14:textId="05C856B3" w:rsidR="00B048A6" w:rsidRDefault="00B048A6" w:rsidP="00B048A6">
      <w:pPr>
        <w:spacing w:line="480" w:lineRule="auto"/>
        <w:jc w:val="center"/>
        <w:rPr>
          <w:rFonts w:ascii="Times New Roman" w:hAnsi="Times New Roman" w:cs="Times New Roman"/>
          <w:b/>
          <w:bCs/>
          <w:sz w:val="24"/>
          <w:szCs w:val="24"/>
          <w:u w:val="single"/>
        </w:rPr>
      </w:pPr>
    </w:p>
    <w:p w14:paraId="71B2BEC5" w14:textId="714D746D" w:rsidR="00B048A6" w:rsidRDefault="00B048A6" w:rsidP="00B048A6">
      <w:pPr>
        <w:spacing w:line="480" w:lineRule="auto"/>
        <w:jc w:val="center"/>
        <w:rPr>
          <w:rFonts w:ascii="Times New Roman" w:hAnsi="Times New Roman" w:cs="Times New Roman"/>
          <w:b/>
          <w:bCs/>
          <w:sz w:val="24"/>
          <w:szCs w:val="24"/>
          <w:u w:val="single"/>
        </w:rPr>
      </w:pPr>
    </w:p>
    <w:p w14:paraId="43786E90" w14:textId="2C585491" w:rsidR="00B048A6" w:rsidRPr="003859C3" w:rsidRDefault="00B048A6" w:rsidP="00B048A6">
      <w:pPr>
        <w:spacing w:line="480" w:lineRule="auto"/>
        <w:jc w:val="center"/>
        <w:rPr>
          <w:rFonts w:ascii="Times New Roman" w:hAnsi="Times New Roman" w:cs="Times New Roman"/>
          <w:sz w:val="24"/>
          <w:szCs w:val="24"/>
        </w:rPr>
      </w:pPr>
      <w:r w:rsidRPr="003859C3">
        <w:rPr>
          <w:rFonts w:ascii="Times New Roman" w:hAnsi="Times New Roman" w:cs="Times New Roman"/>
          <w:sz w:val="24"/>
          <w:szCs w:val="24"/>
        </w:rPr>
        <w:t>Anthony Burns</w:t>
      </w:r>
    </w:p>
    <w:p w14:paraId="53B0FFA3" w14:textId="51D2E8FC" w:rsidR="00B048A6" w:rsidRPr="003859C3" w:rsidRDefault="00B048A6" w:rsidP="00B048A6">
      <w:pPr>
        <w:spacing w:line="480" w:lineRule="auto"/>
        <w:jc w:val="center"/>
        <w:rPr>
          <w:rFonts w:ascii="Times New Roman" w:hAnsi="Times New Roman" w:cs="Times New Roman"/>
          <w:sz w:val="24"/>
          <w:szCs w:val="24"/>
        </w:rPr>
      </w:pPr>
      <w:r w:rsidRPr="003859C3">
        <w:rPr>
          <w:rFonts w:ascii="Times New Roman" w:hAnsi="Times New Roman" w:cs="Times New Roman"/>
          <w:sz w:val="24"/>
          <w:szCs w:val="24"/>
        </w:rPr>
        <w:t>BMSP6007</w:t>
      </w:r>
    </w:p>
    <w:p w14:paraId="2340EA09" w14:textId="25FB8D88" w:rsidR="00B048A6" w:rsidRPr="003859C3" w:rsidRDefault="00B048A6" w:rsidP="00B048A6">
      <w:pPr>
        <w:spacing w:line="480" w:lineRule="auto"/>
        <w:jc w:val="center"/>
        <w:rPr>
          <w:rFonts w:ascii="Times New Roman" w:hAnsi="Times New Roman" w:cs="Times New Roman"/>
          <w:sz w:val="24"/>
          <w:szCs w:val="24"/>
        </w:rPr>
      </w:pPr>
      <w:r w:rsidRPr="003859C3">
        <w:rPr>
          <w:rFonts w:ascii="Times New Roman" w:hAnsi="Times New Roman" w:cs="Times New Roman"/>
          <w:sz w:val="24"/>
          <w:szCs w:val="24"/>
        </w:rPr>
        <w:t xml:space="preserve">Economics of Sustainability </w:t>
      </w:r>
    </w:p>
    <w:p w14:paraId="5C897B38" w14:textId="77777777" w:rsidR="00B048A6" w:rsidRDefault="00B048A6" w:rsidP="00214C89">
      <w:pPr>
        <w:spacing w:line="480" w:lineRule="auto"/>
        <w:jc w:val="both"/>
        <w:rPr>
          <w:rFonts w:ascii="Times New Roman" w:hAnsi="Times New Roman" w:cs="Times New Roman"/>
          <w:b/>
          <w:bCs/>
          <w:sz w:val="24"/>
          <w:szCs w:val="24"/>
          <w:u w:val="single"/>
        </w:rPr>
      </w:pPr>
    </w:p>
    <w:p w14:paraId="09776AF1" w14:textId="77777777" w:rsidR="00B048A6" w:rsidRDefault="00B048A6" w:rsidP="00214C89">
      <w:pPr>
        <w:spacing w:line="480" w:lineRule="auto"/>
        <w:jc w:val="both"/>
        <w:rPr>
          <w:rFonts w:ascii="Times New Roman" w:hAnsi="Times New Roman" w:cs="Times New Roman"/>
          <w:b/>
          <w:bCs/>
          <w:sz w:val="24"/>
          <w:szCs w:val="24"/>
          <w:u w:val="single"/>
        </w:rPr>
      </w:pPr>
    </w:p>
    <w:p w14:paraId="6B4F48A2" w14:textId="77777777" w:rsidR="00B048A6" w:rsidRDefault="00B048A6" w:rsidP="00214C89">
      <w:pPr>
        <w:spacing w:line="480" w:lineRule="auto"/>
        <w:jc w:val="both"/>
        <w:rPr>
          <w:rFonts w:ascii="Times New Roman" w:hAnsi="Times New Roman" w:cs="Times New Roman"/>
          <w:b/>
          <w:bCs/>
          <w:sz w:val="24"/>
          <w:szCs w:val="24"/>
          <w:u w:val="single"/>
        </w:rPr>
      </w:pPr>
    </w:p>
    <w:p w14:paraId="7D388FB2" w14:textId="77777777" w:rsidR="00B048A6" w:rsidRDefault="00B048A6" w:rsidP="00214C89">
      <w:pPr>
        <w:spacing w:line="480" w:lineRule="auto"/>
        <w:jc w:val="both"/>
        <w:rPr>
          <w:rFonts w:ascii="Times New Roman" w:hAnsi="Times New Roman" w:cs="Times New Roman"/>
          <w:b/>
          <w:bCs/>
          <w:sz w:val="24"/>
          <w:szCs w:val="24"/>
          <w:u w:val="single"/>
        </w:rPr>
      </w:pPr>
    </w:p>
    <w:p w14:paraId="1E6E8CBE" w14:textId="77777777" w:rsidR="00B048A6" w:rsidRDefault="00B048A6" w:rsidP="00214C89">
      <w:pPr>
        <w:spacing w:line="480" w:lineRule="auto"/>
        <w:jc w:val="both"/>
        <w:rPr>
          <w:rFonts w:ascii="Times New Roman" w:hAnsi="Times New Roman" w:cs="Times New Roman"/>
          <w:b/>
          <w:bCs/>
          <w:sz w:val="24"/>
          <w:szCs w:val="24"/>
          <w:u w:val="single"/>
        </w:rPr>
      </w:pPr>
    </w:p>
    <w:p w14:paraId="79ABAA27" w14:textId="4CB8C8A4" w:rsidR="00214C89" w:rsidRPr="00E87A61" w:rsidRDefault="00214C89" w:rsidP="00214C89">
      <w:pPr>
        <w:spacing w:line="480" w:lineRule="auto"/>
        <w:jc w:val="both"/>
        <w:rPr>
          <w:rFonts w:ascii="Times New Roman" w:hAnsi="Times New Roman" w:cs="Times New Roman"/>
          <w:b/>
          <w:bCs/>
          <w:sz w:val="24"/>
          <w:szCs w:val="24"/>
          <w:u w:val="single"/>
        </w:rPr>
      </w:pPr>
      <w:r w:rsidRPr="00E87A61">
        <w:rPr>
          <w:rFonts w:ascii="Times New Roman" w:hAnsi="Times New Roman" w:cs="Times New Roman"/>
          <w:b/>
          <w:bCs/>
          <w:sz w:val="24"/>
          <w:szCs w:val="24"/>
          <w:u w:val="single"/>
        </w:rPr>
        <w:lastRenderedPageBreak/>
        <w:t xml:space="preserve">Introduction </w:t>
      </w:r>
    </w:p>
    <w:p w14:paraId="16591FE8" w14:textId="01C1295E" w:rsidR="00135488" w:rsidRPr="00E87A61" w:rsidRDefault="00F26953" w:rsidP="00F26953">
      <w:pPr>
        <w:spacing w:line="480" w:lineRule="auto"/>
        <w:jc w:val="both"/>
        <w:rPr>
          <w:rFonts w:ascii="Times New Roman" w:hAnsi="Times New Roman" w:cs="Times New Roman"/>
          <w:sz w:val="24"/>
          <w:szCs w:val="24"/>
        </w:rPr>
      </w:pPr>
      <w:bookmarkStart w:id="0" w:name="_Hlk35509420"/>
      <w:r w:rsidRPr="00E87A61">
        <w:rPr>
          <w:rFonts w:ascii="Times New Roman" w:hAnsi="Times New Roman" w:cs="Times New Roman"/>
          <w:sz w:val="24"/>
          <w:szCs w:val="24"/>
        </w:rPr>
        <w:t xml:space="preserve">Industry within the United Kingdom encompasses numerous forms. It is the job of the UK Government to oversee </w:t>
      </w:r>
      <w:r w:rsidR="00E8228E" w:rsidRPr="00E87A61">
        <w:rPr>
          <w:rFonts w:ascii="Times New Roman" w:hAnsi="Times New Roman" w:cs="Times New Roman"/>
          <w:sz w:val="24"/>
          <w:szCs w:val="24"/>
        </w:rPr>
        <w:t xml:space="preserve">and monitor economic and environmental issues that may arise. Many organisations still neglect to include sufficient allocation of financial provision to environmental issues and contaminants. </w:t>
      </w:r>
      <w:r w:rsidR="00135488" w:rsidRPr="00E87A61">
        <w:rPr>
          <w:rFonts w:ascii="Times New Roman" w:hAnsi="Times New Roman" w:cs="Times New Roman"/>
          <w:sz w:val="24"/>
          <w:szCs w:val="24"/>
        </w:rPr>
        <w:t xml:space="preserve">This report will look at UK industry and examine what environmental solutions the government has </w:t>
      </w:r>
      <w:r w:rsidR="00FD746D" w:rsidRPr="00E87A61">
        <w:rPr>
          <w:rFonts w:ascii="Times New Roman" w:hAnsi="Times New Roman" w:cs="Times New Roman"/>
          <w:sz w:val="24"/>
          <w:szCs w:val="24"/>
        </w:rPr>
        <w:t>implemented</w:t>
      </w:r>
      <w:r w:rsidR="005D64D9" w:rsidRPr="00E87A61">
        <w:rPr>
          <w:rFonts w:ascii="Times New Roman" w:hAnsi="Times New Roman" w:cs="Times New Roman"/>
          <w:sz w:val="24"/>
          <w:szCs w:val="24"/>
        </w:rPr>
        <w:t xml:space="preserve"> and</w:t>
      </w:r>
      <w:r w:rsidR="00135488" w:rsidRPr="00E87A61">
        <w:rPr>
          <w:rFonts w:ascii="Times New Roman" w:hAnsi="Times New Roman" w:cs="Times New Roman"/>
          <w:sz w:val="24"/>
          <w:szCs w:val="24"/>
        </w:rPr>
        <w:t xml:space="preserve"> study whether these solutions were a success or failure. </w:t>
      </w:r>
      <w:r w:rsidR="005D64D9" w:rsidRPr="00E87A61">
        <w:rPr>
          <w:rFonts w:ascii="Times New Roman" w:hAnsi="Times New Roman" w:cs="Times New Roman"/>
          <w:sz w:val="24"/>
          <w:szCs w:val="24"/>
        </w:rPr>
        <w:t>Furthermore, i</w:t>
      </w:r>
      <w:r w:rsidR="00135488" w:rsidRPr="00E87A61">
        <w:rPr>
          <w:rFonts w:ascii="Times New Roman" w:hAnsi="Times New Roman" w:cs="Times New Roman"/>
          <w:sz w:val="24"/>
          <w:szCs w:val="24"/>
        </w:rPr>
        <w:t xml:space="preserve">t will also discuss what market failures are and </w:t>
      </w:r>
      <w:r w:rsidR="00FD746D" w:rsidRPr="00E87A61">
        <w:rPr>
          <w:rFonts w:ascii="Times New Roman" w:hAnsi="Times New Roman" w:cs="Times New Roman"/>
          <w:sz w:val="24"/>
          <w:szCs w:val="24"/>
        </w:rPr>
        <w:t>give examples</w:t>
      </w:r>
      <w:r w:rsidR="00E8228E" w:rsidRPr="00E87A61">
        <w:rPr>
          <w:rFonts w:ascii="Times New Roman" w:hAnsi="Times New Roman" w:cs="Times New Roman"/>
          <w:sz w:val="24"/>
          <w:szCs w:val="24"/>
        </w:rPr>
        <w:t xml:space="preserve"> of these failure </w:t>
      </w:r>
      <w:r w:rsidR="00FD746D" w:rsidRPr="00E87A61">
        <w:rPr>
          <w:rFonts w:ascii="Times New Roman" w:hAnsi="Times New Roman" w:cs="Times New Roman"/>
          <w:sz w:val="24"/>
          <w:szCs w:val="24"/>
        </w:rPr>
        <w:t>within</w:t>
      </w:r>
      <w:r w:rsidR="00E8228E" w:rsidRPr="00E87A61">
        <w:rPr>
          <w:rFonts w:ascii="Times New Roman" w:hAnsi="Times New Roman" w:cs="Times New Roman"/>
          <w:sz w:val="24"/>
          <w:szCs w:val="24"/>
        </w:rPr>
        <w:t xml:space="preserve"> the</w:t>
      </w:r>
      <w:r w:rsidR="00FD746D" w:rsidRPr="00E87A61">
        <w:rPr>
          <w:rFonts w:ascii="Times New Roman" w:hAnsi="Times New Roman" w:cs="Times New Roman"/>
          <w:sz w:val="24"/>
          <w:szCs w:val="24"/>
        </w:rPr>
        <w:t xml:space="preserve"> UK Industry. </w:t>
      </w:r>
      <w:r w:rsidR="00135488" w:rsidRPr="00E87A61">
        <w:rPr>
          <w:rFonts w:ascii="Times New Roman" w:hAnsi="Times New Roman" w:cs="Times New Roman"/>
          <w:sz w:val="24"/>
          <w:szCs w:val="24"/>
        </w:rPr>
        <w:t xml:space="preserve">  </w:t>
      </w:r>
      <w:bookmarkEnd w:id="0"/>
    </w:p>
    <w:p w14:paraId="39456839" w14:textId="4EE97397" w:rsidR="00F26953" w:rsidRPr="00E87A61" w:rsidRDefault="00F26953" w:rsidP="00F26953">
      <w:pPr>
        <w:rPr>
          <w:rFonts w:ascii="Arial" w:hAnsi="Arial" w:cs="Arial"/>
          <w:sz w:val="24"/>
          <w:szCs w:val="24"/>
        </w:rPr>
      </w:pPr>
    </w:p>
    <w:p w14:paraId="49ABA250" w14:textId="60B7FA92" w:rsidR="00214C89" w:rsidRPr="00E87A61" w:rsidRDefault="007C468D" w:rsidP="00214C89">
      <w:pPr>
        <w:spacing w:line="480" w:lineRule="auto"/>
        <w:jc w:val="both"/>
        <w:rPr>
          <w:rFonts w:ascii="Times New Roman" w:hAnsi="Times New Roman" w:cs="Times New Roman"/>
          <w:b/>
          <w:bCs/>
          <w:sz w:val="24"/>
          <w:szCs w:val="24"/>
          <w:u w:val="single"/>
        </w:rPr>
      </w:pPr>
      <w:r w:rsidRPr="00E87A61">
        <w:rPr>
          <w:rFonts w:ascii="Times New Roman" w:hAnsi="Times New Roman" w:cs="Times New Roman"/>
          <w:b/>
          <w:bCs/>
          <w:sz w:val="24"/>
          <w:szCs w:val="24"/>
          <w:u w:val="single"/>
        </w:rPr>
        <w:t xml:space="preserve">The UK Environmental Issue Pre-Paris Agreement  </w:t>
      </w:r>
    </w:p>
    <w:p w14:paraId="6D48DC58" w14:textId="3A9CB5F5" w:rsidR="007C468D" w:rsidRPr="00E87A61" w:rsidRDefault="007C468D" w:rsidP="007C468D">
      <w:pPr>
        <w:spacing w:line="480" w:lineRule="auto"/>
        <w:jc w:val="both"/>
        <w:rPr>
          <w:rFonts w:ascii="Times New Roman" w:hAnsi="Times New Roman" w:cs="Times New Roman"/>
          <w:sz w:val="24"/>
          <w:szCs w:val="24"/>
        </w:rPr>
      </w:pPr>
      <w:r w:rsidRPr="00E87A61">
        <w:rPr>
          <w:rFonts w:ascii="Times New Roman" w:hAnsi="Times New Roman" w:cs="Times New Roman"/>
          <w:sz w:val="24"/>
          <w:szCs w:val="24"/>
        </w:rPr>
        <w:t>Environmental issues within the UK have been cultivated over the years</w:t>
      </w:r>
      <w:r w:rsidR="00550DD1" w:rsidRPr="00E87A61">
        <w:rPr>
          <w:rFonts w:ascii="Times New Roman" w:hAnsi="Times New Roman" w:cs="Times New Roman"/>
          <w:sz w:val="24"/>
          <w:szCs w:val="24"/>
        </w:rPr>
        <w:t>,</w:t>
      </w:r>
      <w:r w:rsidRPr="00E87A61">
        <w:rPr>
          <w:rFonts w:ascii="Times New Roman" w:hAnsi="Times New Roman" w:cs="Times New Roman"/>
          <w:sz w:val="24"/>
          <w:szCs w:val="24"/>
        </w:rPr>
        <w:t xml:space="preserve"> due to </w:t>
      </w:r>
      <w:r w:rsidR="00550DD1" w:rsidRPr="00E87A61">
        <w:rPr>
          <w:rFonts w:ascii="Times New Roman" w:hAnsi="Times New Roman" w:cs="Times New Roman"/>
          <w:sz w:val="24"/>
          <w:szCs w:val="24"/>
        </w:rPr>
        <w:t>the country’s</w:t>
      </w:r>
      <w:r w:rsidRPr="00E87A61">
        <w:rPr>
          <w:rFonts w:ascii="Times New Roman" w:hAnsi="Times New Roman" w:cs="Times New Roman"/>
          <w:sz w:val="24"/>
          <w:szCs w:val="24"/>
        </w:rPr>
        <w:t xml:space="preserve"> high population and their contact with the natural habitats.  Issues such as air pollution</w:t>
      </w:r>
      <w:r w:rsidR="000D30D3">
        <w:rPr>
          <w:rFonts w:ascii="Times New Roman" w:hAnsi="Times New Roman" w:cs="Times New Roman"/>
          <w:sz w:val="24"/>
          <w:szCs w:val="24"/>
        </w:rPr>
        <w:t>,</w:t>
      </w:r>
      <w:r w:rsidRPr="00E87A61">
        <w:rPr>
          <w:rFonts w:ascii="Times New Roman" w:hAnsi="Times New Roman" w:cs="Times New Roman"/>
          <w:sz w:val="24"/>
          <w:szCs w:val="24"/>
        </w:rPr>
        <w:t xml:space="preserve"> effect many regions</w:t>
      </w:r>
      <w:r w:rsidR="00550DD1" w:rsidRPr="00E87A61">
        <w:rPr>
          <w:rFonts w:ascii="Times New Roman" w:hAnsi="Times New Roman" w:cs="Times New Roman"/>
          <w:sz w:val="24"/>
          <w:szCs w:val="24"/>
        </w:rPr>
        <w:t xml:space="preserve"> within the country,</w:t>
      </w:r>
      <w:r w:rsidR="00A82A78" w:rsidRPr="00E87A61">
        <w:rPr>
          <w:rFonts w:ascii="Times New Roman" w:hAnsi="Times New Roman" w:cs="Times New Roman"/>
          <w:sz w:val="24"/>
          <w:szCs w:val="24"/>
        </w:rPr>
        <w:t xml:space="preserve"> leading to direct and explicit health concerns for those exposed </w:t>
      </w:r>
      <w:sdt>
        <w:sdtPr>
          <w:rPr>
            <w:rFonts w:ascii="Times New Roman" w:hAnsi="Times New Roman" w:cs="Times New Roman"/>
            <w:sz w:val="24"/>
            <w:szCs w:val="24"/>
          </w:rPr>
          <w:id w:val="-1894883140"/>
          <w:citation/>
        </w:sdtPr>
        <w:sdtEndPr/>
        <w:sdtContent>
          <w:r w:rsidR="00A82A78" w:rsidRPr="00E87A61">
            <w:rPr>
              <w:rFonts w:ascii="Times New Roman" w:hAnsi="Times New Roman" w:cs="Times New Roman"/>
              <w:sz w:val="24"/>
              <w:szCs w:val="24"/>
            </w:rPr>
            <w:fldChar w:fldCharType="begin"/>
          </w:r>
          <w:r w:rsidR="00A82A78" w:rsidRPr="00E87A61">
            <w:rPr>
              <w:rFonts w:ascii="Times New Roman" w:hAnsi="Times New Roman" w:cs="Times New Roman"/>
              <w:sz w:val="24"/>
              <w:szCs w:val="24"/>
            </w:rPr>
            <w:instrText xml:space="preserve"> CITATION Coh17 \l 2057 </w:instrText>
          </w:r>
          <w:r w:rsidR="00A82A78" w:rsidRPr="00E87A61">
            <w:rPr>
              <w:rFonts w:ascii="Times New Roman" w:hAnsi="Times New Roman" w:cs="Times New Roman"/>
              <w:sz w:val="24"/>
              <w:szCs w:val="24"/>
            </w:rPr>
            <w:fldChar w:fldCharType="separate"/>
          </w:r>
          <w:r w:rsidR="00A82A78" w:rsidRPr="00E87A61">
            <w:rPr>
              <w:rFonts w:ascii="Times New Roman" w:hAnsi="Times New Roman" w:cs="Times New Roman"/>
              <w:noProof/>
              <w:sz w:val="24"/>
              <w:szCs w:val="24"/>
            </w:rPr>
            <w:t>(Cohen, et al., 2017)</w:t>
          </w:r>
          <w:r w:rsidR="00A82A78" w:rsidRPr="00E87A61">
            <w:rPr>
              <w:rFonts w:ascii="Times New Roman" w:hAnsi="Times New Roman" w:cs="Times New Roman"/>
              <w:sz w:val="24"/>
              <w:szCs w:val="24"/>
            </w:rPr>
            <w:fldChar w:fldCharType="end"/>
          </w:r>
        </w:sdtContent>
      </w:sdt>
      <w:r w:rsidR="00550DD1" w:rsidRPr="00E87A61">
        <w:rPr>
          <w:rFonts w:ascii="Times New Roman" w:hAnsi="Times New Roman" w:cs="Times New Roman"/>
          <w:sz w:val="24"/>
          <w:szCs w:val="24"/>
        </w:rPr>
        <w:t>. C</w:t>
      </w:r>
      <w:r w:rsidRPr="00E87A61">
        <w:rPr>
          <w:rFonts w:ascii="Times New Roman" w:hAnsi="Times New Roman" w:cs="Times New Roman"/>
          <w:sz w:val="24"/>
          <w:szCs w:val="24"/>
        </w:rPr>
        <w:t>oncerns about grazing and various other agriculture undertakings have had impacts throughout the country</w:t>
      </w:r>
      <w:r w:rsidR="007376DF" w:rsidRPr="00E87A61">
        <w:rPr>
          <w:rFonts w:ascii="Times New Roman" w:hAnsi="Times New Roman" w:cs="Times New Roman"/>
          <w:sz w:val="24"/>
          <w:szCs w:val="24"/>
        </w:rPr>
        <w:t xml:space="preserve"> and the industries operating within it. The UK’s coastal industries ha</w:t>
      </w:r>
      <w:r w:rsidR="00550DD1" w:rsidRPr="00E87A61">
        <w:rPr>
          <w:rFonts w:ascii="Times New Roman" w:hAnsi="Times New Roman" w:cs="Times New Roman"/>
          <w:sz w:val="24"/>
          <w:szCs w:val="24"/>
        </w:rPr>
        <w:t>ve</w:t>
      </w:r>
      <w:r w:rsidR="007376DF" w:rsidRPr="00E87A61">
        <w:rPr>
          <w:rFonts w:ascii="Times New Roman" w:hAnsi="Times New Roman" w:cs="Times New Roman"/>
          <w:sz w:val="24"/>
          <w:szCs w:val="24"/>
        </w:rPr>
        <w:t xml:space="preserve"> been shaped over recent years by various concerns</w:t>
      </w:r>
      <w:r w:rsidR="00550DD1" w:rsidRPr="00E87A61">
        <w:rPr>
          <w:rFonts w:ascii="Times New Roman" w:hAnsi="Times New Roman" w:cs="Times New Roman"/>
          <w:sz w:val="24"/>
          <w:szCs w:val="24"/>
        </w:rPr>
        <w:t xml:space="preserve">, these </w:t>
      </w:r>
      <w:r w:rsidR="007376DF" w:rsidRPr="00E87A61">
        <w:rPr>
          <w:rFonts w:ascii="Times New Roman" w:hAnsi="Times New Roman" w:cs="Times New Roman"/>
          <w:sz w:val="24"/>
          <w:szCs w:val="24"/>
        </w:rPr>
        <w:t>includ</w:t>
      </w:r>
      <w:r w:rsidR="00550DD1" w:rsidRPr="00E87A61">
        <w:rPr>
          <w:rFonts w:ascii="Times New Roman" w:hAnsi="Times New Roman" w:cs="Times New Roman"/>
          <w:sz w:val="24"/>
          <w:szCs w:val="24"/>
        </w:rPr>
        <w:t>e</w:t>
      </w:r>
      <w:r w:rsidR="007376DF" w:rsidRPr="00E87A61">
        <w:rPr>
          <w:rFonts w:ascii="Times New Roman" w:hAnsi="Times New Roman" w:cs="Times New Roman"/>
          <w:sz w:val="24"/>
          <w:szCs w:val="24"/>
        </w:rPr>
        <w:t xml:space="preserve"> an increasing tourist and leisure industry, building of shoreline housing and industry facilities. </w:t>
      </w:r>
      <w:r w:rsidR="00550DD1" w:rsidRPr="00E87A61">
        <w:rPr>
          <w:rFonts w:ascii="Times New Roman" w:hAnsi="Times New Roman" w:cs="Times New Roman"/>
          <w:sz w:val="24"/>
          <w:szCs w:val="24"/>
        </w:rPr>
        <w:t>Furthermore, c</w:t>
      </w:r>
      <w:r w:rsidR="007376DF" w:rsidRPr="00E87A61">
        <w:rPr>
          <w:rFonts w:ascii="Times New Roman" w:hAnsi="Times New Roman" w:cs="Times New Roman"/>
          <w:sz w:val="24"/>
          <w:szCs w:val="24"/>
        </w:rPr>
        <w:t>oncerns with the reduction of fish stocks</w:t>
      </w:r>
      <w:r w:rsidR="00550DD1" w:rsidRPr="00E87A61">
        <w:rPr>
          <w:rFonts w:ascii="Times New Roman" w:hAnsi="Times New Roman" w:cs="Times New Roman"/>
          <w:sz w:val="24"/>
          <w:szCs w:val="24"/>
        </w:rPr>
        <w:t>,</w:t>
      </w:r>
      <w:r w:rsidR="007376DF" w:rsidRPr="00E87A61">
        <w:rPr>
          <w:rFonts w:ascii="Times New Roman" w:hAnsi="Times New Roman" w:cs="Times New Roman"/>
          <w:sz w:val="24"/>
          <w:szCs w:val="24"/>
        </w:rPr>
        <w:t xml:space="preserve"> can be equated to overfishing</w:t>
      </w:r>
      <w:r w:rsidR="00C61DDC" w:rsidRPr="00E87A61">
        <w:rPr>
          <w:rFonts w:ascii="Times New Roman" w:hAnsi="Times New Roman" w:cs="Times New Roman"/>
          <w:sz w:val="24"/>
          <w:szCs w:val="24"/>
        </w:rPr>
        <w:t xml:space="preserve"> </w:t>
      </w:r>
      <w:r w:rsidR="007376DF" w:rsidRPr="00E87A61">
        <w:rPr>
          <w:rFonts w:ascii="Times New Roman" w:hAnsi="Times New Roman" w:cs="Times New Roman"/>
          <w:sz w:val="24"/>
          <w:szCs w:val="24"/>
        </w:rPr>
        <w:t xml:space="preserve">and the increase in </w:t>
      </w:r>
      <w:r w:rsidR="00550DD1" w:rsidRPr="00E87A61">
        <w:rPr>
          <w:rFonts w:ascii="Times New Roman" w:hAnsi="Times New Roman" w:cs="Times New Roman"/>
          <w:sz w:val="24"/>
          <w:szCs w:val="24"/>
        </w:rPr>
        <w:t>sea</w:t>
      </w:r>
      <w:r w:rsidR="007376DF" w:rsidRPr="00E87A61">
        <w:rPr>
          <w:rFonts w:ascii="Times New Roman" w:hAnsi="Times New Roman" w:cs="Times New Roman"/>
          <w:sz w:val="24"/>
          <w:szCs w:val="24"/>
        </w:rPr>
        <w:t xml:space="preserve"> temperature</w:t>
      </w:r>
      <w:r w:rsidR="00C61DDC" w:rsidRPr="00E87A61">
        <w:rPr>
          <w:rFonts w:ascii="Times New Roman" w:hAnsi="Times New Roman" w:cs="Times New Roman"/>
          <w:sz w:val="24"/>
          <w:szCs w:val="24"/>
        </w:rPr>
        <w:t xml:space="preserve"> </w:t>
      </w:r>
      <w:sdt>
        <w:sdtPr>
          <w:rPr>
            <w:rFonts w:ascii="Times New Roman" w:hAnsi="Times New Roman" w:cs="Times New Roman"/>
            <w:sz w:val="24"/>
            <w:szCs w:val="24"/>
          </w:rPr>
          <w:id w:val="-2056767106"/>
          <w:citation/>
        </w:sdtPr>
        <w:sdtEndPr/>
        <w:sdtContent>
          <w:r w:rsidRPr="00E87A61">
            <w:rPr>
              <w:rFonts w:ascii="Times New Roman" w:hAnsi="Times New Roman" w:cs="Times New Roman"/>
              <w:sz w:val="24"/>
              <w:szCs w:val="24"/>
            </w:rPr>
            <w:fldChar w:fldCharType="begin"/>
          </w:r>
          <w:r w:rsidRPr="00E87A61">
            <w:rPr>
              <w:rFonts w:ascii="Times New Roman" w:hAnsi="Times New Roman" w:cs="Times New Roman"/>
              <w:sz w:val="24"/>
              <w:szCs w:val="24"/>
            </w:rPr>
            <w:instrText xml:space="preserve"> CITATION BAB15 \l 2057 </w:instrText>
          </w:r>
          <w:r w:rsidRPr="00E87A61">
            <w:rPr>
              <w:rFonts w:ascii="Times New Roman" w:hAnsi="Times New Roman" w:cs="Times New Roman"/>
              <w:sz w:val="24"/>
              <w:szCs w:val="24"/>
            </w:rPr>
            <w:fldChar w:fldCharType="separate"/>
          </w:r>
          <w:r w:rsidRPr="00E87A61">
            <w:rPr>
              <w:rFonts w:ascii="Times New Roman" w:hAnsi="Times New Roman" w:cs="Times New Roman"/>
              <w:noProof/>
              <w:sz w:val="24"/>
              <w:szCs w:val="24"/>
            </w:rPr>
            <w:t>(Smith, 2015)</w:t>
          </w:r>
          <w:r w:rsidRPr="00E87A61">
            <w:rPr>
              <w:rFonts w:ascii="Times New Roman" w:hAnsi="Times New Roman" w:cs="Times New Roman"/>
              <w:sz w:val="24"/>
              <w:szCs w:val="24"/>
            </w:rPr>
            <w:fldChar w:fldCharType="end"/>
          </w:r>
        </w:sdtContent>
      </w:sdt>
      <w:r w:rsidR="00C61DDC" w:rsidRPr="00E87A61">
        <w:rPr>
          <w:rFonts w:ascii="Times New Roman" w:hAnsi="Times New Roman" w:cs="Times New Roman"/>
          <w:sz w:val="24"/>
          <w:szCs w:val="24"/>
        </w:rPr>
        <w:t>.</w:t>
      </w:r>
      <w:r w:rsidR="00A82A78" w:rsidRPr="00E87A61">
        <w:rPr>
          <w:rFonts w:ascii="Times New Roman" w:hAnsi="Times New Roman" w:cs="Times New Roman"/>
          <w:sz w:val="24"/>
          <w:szCs w:val="24"/>
        </w:rPr>
        <w:t xml:space="preserve"> These are just a few of the growing environmental concerns </w:t>
      </w:r>
      <w:r w:rsidR="00550DD1" w:rsidRPr="00E87A61">
        <w:rPr>
          <w:rFonts w:ascii="Times New Roman" w:hAnsi="Times New Roman" w:cs="Times New Roman"/>
          <w:sz w:val="24"/>
          <w:szCs w:val="24"/>
        </w:rPr>
        <w:t xml:space="preserve">that the </w:t>
      </w:r>
      <w:r w:rsidR="00A82A78" w:rsidRPr="00E87A61">
        <w:rPr>
          <w:rFonts w:ascii="Times New Roman" w:hAnsi="Times New Roman" w:cs="Times New Roman"/>
          <w:sz w:val="24"/>
          <w:szCs w:val="24"/>
        </w:rPr>
        <w:t xml:space="preserve">UK </w:t>
      </w:r>
      <w:r w:rsidR="00C61DDC" w:rsidRPr="00E87A61">
        <w:rPr>
          <w:rFonts w:ascii="Times New Roman" w:hAnsi="Times New Roman" w:cs="Times New Roman"/>
          <w:sz w:val="24"/>
          <w:szCs w:val="24"/>
        </w:rPr>
        <w:t xml:space="preserve">government </w:t>
      </w:r>
      <w:r w:rsidR="00A82A78" w:rsidRPr="00E87A61">
        <w:rPr>
          <w:rFonts w:ascii="Times New Roman" w:hAnsi="Times New Roman" w:cs="Times New Roman"/>
          <w:sz w:val="24"/>
          <w:szCs w:val="24"/>
        </w:rPr>
        <w:t>promise</w:t>
      </w:r>
      <w:r w:rsidR="00C61DDC" w:rsidRPr="00E87A61">
        <w:rPr>
          <w:rFonts w:ascii="Times New Roman" w:hAnsi="Times New Roman" w:cs="Times New Roman"/>
          <w:sz w:val="24"/>
          <w:szCs w:val="24"/>
        </w:rPr>
        <w:t xml:space="preserve"> to improve by adhering to the various sectors within the Paris Agreement.  </w:t>
      </w:r>
    </w:p>
    <w:p w14:paraId="4D4787D5" w14:textId="77777777" w:rsidR="00D200A3" w:rsidRPr="00E87A61" w:rsidRDefault="00D200A3" w:rsidP="00214C89">
      <w:pPr>
        <w:spacing w:line="480" w:lineRule="auto"/>
        <w:jc w:val="both"/>
        <w:rPr>
          <w:rFonts w:ascii="Times New Roman" w:hAnsi="Times New Roman" w:cs="Times New Roman"/>
          <w:b/>
          <w:bCs/>
          <w:sz w:val="24"/>
          <w:szCs w:val="24"/>
          <w:u w:val="single"/>
        </w:rPr>
      </w:pPr>
    </w:p>
    <w:p w14:paraId="56D4E136" w14:textId="77777777" w:rsidR="00D200A3" w:rsidRPr="00E87A61" w:rsidRDefault="00D200A3" w:rsidP="00214C89">
      <w:pPr>
        <w:spacing w:line="480" w:lineRule="auto"/>
        <w:jc w:val="both"/>
        <w:rPr>
          <w:rFonts w:ascii="Times New Roman" w:hAnsi="Times New Roman" w:cs="Times New Roman"/>
          <w:b/>
          <w:bCs/>
          <w:sz w:val="24"/>
          <w:szCs w:val="24"/>
          <w:u w:val="single"/>
        </w:rPr>
      </w:pPr>
    </w:p>
    <w:p w14:paraId="7298104E" w14:textId="77777777" w:rsidR="0083759D" w:rsidRPr="00E87A61" w:rsidRDefault="0083759D" w:rsidP="00214C89">
      <w:pPr>
        <w:spacing w:line="480" w:lineRule="auto"/>
        <w:jc w:val="both"/>
        <w:rPr>
          <w:rFonts w:ascii="Times New Roman" w:hAnsi="Times New Roman" w:cs="Times New Roman"/>
          <w:b/>
          <w:bCs/>
          <w:sz w:val="24"/>
          <w:szCs w:val="24"/>
          <w:u w:val="single"/>
        </w:rPr>
      </w:pPr>
    </w:p>
    <w:p w14:paraId="026C4A46" w14:textId="3DD013E5" w:rsidR="00441376" w:rsidRPr="00E87A61" w:rsidRDefault="00047D34" w:rsidP="00214C89">
      <w:pPr>
        <w:spacing w:line="480" w:lineRule="auto"/>
        <w:jc w:val="both"/>
        <w:rPr>
          <w:rFonts w:ascii="Times New Roman" w:hAnsi="Times New Roman" w:cs="Times New Roman"/>
          <w:b/>
          <w:bCs/>
          <w:sz w:val="24"/>
          <w:szCs w:val="24"/>
          <w:u w:val="single"/>
        </w:rPr>
      </w:pPr>
      <w:r w:rsidRPr="00E87A61">
        <w:rPr>
          <w:rFonts w:ascii="Times New Roman" w:hAnsi="Times New Roman" w:cs="Times New Roman"/>
          <w:b/>
          <w:bCs/>
          <w:sz w:val="24"/>
          <w:szCs w:val="24"/>
          <w:u w:val="single"/>
        </w:rPr>
        <w:lastRenderedPageBreak/>
        <w:t>Supply and Demand</w:t>
      </w:r>
      <w:r w:rsidR="0053688A" w:rsidRPr="00E87A61">
        <w:rPr>
          <w:rFonts w:ascii="Times New Roman" w:hAnsi="Times New Roman" w:cs="Times New Roman"/>
          <w:b/>
          <w:bCs/>
          <w:sz w:val="24"/>
          <w:szCs w:val="24"/>
          <w:u w:val="single"/>
        </w:rPr>
        <w:t xml:space="preserve"> within UK Industry</w:t>
      </w:r>
      <w:r w:rsidRPr="00E87A61">
        <w:rPr>
          <w:rFonts w:ascii="Times New Roman" w:hAnsi="Times New Roman" w:cs="Times New Roman"/>
          <w:b/>
          <w:bCs/>
          <w:sz w:val="24"/>
          <w:szCs w:val="24"/>
          <w:u w:val="single"/>
        </w:rPr>
        <w:t xml:space="preserve"> </w:t>
      </w:r>
    </w:p>
    <w:p w14:paraId="19C9940A" w14:textId="42C223CD" w:rsidR="00403C2D" w:rsidRPr="00E87A61" w:rsidRDefault="00C61DDC" w:rsidP="00214C89">
      <w:pPr>
        <w:spacing w:line="480" w:lineRule="auto"/>
        <w:jc w:val="both"/>
        <w:rPr>
          <w:rFonts w:ascii="Times New Roman" w:hAnsi="Times New Roman" w:cs="Times New Roman"/>
          <w:sz w:val="24"/>
          <w:szCs w:val="24"/>
        </w:rPr>
      </w:pPr>
      <w:r w:rsidRPr="00E87A61">
        <w:rPr>
          <w:rFonts w:ascii="Times New Roman" w:hAnsi="Times New Roman" w:cs="Times New Roman"/>
          <w:sz w:val="24"/>
          <w:szCs w:val="24"/>
        </w:rPr>
        <w:t xml:space="preserve">A Government report from 2017 stated that as the British population gets more affluent then demand for infrastructure services grows. The UK people are consuming </w:t>
      </w:r>
      <w:r w:rsidR="00403C2D" w:rsidRPr="00E87A61">
        <w:rPr>
          <w:rFonts w:ascii="Times New Roman" w:hAnsi="Times New Roman" w:cs="Times New Roman"/>
          <w:sz w:val="24"/>
          <w:szCs w:val="24"/>
        </w:rPr>
        <w:t>greater quantities of</w:t>
      </w:r>
      <w:r w:rsidRPr="00E87A61">
        <w:rPr>
          <w:rFonts w:ascii="Times New Roman" w:hAnsi="Times New Roman" w:cs="Times New Roman"/>
          <w:sz w:val="24"/>
          <w:szCs w:val="24"/>
        </w:rPr>
        <w:t xml:space="preserve"> </w:t>
      </w:r>
      <w:r w:rsidR="00403C2D" w:rsidRPr="00E87A61">
        <w:rPr>
          <w:rFonts w:ascii="Times New Roman" w:hAnsi="Times New Roman" w:cs="Times New Roman"/>
          <w:sz w:val="24"/>
          <w:szCs w:val="24"/>
        </w:rPr>
        <w:t>energy</w:t>
      </w:r>
      <w:r w:rsidRPr="00E87A61">
        <w:rPr>
          <w:rFonts w:ascii="Times New Roman" w:hAnsi="Times New Roman" w:cs="Times New Roman"/>
          <w:sz w:val="24"/>
          <w:szCs w:val="24"/>
        </w:rPr>
        <w:t xml:space="preserve"> </w:t>
      </w:r>
      <w:r w:rsidR="00403C2D" w:rsidRPr="00E87A61">
        <w:rPr>
          <w:rFonts w:ascii="Times New Roman" w:hAnsi="Times New Roman" w:cs="Times New Roman"/>
          <w:sz w:val="24"/>
          <w:szCs w:val="24"/>
        </w:rPr>
        <w:t>and water and the production of waste has increased. Moreover</w:t>
      </w:r>
      <w:r w:rsidR="0053688A" w:rsidRPr="00E87A61">
        <w:rPr>
          <w:rFonts w:ascii="Times New Roman" w:hAnsi="Times New Roman" w:cs="Times New Roman"/>
          <w:sz w:val="24"/>
          <w:szCs w:val="24"/>
        </w:rPr>
        <w:t>,</w:t>
      </w:r>
      <w:r w:rsidR="00403C2D" w:rsidRPr="00E87A61">
        <w:rPr>
          <w:rFonts w:ascii="Times New Roman" w:hAnsi="Times New Roman" w:cs="Times New Roman"/>
          <w:sz w:val="24"/>
          <w:szCs w:val="24"/>
        </w:rPr>
        <w:t xml:space="preserve"> </w:t>
      </w:r>
      <w:r w:rsidR="00550DD1" w:rsidRPr="00E87A61">
        <w:rPr>
          <w:rFonts w:ascii="Times New Roman" w:hAnsi="Times New Roman" w:cs="Times New Roman"/>
          <w:sz w:val="24"/>
          <w:szCs w:val="24"/>
        </w:rPr>
        <w:t xml:space="preserve">due to </w:t>
      </w:r>
      <w:r w:rsidR="00403C2D" w:rsidRPr="00E87A61">
        <w:rPr>
          <w:rFonts w:ascii="Times New Roman" w:hAnsi="Times New Roman" w:cs="Times New Roman"/>
          <w:sz w:val="24"/>
          <w:szCs w:val="24"/>
        </w:rPr>
        <w:t xml:space="preserve">work related reasons </w:t>
      </w:r>
      <w:r w:rsidR="00550DD1" w:rsidRPr="00E87A61">
        <w:rPr>
          <w:rFonts w:ascii="Times New Roman" w:hAnsi="Times New Roman" w:cs="Times New Roman"/>
          <w:sz w:val="24"/>
          <w:szCs w:val="24"/>
        </w:rPr>
        <w:t>and</w:t>
      </w:r>
      <w:r w:rsidR="00403C2D" w:rsidRPr="00E87A61">
        <w:rPr>
          <w:rFonts w:ascii="Times New Roman" w:hAnsi="Times New Roman" w:cs="Times New Roman"/>
          <w:sz w:val="24"/>
          <w:szCs w:val="24"/>
        </w:rPr>
        <w:t xml:space="preserve"> leisure</w:t>
      </w:r>
      <w:r w:rsidR="00550DD1" w:rsidRPr="00E87A61">
        <w:rPr>
          <w:rFonts w:ascii="Times New Roman" w:hAnsi="Times New Roman" w:cs="Times New Roman"/>
          <w:sz w:val="24"/>
          <w:szCs w:val="24"/>
        </w:rPr>
        <w:t>,</w:t>
      </w:r>
      <w:r w:rsidR="00403C2D" w:rsidRPr="00E87A61">
        <w:rPr>
          <w:rFonts w:ascii="Times New Roman" w:hAnsi="Times New Roman" w:cs="Times New Roman"/>
          <w:sz w:val="24"/>
          <w:szCs w:val="24"/>
        </w:rPr>
        <w:t xml:space="preserve"> people are traveling much more frequently and over longer distances. These growths in production will require the UK to provide more infrastructure services</w:t>
      </w:r>
      <w:r w:rsidR="00FE2D8E" w:rsidRPr="00E87A61">
        <w:rPr>
          <w:rFonts w:ascii="Times New Roman" w:hAnsi="Times New Roman" w:cs="Times New Roman"/>
          <w:sz w:val="24"/>
          <w:szCs w:val="24"/>
        </w:rPr>
        <w:t xml:space="preserve">, this will be determined on what industry sectors grow the most. </w:t>
      </w:r>
      <w:r w:rsidR="00403C2D" w:rsidRPr="00E87A61">
        <w:rPr>
          <w:rFonts w:ascii="Times New Roman" w:hAnsi="Times New Roman" w:cs="Times New Roman"/>
          <w:sz w:val="24"/>
          <w:szCs w:val="24"/>
        </w:rPr>
        <w:t>However, Government stated that there will be differences within demand for infrastructure within s</w:t>
      </w:r>
      <w:r w:rsidR="00D07C30" w:rsidRPr="00E87A61">
        <w:rPr>
          <w:rFonts w:ascii="Times New Roman" w:hAnsi="Times New Roman" w:cs="Times New Roman"/>
          <w:sz w:val="24"/>
          <w:szCs w:val="24"/>
        </w:rPr>
        <w:t>ervices</w:t>
      </w:r>
      <w:r w:rsidR="00403C2D" w:rsidRPr="00E87A61">
        <w:rPr>
          <w:rFonts w:ascii="Times New Roman" w:hAnsi="Times New Roman" w:cs="Times New Roman"/>
          <w:sz w:val="24"/>
          <w:szCs w:val="24"/>
        </w:rPr>
        <w:t xml:space="preserve"> and manufacturing</w:t>
      </w:r>
      <w:r w:rsidR="00FE2D8E" w:rsidRPr="00E87A61">
        <w:rPr>
          <w:rFonts w:ascii="Times New Roman" w:hAnsi="Times New Roman" w:cs="Times New Roman"/>
          <w:sz w:val="24"/>
          <w:szCs w:val="24"/>
        </w:rPr>
        <w:t xml:space="preserve"> </w:t>
      </w:r>
      <w:sdt>
        <w:sdtPr>
          <w:rPr>
            <w:rFonts w:ascii="Times New Roman" w:hAnsi="Times New Roman" w:cs="Times New Roman"/>
            <w:sz w:val="24"/>
            <w:szCs w:val="24"/>
          </w:rPr>
          <w:id w:val="286087449"/>
          <w:citation/>
        </w:sdtPr>
        <w:sdtEndPr/>
        <w:sdtContent>
          <w:r w:rsidR="00FE2D8E" w:rsidRPr="00E87A61">
            <w:rPr>
              <w:rFonts w:ascii="Times New Roman" w:hAnsi="Times New Roman" w:cs="Times New Roman"/>
              <w:sz w:val="24"/>
              <w:szCs w:val="24"/>
            </w:rPr>
            <w:fldChar w:fldCharType="begin"/>
          </w:r>
          <w:r w:rsidR="00FE2D8E" w:rsidRPr="00E87A61">
            <w:rPr>
              <w:rFonts w:ascii="Times New Roman" w:hAnsi="Times New Roman" w:cs="Times New Roman"/>
              <w:sz w:val="24"/>
              <w:szCs w:val="24"/>
            </w:rPr>
            <w:instrText xml:space="preserve"> CITATION NIC17 \l 2057 </w:instrText>
          </w:r>
          <w:r w:rsidR="00FE2D8E" w:rsidRPr="00E87A61">
            <w:rPr>
              <w:rFonts w:ascii="Times New Roman" w:hAnsi="Times New Roman" w:cs="Times New Roman"/>
              <w:sz w:val="24"/>
              <w:szCs w:val="24"/>
            </w:rPr>
            <w:fldChar w:fldCharType="separate"/>
          </w:r>
          <w:r w:rsidR="00FE2D8E" w:rsidRPr="00E87A61">
            <w:rPr>
              <w:rFonts w:ascii="Times New Roman" w:hAnsi="Times New Roman" w:cs="Times New Roman"/>
              <w:noProof/>
              <w:sz w:val="24"/>
              <w:szCs w:val="24"/>
            </w:rPr>
            <w:t>(NIC, 2017)</w:t>
          </w:r>
          <w:r w:rsidR="00FE2D8E" w:rsidRPr="00E87A61">
            <w:rPr>
              <w:rFonts w:ascii="Times New Roman" w:hAnsi="Times New Roman" w:cs="Times New Roman"/>
              <w:sz w:val="24"/>
              <w:szCs w:val="24"/>
            </w:rPr>
            <w:fldChar w:fldCharType="end"/>
          </w:r>
        </w:sdtContent>
      </w:sdt>
      <w:r w:rsidR="00403C2D" w:rsidRPr="00E87A61">
        <w:rPr>
          <w:rFonts w:ascii="Times New Roman" w:hAnsi="Times New Roman" w:cs="Times New Roman"/>
          <w:sz w:val="24"/>
          <w:szCs w:val="24"/>
        </w:rPr>
        <w:t>.</w:t>
      </w:r>
    </w:p>
    <w:p w14:paraId="180AD7DD" w14:textId="2BAA21B2" w:rsidR="0053688A" w:rsidRPr="00E87A61" w:rsidRDefault="0053688A" w:rsidP="00214C89">
      <w:pPr>
        <w:spacing w:line="480" w:lineRule="auto"/>
        <w:jc w:val="both"/>
        <w:rPr>
          <w:rFonts w:ascii="Times New Roman" w:hAnsi="Times New Roman" w:cs="Times New Roman"/>
          <w:sz w:val="24"/>
          <w:szCs w:val="24"/>
        </w:rPr>
      </w:pPr>
      <w:r w:rsidRPr="00E87A61">
        <w:rPr>
          <w:rFonts w:ascii="Times New Roman" w:hAnsi="Times New Roman" w:cs="Times New Roman"/>
          <w:sz w:val="24"/>
          <w:szCs w:val="24"/>
        </w:rPr>
        <w:t xml:space="preserve">In relation to the supply and demand of UK industries, the objective is to analyse </w:t>
      </w:r>
      <w:r w:rsidR="00550DD1" w:rsidRPr="00E87A61">
        <w:rPr>
          <w:rFonts w:ascii="Times New Roman" w:hAnsi="Times New Roman" w:cs="Times New Roman"/>
          <w:sz w:val="24"/>
          <w:szCs w:val="24"/>
        </w:rPr>
        <w:t xml:space="preserve">these </w:t>
      </w:r>
      <w:r w:rsidRPr="00E87A61">
        <w:rPr>
          <w:rFonts w:ascii="Times New Roman" w:hAnsi="Times New Roman" w:cs="Times New Roman"/>
          <w:sz w:val="24"/>
          <w:szCs w:val="24"/>
        </w:rPr>
        <w:t xml:space="preserve">market conditions and price variations and make </w:t>
      </w:r>
      <w:r w:rsidR="00550DD1" w:rsidRPr="00E87A61">
        <w:rPr>
          <w:rFonts w:ascii="Times New Roman" w:hAnsi="Times New Roman" w:cs="Times New Roman"/>
          <w:sz w:val="24"/>
          <w:szCs w:val="24"/>
        </w:rPr>
        <w:t xml:space="preserve">any </w:t>
      </w:r>
      <w:r w:rsidRPr="00E87A61">
        <w:rPr>
          <w:rFonts w:ascii="Times New Roman" w:hAnsi="Times New Roman" w:cs="Times New Roman"/>
          <w:sz w:val="24"/>
          <w:szCs w:val="24"/>
        </w:rPr>
        <w:t>output changes accordingly</w:t>
      </w:r>
      <w:r w:rsidR="00552CB6" w:rsidRPr="00E87A61">
        <w:rPr>
          <w:rFonts w:ascii="Times New Roman" w:hAnsi="Times New Roman" w:cs="Times New Roman"/>
          <w:sz w:val="24"/>
          <w:szCs w:val="24"/>
        </w:rPr>
        <w:t>. The level of demand from consumers relates to the quantity of goods or services they are able or prepared to purchase over a period of time</w:t>
      </w:r>
      <w:r w:rsidR="0059739E" w:rsidRPr="00E87A61">
        <w:rPr>
          <w:rFonts w:ascii="Times New Roman" w:hAnsi="Times New Roman" w:cs="Times New Roman"/>
          <w:sz w:val="24"/>
          <w:szCs w:val="24"/>
        </w:rPr>
        <w:t xml:space="preserve">. Prices </w:t>
      </w:r>
      <w:r w:rsidR="00550DD1" w:rsidRPr="00E87A61">
        <w:rPr>
          <w:rFonts w:ascii="Times New Roman" w:hAnsi="Times New Roman" w:cs="Times New Roman"/>
          <w:sz w:val="24"/>
          <w:szCs w:val="24"/>
        </w:rPr>
        <w:t>effect</w:t>
      </w:r>
      <w:r w:rsidR="0059739E" w:rsidRPr="00E87A61">
        <w:rPr>
          <w:rFonts w:ascii="Times New Roman" w:hAnsi="Times New Roman" w:cs="Times New Roman"/>
          <w:sz w:val="24"/>
          <w:szCs w:val="24"/>
        </w:rPr>
        <w:t xml:space="preserve"> variations in supply, shortages cause prices to rise while a surplus in supplies will lead to prices falling. The equilibrium point is where supply equals demand</w:t>
      </w:r>
      <w:r w:rsidR="0052341F" w:rsidRPr="00E87A61">
        <w:rPr>
          <w:rFonts w:ascii="Times New Roman" w:hAnsi="Times New Roman" w:cs="Times New Roman"/>
          <w:sz w:val="24"/>
          <w:szCs w:val="24"/>
        </w:rPr>
        <w:t>,</w:t>
      </w:r>
      <w:r w:rsidR="0059739E" w:rsidRPr="00E87A61">
        <w:rPr>
          <w:rFonts w:ascii="Times New Roman" w:hAnsi="Times New Roman" w:cs="Times New Roman"/>
          <w:sz w:val="24"/>
          <w:szCs w:val="24"/>
        </w:rPr>
        <w:t xml:space="preserve"> form</w:t>
      </w:r>
      <w:r w:rsidR="0052341F" w:rsidRPr="00E87A61">
        <w:rPr>
          <w:rFonts w:ascii="Times New Roman" w:hAnsi="Times New Roman" w:cs="Times New Roman"/>
          <w:sz w:val="24"/>
          <w:szCs w:val="24"/>
        </w:rPr>
        <w:t>ing</w:t>
      </w:r>
      <w:r w:rsidR="0059739E" w:rsidRPr="00E87A61">
        <w:rPr>
          <w:rFonts w:ascii="Times New Roman" w:hAnsi="Times New Roman" w:cs="Times New Roman"/>
          <w:sz w:val="24"/>
          <w:szCs w:val="24"/>
        </w:rPr>
        <w:t xml:space="preserve"> a state of balance</w:t>
      </w:r>
      <w:r w:rsidR="0052341F" w:rsidRPr="00E87A61">
        <w:rPr>
          <w:rFonts w:ascii="Times New Roman" w:hAnsi="Times New Roman" w:cs="Times New Roman"/>
          <w:sz w:val="24"/>
          <w:szCs w:val="24"/>
        </w:rPr>
        <w:t>,</w:t>
      </w:r>
      <w:r w:rsidR="00550DD1" w:rsidRPr="00E87A61">
        <w:rPr>
          <w:rFonts w:ascii="Times New Roman" w:hAnsi="Times New Roman" w:cs="Times New Roman"/>
          <w:sz w:val="24"/>
          <w:szCs w:val="24"/>
        </w:rPr>
        <w:t xml:space="preserve"> offering </w:t>
      </w:r>
      <w:r w:rsidR="0052341F" w:rsidRPr="00E87A61">
        <w:rPr>
          <w:rFonts w:ascii="Times New Roman" w:hAnsi="Times New Roman" w:cs="Times New Roman"/>
          <w:sz w:val="24"/>
          <w:szCs w:val="24"/>
        </w:rPr>
        <w:t>consumer and producer the ideal price and quantity volumes</w:t>
      </w:r>
      <w:r w:rsidR="0059739E" w:rsidRPr="00E87A61">
        <w:rPr>
          <w:rFonts w:ascii="Times New Roman" w:hAnsi="Times New Roman" w:cs="Times New Roman"/>
          <w:sz w:val="24"/>
          <w:szCs w:val="24"/>
        </w:rPr>
        <w:t xml:space="preserve"> </w:t>
      </w:r>
      <w:r w:rsidR="00A85687" w:rsidRPr="00E87A61">
        <w:rPr>
          <w:rFonts w:ascii="Times New Roman" w:hAnsi="Times New Roman" w:cs="Times New Roman"/>
          <w:noProof/>
          <w:sz w:val="24"/>
          <w:szCs w:val="24"/>
        </w:rPr>
        <w:t xml:space="preserve"> (Sloman, </w:t>
      </w:r>
      <w:r w:rsidR="00A85687">
        <w:rPr>
          <w:rFonts w:ascii="Times New Roman" w:hAnsi="Times New Roman" w:cs="Times New Roman"/>
          <w:noProof/>
          <w:sz w:val="24"/>
          <w:szCs w:val="24"/>
        </w:rPr>
        <w:t>et al</w:t>
      </w:r>
      <w:r w:rsidR="00A85687" w:rsidRPr="00E87A61">
        <w:rPr>
          <w:rFonts w:ascii="Times New Roman" w:hAnsi="Times New Roman" w:cs="Times New Roman"/>
          <w:noProof/>
          <w:sz w:val="24"/>
          <w:szCs w:val="24"/>
        </w:rPr>
        <w:t>, 2013)</w:t>
      </w:r>
      <w:r w:rsidR="0059739E" w:rsidRPr="00E87A61">
        <w:rPr>
          <w:rFonts w:ascii="Times New Roman" w:hAnsi="Times New Roman" w:cs="Times New Roman"/>
          <w:sz w:val="24"/>
          <w:szCs w:val="24"/>
        </w:rPr>
        <w:t xml:space="preserve">. </w:t>
      </w:r>
      <w:r w:rsidRPr="00E87A61">
        <w:rPr>
          <w:rFonts w:ascii="Times New Roman" w:hAnsi="Times New Roman" w:cs="Times New Roman"/>
          <w:sz w:val="24"/>
          <w:szCs w:val="24"/>
        </w:rPr>
        <w:t xml:space="preserve"> </w:t>
      </w:r>
      <w:r w:rsidR="0059739E" w:rsidRPr="00E87A61">
        <w:rPr>
          <w:rFonts w:ascii="Times New Roman" w:hAnsi="Times New Roman" w:cs="Times New Roman"/>
          <w:sz w:val="24"/>
          <w:szCs w:val="24"/>
        </w:rPr>
        <w:t>Figure 1</w:t>
      </w:r>
      <w:r w:rsidR="00A71304" w:rsidRPr="00E87A61">
        <w:rPr>
          <w:rFonts w:ascii="Times New Roman" w:hAnsi="Times New Roman" w:cs="Times New Roman"/>
          <w:sz w:val="24"/>
          <w:szCs w:val="24"/>
        </w:rPr>
        <w:t xml:space="preserve"> below</w:t>
      </w:r>
      <w:r w:rsidR="0059739E" w:rsidRPr="00E87A61">
        <w:rPr>
          <w:rFonts w:ascii="Times New Roman" w:hAnsi="Times New Roman" w:cs="Times New Roman"/>
          <w:sz w:val="24"/>
          <w:szCs w:val="24"/>
        </w:rPr>
        <w:t xml:space="preserve"> show</w:t>
      </w:r>
      <w:r w:rsidR="00A71304" w:rsidRPr="00E87A61">
        <w:rPr>
          <w:rFonts w:ascii="Times New Roman" w:hAnsi="Times New Roman" w:cs="Times New Roman"/>
          <w:sz w:val="24"/>
          <w:szCs w:val="24"/>
        </w:rPr>
        <w:t>s</w:t>
      </w:r>
      <w:r w:rsidR="0059739E" w:rsidRPr="00E87A61">
        <w:rPr>
          <w:rFonts w:ascii="Times New Roman" w:hAnsi="Times New Roman" w:cs="Times New Roman"/>
          <w:sz w:val="24"/>
          <w:szCs w:val="24"/>
        </w:rPr>
        <w:t xml:space="preserve"> a basic supply and demand curve and the equilibrium point.</w:t>
      </w:r>
    </w:p>
    <w:p w14:paraId="0C161785" w14:textId="3188F613" w:rsidR="00047D34" w:rsidRPr="00E87A61" w:rsidRDefault="00887755" w:rsidP="00C25C77">
      <w:pPr>
        <w:keepNext/>
        <w:spacing w:line="480" w:lineRule="auto"/>
        <w:jc w:val="center"/>
      </w:pPr>
      <w:r w:rsidRPr="00E87A61">
        <w:rPr>
          <w:noProof/>
        </w:rPr>
        <w:lastRenderedPageBreak/>
        <mc:AlternateContent>
          <mc:Choice Requires="wps">
            <w:drawing>
              <wp:anchor distT="0" distB="0" distL="114300" distR="114300" simplePos="0" relativeHeight="251662336" behindDoc="0" locked="0" layoutInCell="1" allowOverlap="1" wp14:anchorId="62CC2C27" wp14:editId="31D406C5">
                <wp:simplePos x="0" y="0"/>
                <wp:positionH relativeFrom="column">
                  <wp:posOffset>1019175</wp:posOffset>
                </wp:positionH>
                <wp:positionV relativeFrom="paragraph">
                  <wp:posOffset>6984</wp:posOffset>
                </wp:positionV>
                <wp:extent cx="4152900" cy="2905125"/>
                <wp:effectExtent l="0" t="0" r="0" b="0"/>
                <wp:wrapNone/>
                <wp:docPr id="683011"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152900" cy="2905125"/>
                        </a:xfrm>
                        <a:prstGeom prst="rect">
                          <a:avLst/>
                        </a:prstGeom>
                        <a:noFill/>
                        <a:ln w="9525">
                          <a:noFill/>
                          <a:miter lim="800000"/>
                          <a:headEnd/>
                          <a:tailEnd/>
                        </a:ln>
                        <a:effectLst/>
                      </wps:spPr>
                      <wps:txbx>
                        <w:txbxContent>
                          <w:p w14:paraId="541E3612" w14:textId="77777777" w:rsidR="00EE3A54" w:rsidRDefault="00EE3A54" w:rsidP="00C25C77">
                            <w:pPr>
                              <w:spacing w:before="134"/>
                              <w:ind w:left="547" w:hanging="547"/>
                              <w:textAlignment w:val="baseline"/>
                              <w:rPr>
                                <w:sz w:val="24"/>
                                <w:szCs w:val="24"/>
                              </w:rPr>
                            </w:pPr>
                            <w:r>
                              <w:rPr>
                                <w:rFonts w:hAnsi="Calibri"/>
                                <w:color w:val="44546A" w:themeColor="text2"/>
                                <w:sz w:val="56"/>
                                <w:szCs w:val="56"/>
                                <w:lang w:val="en-US"/>
                              </w:rPr>
                              <w:t xml:space="preserve">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C2C27" id="Rectangle 3" o:spid="_x0000_s1026" style="position:absolute;left:0;text-align:left;margin-left:80.25pt;margin-top:.55pt;width:327pt;height:22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" filled="f" stroked="f">
                <o:lock v:ext="edit" grouping="t"/>
                <v:textbox>
                  <w:txbxContent>
                    <w:p w14:paraId="541E3612" w14:textId="77777777" w:rsidR="00EE3A54" w:rsidRDefault="00EE3A54" w:rsidP="00C25C77">
                      <w:pPr>
                        <w:spacing w:before="134"/>
                        <w:ind w:left="547" w:hanging="547"/>
                        <w:textAlignment w:val="baseline"/>
                        <w:rPr>
                          <w:sz w:val="24"/>
                          <w:szCs w:val="24"/>
                        </w:rPr>
                      </w:pPr>
                      <w:r>
                        <w:rPr>
                          <w:rFonts w:hAnsi="Calibri"/>
                          <w:color w:val="44546A" w:themeColor="text2"/>
                          <w:sz w:val="56"/>
                          <w:szCs w:val="56"/>
                          <w:lang w:val="en-US"/>
                        </w:rPr>
                        <w:t xml:space="preserve">  </w:t>
                      </w:r>
                    </w:p>
                  </w:txbxContent>
                </v:textbox>
              </v:rect>
            </w:pict>
          </mc:Fallback>
        </mc:AlternateContent>
      </w:r>
      <w:r w:rsidR="0052341F" w:rsidRPr="00E87A61">
        <w:rPr>
          <w:noProof/>
        </w:rPr>
        <mc:AlternateContent>
          <mc:Choice Requires="wps">
            <w:drawing>
              <wp:anchor distT="0" distB="0" distL="114300" distR="114300" simplePos="0" relativeHeight="251664384" behindDoc="0" locked="0" layoutInCell="1" allowOverlap="1" wp14:anchorId="3C9203FD" wp14:editId="2D750F4C">
                <wp:simplePos x="0" y="0"/>
                <wp:positionH relativeFrom="column">
                  <wp:posOffset>2583180</wp:posOffset>
                </wp:positionH>
                <wp:positionV relativeFrom="paragraph">
                  <wp:posOffset>1750060</wp:posOffset>
                </wp:positionV>
                <wp:extent cx="601980" cy="0"/>
                <wp:effectExtent l="38100" t="76200" r="0" b="95250"/>
                <wp:wrapNone/>
                <wp:docPr id="12" name="Straight Arrow Connector 12"/>
                <wp:cNvGraphicFramePr/>
                <a:graphic xmlns:a="http://schemas.openxmlformats.org/drawingml/2006/main">
                  <a:graphicData uri="http://schemas.microsoft.com/office/word/2010/wordprocessingShape">
                    <wps:wsp>
                      <wps:cNvCnPr/>
                      <wps:spPr>
                        <a:xfrm flipH="1">
                          <a:off x="0" y="0"/>
                          <a:ext cx="6019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4D08EA" id="_x0000_t32" coordsize="21600,21600" o:spt="32" o:oned="t" path="m,l21600,21600e" filled="f">
                <v:path arrowok="t" fillok="f" o:connecttype="none"/>
                <o:lock v:ext="edit" shapetype="t"/>
              </v:shapetype>
              <v:shape id="Straight Arrow Connector 12" o:spid="_x0000_s1026" type="#_x0000_t32" style="position:absolute;margin-left:203.4pt;margin-top:137.8pt;width:47.4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" strokecolor="#4472c4 [3204]" strokeweight=".5pt">
                <v:stroke endarrow="block" joinstyle="miter"/>
              </v:shape>
            </w:pict>
          </mc:Fallback>
        </mc:AlternateContent>
      </w:r>
      <w:r w:rsidR="00C25C77" w:rsidRPr="00E87A61">
        <w:rPr>
          <w:noProof/>
        </w:rPr>
        <mc:AlternateContent>
          <mc:Choice Requires="wps">
            <w:drawing>
              <wp:anchor distT="0" distB="0" distL="114300" distR="114300" simplePos="0" relativeHeight="251663360" behindDoc="0" locked="0" layoutInCell="1" allowOverlap="1" wp14:anchorId="4C4FA565" wp14:editId="3A44FB42">
                <wp:simplePos x="0" y="0"/>
                <wp:positionH relativeFrom="column">
                  <wp:posOffset>3230880</wp:posOffset>
                </wp:positionH>
                <wp:positionV relativeFrom="paragraph">
                  <wp:posOffset>1574800</wp:posOffset>
                </wp:positionV>
                <wp:extent cx="1196340" cy="228600"/>
                <wp:effectExtent l="0" t="0" r="22860" b="19050"/>
                <wp:wrapNone/>
                <wp:docPr id="10" name="Text Box 10"/>
                <wp:cNvGraphicFramePr/>
                <a:graphic xmlns:a="http://schemas.openxmlformats.org/drawingml/2006/main">
                  <a:graphicData uri="http://schemas.microsoft.com/office/word/2010/wordprocessingShape">
                    <wps:wsp>
                      <wps:cNvSpPr txBox="1"/>
                      <wps:spPr>
                        <a:xfrm>
                          <a:off x="0" y="0"/>
                          <a:ext cx="1196340" cy="228600"/>
                        </a:xfrm>
                        <a:prstGeom prst="rect">
                          <a:avLst/>
                        </a:prstGeom>
                        <a:solidFill>
                          <a:schemeClr val="lt1"/>
                        </a:solidFill>
                        <a:ln w="6350">
                          <a:solidFill>
                            <a:prstClr val="black"/>
                          </a:solidFill>
                        </a:ln>
                      </wps:spPr>
                      <wps:txbx>
                        <w:txbxContent>
                          <w:p w14:paraId="5612CD17" w14:textId="786BA8CE" w:rsidR="00EE3A54" w:rsidRDefault="00EE3A54">
                            <w:r>
                              <w:t>Equilibrium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4FA565" id="_x0000_t202" coordsize="21600,21600" o:spt="202" path="m,l,21600r21600,l21600,xe">
                <v:stroke joinstyle="miter"/>
                <v:path gradientshapeok="t" o:connecttype="rect"/>
              </v:shapetype>
              <v:shape id="Text Box 10" o:spid="_x0000_s1027" type="#_x0000_t202" style="position:absolute;left:0;text-align:left;margin-left:254.4pt;margin-top:124pt;width:94.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" fillcolor="white [3201]" strokeweight=".5pt">
                <v:textbox>
                  <w:txbxContent>
                    <w:p w14:paraId="5612CD17" w14:textId="786BA8CE" w:rsidR="00EE3A54" w:rsidRDefault="00EE3A54">
                      <w:r>
                        <w:t>Equilibrium Point</w:t>
                      </w:r>
                    </w:p>
                  </w:txbxContent>
                </v:textbox>
              </v:shape>
            </w:pict>
          </mc:Fallback>
        </mc:AlternateContent>
      </w:r>
      <w:r w:rsidR="00C25C77" w:rsidRPr="00E87A61">
        <w:rPr>
          <w:noProof/>
        </w:rPr>
        <w:drawing>
          <wp:inline distT="0" distB="0" distL="0" distR="0" wp14:anchorId="116F4144" wp14:editId="20EE6624">
            <wp:extent cx="4111831" cy="295973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9823" cy="2972686"/>
                    </a:xfrm>
                    <a:prstGeom prst="rect">
                      <a:avLst/>
                    </a:prstGeom>
                  </pic:spPr>
                </pic:pic>
              </a:graphicData>
            </a:graphic>
          </wp:inline>
        </w:drawing>
      </w:r>
      <w:r w:rsidR="00C25C77" w:rsidRPr="00E87A61">
        <w:rPr>
          <w:rFonts w:ascii="Times New Roman" w:hAnsi="Times New Roman" w:cs="Times New Roman"/>
          <w:noProof/>
          <w:sz w:val="24"/>
          <w:szCs w:val="24"/>
        </w:rPr>
        <w:t xml:space="preserve"> </w:t>
      </w:r>
      <w:r w:rsidR="00C25C77" w:rsidRPr="00E87A6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B4DE52D" wp14:editId="7B292D92">
                <wp:simplePos x="0" y="0"/>
                <wp:positionH relativeFrom="column">
                  <wp:posOffset>2286000</wp:posOffset>
                </wp:positionH>
                <wp:positionV relativeFrom="paragraph">
                  <wp:posOffset>1742440</wp:posOffset>
                </wp:positionV>
                <wp:extent cx="906780" cy="7620"/>
                <wp:effectExtent l="0" t="0" r="26670" b="30480"/>
                <wp:wrapNone/>
                <wp:docPr id="7" name="Straight Connector 7"/>
                <wp:cNvGraphicFramePr/>
                <a:graphic xmlns:a="http://schemas.openxmlformats.org/drawingml/2006/main">
                  <a:graphicData uri="http://schemas.microsoft.com/office/word/2010/wordprocessingShape">
                    <wps:wsp>
                      <wps:cNvCnPr/>
                      <wps:spPr>
                        <a:xfrm flipV="1">
                          <a:off x="0" y="0"/>
                          <a:ext cx="9067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968C67" id="Straight Connector 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80pt,137.2pt" to="251.4pt,1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" strokecolor="#4472c4 [3204]" strokeweight=".5pt">
                <v:stroke joinstyle="miter"/>
              </v:line>
            </w:pict>
          </mc:Fallback>
        </mc:AlternateContent>
      </w:r>
      <w:r w:rsidR="00C25C77" w:rsidRPr="00E87A6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3AB04FC" wp14:editId="544DE8CC">
                <wp:simplePos x="0" y="0"/>
                <wp:positionH relativeFrom="column">
                  <wp:posOffset>2194560</wp:posOffset>
                </wp:positionH>
                <wp:positionV relativeFrom="paragraph">
                  <wp:posOffset>1704340</wp:posOffset>
                </wp:positionV>
                <wp:extent cx="121920" cy="99060"/>
                <wp:effectExtent l="0" t="0" r="11430" b="15240"/>
                <wp:wrapNone/>
                <wp:docPr id="6" name="Oval 6"/>
                <wp:cNvGraphicFramePr/>
                <a:graphic xmlns:a="http://schemas.openxmlformats.org/drawingml/2006/main">
                  <a:graphicData uri="http://schemas.microsoft.com/office/word/2010/wordprocessingShape">
                    <wps:wsp>
                      <wps:cNvSpPr/>
                      <wps:spPr>
                        <a:xfrm>
                          <a:off x="0" y="0"/>
                          <a:ext cx="121920" cy="990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650FBF" id="Oval 6" o:spid="_x0000_s1026" style="position:absolute;margin-left:172.8pt;margin-top:134.2pt;width:9.6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" fillcolor="#4472c4 [3204]" strokecolor="#1f3763 [1604]" strokeweight="1pt">
                <v:stroke joinstyle="miter"/>
              </v:oval>
            </w:pict>
          </mc:Fallback>
        </mc:AlternateContent>
      </w:r>
    </w:p>
    <w:p w14:paraId="422AD5D5" w14:textId="5E64B1B5" w:rsidR="00047D34" w:rsidRPr="00E87A61" w:rsidRDefault="0059739E" w:rsidP="00C25C77">
      <w:pPr>
        <w:spacing w:line="480" w:lineRule="auto"/>
        <w:jc w:val="center"/>
        <w:rPr>
          <w:rFonts w:ascii="Times New Roman" w:hAnsi="Times New Roman" w:cs="Times New Roman"/>
          <w:sz w:val="20"/>
          <w:szCs w:val="20"/>
        </w:rPr>
      </w:pPr>
      <w:r w:rsidRPr="00E87A61">
        <w:rPr>
          <w:rFonts w:ascii="Times New Roman" w:hAnsi="Times New Roman" w:cs="Times New Roman"/>
          <w:sz w:val="20"/>
          <w:szCs w:val="20"/>
        </w:rPr>
        <w:t xml:space="preserve">Figure </w:t>
      </w:r>
      <w:r w:rsidR="00887755" w:rsidRPr="00E87A61">
        <w:rPr>
          <w:rFonts w:ascii="Times New Roman" w:hAnsi="Times New Roman" w:cs="Times New Roman"/>
          <w:sz w:val="20"/>
          <w:szCs w:val="20"/>
        </w:rPr>
        <w:t>1</w:t>
      </w:r>
      <w:r w:rsidR="00C25C77" w:rsidRPr="00E87A61">
        <w:rPr>
          <w:rFonts w:ascii="Times New Roman" w:hAnsi="Times New Roman" w:cs="Times New Roman"/>
          <w:sz w:val="20"/>
          <w:szCs w:val="20"/>
        </w:rPr>
        <w:t xml:space="preserve">: </w:t>
      </w:r>
      <w:r w:rsidRPr="00E87A61">
        <w:rPr>
          <w:rFonts w:ascii="Times New Roman" w:hAnsi="Times New Roman" w:cs="Times New Roman"/>
          <w:sz w:val="20"/>
          <w:szCs w:val="20"/>
        </w:rPr>
        <w:t xml:space="preserve"> Electricity </w:t>
      </w:r>
      <w:r w:rsidR="00C25C77" w:rsidRPr="00E87A61">
        <w:rPr>
          <w:rFonts w:ascii="Times New Roman" w:hAnsi="Times New Roman" w:cs="Times New Roman"/>
          <w:sz w:val="20"/>
          <w:szCs w:val="20"/>
        </w:rPr>
        <w:t>supply and demand, showing equilibrium point</w:t>
      </w:r>
    </w:p>
    <w:p w14:paraId="399551D5" w14:textId="77777777" w:rsidR="002276F9" w:rsidRDefault="002276F9" w:rsidP="00C25C77">
      <w:pPr>
        <w:spacing w:line="480" w:lineRule="auto"/>
        <w:jc w:val="both"/>
        <w:rPr>
          <w:rFonts w:ascii="Times New Roman" w:hAnsi="Times New Roman" w:cs="Times New Roman"/>
          <w:sz w:val="24"/>
          <w:szCs w:val="24"/>
          <w:shd w:val="clear" w:color="auto" w:fill="FFFFFF"/>
        </w:rPr>
      </w:pPr>
    </w:p>
    <w:p w14:paraId="445B80B7" w14:textId="6AC8EF68" w:rsidR="0072725D" w:rsidRPr="00E87A61" w:rsidRDefault="0072725D" w:rsidP="00C25C77">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sz w:val="24"/>
          <w:szCs w:val="24"/>
          <w:shd w:val="clear" w:color="auto" w:fill="FFFFFF"/>
        </w:rPr>
        <w:t>Changes within the demand of supply will alter the supply curve. If business increase the amount of product they are supplying the</w:t>
      </w:r>
      <w:r w:rsidR="00887755" w:rsidRPr="00E87A61">
        <w:rPr>
          <w:rFonts w:ascii="Times New Roman" w:hAnsi="Times New Roman" w:cs="Times New Roman"/>
          <w:sz w:val="24"/>
          <w:szCs w:val="24"/>
          <w:shd w:val="clear" w:color="auto" w:fill="FFFFFF"/>
        </w:rPr>
        <w:t>n</w:t>
      </w:r>
      <w:r w:rsidRPr="00E87A61">
        <w:rPr>
          <w:rFonts w:ascii="Times New Roman" w:hAnsi="Times New Roman" w:cs="Times New Roman"/>
          <w:sz w:val="24"/>
          <w:szCs w:val="24"/>
          <w:shd w:val="clear" w:color="auto" w:fill="FFFFFF"/>
        </w:rPr>
        <w:t xml:space="preserve"> the supply curve will shift to the </w:t>
      </w:r>
      <w:r w:rsidR="008B5837" w:rsidRPr="00E87A61">
        <w:rPr>
          <w:rFonts w:ascii="Times New Roman" w:hAnsi="Times New Roman" w:cs="Times New Roman"/>
          <w:sz w:val="24"/>
          <w:szCs w:val="24"/>
          <w:shd w:val="clear" w:color="auto" w:fill="FFFFFF"/>
        </w:rPr>
        <w:t>right</w:t>
      </w:r>
      <w:r w:rsidR="00887755" w:rsidRPr="00E87A61">
        <w:rPr>
          <w:rFonts w:ascii="Times New Roman" w:hAnsi="Times New Roman" w:cs="Times New Roman"/>
          <w:sz w:val="24"/>
          <w:szCs w:val="24"/>
          <w:shd w:val="clear" w:color="auto" w:fill="FFFFFF"/>
        </w:rPr>
        <w:t xml:space="preserve"> and to </w:t>
      </w:r>
      <w:proofErr w:type="spellStart"/>
      <w:proofErr w:type="gramStart"/>
      <w:r w:rsidR="00887755" w:rsidRPr="00E87A61">
        <w:rPr>
          <w:rFonts w:ascii="Times New Roman" w:hAnsi="Times New Roman" w:cs="Times New Roman"/>
          <w:sz w:val="24"/>
          <w:szCs w:val="24"/>
          <w:shd w:val="clear" w:color="auto" w:fill="FFFFFF"/>
        </w:rPr>
        <w:t>met</w:t>
      </w:r>
      <w:proofErr w:type="spellEnd"/>
      <w:proofErr w:type="gramEnd"/>
      <w:r w:rsidR="00887755" w:rsidRPr="00E87A61">
        <w:rPr>
          <w:rFonts w:ascii="Times New Roman" w:hAnsi="Times New Roman" w:cs="Times New Roman"/>
          <w:sz w:val="24"/>
          <w:szCs w:val="24"/>
          <w:shd w:val="clear" w:color="auto" w:fill="FFFFFF"/>
        </w:rPr>
        <w:t xml:space="preserve"> the equilibrium the price will decrease. A </w:t>
      </w:r>
      <w:r w:rsidR="008B5837" w:rsidRPr="00E87A61">
        <w:rPr>
          <w:rFonts w:ascii="Times New Roman" w:hAnsi="Times New Roman" w:cs="Times New Roman"/>
          <w:sz w:val="24"/>
          <w:szCs w:val="24"/>
          <w:shd w:val="clear" w:color="auto" w:fill="FFFFFF"/>
        </w:rPr>
        <w:t>decrease</w:t>
      </w:r>
      <w:r w:rsidR="00887755" w:rsidRPr="00E87A61">
        <w:rPr>
          <w:rFonts w:ascii="Times New Roman" w:hAnsi="Times New Roman" w:cs="Times New Roman"/>
          <w:sz w:val="24"/>
          <w:szCs w:val="24"/>
          <w:shd w:val="clear" w:color="auto" w:fill="FFFFFF"/>
        </w:rPr>
        <w:t xml:space="preserve"> in supply</w:t>
      </w:r>
      <w:r w:rsidR="008B5837" w:rsidRPr="00E87A61">
        <w:rPr>
          <w:rFonts w:ascii="Times New Roman" w:hAnsi="Times New Roman" w:cs="Times New Roman"/>
          <w:sz w:val="24"/>
          <w:szCs w:val="24"/>
          <w:shd w:val="clear" w:color="auto" w:fill="FFFFFF"/>
        </w:rPr>
        <w:t xml:space="preserve"> would cause the curve to shift left</w:t>
      </w:r>
      <w:r w:rsidR="00887755" w:rsidRPr="00E87A61">
        <w:rPr>
          <w:rFonts w:ascii="Times New Roman" w:hAnsi="Times New Roman" w:cs="Times New Roman"/>
          <w:sz w:val="24"/>
          <w:szCs w:val="24"/>
          <w:shd w:val="clear" w:color="auto" w:fill="FFFFFF"/>
        </w:rPr>
        <w:t xml:space="preserve"> and prices would need to rise</w:t>
      </w:r>
      <w:r w:rsidR="008B5837" w:rsidRPr="00E87A61">
        <w:rPr>
          <w:rFonts w:ascii="Times New Roman" w:hAnsi="Times New Roman" w:cs="Times New Roman"/>
          <w:sz w:val="24"/>
          <w:szCs w:val="24"/>
          <w:shd w:val="clear" w:color="auto" w:fill="FFFFFF"/>
        </w:rPr>
        <w:t>.</w:t>
      </w:r>
      <w:r w:rsidR="00887755" w:rsidRPr="00E87A61">
        <w:rPr>
          <w:rFonts w:ascii="Times New Roman" w:hAnsi="Times New Roman" w:cs="Times New Roman"/>
          <w:sz w:val="24"/>
          <w:szCs w:val="24"/>
          <w:shd w:val="clear" w:color="auto" w:fill="FFFFFF"/>
        </w:rPr>
        <w:t xml:space="preserve"> See figure 2 below. </w:t>
      </w:r>
      <w:r w:rsidR="008B5837" w:rsidRPr="00E87A61">
        <w:rPr>
          <w:rFonts w:ascii="Times New Roman" w:hAnsi="Times New Roman" w:cs="Times New Roman"/>
          <w:sz w:val="24"/>
          <w:szCs w:val="24"/>
          <w:shd w:val="clear" w:color="auto" w:fill="FFFFFF"/>
        </w:rPr>
        <w:t xml:space="preserve"> </w:t>
      </w:r>
    </w:p>
    <w:p w14:paraId="2DAF5B5E" w14:textId="77777777" w:rsidR="0072725D" w:rsidRPr="00E87A61" w:rsidRDefault="0072725D" w:rsidP="00C25C77">
      <w:pPr>
        <w:spacing w:line="480" w:lineRule="auto"/>
        <w:jc w:val="both"/>
        <w:rPr>
          <w:rFonts w:ascii="Times New Roman" w:hAnsi="Times New Roman" w:cs="Times New Roman"/>
          <w:sz w:val="24"/>
          <w:szCs w:val="24"/>
          <w:shd w:val="clear" w:color="auto" w:fill="FFFFFF"/>
        </w:rPr>
      </w:pPr>
    </w:p>
    <w:p w14:paraId="292E514E" w14:textId="19A79644" w:rsidR="0072725D" w:rsidRPr="00E87A61" w:rsidRDefault="008B5837" w:rsidP="00C25C77">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noProof/>
          <w:sz w:val="24"/>
          <w:szCs w:val="24"/>
          <w:shd w:val="clear" w:color="auto" w:fill="FFFFFF"/>
        </w:rPr>
        <w:drawing>
          <wp:inline distT="0" distB="0" distL="0" distR="0" wp14:anchorId="7598DC1D" wp14:editId="04414A83">
            <wp:extent cx="2693035" cy="2087245"/>
            <wp:effectExtent l="0" t="0" r="0" b="8255"/>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_equilibrium_11b.jpg"/>
                    <pic:cNvPicPr/>
                  </pic:nvPicPr>
                  <pic:blipFill rotWithShape="1">
                    <a:blip r:embed="rId9">
                      <a:extLst>
                        <a:ext uri="{28A0092B-C50C-407E-A947-70E740481C1C}">
                          <a14:useLocalDpi xmlns:a14="http://schemas.microsoft.com/office/drawing/2010/main" val="0"/>
                        </a:ext>
                      </a:extLst>
                    </a:blip>
                    <a:srcRect t="51950" r="53014" b="219"/>
                    <a:stretch/>
                  </pic:blipFill>
                  <pic:spPr bwMode="auto">
                    <a:xfrm>
                      <a:off x="0" y="0"/>
                      <a:ext cx="2693035" cy="2087245"/>
                    </a:xfrm>
                    <a:prstGeom prst="rect">
                      <a:avLst/>
                    </a:prstGeom>
                    <a:ln>
                      <a:noFill/>
                    </a:ln>
                    <a:extLst>
                      <a:ext uri="{53640926-AAD7-44D8-BBD7-CCE9431645EC}">
                        <a14:shadowObscured xmlns:a14="http://schemas.microsoft.com/office/drawing/2010/main"/>
                      </a:ext>
                    </a:extLst>
                  </pic:spPr>
                </pic:pic>
              </a:graphicData>
            </a:graphic>
          </wp:inline>
        </w:drawing>
      </w:r>
      <w:r w:rsidRPr="00E87A61">
        <w:rPr>
          <w:rFonts w:ascii="Times New Roman" w:hAnsi="Times New Roman" w:cs="Times New Roman"/>
          <w:sz w:val="24"/>
          <w:szCs w:val="24"/>
          <w:shd w:val="clear" w:color="auto" w:fill="FFFFFF"/>
        </w:rPr>
        <w:t xml:space="preserve">      </w:t>
      </w:r>
      <w:r w:rsidRPr="00E87A61">
        <w:rPr>
          <w:rFonts w:ascii="Times New Roman" w:hAnsi="Times New Roman" w:cs="Times New Roman"/>
          <w:noProof/>
          <w:sz w:val="24"/>
          <w:szCs w:val="24"/>
          <w:shd w:val="clear" w:color="auto" w:fill="FFFFFF"/>
        </w:rPr>
        <w:drawing>
          <wp:inline distT="0" distB="0" distL="0" distR="0" wp14:anchorId="08E38725" wp14:editId="1BC44B91">
            <wp:extent cx="2518217" cy="2086610"/>
            <wp:effectExtent l="0" t="0" r="0" b="889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_equilibrium_11b.jpg"/>
                    <pic:cNvPicPr/>
                  </pic:nvPicPr>
                  <pic:blipFill rotWithShape="1">
                    <a:blip r:embed="rId9">
                      <a:extLst>
                        <a:ext uri="{28A0092B-C50C-407E-A947-70E740481C1C}">
                          <a14:useLocalDpi xmlns:a14="http://schemas.microsoft.com/office/drawing/2010/main" val="0"/>
                        </a:ext>
                      </a:extLst>
                    </a:blip>
                    <a:srcRect r="51640" b="50972"/>
                    <a:stretch/>
                  </pic:blipFill>
                  <pic:spPr bwMode="auto">
                    <a:xfrm>
                      <a:off x="0" y="0"/>
                      <a:ext cx="2524757" cy="2092029"/>
                    </a:xfrm>
                    <a:prstGeom prst="rect">
                      <a:avLst/>
                    </a:prstGeom>
                    <a:ln>
                      <a:noFill/>
                    </a:ln>
                    <a:extLst>
                      <a:ext uri="{53640926-AAD7-44D8-BBD7-CCE9431645EC}">
                        <a14:shadowObscured xmlns:a14="http://schemas.microsoft.com/office/drawing/2010/main"/>
                      </a:ext>
                    </a:extLst>
                  </pic:spPr>
                </pic:pic>
              </a:graphicData>
            </a:graphic>
          </wp:inline>
        </w:drawing>
      </w:r>
    </w:p>
    <w:p w14:paraId="01D41DB1" w14:textId="4183C4E0" w:rsidR="002276F9" w:rsidRPr="002276F9" w:rsidRDefault="008B5837" w:rsidP="002276F9">
      <w:pPr>
        <w:jc w:val="center"/>
      </w:pPr>
      <w:r w:rsidRPr="00E87A61">
        <w:t xml:space="preserve">Figure 2: Changes in the levels of Supplies produced </w:t>
      </w:r>
      <w:sdt>
        <w:sdtPr>
          <w:id w:val="2010789095"/>
          <w:citation/>
        </w:sdtPr>
        <w:sdtEndPr/>
        <w:sdtContent>
          <w:r w:rsidRPr="00E87A61">
            <w:fldChar w:fldCharType="begin"/>
          </w:r>
          <w:r w:rsidRPr="00E87A61">
            <w:instrText xml:space="preserve"> CITATION Wor14 \l 2057 </w:instrText>
          </w:r>
          <w:r w:rsidRPr="00E87A61">
            <w:fldChar w:fldCharType="separate"/>
          </w:r>
          <w:r w:rsidRPr="00E87A61">
            <w:rPr>
              <w:noProof/>
            </w:rPr>
            <w:t>(TamoClass, 2014)</w:t>
          </w:r>
          <w:r w:rsidRPr="00E87A61">
            <w:fldChar w:fldCharType="end"/>
          </w:r>
        </w:sdtContent>
      </w:sdt>
    </w:p>
    <w:p w14:paraId="4D316012" w14:textId="1ECE63D3" w:rsidR="00887755" w:rsidRPr="00E87A61" w:rsidRDefault="00887755" w:rsidP="00C25C77">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sz w:val="24"/>
          <w:szCs w:val="24"/>
          <w:shd w:val="clear" w:color="auto" w:fill="FFFFFF"/>
        </w:rPr>
        <w:lastRenderedPageBreak/>
        <w:t xml:space="preserve">Changes in consumer demand will also alter the curve. An increase in product demand will cause the curve to shift to the right, the equilibrium will also move causing the supplier to raise prices. A drop in demand will shift the curve left and dropping prices to remain balanced. See figure 3 below.   </w:t>
      </w:r>
    </w:p>
    <w:p w14:paraId="44E72EFB" w14:textId="2B6753EF" w:rsidR="008B5837" w:rsidRPr="00E87A61" w:rsidRDefault="008B5837" w:rsidP="00C25C77">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noProof/>
          <w:sz w:val="24"/>
          <w:szCs w:val="24"/>
          <w:shd w:val="clear" w:color="auto" w:fill="FFFFFF"/>
        </w:rPr>
        <w:drawing>
          <wp:inline distT="0" distB="0" distL="0" distR="0" wp14:anchorId="7140B2E5" wp14:editId="5A1C007D">
            <wp:extent cx="2819005" cy="1980000"/>
            <wp:effectExtent l="0" t="0" r="0" b="127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_equilibrium_11b.jpg"/>
                    <pic:cNvPicPr/>
                  </pic:nvPicPr>
                  <pic:blipFill rotWithShape="1">
                    <a:blip r:embed="rId9">
                      <a:extLst>
                        <a:ext uri="{28A0092B-C50C-407E-A947-70E740481C1C}">
                          <a14:useLocalDpi xmlns:a14="http://schemas.microsoft.com/office/drawing/2010/main" val="0"/>
                        </a:ext>
                      </a:extLst>
                    </a:blip>
                    <a:srcRect l="49856" t="-263" r="-1449" b="51260"/>
                    <a:stretch/>
                  </pic:blipFill>
                  <pic:spPr bwMode="auto">
                    <a:xfrm>
                      <a:off x="0" y="0"/>
                      <a:ext cx="2819005" cy="1980000"/>
                    </a:xfrm>
                    <a:prstGeom prst="rect">
                      <a:avLst/>
                    </a:prstGeom>
                    <a:ln>
                      <a:noFill/>
                    </a:ln>
                    <a:extLst>
                      <a:ext uri="{53640926-AAD7-44D8-BBD7-CCE9431645EC}">
                        <a14:shadowObscured xmlns:a14="http://schemas.microsoft.com/office/drawing/2010/main"/>
                      </a:ext>
                    </a:extLst>
                  </pic:spPr>
                </pic:pic>
              </a:graphicData>
            </a:graphic>
          </wp:inline>
        </w:drawing>
      </w:r>
      <w:r w:rsidRPr="00E87A61">
        <w:rPr>
          <w:rFonts w:ascii="Times New Roman" w:hAnsi="Times New Roman" w:cs="Times New Roman"/>
          <w:noProof/>
          <w:sz w:val="24"/>
          <w:szCs w:val="24"/>
          <w:shd w:val="clear" w:color="auto" w:fill="FFFFFF"/>
        </w:rPr>
        <w:drawing>
          <wp:inline distT="0" distB="0" distL="0" distR="0" wp14:anchorId="4CCB92EC" wp14:editId="38D0555B">
            <wp:extent cx="2414107" cy="1870710"/>
            <wp:effectExtent l="0" t="0" r="5715" b="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_equilibrium_11b.jpg"/>
                    <pic:cNvPicPr/>
                  </pic:nvPicPr>
                  <pic:blipFill rotWithShape="1">
                    <a:blip r:embed="rId9">
                      <a:extLst>
                        <a:ext uri="{28A0092B-C50C-407E-A947-70E740481C1C}">
                          <a14:useLocalDpi xmlns:a14="http://schemas.microsoft.com/office/drawing/2010/main" val="0"/>
                        </a:ext>
                      </a:extLst>
                    </a:blip>
                    <a:srcRect l="50354" t="51513" r="4610" b="2649"/>
                    <a:stretch/>
                  </pic:blipFill>
                  <pic:spPr bwMode="auto">
                    <a:xfrm>
                      <a:off x="0" y="0"/>
                      <a:ext cx="2428254" cy="1881672"/>
                    </a:xfrm>
                    <a:prstGeom prst="rect">
                      <a:avLst/>
                    </a:prstGeom>
                    <a:ln>
                      <a:noFill/>
                    </a:ln>
                    <a:extLst>
                      <a:ext uri="{53640926-AAD7-44D8-BBD7-CCE9431645EC}">
                        <a14:shadowObscured xmlns:a14="http://schemas.microsoft.com/office/drawing/2010/main"/>
                      </a:ext>
                    </a:extLst>
                  </pic:spPr>
                </pic:pic>
              </a:graphicData>
            </a:graphic>
          </wp:inline>
        </w:drawing>
      </w:r>
    </w:p>
    <w:p w14:paraId="188D25CF" w14:textId="66E5EB8C" w:rsidR="008B5837" w:rsidRPr="00E87A61" w:rsidRDefault="008B5837" w:rsidP="008B5837">
      <w:pPr>
        <w:jc w:val="center"/>
      </w:pPr>
      <w:r w:rsidRPr="00E87A61">
        <w:t>Figure 3: Changes in the levels of consumer demand</w:t>
      </w:r>
      <w:r w:rsidR="00887755" w:rsidRPr="00E87A61">
        <w:t xml:space="preserve"> </w:t>
      </w:r>
      <w:sdt>
        <w:sdtPr>
          <w:id w:val="1023901042"/>
          <w:citation/>
        </w:sdtPr>
        <w:sdtEndPr/>
        <w:sdtContent>
          <w:r w:rsidR="00887755" w:rsidRPr="00E87A61">
            <w:fldChar w:fldCharType="begin"/>
          </w:r>
          <w:r w:rsidR="00887755" w:rsidRPr="00E87A61">
            <w:instrText xml:space="preserve"> CITATION Wor14 \l 2057 </w:instrText>
          </w:r>
          <w:r w:rsidR="00887755" w:rsidRPr="00E87A61">
            <w:fldChar w:fldCharType="separate"/>
          </w:r>
          <w:r w:rsidR="00887755" w:rsidRPr="00E87A61">
            <w:rPr>
              <w:noProof/>
            </w:rPr>
            <w:t>(TamoClass, 2014)</w:t>
          </w:r>
          <w:r w:rsidR="00887755" w:rsidRPr="00E87A61">
            <w:fldChar w:fldCharType="end"/>
          </w:r>
        </w:sdtContent>
      </w:sdt>
    </w:p>
    <w:p w14:paraId="360BC36E" w14:textId="77777777" w:rsidR="008B5837" w:rsidRPr="00E87A61" w:rsidRDefault="008B5837" w:rsidP="00C25C77">
      <w:pPr>
        <w:spacing w:line="480" w:lineRule="auto"/>
        <w:jc w:val="both"/>
        <w:rPr>
          <w:rFonts w:ascii="Times New Roman" w:hAnsi="Times New Roman" w:cs="Times New Roman"/>
          <w:sz w:val="24"/>
          <w:szCs w:val="24"/>
          <w:shd w:val="clear" w:color="auto" w:fill="FFFFFF"/>
        </w:rPr>
      </w:pPr>
    </w:p>
    <w:p w14:paraId="05C1B056" w14:textId="54011703" w:rsidR="00A71304" w:rsidRPr="00E87A61" w:rsidRDefault="00A71304" w:rsidP="00C25C77">
      <w:pPr>
        <w:spacing w:line="480" w:lineRule="auto"/>
        <w:jc w:val="both"/>
        <w:rPr>
          <w:rFonts w:ascii="Times New Roman" w:hAnsi="Times New Roman" w:cs="Times New Roman"/>
          <w:b/>
          <w:bCs/>
          <w:sz w:val="24"/>
          <w:szCs w:val="24"/>
          <w:u w:val="single"/>
          <w:shd w:val="clear" w:color="auto" w:fill="FFFFFF"/>
        </w:rPr>
      </w:pPr>
      <w:r w:rsidRPr="00E87A61">
        <w:rPr>
          <w:rFonts w:ascii="Times New Roman" w:hAnsi="Times New Roman" w:cs="Times New Roman"/>
          <w:b/>
          <w:bCs/>
          <w:sz w:val="24"/>
          <w:szCs w:val="24"/>
          <w:u w:val="single"/>
          <w:shd w:val="clear" w:color="auto" w:fill="FFFFFF"/>
        </w:rPr>
        <w:t xml:space="preserve">Market Failures </w:t>
      </w:r>
    </w:p>
    <w:p w14:paraId="3E4D60FB" w14:textId="4AACD481" w:rsidR="00C33BD1" w:rsidRPr="00E87A61" w:rsidRDefault="00EE3A54" w:rsidP="00C25C77">
      <w:pPr>
        <w:spacing w:line="480" w:lineRule="auto"/>
        <w:jc w:val="both"/>
        <w:rPr>
          <w:rFonts w:ascii="Times New Roman" w:hAnsi="Times New Roman" w:cs="Times New Roman"/>
          <w:sz w:val="24"/>
          <w:szCs w:val="24"/>
          <w:shd w:val="clear" w:color="auto" w:fill="FFFFFF"/>
        </w:rPr>
      </w:pPr>
      <w:r w:rsidRPr="009E1A9D">
        <w:rPr>
          <w:rFonts w:ascii="Times New Roman" w:hAnsi="Times New Roman" w:cs="Times New Roman"/>
          <w:sz w:val="24"/>
          <w:szCs w:val="24"/>
          <w:shd w:val="clear" w:color="auto" w:fill="FFFFFF"/>
        </w:rPr>
        <w:t xml:space="preserve">When the organisation neglects to </w:t>
      </w:r>
      <w:r w:rsidR="00C33BD1" w:rsidRPr="009E1A9D">
        <w:rPr>
          <w:rFonts w:ascii="Times New Roman" w:hAnsi="Times New Roman" w:cs="Times New Roman"/>
          <w:sz w:val="24"/>
          <w:szCs w:val="24"/>
          <w:shd w:val="clear" w:color="auto" w:fill="FFFFFF"/>
        </w:rPr>
        <w:t>operate competitively and instead operate</w:t>
      </w:r>
      <w:r w:rsidR="000F437A" w:rsidRPr="009E1A9D">
        <w:rPr>
          <w:rFonts w:ascii="Times New Roman" w:hAnsi="Times New Roman" w:cs="Times New Roman"/>
          <w:sz w:val="24"/>
          <w:szCs w:val="24"/>
          <w:shd w:val="clear" w:color="auto" w:fill="FFFFFF"/>
        </w:rPr>
        <w:t>s</w:t>
      </w:r>
      <w:r w:rsidR="00C33BD1" w:rsidRPr="009E1A9D">
        <w:rPr>
          <w:rFonts w:ascii="Times New Roman" w:hAnsi="Times New Roman" w:cs="Times New Roman"/>
          <w:sz w:val="24"/>
          <w:szCs w:val="24"/>
          <w:shd w:val="clear" w:color="auto" w:fill="FFFFFF"/>
        </w:rPr>
        <w:t xml:space="preserve"> as part of a monopoly then the likelihood of failure is increased. This is due in part to their ability to determine prices. </w:t>
      </w:r>
      <w:r w:rsidR="00891CEF" w:rsidRPr="009E1A9D">
        <w:rPr>
          <w:rFonts w:ascii="Times New Roman" w:hAnsi="Times New Roman" w:cs="Times New Roman"/>
          <w:sz w:val="24"/>
          <w:szCs w:val="24"/>
          <w:shd w:val="clear" w:color="auto" w:fill="FFFFFF"/>
        </w:rPr>
        <w:t>T</w:t>
      </w:r>
      <w:r w:rsidR="00C33BD1" w:rsidRPr="009E1A9D">
        <w:rPr>
          <w:rFonts w:ascii="Times New Roman" w:hAnsi="Times New Roman" w:cs="Times New Roman"/>
          <w:sz w:val="24"/>
          <w:szCs w:val="24"/>
          <w:shd w:val="clear" w:color="auto" w:fill="FFFFFF"/>
        </w:rPr>
        <w:t>raditionally the UK Government has attempted to prevent these issue</w:t>
      </w:r>
      <w:r w:rsidR="006E319A" w:rsidRPr="009E1A9D">
        <w:rPr>
          <w:rFonts w:ascii="Times New Roman" w:hAnsi="Times New Roman" w:cs="Times New Roman"/>
          <w:sz w:val="24"/>
          <w:szCs w:val="24"/>
          <w:shd w:val="clear" w:color="auto" w:fill="FFFFFF"/>
        </w:rPr>
        <w:t>s</w:t>
      </w:r>
      <w:r w:rsidR="00C33BD1" w:rsidRPr="009E1A9D">
        <w:rPr>
          <w:rFonts w:ascii="Times New Roman" w:hAnsi="Times New Roman" w:cs="Times New Roman"/>
          <w:sz w:val="24"/>
          <w:szCs w:val="24"/>
          <w:shd w:val="clear" w:color="auto" w:fill="FFFFFF"/>
        </w:rPr>
        <w:t xml:space="preserve"> via the implication of </w:t>
      </w:r>
      <w:r w:rsidR="00891CEF" w:rsidRPr="009E1A9D">
        <w:rPr>
          <w:rFonts w:ascii="Times New Roman" w:hAnsi="Times New Roman" w:cs="Times New Roman"/>
          <w:sz w:val="24"/>
          <w:szCs w:val="24"/>
          <w:shd w:val="clear" w:color="auto" w:fill="FFFFFF"/>
        </w:rPr>
        <w:t>regulations</w:t>
      </w:r>
      <w:r w:rsidR="00C33BD1" w:rsidRPr="009E1A9D">
        <w:rPr>
          <w:rFonts w:ascii="Times New Roman" w:hAnsi="Times New Roman" w:cs="Times New Roman"/>
          <w:sz w:val="24"/>
          <w:szCs w:val="24"/>
          <w:shd w:val="clear" w:color="auto" w:fill="FFFFFF"/>
        </w:rPr>
        <w:t xml:space="preserve"> aimed at prevention of collusion and anti-competitive </w:t>
      </w:r>
      <w:r w:rsidR="00891CEF" w:rsidRPr="009E1A9D">
        <w:rPr>
          <w:rFonts w:ascii="Times New Roman" w:hAnsi="Times New Roman" w:cs="Times New Roman"/>
          <w:sz w:val="24"/>
          <w:szCs w:val="24"/>
          <w:shd w:val="clear" w:color="auto" w:fill="FFFFFF"/>
        </w:rPr>
        <w:t>behaviour. Alternatively, the favoured choice within Western Europe is the nationalisation of an industry. Another source of Market failure is the presence of externalities</w:t>
      </w:r>
      <w:r w:rsidR="002C74A0" w:rsidRPr="009E1A9D">
        <w:rPr>
          <w:rFonts w:ascii="Times New Roman" w:hAnsi="Times New Roman" w:cs="Times New Roman"/>
          <w:sz w:val="24"/>
          <w:szCs w:val="24"/>
          <w:shd w:val="clear" w:color="auto" w:fill="FFFFFF"/>
        </w:rPr>
        <w:t xml:space="preserve">. </w:t>
      </w:r>
      <w:r w:rsidR="00891CEF" w:rsidRPr="009E1A9D">
        <w:rPr>
          <w:rFonts w:ascii="Times New Roman" w:hAnsi="Times New Roman" w:cs="Times New Roman"/>
          <w:sz w:val="24"/>
          <w:szCs w:val="24"/>
          <w:shd w:val="clear" w:color="auto" w:fill="FFFFFF"/>
        </w:rPr>
        <w:t xml:space="preserve"> </w:t>
      </w:r>
      <w:r w:rsidR="00D21311" w:rsidRPr="009E1A9D">
        <w:rPr>
          <w:rFonts w:ascii="Times New Roman" w:hAnsi="Times New Roman" w:cs="Times New Roman"/>
          <w:sz w:val="24"/>
          <w:szCs w:val="24"/>
          <w:shd w:val="clear" w:color="auto" w:fill="FFFFFF"/>
        </w:rPr>
        <w:t xml:space="preserve">The </w:t>
      </w:r>
      <w:r w:rsidR="002C74A0" w:rsidRPr="009E1A9D">
        <w:rPr>
          <w:rFonts w:ascii="Times New Roman" w:hAnsi="Times New Roman" w:cs="Times New Roman"/>
          <w:sz w:val="24"/>
          <w:szCs w:val="24"/>
          <w:shd w:val="clear" w:color="auto" w:fill="FFFFFF"/>
        </w:rPr>
        <w:t xml:space="preserve">challenge presented by externalities </w:t>
      </w:r>
      <w:r w:rsidR="00DC5284" w:rsidRPr="009E1A9D">
        <w:rPr>
          <w:rFonts w:ascii="Times New Roman" w:hAnsi="Times New Roman" w:cs="Times New Roman"/>
          <w:sz w:val="24"/>
          <w:szCs w:val="24"/>
          <w:shd w:val="clear" w:color="auto" w:fill="FFFFFF"/>
        </w:rPr>
        <w:t xml:space="preserve">is </w:t>
      </w:r>
      <w:r w:rsidR="00D21311" w:rsidRPr="009E1A9D">
        <w:rPr>
          <w:rFonts w:ascii="Times New Roman" w:hAnsi="Times New Roman" w:cs="Times New Roman"/>
          <w:sz w:val="24"/>
          <w:szCs w:val="24"/>
          <w:shd w:val="clear" w:color="auto" w:fill="FFFFFF"/>
        </w:rPr>
        <w:t>the failure to provide appropriate</w:t>
      </w:r>
      <w:r w:rsidR="002C74A0" w:rsidRPr="009E1A9D">
        <w:rPr>
          <w:rFonts w:ascii="Times New Roman" w:hAnsi="Times New Roman" w:cs="Times New Roman"/>
          <w:sz w:val="24"/>
          <w:szCs w:val="24"/>
          <w:shd w:val="clear" w:color="auto" w:fill="FFFFFF"/>
        </w:rPr>
        <w:t xml:space="preserve"> </w:t>
      </w:r>
      <w:r w:rsidR="00891CEF" w:rsidRPr="009E1A9D">
        <w:rPr>
          <w:rFonts w:ascii="Times New Roman" w:hAnsi="Times New Roman" w:cs="Times New Roman"/>
          <w:sz w:val="24"/>
          <w:szCs w:val="24"/>
          <w:shd w:val="clear" w:color="auto" w:fill="FFFFFF"/>
        </w:rPr>
        <w:t xml:space="preserve">resource </w:t>
      </w:r>
      <w:r w:rsidR="00D21311" w:rsidRPr="009E1A9D">
        <w:rPr>
          <w:rFonts w:ascii="Times New Roman" w:hAnsi="Times New Roman" w:cs="Times New Roman"/>
          <w:sz w:val="24"/>
          <w:szCs w:val="24"/>
          <w:shd w:val="clear" w:color="auto" w:fill="FFFFFF"/>
        </w:rPr>
        <w:t>provisions causing inefficiency within the markets</w:t>
      </w:r>
      <w:r w:rsidR="00DC5284" w:rsidRPr="009E1A9D">
        <w:rPr>
          <w:rFonts w:ascii="Times New Roman" w:hAnsi="Times New Roman" w:cs="Times New Roman"/>
          <w:sz w:val="24"/>
          <w:szCs w:val="24"/>
          <w:shd w:val="clear" w:color="auto" w:fill="FFFFFF"/>
        </w:rPr>
        <w:t xml:space="preserve"> </w:t>
      </w:r>
      <w:r w:rsidR="00891CEF" w:rsidRPr="009E1A9D">
        <w:rPr>
          <w:rFonts w:ascii="Times New Roman" w:hAnsi="Times New Roman" w:cs="Times New Roman"/>
          <w:sz w:val="24"/>
          <w:szCs w:val="24"/>
          <w:shd w:val="clear" w:color="auto" w:fill="FFFFFF"/>
        </w:rPr>
        <w:t xml:space="preserve">because </w:t>
      </w:r>
      <w:r w:rsidR="00DC5284" w:rsidRPr="009E1A9D">
        <w:rPr>
          <w:rFonts w:ascii="Times New Roman" w:hAnsi="Times New Roman" w:cs="Times New Roman"/>
          <w:sz w:val="24"/>
          <w:szCs w:val="24"/>
          <w:shd w:val="clear" w:color="auto" w:fill="FFFFFF"/>
        </w:rPr>
        <w:t xml:space="preserve">the current </w:t>
      </w:r>
      <w:r w:rsidR="00891CEF" w:rsidRPr="009E1A9D">
        <w:rPr>
          <w:rFonts w:ascii="Times New Roman" w:hAnsi="Times New Roman" w:cs="Times New Roman"/>
          <w:sz w:val="24"/>
          <w:szCs w:val="24"/>
          <w:shd w:val="clear" w:color="auto" w:fill="FFFFFF"/>
        </w:rPr>
        <w:t xml:space="preserve">market prices do not </w:t>
      </w:r>
      <w:r w:rsidR="00DC5284" w:rsidRPr="009E1A9D">
        <w:rPr>
          <w:rFonts w:ascii="Times New Roman" w:hAnsi="Times New Roman" w:cs="Times New Roman"/>
          <w:sz w:val="24"/>
          <w:szCs w:val="24"/>
          <w:shd w:val="clear" w:color="auto" w:fill="FFFFFF"/>
        </w:rPr>
        <w:t>indicate</w:t>
      </w:r>
      <w:r w:rsidR="00891CEF" w:rsidRPr="009E1A9D">
        <w:rPr>
          <w:rFonts w:ascii="Times New Roman" w:hAnsi="Times New Roman" w:cs="Times New Roman"/>
          <w:sz w:val="24"/>
          <w:szCs w:val="24"/>
          <w:shd w:val="clear" w:color="auto" w:fill="FFFFFF"/>
        </w:rPr>
        <w:t xml:space="preserve"> the </w:t>
      </w:r>
      <w:r w:rsidR="002C74A0" w:rsidRPr="009E1A9D">
        <w:rPr>
          <w:rFonts w:ascii="Times New Roman" w:hAnsi="Times New Roman" w:cs="Times New Roman"/>
          <w:sz w:val="24"/>
          <w:szCs w:val="24"/>
          <w:shd w:val="clear" w:color="auto" w:fill="FFFFFF"/>
        </w:rPr>
        <w:t xml:space="preserve">entire </w:t>
      </w:r>
      <w:r w:rsidR="00891CEF" w:rsidRPr="009E1A9D">
        <w:rPr>
          <w:rFonts w:ascii="Times New Roman" w:hAnsi="Times New Roman" w:cs="Times New Roman"/>
          <w:sz w:val="24"/>
          <w:szCs w:val="24"/>
          <w:shd w:val="clear" w:color="auto" w:fill="FFFFFF"/>
        </w:rPr>
        <w:t>costs involved</w:t>
      </w:r>
      <w:r w:rsidR="00DC5284" w:rsidRPr="009E1A9D">
        <w:rPr>
          <w:rFonts w:ascii="Times New Roman" w:hAnsi="Times New Roman" w:cs="Times New Roman"/>
          <w:sz w:val="24"/>
          <w:szCs w:val="24"/>
          <w:shd w:val="clear" w:color="auto" w:fill="FFFFFF"/>
        </w:rPr>
        <w:t xml:space="preserve">. meaning they fail </w:t>
      </w:r>
      <w:r w:rsidR="002C74A0" w:rsidRPr="009E1A9D">
        <w:rPr>
          <w:rFonts w:ascii="Times New Roman" w:hAnsi="Times New Roman" w:cs="Times New Roman"/>
          <w:sz w:val="24"/>
          <w:szCs w:val="24"/>
          <w:shd w:val="clear" w:color="auto" w:fill="FFFFFF"/>
        </w:rPr>
        <w:t>to produce</w:t>
      </w:r>
      <w:r w:rsidR="00891CEF" w:rsidRPr="009E1A9D">
        <w:rPr>
          <w:rFonts w:ascii="Times New Roman" w:hAnsi="Times New Roman" w:cs="Times New Roman"/>
          <w:sz w:val="24"/>
          <w:szCs w:val="24"/>
          <w:shd w:val="clear" w:color="auto" w:fill="FFFFFF"/>
        </w:rPr>
        <w:t xml:space="preserve"> socially </w:t>
      </w:r>
      <w:r w:rsidR="002C74A0" w:rsidRPr="009E1A9D">
        <w:rPr>
          <w:rFonts w:ascii="Times New Roman" w:hAnsi="Times New Roman" w:cs="Times New Roman"/>
          <w:sz w:val="24"/>
          <w:szCs w:val="24"/>
          <w:shd w:val="clear" w:color="auto" w:fill="FFFFFF"/>
        </w:rPr>
        <w:t>effective</w:t>
      </w:r>
      <w:r w:rsidR="00891CEF" w:rsidRPr="009E1A9D">
        <w:rPr>
          <w:rFonts w:ascii="Times New Roman" w:hAnsi="Times New Roman" w:cs="Times New Roman"/>
          <w:sz w:val="24"/>
          <w:szCs w:val="24"/>
          <w:shd w:val="clear" w:color="auto" w:fill="FFFFFF"/>
        </w:rPr>
        <w:t xml:space="preserve"> </w:t>
      </w:r>
      <w:r w:rsidR="002C74A0" w:rsidRPr="009E1A9D">
        <w:rPr>
          <w:rFonts w:ascii="Times New Roman" w:hAnsi="Times New Roman" w:cs="Times New Roman"/>
          <w:sz w:val="24"/>
          <w:szCs w:val="24"/>
          <w:shd w:val="clear" w:color="auto" w:fill="FFFFFF"/>
        </w:rPr>
        <w:t>amounts</w:t>
      </w:r>
      <w:r w:rsidR="00891CEF" w:rsidRPr="009E1A9D">
        <w:rPr>
          <w:rFonts w:ascii="Times New Roman" w:hAnsi="Times New Roman" w:cs="Times New Roman"/>
          <w:sz w:val="24"/>
          <w:szCs w:val="24"/>
          <w:shd w:val="clear" w:color="auto" w:fill="FFFFFF"/>
        </w:rPr>
        <w:t xml:space="preserve"> </w:t>
      </w:r>
      <w:r w:rsidR="00DC5284" w:rsidRPr="009E1A9D">
        <w:rPr>
          <w:rFonts w:ascii="Times New Roman" w:hAnsi="Times New Roman" w:cs="Times New Roman"/>
          <w:sz w:val="24"/>
          <w:szCs w:val="24"/>
          <w:shd w:val="clear" w:color="auto" w:fill="FFFFFF"/>
        </w:rPr>
        <w:t>for</w:t>
      </w:r>
      <w:r w:rsidR="00891CEF" w:rsidRPr="009E1A9D">
        <w:rPr>
          <w:rFonts w:ascii="Times New Roman" w:hAnsi="Times New Roman" w:cs="Times New Roman"/>
          <w:sz w:val="24"/>
          <w:szCs w:val="24"/>
          <w:shd w:val="clear" w:color="auto" w:fill="FFFFFF"/>
        </w:rPr>
        <w:t xml:space="preserve"> consumption and production </w:t>
      </w:r>
      <w:sdt>
        <w:sdtPr>
          <w:rPr>
            <w:rFonts w:ascii="Times New Roman" w:hAnsi="Times New Roman" w:cs="Times New Roman"/>
            <w:sz w:val="24"/>
            <w:szCs w:val="24"/>
            <w:shd w:val="clear" w:color="auto" w:fill="FFFFFF"/>
          </w:rPr>
          <w:id w:val="210083463"/>
          <w:citation/>
        </w:sdtPr>
        <w:sdtEndPr/>
        <w:sdtContent>
          <w:r w:rsidR="00891CEF" w:rsidRPr="009E1A9D">
            <w:rPr>
              <w:rFonts w:ascii="Times New Roman" w:hAnsi="Times New Roman" w:cs="Times New Roman"/>
              <w:sz w:val="24"/>
              <w:szCs w:val="24"/>
              <w:shd w:val="clear" w:color="auto" w:fill="FFFFFF"/>
            </w:rPr>
            <w:fldChar w:fldCharType="begin"/>
          </w:r>
          <w:r w:rsidR="00891CEF" w:rsidRPr="009E1A9D">
            <w:rPr>
              <w:rFonts w:ascii="Times New Roman" w:hAnsi="Times New Roman" w:cs="Times New Roman"/>
              <w:sz w:val="24"/>
              <w:szCs w:val="24"/>
              <w:shd w:val="clear" w:color="auto" w:fill="FFFFFF"/>
            </w:rPr>
            <w:instrText xml:space="preserve"> CITATION Wal99 \l 2057 </w:instrText>
          </w:r>
          <w:r w:rsidR="00891CEF" w:rsidRPr="009E1A9D">
            <w:rPr>
              <w:rFonts w:ascii="Times New Roman" w:hAnsi="Times New Roman" w:cs="Times New Roman"/>
              <w:sz w:val="24"/>
              <w:szCs w:val="24"/>
              <w:shd w:val="clear" w:color="auto" w:fill="FFFFFF"/>
            </w:rPr>
            <w:fldChar w:fldCharType="separate"/>
          </w:r>
          <w:r w:rsidR="00891CEF" w:rsidRPr="009E1A9D">
            <w:rPr>
              <w:rFonts w:ascii="Times New Roman" w:hAnsi="Times New Roman" w:cs="Times New Roman"/>
              <w:noProof/>
              <w:sz w:val="24"/>
              <w:szCs w:val="24"/>
              <w:shd w:val="clear" w:color="auto" w:fill="FFFFFF"/>
            </w:rPr>
            <w:t>(Wallis &amp; Dollery, 1999)</w:t>
          </w:r>
          <w:r w:rsidR="00891CEF" w:rsidRPr="009E1A9D">
            <w:rPr>
              <w:rFonts w:ascii="Times New Roman" w:hAnsi="Times New Roman" w:cs="Times New Roman"/>
              <w:sz w:val="24"/>
              <w:szCs w:val="24"/>
              <w:shd w:val="clear" w:color="auto" w:fill="FFFFFF"/>
            </w:rPr>
            <w:fldChar w:fldCharType="end"/>
          </w:r>
        </w:sdtContent>
      </w:sdt>
      <w:r w:rsidR="00891CEF" w:rsidRPr="009E1A9D">
        <w:rPr>
          <w:rFonts w:ascii="Times New Roman" w:hAnsi="Times New Roman" w:cs="Times New Roman"/>
          <w:sz w:val="24"/>
          <w:szCs w:val="24"/>
          <w:shd w:val="clear" w:color="auto" w:fill="FFFFFF"/>
        </w:rPr>
        <w:t>.</w:t>
      </w:r>
      <w:r w:rsidR="00891CEF" w:rsidRPr="00E87A61">
        <w:rPr>
          <w:rFonts w:ascii="Times New Roman" w:hAnsi="Times New Roman" w:cs="Times New Roman"/>
          <w:sz w:val="24"/>
          <w:szCs w:val="24"/>
          <w:shd w:val="clear" w:color="auto" w:fill="FFFFFF"/>
        </w:rPr>
        <w:t xml:space="preserve"> </w:t>
      </w:r>
    </w:p>
    <w:p w14:paraId="091F89D4" w14:textId="03F264DC" w:rsidR="009F3A71" w:rsidRPr="00E87A61" w:rsidRDefault="009F3A71" w:rsidP="009F3A71">
      <w:pPr>
        <w:pStyle w:val="ListParagraph"/>
        <w:spacing w:line="480" w:lineRule="auto"/>
        <w:ind w:left="0"/>
        <w:jc w:val="both"/>
      </w:pPr>
      <w:r w:rsidRPr="00E87A61">
        <w:lastRenderedPageBreak/>
        <w:t>Welfare loss is one outcome of a market failure. This is because it impacts circulation of products and services as well as distorting the price structure which can in turn lead to the failure of economic efficiency. These market failures are rooted within the social economic structures of the majority of countries, reinforced by the absence of well-functioning structures this is intended to strengthen our market econom</w:t>
      </w:r>
      <w:r w:rsidR="009E1A9D">
        <w:t>y’s</w:t>
      </w:r>
      <w:r w:rsidRPr="00E87A61">
        <w:t xml:space="preserve"> resilience to any shortcomings</w:t>
      </w:r>
      <w:sdt>
        <w:sdtPr>
          <w:id w:val="515508390"/>
          <w:citation/>
        </w:sdtPr>
        <w:sdtEndPr/>
        <w:sdtContent>
          <w:r w:rsidRPr="00E87A61">
            <w:fldChar w:fldCharType="begin"/>
          </w:r>
          <w:r w:rsidRPr="00E87A61">
            <w:instrText xml:space="preserve"> CITATION Win06 \l 2057 </w:instrText>
          </w:r>
          <w:r w:rsidRPr="00E87A61">
            <w:fldChar w:fldCharType="separate"/>
          </w:r>
          <w:r w:rsidRPr="00E87A61">
            <w:rPr>
              <w:noProof/>
            </w:rPr>
            <w:t xml:space="preserve"> (Winston, 2006)</w:t>
          </w:r>
          <w:r w:rsidRPr="00E87A61">
            <w:fldChar w:fldCharType="end"/>
          </w:r>
        </w:sdtContent>
      </w:sdt>
      <w:r w:rsidRPr="00E87A61">
        <w:t xml:space="preserve">.     </w:t>
      </w:r>
    </w:p>
    <w:p w14:paraId="381AFBBE" w14:textId="3B63E2C8" w:rsidR="00AD6331" w:rsidRPr="00E87A61" w:rsidRDefault="00AD6331" w:rsidP="009F3A71">
      <w:pPr>
        <w:pStyle w:val="ListParagraph"/>
        <w:spacing w:line="480" w:lineRule="auto"/>
        <w:ind w:left="0"/>
        <w:jc w:val="both"/>
      </w:pPr>
      <w:bookmarkStart w:id="1" w:name="_Hlk35509697"/>
      <w:r w:rsidRPr="00E87A61">
        <w:t>In January 2018 Carillion PLC a UK Based construction and facilities management company announced it was going into liquidation</w:t>
      </w:r>
      <w:r w:rsidR="001A1ED6" w:rsidRPr="00E87A61">
        <w:t xml:space="preserve">. This posed a number of issues </w:t>
      </w:r>
      <w:r w:rsidR="009E1A9D">
        <w:t xml:space="preserve">for </w:t>
      </w:r>
      <w:r w:rsidR="001A1ED6" w:rsidRPr="00E87A61">
        <w:t xml:space="preserve">the government as to whether it was pertinent to bail the company out, when it had made a commitment of non-interference in relation to bailouts. So why did it bother the government so much ? In July 2017 Carillion PLC were awarded the contract for the new HS2 Rail system which at the time was worth an estimate </w:t>
      </w:r>
      <w:r w:rsidR="009E1A9D">
        <w:t xml:space="preserve">of </w:t>
      </w:r>
      <w:r w:rsidR="001A1ED6" w:rsidRPr="00E87A61">
        <w:t>£1.34 billion. Critics Question why such a contract was offered to an organisation already reporting financial troubles, stating was it offered a</w:t>
      </w:r>
      <w:r w:rsidR="007132C9" w:rsidRPr="00E87A61">
        <w:t xml:space="preserve">s a boost to </w:t>
      </w:r>
      <w:r w:rsidR="001A1ED6" w:rsidRPr="00E87A61">
        <w:t>prop up</w:t>
      </w:r>
      <w:r w:rsidR="007132C9" w:rsidRPr="00E87A61">
        <w:t xml:space="preserve"> the organisation</w:t>
      </w:r>
      <w:r w:rsidR="001A1ED6" w:rsidRPr="00E87A61">
        <w:t>.</w:t>
      </w:r>
      <w:r w:rsidR="007132C9" w:rsidRPr="00E87A61">
        <w:t xml:space="preserve"> Whatever the reason this was a Market failure that cost the government financially and in reputation </w:t>
      </w:r>
      <w:sdt>
        <w:sdtPr>
          <w:id w:val="-949005921"/>
          <w:citation/>
        </w:sdtPr>
        <w:sdtEndPr/>
        <w:sdtContent>
          <w:r w:rsidRPr="00E87A61">
            <w:fldChar w:fldCharType="begin"/>
          </w:r>
          <w:r w:rsidRPr="00E87A61">
            <w:instrText xml:space="preserve"> CITATION Pod18 \l 2057 </w:instrText>
          </w:r>
          <w:r w:rsidRPr="00E87A61">
            <w:fldChar w:fldCharType="separate"/>
          </w:r>
          <w:r w:rsidRPr="00E87A61">
            <w:rPr>
              <w:noProof/>
            </w:rPr>
            <w:t>(Podmore, 2018)</w:t>
          </w:r>
          <w:r w:rsidRPr="00E87A61">
            <w:fldChar w:fldCharType="end"/>
          </w:r>
        </w:sdtContent>
      </w:sdt>
      <w:r w:rsidR="007132C9" w:rsidRPr="00E87A61">
        <w:t>.</w:t>
      </w:r>
    </w:p>
    <w:bookmarkEnd w:id="1"/>
    <w:p w14:paraId="2E937785" w14:textId="2ADB9341" w:rsidR="007132C9" w:rsidRPr="00E87A61" w:rsidRDefault="007132C9" w:rsidP="00214C89">
      <w:pPr>
        <w:spacing w:line="480" w:lineRule="auto"/>
        <w:contextualSpacing/>
        <w:jc w:val="both"/>
        <w:rPr>
          <w:rFonts w:ascii="Times New Roman" w:hAnsi="Times New Roman" w:cs="Times New Roman"/>
          <w:b/>
          <w:bCs/>
          <w:sz w:val="24"/>
          <w:szCs w:val="24"/>
          <w:u w:val="single"/>
        </w:rPr>
      </w:pPr>
    </w:p>
    <w:p w14:paraId="2D820226" w14:textId="77777777" w:rsidR="00A27140" w:rsidRPr="00E87A61" w:rsidRDefault="00A27140" w:rsidP="00A27140">
      <w:pPr>
        <w:pStyle w:val="NormalWeb"/>
        <w:spacing w:before="0" w:beforeAutospacing="0" w:line="480" w:lineRule="auto"/>
        <w:jc w:val="both"/>
        <w:rPr>
          <w:rStyle w:val="Strong"/>
          <w:u w:val="single"/>
        </w:rPr>
      </w:pPr>
      <w:bookmarkStart w:id="2" w:name="_Hlk35509731"/>
      <w:r w:rsidRPr="00E87A61">
        <w:rPr>
          <w:rStyle w:val="Strong"/>
          <w:u w:val="single"/>
        </w:rPr>
        <w:t xml:space="preserve">Estimating Public Good </w:t>
      </w:r>
    </w:p>
    <w:p w14:paraId="088219C2" w14:textId="656C71E2" w:rsidR="00115E52" w:rsidRPr="00E87A61" w:rsidRDefault="00A27140" w:rsidP="00E818DD">
      <w:pPr>
        <w:pStyle w:val="NormalWeb"/>
        <w:spacing w:before="0" w:beforeAutospacing="0" w:line="480" w:lineRule="auto"/>
        <w:jc w:val="both"/>
      </w:pPr>
      <w:r w:rsidRPr="00E87A61">
        <w:rPr>
          <w:rStyle w:val="Strong"/>
          <w:b w:val="0"/>
          <w:bCs w:val="0"/>
        </w:rPr>
        <w:t xml:space="preserve">One of the main boundaries effecting the valuing of marginal private costs within an organisation, is that they fail to include public good. Public good is the term given to </w:t>
      </w:r>
      <w:r w:rsidR="0053636C" w:rsidRPr="00E87A61">
        <w:rPr>
          <w:rStyle w:val="Strong"/>
          <w:b w:val="0"/>
          <w:bCs w:val="0"/>
        </w:rPr>
        <w:t>a good that is seen as both Non-excludable and non-rivalrous, meaning that any benefit  obtained from these goods cannot be limited to those who have paid for them. Moreover, marginal costs required for the supply of these public goods</w:t>
      </w:r>
      <w:r w:rsidR="00E818DD" w:rsidRPr="00E87A61">
        <w:rPr>
          <w:rStyle w:val="Strong"/>
          <w:b w:val="0"/>
          <w:bCs w:val="0"/>
        </w:rPr>
        <w:t xml:space="preserve"> to an additional consumer is zero, meaning if it is available to one it must be available to all. </w:t>
      </w:r>
      <w:r w:rsidR="0053636C" w:rsidRPr="00E87A61">
        <w:rPr>
          <w:rStyle w:val="Strong"/>
          <w:b w:val="0"/>
          <w:bCs w:val="0"/>
        </w:rPr>
        <w:t xml:space="preserve"> For a business to successfully achieve allocative efficiency</w:t>
      </w:r>
      <w:r w:rsidR="00E818DD" w:rsidRPr="00E87A61">
        <w:rPr>
          <w:rStyle w:val="Strong"/>
          <w:b w:val="0"/>
          <w:bCs w:val="0"/>
        </w:rPr>
        <w:t xml:space="preserve"> of Public good,</w:t>
      </w:r>
      <w:r w:rsidR="0053636C" w:rsidRPr="00E87A61">
        <w:rPr>
          <w:rStyle w:val="Strong"/>
          <w:b w:val="0"/>
          <w:bCs w:val="0"/>
        </w:rPr>
        <w:t xml:space="preserve"> where production represents consumer preference, they must </w:t>
      </w:r>
      <w:r w:rsidR="0053636C" w:rsidRPr="00E87A61">
        <w:rPr>
          <w:rStyle w:val="Strong"/>
          <w:b w:val="0"/>
          <w:bCs w:val="0"/>
        </w:rPr>
        <w:lastRenderedPageBreak/>
        <w:t>produce a well-defined supply and demand function.</w:t>
      </w:r>
      <w:r w:rsidR="00E818DD" w:rsidRPr="00E87A61">
        <w:rPr>
          <w:rStyle w:val="Strong"/>
          <w:b w:val="0"/>
          <w:bCs w:val="0"/>
        </w:rPr>
        <w:t xml:space="preserve"> </w:t>
      </w:r>
      <w:r w:rsidR="00FF54DB" w:rsidRPr="00E87A61">
        <w:rPr>
          <w:rStyle w:val="Strong"/>
          <w:b w:val="0"/>
          <w:bCs w:val="0"/>
        </w:rPr>
        <w:t xml:space="preserve">It is therefore not possible to efficiently assign Public good without intervention from a third-party. </w:t>
      </w:r>
      <w:r w:rsidR="00115E52" w:rsidRPr="00E87A61">
        <w:rPr>
          <w:rStyle w:val="Strong"/>
          <w:b w:val="0"/>
          <w:bCs w:val="0"/>
        </w:rPr>
        <w:t xml:space="preserve">With this in mind governments could react by imposing the direct provision of public goods, this is achieved simply by increasing the amount of information and education about the area in question. Governments may also choose to implement specific political procedures in place in order to </w:t>
      </w:r>
      <w:r w:rsidR="0053636C" w:rsidRPr="00E87A61">
        <w:rPr>
          <w:rStyle w:val="Strong"/>
          <w:b w:val="0"/>
          <w:bCs w:val="0"/>
        </w:rPr>
        <w:t>identify societal preference in regards to public goods</w:t>
      </w:r>
      <w:sdt>
        <w:sdtPr>
          <w:rPr>
            <w:rStyle w:val="Strong"/>
            <w:b w:val="0"/>
            <w:bCs w:val="0"/>
          </w:rPr>
          <w:id w:val="796185537"/>
          <w:citation/>
        </w:sdtPr>
        <w:sdtEndPr>
          <w:rPr>
            <w:rStyle w:val="Strong"/>
          </w:rPr>
        </w:sdtEndPr>
        <w:sdtContent>
          <w:r w:rsidR="00E818DD" w:rsidRPr="00E87A61">
            <w:rPr>
              <w:rStyle w:val="Strong"/>
              <w:b w:val="0"/>
              <w:bCs w:val="0"/>
            </w:rPr>
            <w:fldChar w:fldCharType="begin"/>
          </w:r>
          <w:r w:rsidR="00E818DD" w:rsidRPr="00E87A61">
            <w:rPr>
              <w:rStyle w:val="Strong"/>
              <w:b w:val="0"/>
              <w:bCs w:val="0"/>
            </w:rPr>
            <w:instrText xml:space="preserve"> CITATION Buc99 \l 2057 </w:instrText>
          </w:r>
          <w:r w:rsidR="00E818DD" w:rsidRPr="00E87A61">
            <w:rPr>
              <w:rStyle w:val="Strong"/>
              <w:b w:val="0"/>
              <w:bCs w:val="0"/>
            </w:rPr>
            <w:fldChar w:fldCharType="separate"/>
          </w:r>
          <w:r w:rsidR="00E818DD" w:rsidRPr="00E87A61">
            <w:rPr>
              <w:rStyle w:val="Strong"/>
              <w:b w:val="0"/>
              <w:bCs w:val="0"/>
              <w:noProof/>
            </w:rPr>
            <w:t xml:space="preserve"> </w:t>
          </w:r>
          <w:r w:rsidR="00E818DD" w:rsidRPr="00E87A61">
            <w:rPr>
              <w:noProof/>
            </w:rPr>
            <w:t>(Buchanan, 1999)</w:t>
          </w:r>
          <w:r w:rsidR="00E818DD" w:rsidRPr="00E87A61">
            <w:rPr>
              <w:rStyle w:val="Strong"/>
              <w:b w:val="0"/>
              <w:bCs w:val="0"/>
            </w:rPr>
            <w:fldChar w:fldCharType="end"/>
          </w:r>
        </w:sdtContent>
      </w:sdt>
      <w:r w:rsidR="0053636C" w:rsidRPr="00E87A61">
        <w:rPr>
          <w:rStyle w:val="Strong"/>
          <w:b w:val="0"/>
          <w:bCs w:val="0"/>
        </w:rPr>
        <w:t xml:space="preserve">. </w:t>
      </w:r>
    </w:p>
    <w:bookmarkEnd w:id="2"/>
    <w:p w14:paraId="42E0D353" w14:textId="77777777" w:rsidR="00A27140" w:rsidRPr="00E87A61" w:rsidRDefault="00A27140" w:rsidP="00214C89">
      <w:pPr>
        <w:spacing w:line="480" w:lineRule="auto"/>
        <w:contextualSpacing/>
        <w:jc w:val="both"/>
        <w:rPr>
          <w:rFonts w:ascii="Times New Roman" w:hAnsi="Times New Roman" w:cs="Times New Roman"/>
          <w:b/>
          <w:bCs/>
          <w:sz w:val="24"/>
          <w:szCs w:val="24"/>
          <w:u w:val="single"/>
        </w:rPr>
      </w:pPr>
    </w:p>
    <w:p w14:paraId="23222E68" w14:textId="5370EF26" w:rsidR="00214C89" w:rsidRPr="00E87A61" w:rsidRDefault="00214C89" w:rsidP="00214C89">
      <w:pPr>
        <w:spacing w:line="480" w:lineRule="auto"/>
        <w:contextualSpacing/>
        <w:jc w:val="both"/>
        <w:rPr>
          <w:rFonts w:ascii="Times New Roman" w:hAnsi="Times New Roman" w:cs="Times New Roman"/>
          <w:b/>
          <w:bCs/>
          <w:sz w:val="24"/>
          <w:szCs w:val="24"/>
          <w:u w:val="single"/>
        </w:rPr>
      </w:pPr>
      <w:r w:rsidRPr="00E87A61">
        <w:rPr>
          <w:rFonts w:ascii="Times New Roman" w:hAnsi="Times New Roman" w:cs="Times New Roman"/>
          <w:b/>
          <w:bCs/>
          <w:sz w:val="24"/>
          <w:szCs w:val="24"/>
          <w:u w:val="single"/>
        </w:rPr>
        <w:t xml:space="preserve">Externalities and their Effects on Industry  </w:t>
      </w:r>
    </w:p>
    <w:p w14:paraId="715B1EE0" w14:textId="21C64EBE" w:rsidR="00214C89" w:rsidRPr="00E87A61" w:rsidRDefault="00214C89" w:rsidP="00214C89">
      <w:pPr>
        <w:spacing w:line="480" w:lineRule="auto"/>
        <w:contextualSpacing/>
        <w:jc w:val="both"/>
        <w:rPr>
          <w:rFonts w:ascii="Times New Roman" w:hAnsi="Times New Roman" w:cs="Times New Roman"/>
          <w:sz w:val="24"/>
          <w:szCs w:val="24"/>
        </w:rPr>
      </w:pPr>
      <w:r w:rsidRPr="00E87A61">
        <w:rPr>
          <w:rFonts w:ascii="Times New Roman" w:hAnsi="Times New Roman" w:cs="Times New Roman"/>
          <w:sz w:val="24"/>
          <w:szCs w:val="24"/>
        </w:rPr>
        <w:t xml:space="preserve">The externalities within UK industry include the economic, social and environmental consequences of the business that are produced from </w:t>
      </w:r>
      <w:r w:rsidR="000750DA">
        <w:rPr>
          <w:rFonts w:ascii="Times New Roman" w:hAnsi="Times New Roman" w:cs="Times New Roman"/>
          <w:sz w:val="24"/>
          <w:szCs w:val="24"/>
        </w:rPr>
        <w:t xml:space="preserve">the </w:t>
      </w:r>
      <w:r w:rsidRPr="00E87A61">
        <w:rPr>
          <w:rFonts w:ascii="Times New Roman" w:hAnsi="Times New Roman" w:cs="Times New Roman"/>
          <w:sz w:val="24"/>
          <w:szCs w:val="24"/>
        </w:rPr>
        <w:t>activities of the organisation but whos</w:t>
      </w:r>
      <w:r w:rsidR="000750DA">
        <w:rPr>
          <w:rFonts w:ascii="Times New Roman" w:hAnsi="Times New Roman" w:cs="Times New Roman"/>
          <w:sz w:val="24"/>
          <w:szCs w:val="24"/>
        </w:rPr>
        <w:t>e</w:t>
      </w:r>
      <w:r w:rsidRPr="00E87A61">
        <w:rPr>
          <w:rFonts w:ascii="Times New Roman" w:hAnsi="Times New Roman" w:cs="Times New Roman"/>
          <w:sz w:val="24"/>
          <w:szCs w:val="24"/>
        </w:rPr>
        <w:t xml:space="preserve"> effects are borne by other parties, in many cases the public.  Reflection of these extremities fails to be replicated within the price of the products or services provided</w:t>
      </w:r>
      <w:r w:rsidR="000750DA">
        <w:rPr>
          <w:rFonts w:ascii="Times New Roman" w:hAnsi="Times New Roman" w:cs="Times New Roman"/>
          <w:sz w:val="24"/>
          <w:szCs w:val="24"/>
        </w:rPr>
        <w:t>. A</w:t>
      </w:r>
      <w:r w:rsidRPr="00E87A61">
        <w:rPr>
          <w:rFonts w:ascii="Times New Roman" w:hAnsi="Times New Roman" w:cs="Times New Roman"/>
          <w:sz w:val="24"/>
          <w:szCs w:val="24"/>
        </w:rPr>
        <w:t>n example within the  current UK Steel industry could be the pollution released from chimneys at a steel works polluting the air and effecting the air quality in the surrounding area. Due to the fact that these issues do not factor directly within the organisation</w:t>
      </w:r>
      <w:r w:rsidR="000750DA">
        <w:rPr>
          <w:rFonts w:ascii="Times New Roman" w:hAnsi="Times New Roman" w:cs="Times New Roman"/>
          <w:sz w:val="24"/>
          <w:szCs w:val="24"/>
        </w:rPr>
        <w:t>’</w:t>
      </w:r>
      <w:r w:rsidRPr="00E87A61">
        <w:rPr>
          <w:rFonts w:ascii="Times New Roman" w:hAnsi="Times New Roman" w:cs="Times New Roman"/>
          <w:sz w:val="24"/>
          <w:szCs w:val="24"/>
        </w:rPr>
        <w:t xml:space="preserve">s financial results they typically remain outside the remit of financial reporting and </w:t>
      </w:r>
      <w:r w:rsidR="000750DA">
        <w:rPr>
          <w:rFonts w:ascii="Times New Roman" w:hAnsi="Times New Roman" w:cs="Times New Roman"/>
          <w:sz w:val="24"/>
          <w:szCs w:val="24"/>
        </w:rPr>
        <w:t xml:space="preserve">are </w:t>
      </w:r>
      <w:r w:rsidRPr="00E87A61">
        <w:rPr>
          <w:rFonts w:ascii="Times New Roman" w:hAnsi="Times New Roman" w:cs="Times New Roman"/>
          <w:sz w:val="24"/>
          <w:szCs w:val="24"/>
        </w:rPr>
        <w:t xml:space="preserve">viewed as having no internal consequence  </w:t>
      </w:r>
      <w:r w:rsidR="00A85687" w:rsidRPr="00E87A61">
        <w:rPr>
          <w:rFonts w:ascii="Times New Roman" w:hAnsi="Times New Roman" w:cs="Times New Roman"/>
          <w:noProof/>
          <w:sz w:val="24"/>
          <w:szCs w:val="24"/>
        </w:rPr>
        <w:t>(Hopwood,</w:t>
      </w:r>
      <w:r w:rsidR="00A85687">
        <w:rPr>
          <w:rFonts w:ascii="Times New Roman" w:hAnsi="Times New Roman" w:cs="Times New Roman"/>
          <w:noProof/>
          <w:sz w:val="24"/>
          <w:szCs w:val="24"/>
        </w:rPr>
        <w:t xml:space="preserve"> et al</w:t>
      </w:r>
      <w:r w:rsidR="00A85687" w:rsidRPr="00E87A61">
        <w:rPr>
          <w:rFonts w:ascii="Times New Roman" w:hAnsi="Times New Roman" w:cs="Times New Roman"/>
          <w:noProof/>
          <w:sz w:val="24"/>
          <w:szCs w:val="24"/>
        </w:rPr>
        <w:t>, 2010)</w:t>
      </w:r>
      <w:r w:rsidRPr="00E87A61">
        <w:rPr>
          <w:rFonts w:ascii="Times New Roman" w:hAnsi="Times New Roman" w:cs="Times New Roman"/>
          <w:sz w:val="24"/>
          <w:szCs w:val="24"/>
        </w:rPr>
        <w:t xml:space="preserve">. In order for this current position to be amended, externalities must be internalised, this could be achieved in a number of ways.  </w:t>
      </w:r>
      <w:r w:rsidR="009E003B">
        <w:rPr>
          <w:rFonts w:ascii="Times New Roman" w:hAnsi="Times New Roman" w:cs="Times New Roman"/>
          <w:sz w:val="24"/>
          <w:szCs w:val="24"/>
        </w:rPr>
        <w:t xml:space="preserve">See figure 4. </w:t>
      </w:r>
    </w:p>
    <w:p w14:paraId="67A1D7A3" w14:textId="3F247AAD" w:rsidR="009E003B" w:rsidRDefault="009E003B" w:rsidP="009E003B">
      <w:pPr>
        <w:spacing w:line="480" w:lineRule="auto"/>
        <w:ind w:left="720"/>
        <w:contextualSpacing/>
        <w:jc w:val="both"/>
        <w:rPr>
          <w:rFonts w:ascii="Times New Roman" w:hAnsi="Times New Roman" w:cs="Times New Roman"/>
          <w:sz w:val="24"/>
          <w:szCs w:val="24"/>
        </w:rPr>
      </w:pPr>
      <w:r>
        <w:rPr>
          <w:noProof/>
        </w:rPr>
        <w:drawing>
          <wp:inline distT="0" distB="0" distL="0" distR="0" wp14:anchorId="4099647E" wp14:editId="02B399EB">
            <wp:extent cx="5003800" cy="1549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619" t="39488" r="15976" b="23388"/>
                    <a:stretch/>
                  </pic:blipFill>
                  <pic:spPr bwMode="auto">
                    <a:xfrm>
                      <a:off x="0" y="0"/>
                      <a:ext cx="5037235" cy="1559854"/>
                    </a:xfrm>
                    <a:prstGeom prst="rect">
                      <a:avLst/>
                    </a:prstGeom>
                    <a:ln>
                      <a:noFill/>
                    </a:ln>
                    <a:extLst>
                      <a:ext uri="{53640926-AAD7-44D8-BBD7-CCE9431645EC}">
                        <a14:shadowObscured xmlns:a14="http://schemas.microsoft.com/office/drawing/2010/main"/>
                      </a:ext>
                    </a:extLst>
                  </pic:spPr>
                </pic:pic>
              </a:graphicData>
            </a:graphic>
          </wp:inline>
        </w:drawing>
      </w:r>
    </w:p>
    <w:p w14:paraId="3B7D07A0" w14:textId="0BD5926D" w:rsidR="00214C89" w:rsidRPr="009E003B" w:rsidRDefault="009E003B" w:rsidP="009E003B">
      <w:pPr>
        <w:spacing w:line="480" w:lineRule="auto"/>
        <w:ind w:left="720"/>
        <w:contextualSpacing/>
        <w:jc w:val="center"/>
        <w:rPr>
          <w:rFonts w:ascii="Times New Roman" w:hAnsi="Times New Roman" w:cs="Times New Roman"/>
          <w:sz w:val="16"/>
          <w:szCs w:val="16"/>
        </w:rPr>
      </w:pPr>
      <w:r w:rsidRPr="009E003B">
        <w:rPr>
          <w:rFonts w:ascii="Times New Roman" w:hAnsi="Times New Roman" w:cs="Times New Roman"/>
          <w:sz w:val="16"/>
          <w:szCs w:val="16"/>
        </w:rPr>
        <w:t>Figure 4: forms of externality internalisation</w:t>
      </w:r>
      <w:sdt>
        <w:sdtPr>
          <w:rPr>
            <w:rFonts w:ascii="Times New Roman" w:hAnsi="Times New Roman" w:cs="Times New Roman"/>
            <w:sz w:val="16"/>
            <w:szCs w:val="16"/>
          </w:rPr>
          <w:id w:val="1703051002"/>
          <w:citation/>
        </w:sdtPr>
        <w:sdtContent>
          <w:r>
            <w:rPr>
              <w:rFonts w:ascii="Times New Roman" w:hAnsi="Times New Roman" w:cs="Times New Roman"/>
              <w:sz w:val="16"/>
              <w:szCs w:val="16"/>
            </w:rPr>
            <w:fldChar w:fldCharType="begin"/>
          </w:r>
          <w:r>
            <w:rPr>
              <w:rFonts w:ascii="Times New Roman" w:hAnsi="Times New Roman" w:cs="Times New Roman"/>
              <w:sz w:val="16"/>
              <w:szCs w:val="16"/>
            </w:rPr>
            <w:instrText xml:space="preserve"> CITATION NCC16 \l 2057 </w:instrText>
          </w:r>
          <w:r>
            <w:rPr>
              <w:rFonts w:ascii="Times New Roman" w:hAnsi="Times New Roman" w:cs="Times New Roman"/>
              <w:sz w:val="16"/>
              <w:szCs w:val="16"/>
            </w:rPr>
            <w:fldChar w:fldCharType="separate"/>
          </w:r>
          <w:r>
            <w:rPr>
              <w:rFonts w:ascii="Times New Roman" w:hAnsi="Times New Roman" w:cs="Times New Roman"/>
              <w:noProof/>
              <w:sz w:val="16"/>
              <w:szCs w:val="16"/>
            </w:rPr>
            <w:t xml:space="preserve"> </w:t>
          </w:r>
          <w:r w:rsidRPr="009E003B">
            <w:rPr>
              <w:rFonts w:ascii="Times New Roman" w:hAnsi="Times New Roman" w:cs="Times New Roman"/>
              <w:noProof/>
              <w:sz w:val="16"/>
              <w:szCs w:val="16"/>
            </w:rPr>
            <w:t>(NCC, 2016)</w:t>
          </w:r>
          <w:r>
            <w:rPr>
              <w:rFonts w:ascii="Times New Roman" w:hAnsi="Times New Roman" w:cs="Times New Roman"/>
              <w:sz w:val="16"/>
              <w:szCs w:val="16"/>
            </w:rPr>
            <w:fldChar w:fldCharType="end"/>
          </w:r>
        </w:sdtContent>
      </w:sdt>
    </w:p>
    <w:p w14:paraId="469A56DF" w14:textId="66300450" w:rsidR="00214C89" w:rsidRPr="00E87A61" w:rsidRDefault="009E003B" w:rsidP="00214C89">
      <w:pPr>
        <w:spacing w:line="48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If organisations continue to neglect to implement </w:t>
      </w:r>
      <w:r w:rsidR="00214C89" w:rsidRPr="00E87A61">
        <w:rPr>
          <w:rFonts w:ascii="Times New Roman" w:hAnsi="Times New Roman" w:cs="Times New Roman"/>
          <w:sz w:val="24"/>
          <w:szCs w:val="24"/>
          <w:shd w:val="clear" w:color="auto" w:fill="FFFFFF"/>
        </w:rPr>
        <w:t>these changes</w:t>
      </w:r>
      <w:r>
        <w:rPr>
          <w:rFonts w:ascii="Times New Roman" w:hAnsi="Times New Roman" w:cs="Times New Roman"/>
          <w:sz w:val="24"/>
          <w:szCs w:val="24"/>
          <w:shd w:val="clear" w:color="auto" w:fill="FFFFFF"/>
        </w:rPr>
        <w:t xml:space="preserve">, then they </w:t>
      </w:r>
      <w:r w:rsidR="00214C89" w:rsidRPr="00E87A61">
        <w:rPr>
          <w:rFonts w:ascii="Times New Roman" w:hAnsi="Times New Roman" w:cs="Times New Roman"/>
          <w:sz w:val="24"/>
          <w:szCs w:val="24"/>
          <w:shd w:val="clear" w:color="auto" w:fill="FFFFFF"/>
        </w:rPr>
        <w:t xml:space="preserve">will fail to </w:t>
      </w:r>
      <w:r w:rsidRPr="00E87A61">
        <w:rPr>
          <w:rFonts w:ascii="Times New Roman" w:hAnsi="Times New Roman" w:cs="Times New Roman"/>
          <w:sz w:val="24"/>
          <w:szCs w:val="24"/>
          <w:shd w:val="clear" w:color="auto" w:fill="FFFFFF"/>
        </w:rPr>
        <w:t>appreciate</w:t>
      </w:r>
      <w:r w:rsidR="00214C89" w:rsidRPr="00E87A61">
        <w:rPr>
          <w:rFonts w:ascii="Times New Roman" w:hAnsi="Times New Roman" w:cs="Times New Roman"/>
          <w:sz w:val="24"/>
          <w:szCs w:val="24"/>
          <w:shd w:val="clear" w:color="auto" w:fill="FFFFFF"/>
        </w:rPr>
        <w:t xml:space="preserve"> the </w:t>
      </w:r>
      <w:proofErr w:type="gramStart"/>
      <w:r w:rsidR="00214C89" w:rsidRPr="00E87A61">
        <w:rPr>
          <w:rFonts w:ascii="Times New Roman" w:hAnsi="Times New Roman" w:cs="Times New Roman"/>
          <w:sz w:val="24"/>
          <w:szCs w:val="24"/>
          <w:shd w:val="clear" w:color="auto" w:fill="FFFFFF"/>
        </w:rPr>
        <w:t>long term</w:t>
      </w:r>
      <w:proofErr w:type="gramEnd"/>
      <w:r w:rsidR="00214C89" w:rsidRPr="00E87A61">
        <w:rPr>
          <w:rFonts w:ascii="Times New Roman" w:hAnsi="Times New Roman" w:cs="Times New Roman"/>
          <w:sz w:val="24"/>
          <w:szCs w:val="24"/>
          <w:shd w:val="clear" w:color="auto" w:fill="FFFFFF"/>
        </w:rPr>
        <w:t xml:space="preserve"> financial consequences for their business</w:t>
      </w:r>
      <w:r w:rsidR="00A85687" w:rsidRPr="00E87A61">
        <w:rPr>
          <w:rFonts w:ascii="Times New Roman" w:hAnsi="Times New Roman" w:cs="Times New Roman"/>
          <w:noProof/>
          <w:sz w:val="24"/>
          <w:szCs w:val="24"/>
          <w:shd w:val="clear" w:color="auto" w:fill="FFFFFF"/>
        </w:rPr>
        <w:t xml:space="preserve"> (Hopwood,</w:t>
      </w:r>
      <w:r w:rsidR="00A85687">
        <w:rPr>
          <w:rFonts w:ascii="Times New Roman" w:hAnsi="Times New Roman" w:cs="Times New Roman"/>
          <w:noProof/>
          <w:sz w:val="24"/>
          <w:szCs w:val="24"/>
          <w:shd w:val="clear" w:color="auto" w:fill="FFFFFF"/>
        </w:rPr>
        <w:t xml:space="preserve"> et al</w:t>
      </w:r>
      <w:r w:rsidR="00A85687" w:rsidRPr="00E87A61">
        <w:rPr>
          <w:rFonts w:ascii="Times New Roman" w:hAnsi="Times New Roman" w:cs="Times New Roman"/>
          <w:noProof/>
          <w:sz w:val="24"/>
          <w:szCs w:val="24"/>
          <w:shd w:val="clear" w:color="auto" w:fill="FFFFFF"/>
        </w:rPr>
        <w:t>, 2010)</w:t>
      </w:r>
      <w:r w:rsidR="00214C89" w:rsidRPr="00E87A61">
        <w:rPr>
          <w:rFonts w:ascii="Times New Roman" w:hAnsi="Times New Roman" w:cs="Times New Roman"/>
          <w:sz w:val="24"/>
          <w:szCs w:val="24"/>
          <w:shd w:val="clear" w:color="auto" w:fill="FFFFFF"/>
        </w:rPr>
        <w:t xml:space="preserve">.  However, there are many core intricacies involved in the development of dependable or consequential metrics to monetise the impacts of the externalities </w:t>
      </w:r>
      <w:r w:rsidR="00A85687" w:rsidRPr="00E87A61">
        <w:rPr>
          <w:rFonts w:ascii="Times New Roman" w:hAnsi="Times New Roman" w:cs="Times New Roman"/>
          <w:noProof/>
          <w:sz w:val="24"/>
          <w:szCs w:val="24"/>
          <w:shd w:val="clear" w:color="auto" w:fill="FFFFFF"/>
        </w:rPr>
        <w:t>(Unerman,</w:t>
      </w:r>
      <w:r w:rsidR="00A85687">
        <w:rPr>
          <w:rFonts w:ascii="Times New Roman" w:hAnsi="Times New Roman" w:cs="Times New Roman"/>
          <w:noProof/>
          <w:sz w:val="24"/>
          <w:szCs w:val="24"/>
          <w:shd w:val="clear" w:color="auto" w:fill="FFFFFF"/>
        </w:rPr>
        <w:t xml:space="preserve"> et al</w:t>
      </w:r>
      <w:r w:rsidR="00A85687" w:rsidRPr="00E87A61">
        <w:rPr>
          <w:rFonts w:ascii="Times New Roman" w:hAnsi="Times New Roman" w:cs="Times New Roman"/>
          <w:noProof/>
          <w:sz w:val="24"/>
          <w:szCs w:val="24"/>
          <w:shd w:val="clear" w:color="auto" w:fill="FFFFFF"/>
        </w:rPr>
        <w:t>, 2018)</w:t>
      </w:r>
      <w:r w:rsidR="00214C89" w:rsidRPr="00E87A61">
        <w:rPr>
          <w:rFonts w:ascii="Times New Roman" w:hAnsi="Times New Roman" w:cs="Times New Roman"/>
          <w:sz w:val="24"/>
          <w:szCs w:val="24"/>
          <w:shd w:val="clear" w:color="auto" w:fill="FFFFFF"/>
        </w:rPr>
        <w:t xml:space="preserve">. </w:t>
      </w:r>
    </w:p>
    <w:p w14:paraId="2A03895F" w14:textId="077B583F" w:rsidR="00214C89" w:rsidRPr="00E87A61" w:rsidRDefault="00214C89" w:rsidP="00214C89">
      <w:pPr>
        <w:spacing w:line="480" w:lineRule="auto"/>
        <w:contextualSpacing/>
        <w:jc w:val="both"/>
        <w:rPr>
          <w:rFonts w:ascii="Times New Roman" w:hAnsi="Times New Roman" w:cs="Times New Roman"/>
          <w:sz w:val="24"/>
          <w:szCs w:val="24"/>
        </w:rPr>
      </w:pPr>
      <w:r w:rsidRPr="00E87A61">
        <w:rPr>
          <w:rFonts w:ascii="Times New Roman" w:hAnsi="Times New Roman" w:cs="Times New Roman"/>
          <w:sz w:val="24"/>
          <w:szCs w:val="24"/>
        </w:rPr>
        <w:t>The National Capital Coalition (NCC), an international partnership who bring together the global natural capital community, state that  it is essential that all organisations acknowledge that they are reliant on the condition and wellbeing of the natural world, while recognising nature</w:t>
      </w:r>
      <w:r w:rsidR="00105808">
        <w:rPr>
          <w:rFonts w:ascii="Times New Roman" w:hAnsi="Times New Roman" w:cs="Times New Roman"/>
          <w:sz w:val="24"/>
          <w:szCs w:val="24"/>
        </w:rPr>
        <w:t>’</w:t>
      </w:r>
      <w:r w:rsidRPr="00E87A61">
        <w:rPr>
          <w:rFonts w:ascii="Times New Roman" w:hAnsi="Times New Roman" w:cs="Times New Roman"/>
          <w:sz w:val="24"/>
          <w:szCs w:val="24"/>
        </w:rPr>
        <w:t>s influence to strengthen their success. The</w:t>
      </w:r>
      <w:r w:rsidR="009E003B">
        <w:rPr>
          <w:rFonts w:ascii="Times New Roman" w:hAnsi="Times New Roman" w:cs="Times New Roman"/>
          <w:sz w:val="24"/>
          <w:szCs w:val="24"/>
        </w:rPr>
        <w:t>y b</w:t>
      </w:r>
      <w:r w:rsidRPr="00E87A61">
        <w:rPr>
          <w:rFonts w:ascii="Times New Roman" w:hAnsi="Times New Roman" w:cs="Times New Roman"/>
          <w:sz w:val="24"/>
          <w:szCs w:val="24"/>
        </w:rPr>
        <w:t>elieve that recognition by an organisation of the</w:t>
      </w:r>
      <w:r w:rsidR="009E003B">
        <w:rPr>
          <w:rFonts w:ascii="Times New Roman" w:hAnsi="Times New Roman" w:cs="Times New Roman"/>
          <w:sz w:val="24"/>
          <w:szCs w:val="24"/>
        </w:rPr>
        <w:t xml:space="preserve">ir </w:t>
      </w:r>
      <w:r w:rsidRPr="00E87A61">
        <w:rPr>
          <w:rFonts w:ascii="Times New Roman" w:hAnsi="Times New Roman" w:cs="Times New Roman"/>
          <w:sz w:val="24"/>
          <w:szCs w:val="24"/>
        </w:rPr>
        <w:t xml:space="preserve">relationship with the natural world will lead to enhanced </w:t>
      </w:r>
      <w:r w:rsidR="00105808">
        <w:rPr>
          <w:rFonts w:ascii="Times New Roman" w:hAnsi="Times New Roman" w:cs="Times New Roman"/>
          <w:sz w:val="24"/>
          <w:szCs w:val="24"/>
        </w:rPr>
        <w:t>and</w:t>
      </w:r>
      <w:r w:rsidRPr="00E87A61">
        <w:rPr>
          <w:rFonts w:ascii="Times New Roman" w:hAnsi="Times New Roman" w:cs="Times New Roman"/>
          <w:sz w:val="24"/>
          <w:szCs w:val="24"/>
        </w:rPr>
        <w:t xml:space="preserve"> well informed decisions, that would not only be an advantage to the business, but also to the communities and society surrounding them, along with positive impacts on the economy and of course the natural world  </w:t>
      </w:r>
      <w:sdt>
        <w:sdtPr>
          <w:rPr>
            <w:rFonts w:ascii="Times New Roman" w:hAnsi="Times New Roman" w:cs="Times New Roman"/>
            <w:sz w:val="24"/>
            <w:szCs w:val="24"/>
          </w:rPr>
          <w:id w:val="-821502096"/>
          <w:citation/>
        </w:sdtPr>
        <w:sdtEndPr/>
        <w:sdtContent>
          <w:r w:rsidRPr="00E87A61">
            <w:rPr>
              <w:rFonts w:ascii="Times New Roman" w:hAnsi="Times New Roman" w:cs="Times New Roman"/>
              <w:sz w:val="24"/>
              <w:szCs w:val="24"/>
            </w:rPr>
            <w:fldChar w:fldCharType="begin"/>
          </w:r>
          <w:r w:rsidRPr="00E87A61">
            <w:rPr>
              <w:rFonts w:ascii="Times New Roman" w:hAnsi="Times New Roman" w:cs="Times New Roman"/>
              <w:sz w:val="24"/>
              <w:szCs w:val="24"/>
            </w:rPr>
            <w:instrText xml:space="preserve"> CITATION NCC16 \l 2057 </w:instrText>
          </w:r>
          <w:r w:rsidRPr="00E87A61">
            <w:rPr>
              <w:rFonts w:ascii="Times New Roman" w:hAnsi="Times New Roman" w:cs="Times New Roman"/>
              <w:sz w:val="24"/>
              <w:szCs w:val="24"/>
            </w:rPr>
            <w:fldChar w:fldCharType="separate"/>
          </w:r>
          <w:r w:rsidRPr="00E87A61">
            <w:rPr>
              <w:rFonts w:ascii="Times New Roman" w:hAnsi="Times New Roman" w:cs="Times New Roman"/>
              <w:noProof/>
              <w:sz w:val="24"/>
              <w:szCs w:val="24"/>
            </w:rPr>
            <w:t>(NCC, 2016)</w:t>
          </w:r>
          <w:r w:rsidRPr="00E87A61">
            <w:rPr>
              <w:rFonts w:ascii="Times New Roman" w:hAnsi="Times New Roman" w:cs="Times New Roman"/>
              <w:sz w:val="24"/>
              <w:szCs w:val="24"/>
            </w:rPr>
            <w:fldChar w:fldCharType="end"/>
          </w:r>
        </w:sdtContent>
      </w:sdt>
      <w:r w:rsidRPr="00E87A61">
        <w:rPr>
          <w:rFonts w:ascii="Times New Roman" w:hAnsi="Times New Roman" w:cs="Times New Roman"/>
          <w:sz w:val="24"/>
          <w:szCs w:val="24"/>
        </w:rPr>
        <w:t xml:space="preserve">    </w:t>
      </w:r>
    </w:p>
    <w:p w14:paraId="705B4060" w14:textId="77777777" w:rsidR="002276F9" w:rsidRDefault="002276F9" w:rsidP="002276F9">
      <w:pPr>
        <w:spacing w:line="276" w:lineRule="auto"/>
        <w:jc w:val="both"/>
        <w:rPr>
          <w:rFonts w:ascii="inherit" w:hAnsi="inherit"/>
          <w:b/>
          <w:bCs/>
          <w:u w:val="single"/>
          <w:shd w:val="clear" w:color="auto" w:fill="FFFFFF"/>
        </w:rPr>
      </w:pPr>
    </w:p>
    <w:p w14:paraId="2B2EC2E0" w14:textId="4A992633" w:rsidR="00A71304" w:rsidRPr="00E87A61" w:rsidRDefault="00A71304" w:rsidP="00A71304">
      <w:pPr>
        <w:spacing w:line="480" w:lineRule="auto"/>
        <w:jc w:val="both"/>
        <w:rPr>
          <w:rFonts w:ascii="inherit" w:hAnsi="inherit"/>
          <w:b/>
          <w:bCs/>
          <w:u w:val="single"/>
          <w:shd w:val="clear" w:color="auto" w:fill="FFFFFF"/>
        </w:rPr>
      </w:pPr>
      <w:r w:rsidRPr="00E87A61">
        <w:rPr>
          <w:rFonts w:ascii="inherit" w:hAnsi="inherit"/>
          <w:b/>
          <w:bCs/>
          <w:u w:val="single"/>
          <w:shd w:val="clear" w:color="auto" w:fill="FFFFFF"/>
        </w:rPr>
        <w:t xml:space="preserve">Marginal </w:t>
      </w:r>
      <w:r w:rsidR="000F3C35" w:rsidRPr="00E87A61">
        <w:rPr>
          <w:rFonts w:ascii="inherit" w:hAnsi="inherit"/>
          <w:b/>
          <w:bCs/>
          <w:u w:val="single"/>
          <w:shd w:val="clear" w:color="auto" w:fill="FFFFFF"/>
        </w:rPr>
        <w:t>S</w:t>
      </w:r>
      <w:r w:rsidRPr="00E87A61">
        <w:rPr>
          <w:rFonts w:ascii="inherit" w:hAnsi="inherit"/>
          <w:b/>
          <w:bCs/>
          <w:u w:val="single"/>
          <w:shd w:val="clear" w:color="auto" w:fill="FFFFFF"/>
        </w:rPr>
        <w:t xml:space="preserve">ocial </w:t>
      </w:r>
      <w:r w:rsidR="000F3C35" w:rsidRPr="00E87A61">
        <w:rPr>
          <w:rFonts w:ascii="inherit" w:hAnsi="inherit"/>
          <w:b/>
          <w:bCs/>
          <w:u w:val="single"/>
          <w:shd w:val="clear" w:color="auto" w:fill="FFFFFF"/>
        </w:rPr>
        <w:t>C</w:t>
      </w:r>
      <w:r w:rsidRPr="00E87A61">
        <w:rPr>
          <w:rFonts w:ascii="inherit" w:hAnsi="inherit"/>
          <w:b/>
          <w:bCs/>
          <w:u w:val="single"/>
          <w:shd w:val="clear" w:color="auto" w:fill="FFFFFF"/>
        </w:rPr>
        <w:t xml:space="preserve">osts </w:t>
      </w:r>
    </w:p>
    <w:p w14:paraId="43E11435" w14:textId="38E34442" w:rsidR="0049432C" w:rsidRPr="00E87A61" w:rsidRDefault="00421D43" w:rsidP="00A71304">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sz w:val="24"/>
          <w:szCs w:val="24"/>
          <w:shd w:val="clear" w:color="auto" w:fill="FFFFFF"/>
        </w:rPr>
        <w:t>Marginal costs are the changes in total costs thar occur</w:t>
      </w:r>
      <w:r w:rsidR="00AA51BD" w:rsidRPr="00E87A61">
        <w:rPr>
          <w:rFonts w:ascii="Times New Roman" w:hAnsi="Times New Roman" w:cs="Times New Roman"/>
          <w:sz w:val="24"/>
          <w:szCs w:val="24"/>
          <w:shd w:val="clear" w:color="auto" w:fill="FFFFFF"/>
        </w:rPr>
        <w:t xml:space="preserve"> once the volume produced is increased by a single unit.</w:t>
      </w:r>
      <w:r w:rsidRPr="00E87A61">
        <w:rPr>
          <w:rFonts w:ascii="Times New Roman" w:hAnsi="Times New Roman" w:cs="Times New Roman"/>
          <w:sz w:val="24"/>
          <w:szCs w:val="24"/>
          <w:shd w:val="clear" w:color="auto" w:fill="FFFFFF"/>
        </w:rPr>
        <w:t xml:space="preserve"> </w:t>
      </w:r>
      <w:r w:rsidR="00AA51BD" w:rsidRPr="00E87A61">
        <w:rPr>
          <w:rFonts w:ascii="Times New Roman" w:hAnsi="Times New Roman" w:cs="Times New Roman"/>
          <w:sz w:val="24"/>
          <w:szCs w:val="24"/>
          <w:shd w:val="clear" w:color="auto" w:fill="FFFFFF"/>
        </w:rPr>
        <w:t>The costs of added inputs needed in the production of subsequent units is required to be contained within the marginal cost.  Marginal cost includes all variable costs that fluctuate with the level of production, while fixed costs are unchanging</w:t>
      </w:r>
      <w:r w:rsidRPr="00E87A61">
        <w:rPr>
          <w:rFonts w:ascii="Times New Roman" w:hAnsi="Times New Roman" w:cs="Times New Roman"/>
          <w:sz w:val="24"/>
          <w:szCs w:val="24"/>
          <w:shd w:val="clear" w:color="auto" w:fill="FFFFFF"/>
        </w:rPr>
        <w:t xml:space="preserve"> </w:t>
      </w:r>
      <w:r w:rsidR="00AA51BD" w:rsidRPr="00E87A61">
        <w:rPr>
          <w:rFonts w:ascii="Times New Roman" w:hAnsi="Times New Roman" w:cs="Times New Roman"/>
          <w:sz w:val="24"/>
          <w:szCs w:val="24"/>
          <w:shd w:val="clear" w:color="auto" w:fill="FFFFFF"/>
        </w:rPr>
        <w:t>and</w:t>
      </w:r>
      <w:r w:rsidRPr="00E87A61">
        <w:rPr>
          <w:rFonts w:ascii="Times New Roman" w:hAnsi="Times New Roman" w:cs="Times New Roman"/>
          <w:sz w:val="24"/>
          <w:szCs w:val="24"/>
          <w:shd w:val="clear" w:color="auto" w:fill="FFFFFF"/>
        </w:rPr>
        <w:t xml:space="preserve"> have no marginal cost</w:t>
      </w:r>
      <w:sdt>
        <w:sdtPr>
          <w:rPr>
            <w:rFonts w:ascii="Times New Roman" w:hAnsi="Times New Roman" w:cs="Times New Roman"/>
            <w:sz w:val="24"/>
            <w:szCs w:val="24"/>
            <w:shd w:val="clear" w:color="auto" w:fill="FFFFFF"/>
          </w:rPr>
          <w:id w:val="-2075040982"/>
          <w:citation/>
        </w:sdtPr>
        <w:sdtEndPr/>
        <w:sdtContent>
          <w:r w:rsidR="0049432C" w:rsidRPr="00E87A61">
            <w:rPr>
              <w:rFonts w:ascii="Times New Roman" w:hAnsi="Times New Roman" w:cs="Times New Roman"/>
              <w:sz w:val="24"/>
              <w:szCs w:val="24"/>
              <w:shd w:val="clear" w:color="auto" w:fill="FFFFFF"/>
            </w:rPr>
            <w:fldChar w:fldCharType="begin"/>
          </w:r>
          <w:r w:rsidR="0049432C" w:rsidRPr="00E87A61">
            <w:rPr>
              <w:rFonts w:ascii="Times New Roman" w:hAnsi="Times New Roman" w:cs="Times New Roman"/>
              <w:sz w:val="24"/>
              <w:szCs w:val="24"/>
              <w:shd w:val="clear" w:color="auto" w:fill="FFFFFF"/>
            </w:rPr>
            <w:instrText xml:space="preserve"> CITATION Ara19 \l 2057 </w:instrText>
          </w:r>
          <w:r w:rsidR="0049432C" w:rsidRPr="00E87A61">
            <w:rPr>
              <w:rFonts w:ascii="Times New Roman" w:hAnsi="Times New Roman" w:cs="Times New Roman"/>
              <w:sz w:val="24"/>
              <w:szCs w:val="24"/>
              <w:shd w:val="clear" w:color="auto" w:fill="FFFFFF"/>
            </w:rPr>
            <w:fldChar w:fldCharType="separate"/>
          </w:r>
          <w:r w:rsidR="0049432C" w:rsidRPr="00E87A61">
            <w:rPr>
              <w:rFonts w:ascii="Times New Roman" w:hAnsi="Times New Roman" w:cs="Times New Roman"/>
              <w:noProof/>
              <w:sz w:val="24"/>
              <w:szCs w:val="24"/>
              <w:shd w:val="clear" w:color="auto" w:fill="FFFFFF"/>
            </w:rPr>
            <w:t xml:space="preserve"> (Araujo, 2019)</w:t>
          </w:r>
          <w:r w:rsidR="0049432C" w:rsidRPr="00E87A61">
            <w:rPr>
              <w:rFonts w:ascii="Times New Roman" w:hAnsi="Times New Roman" w:cs="Times New Roman"/>
              <w:sz w:val="24"/>
              <w:szCs w:val="24"/>
              <w:shd w:val="clear" w:color="auto" w:fill="FFFFFF"/>
            </w:rPr>
            <w:fldChar w:fldCharType="end"/>
          </w:r>
        </w:sdtContent>
      </w:sdt>
      <w:r w:rsidRPr="00E87A61">
        <w:rPr>
          <w:rFonts w:ascii="Times New Roman" w:hAnsi="Times New Roman" w:cs="Times New Roman"/>
          <w:sz w:val="24"/>
          <w:szCs w:val="24"/>
          <w:shd w:val="clear" w:color="auto" w:fill="FFFFFF"/>
        </w:rPr>
        <w:t xml:space="preserve">. </w:t>
      </w:r>
    </w:p>
    <w:p w14:paraId="2A5FD3C7" w14:textId="77777777" w:rsidR="002276F9" w:rsidRDefault="00061BEF" w:rsidP="005A28E0">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sz w:val="24"/>
          <w:szCs w:val="24"/>
          <w:shd w:val="clear" w:color="auto" w:fill="FFFFFF"/>
        </w:rPr>
        <w:t xml:space="preserve">Marginal Social costs </w:t>
      </w:r>
      <w:r w:rsidR="001B09FC" w:rsidRPr="00E87A61">
        <w:rPr>
          <w:rFonts w:ascii="Times New Roman" w:hAnsi="Times New Roman" w:cs="Times New Roman"/>
          <w:sz w:val="24"/>
          <w:szCs w:val="24"/>
          <w:shd w:val="clear" w:color="auto" w:fill="FFFFFF"/>
        </w:rPr>
        <w:t xml:space="preserve">echo the effect felt in the </w:t>
      </w:r>
      <w:r w:rsidR="005A28E0" w:rsidRPr="00E87A61">
        <w:rPr>
          <w:rFonts w:ascii="Times New Roman" w:hAnsi="Times New Roman" w:cs="Times New Roman"/>
          <w:sz w:val="24"/>
          <w:szCs w:val="24"/>
          <w:shd w:val="clear" w:color="auto" w:fill="FFFFFF"/>
        </w:rPr>
        <w:t>economy</w:t>
      </w:r>
      <w:r w:rsidR="001B09FC" w:rsidRPr="00E87A61">
        <w:rPr>
          <w:rFonts w:ascii="Times New Roman" w:hAnsi="Times New Roman" w:cs="Times New Roman"/>
          <w:sz w:val="24"/>
          <w:szCs w:val="24"/>
          <w:shd w:val="clear" w:color="auto" w:fill="FFFFFF"/>
        </w:rPr>
        <w:t xml:space="preserve"> after the</w:t>
      </w:r>
      <w:r w:rsidR="005A28E0" w:rsidRPr="00E87A61">
        <w:rPr>
          <w:rFonts w:ascii="Times New Roman" w:hAnsi="Times New Roman" w:cs="Times New Roman"/>
          <w:sz w:val="24"/>
          <w:szCs w:val="24"/>
          <w:shd w:val="clear" w:color="auto" w:fill="FFFFFF"/>
        </w:rPr>
        <w:t xml:space="preserve"> </w:t>
      </w:r>
      <w:r w:rsidR="001B09FC" w:rsidRPr="00E87A61">
        <w:rPr>
          <w:rFonts w:ascii="Times New Roman" w:hAnsi="Times New Roman" w:cs="Times New Roman"/>
          <w:sz w:val="24"/>
          <w:szCs w:val="24"/>
          <w:shd w:val="clear" w:color="auto" w:fill="FFFFFF"/>
        </w:rPr>
        <w:t>manufacture of one extra</w:t>
      </w:r>
      <w:r w:rsidR="005A28E0" w:rsidRPr="00E87A61">
        <w:rPr>
          <w:rFonts w:ascii="Times New Roman" w:hAnsi="Times New Roman" w:cs="Times New Roman"/>
          <w:sz w:val="24"/>
          <w:szCs w:val="24"/>
          <w:shd w:val="clear" w:color="auto" w:fill="FFFFFF"/>
        </w:rPr>
        <w:t xml:space="preserve"> </w:t>
      </w:r>
      <w:r w:rsidR="001B09FC" w:rsidRPr="00E87A61">
        <w:rPr>
          <w:rFonts w:ascii="Times New Roman" w:hAnsi="Times New Roman" w:cs="Times New Roman"/>
          <w:sz w:val="24"/>
          <w:szCs w:val="24"/>
          <w:shd w:val="clear" w:color="auto" w:fill="FFFFFF"/>
        </w:rPr>
        <w:t xml:space="preserve">component or service. An example of this can be seen within a river polluted by a nearby coal plant, if the plant fails to include social costs within their finances then they will yield a negative effect on the environment, a negative externality. </w:t>
      </w:r>
    </w:p>
    <w:p w14:paraId="3CE23645" w14:textId="77777777" w:rsidR="002276F9" w:rsidRDefault="002276F9" w:rsidP="005A28E0">
      <w:pPr>
        <w:spacing w:line="480" w:lineRule="auto"/>
        <w:jc w:val="both"/>
        <w:rPr>
          <w:rFonts w:ascii="Times New Roman" w:hAnsi="Times New Roman" w:cs="Times New Roman"/>
          <w:sz w:val="24"/>
          <w:szCs w:val="24"/>
          <w:shd w:val="clear" w:color="auto" w:fill="FFFFFF"/>
        </w:rPr>
      </w:pPr>
    </w:p>
    <w:p w14:paraId="338A7A61" w14:textId="17A3CB54" w:rsidR="0080389E" w:rsidRPr="00E87A61" w:rsidRDefault="001462E0" w:rsidP="005A28E0">
      <w:pPr>
        <w:spacing w:line="480" w:lineRule="auto"/>
        <w:jc w:val="both"/>
        <w:rPr>
          <w:rFonts w:ascii="Times New Roman" w:hAnsi="Times New Roman" w:cs="Times New Roman"/>
          <w:sz w:val="24"/>
          <w:szCs w:val="24"/>
          <w:shd w:val="clear" w:color="auto" w:fill="FFFFFF"/>
        </w:rPr>
      </w:pPr>
      <w:r>
        <w:rPr>
          <w:noProof/>
        </w:rPr>
        <w:lastRenderedPageBreak/>
        <mc:AlternateContent>
          <mc:Choice Requires="wps">
            <w:drawing>
              <wp:anchor distT="45720" distB="45720" distL="114300" distR="114300" simplePos="0" relativeHeight="251670528" behindDoc="0" locked="0" layoutInCell="1" allowOverlap="1" wp14:anchorId="7F700347" wp14:editId="6F6CB4D4">
                <wp:simplePos x="0" y="0"/>
                <wp:positionH relativeFrom="margin">
                  <wp:align>right</wp:align>
                </wp:positionH>
                <wp:positionV relativeFrom="paragraph">
                  <wp:posOffset>368300</wp:posOffset>
                </wp:positionV>
                <wp:extent cx="5715000" cy="730250"/>
                <wp:effectExtent l="0" t="0" r="1905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30250"/>
                        </a:xfrm>
                        <a:prstGeom prst="rect">
                          <a:avLst/>
                        </a:prstGeom>
                        <a:solidFill>
                          <a:srgbClr val="FFFFFF"/>
                        </a:solidFill>
                        <a:ln w="9525">
                          <a:solidFill>
                            <a:sysClr val="windowText" lastClr="000000"/>
                          </a:solidFill>
                          <a:miter lim="800000"/>
                          <a:headEnd/>
                          <a:tailEnd/>
                        </a:ln>
                      </wps:spPr>
                      <wps:txbx>
                        <w:txbxContent>
                          <w:p w14:paraId="33507E69" w14:textId="13C38789" w:rsidR="001462E0" w:rsidRPr="00E87A61" w:rsidRDefault="001462E0" w:rsidP="001462E0">
                            <w:pPr>
                              <w:spacing w:line="480" w:lineRule="auto"/>
                              <w:jc w:val="center"/>
                              <w:rPr>
                                <w:rFonts w:ascii="Times New Roman" w:hAnsi="Times New Roman" w:cs="Times New Roman"/>
                                <w:sz w:val="20"/>
                                <w:szCs w:val="20"/>
                                <w:shd w:val="clear" w:color="auto" w:fill="FFFFFF"/>
                              </w:rPr>
                            </w:pPr>
                            <w:r w:rsidRPr="00E87A61">
                              <w:rPr>
                                <w:rFonts w:ascii="Times New Roman" w:hAnsi="Times New Roman" w:cs="Times New Roman"/>
                                <w:sz w:val="20"/>
                                <w:szCs w:val="20"/>
                                <w:shd w:val="clear" w:color="auto" w:fill="FFFFFF"/>
                              </w:rPr>
                              <w:t>Marginal Social Cost is greater than Marginal Private costs then Marginal external costs are positive</w:t>
                            </w:r>
                          </w:p>
                          <w:p w14:paraId="320E480E" w14:textId="0E66C0FF" w:rsidR="001462E0" w:rsidRPr="00E87A61" w:rsidRDefault="001462E0" w:rsidP="001462E0">
                            <w:pPr>
                              <w:spacing w:line="480" w:lineRule="auto"/>
                              <w:jc w:val="center"/>
                              <w:rPr>
                                <w:rFonts w:ascii="Times New Roman" w:hAnsi="Times New Roman" w:cs="Times New Roman"/>
                                <w:sz w:val="20"/>
                                <w:szCs w:val="20"/>
                                <w:shd w:val="clear" w:color="auto" w:fill="FFFFFF"/>
                              </w:rPr>
                            </w:pPr>
                            <w:r w:rsidRPr="00E87A61">
                              <w:rPr>
                                <w:rFonts w:ascii="Times New Roman" w:hAnsi="Times New Roman" w:cs="Times New Roman"/>
                                <w:sz w:val="20"/>
                                <w:szCs w:val="20"/>
                                <w:shd w:val="clear" w:color="auto" w:fill="FFFFFF"/>
                              </w:rPr>
                              <w:t>(MSC &gt;MPC= +MEC).</w:t>
                            </w:r>
                          </w:p>
                          <w:p w14:paraId="68EF069E" w14:textId="77777777" w:rsidR="001462E0" w:rsidRDefault="001462E0" w:rsidP="001462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00347" id="Text Box 2" o:spid="_x0000_s1028" type="#_x0000_t202" style="position:absolute;left:0;text-align:left;margin-left:398.8pt;margin-top:29pt;width:450pt;height:57.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" strokecolor="windowText">
                <v:textbox>
                  <w:txbxContent>
                    <w:p w14:paraId="33507E69" w14:textId="13C38789" w:rsidR="001462E0" w:rsidRPr="00E87A61" w:rsidRDefault="001462E0" w:rsidP="001462E0">
                      <w:pPr>
                        <w:spacing w:line="480" w:lineRule="auto"/>
                        <w:jc w:val="center"/>
                        <w:rPr>
                          <w:rFonts w:ascii="Times New Roman" w:hAnsi="Times New Roman" w:cs="Times New Roman"/>
                          <w:sz w:val="20"/>
                          <w:szCs w:val="20"/>
                          <w:shd w:val="clear" w:color="auto" w:fill="FFFFFF"/>
                        </w:rPr>
                      </w:pPr>
                      <w:r w:rsidRPr="00E87A61">
                        <w:rPr>
                          <w:rFonts w:ascii="Times New Roman" w:hAnsi="Times New Roman" w:cs="Times New Roman"/>
                          <w:sz w:val="20"/>
                          <w:szCs w:val="20"/>
                          <w:shd w:val="clear" w:color="auto" w:fill="FFFFFF"/>
                        </w:rPr>
                        <w:t>Marginal Social Cost is greater than Marginal Private costs then Marginal external costs are positive</w:t>
                      </w:r>
                    </w:p>
                    <w:p w14:paraId="320E480E" w14:textId="0E66C0FF" w:rsidR="001462E0" w:rsidRPr="00E87A61" w:rsidRDefault="001462E0" w:rsidP="001462E0">
                      <w:pPr>
                        <w:spacing w:line="480" w:lineRule="auto"/>
                        <w:jc w:val="center"/>
                        <w:rPr>
                          <w:rFonts w:ascii="Times New Roman" w:hAnsi="Times New Roman" w:cs="Times New Roman"/>
                          <w:sz w:val="20"/>
                          <w:szCs w:val="20"/>
                          <w:shd w:val="clear" w:color="auto" w:fill="FFFFFF"/>
                        </w:rPr>
                      </w:pPr>
                      <w:r w:rsidRPr="00E87A61">
                        <w:rPr>
                          <w:rFonts w:ascii="Times New Roman" w:hAnsi="Times New Roman" w:cs="Times New Roman"/>
                          <w:sz w:val="20"/>
                          <w:szCs w:val="20"/>
                          <w:shd w:val="clear" w:color="auto" w:fill="FFFFFF"/>
                        </w:rPr>
                        <w:t>(MSC &gt;MPC= +MEC).</w:t>
                      </w:r>
                    </w:p>
                    <w:p w14:paraId="68EF069E" w14:textId="77777777" w:rsidR="001462E0" w:rsidRDefault="001462E0" w:rsidP="001462E0"/>
                  </w:txbxContent>
                </v:textbox>
                <w10:wrap type="square" anchorx="margin"/>
              </v:shape>
            </w:pict>
          </mc:Fallback>
        </mc:AlternateContent>
      </w:r>
      <w:r w:rsidR="0080389E" w:rsidRPr="00E87A61">
        <w:rPr>
          <w:rFonts w:ascii="Times New Roman" w:hAnsi="Times New Roman" w:cs="Times New Roman"/>
          <w:sz w:val="24"/>
          <w:szCs w:val="24"/>
          <w:shd w:val="clear" w:color="auto" w:fill="FFFFFF"/>
        </w:rPr>
        <w:t>The sum involved would look like this :-</w:t>
      </w:r>
    </w:p>
    <w:p w14:paraId="636B9429" w14:textId="40299E1E" w:rsidR="0080389E" w:rsidRPr="00E87A61" w:rsidRDefault="0080389E" w:rsidP="005A28E0">
      <w:pPr>
        <w:spacing w:line="480" w:lineRule="auto"/>
        <w:jc w:val="both"/>
        <w:rPr>
          <w:rFonts w:ascii="Times New Roman" w:hAnsi="Times New Roman" w:cs="Times New Roman"/>
          <w:sz w:val="20"/>
          <w:szCs w:val="20"/>
          <w:shd w:val="clear" w:color="auto" w:fill="FFFFFF"/>
        </w:rPr>
      </w:pPr>
      <w:bookmarkStart w:id="3" w:name="_Hlk35684053"/>
    </w:p>
    <w:bookmarkEnd w:id="3"/>
    <w:p w14:paraId="6DA86B86" w14:textId="43B174E3" w:rsidR="00872643" w:rsidRPr="00E87A61" w:rsidRDefault="0080389E" w:rsidP="005A28E0">
      <w:pPr>
        <w:spacing w:line="480" w:lineRule="auto"/>
        <w:jc w:val="both"/>
        <w:rPr>
          <w:rFonts w:ascii="Times New Roman" w:hAnsi="Times New Roman" w:cs="Times New Roman"/>
          <w:sz w:val="24"/>
          <w:szCs w:val="24"/>
          <w:shd w:val="clear" w:color="auto" w:fill="FFFFFF"/>
        </w:rPr>
      </w:pPr>
      <w:r w:rsidRPr="00E87A61">
        <w:rPr>
          <w:rFonts w:ascii="Times New Roman" w:hAnsi="Times New Roman" w:cs="Times New Roman"/>
          <w:sz w:val="24"/>
          <w:szCs w:val="24"/>
          <w:shd w:val="clear" w:color="auto" w:fill="FFFFFF"/>
        </w:rPr>
        <w:t xml:space="preserve">Simplified it means that the costs of producing energy within the coal plant is higher than the organisation currently charges, this is due to the damage caused to the river and neighbouring environment. </w:t>
      </w:r>
      <w:r w:rsidR="00D54365" w:rsidRPr="00E87A61">
        <w:rPr>
          <w:rFonts w:ascii="Times New Roman" w:hAnsi="Times New Roman" w:cs="Times New Roman"/>
          <w:sz w:val="24"/>
          <w:szCs w:val="24"/>
          <w:shd w:val="clear" w:color="auto" w:fill="FFFFFF"/>
        </w:rPr>
        <w:t xml:space="preserve">If changes were not made then </w:t>
      </w:r>
      <w:r w:rsidRPr="00E87A61">
        <w:rPr>
          <w:rFonts w:ascii="Times New Roman" w:hAnsi="Times New Roman" w:cs="Times New Roman"/>
          <w:sz w:val="24"/>
          <w:szCs w:val="24"/>
          <w:shd w:val="clear" w:color="auto" w:fill="FFFFFF"/>
        </w:rPr>
        <w:t xml:space="preserve">the nearby town </w:t>
      </w:r>
      <w:r w:rsidR="007F4D1B">
        <w:rPr>
          <w:rFonts w:ascii="Times New Roman" w:hAnsi="Times New Roman" w:cs="Times New Roman"/>
          <w:sz w:val="24"/>
          <w:szCs w:val="24"/>
          <w:shd w:val="clear" w:color="auto" w:fill="FFFFFF"/>
        </w:rPr>
        <w:t>would have to cover</w:t>
      </w:r>
      <w:r w:rsidRPr="00E87A61">
        <w:rPr>
          <w:rFonts w:ascii="Times New Roman" w:hAnsi="Times New Roman" w:cs="Times New Roman"/>
          <w:sz w:val="24"/>
          <w:szCs w:val="24"/>
          <w:shd w:val="clear" w:color="auto" w:fill="FFFFFF"/>
        </w:rPr>
        <w:t xml:space="preserve"> the cost of </w:t>
      </w:r>
      <w:r w:rsidR="00436772">
        <w:rPr>
          <w:rFonts w:ascii="Times New Roman" w:hAnsi="Times New Roman" w:cs="Times New Roman"/>
          <w:sz w:val="24"/>
          <w:szCs w:val="24"/>
          <w:shd w:val="clear" w:color="auto" w:fill="FFFFFF"/>
        </w:rPr>
        <w:t xml:space="preserve">reparation for </w:t>
      </w:r>
      <w:r w:rsidRPr="00E87A61">
        <w:rPr>
          <w:rFonts w:ascii="Times New Roman" w:hAnsi="Times New Roman" w:cs="Times New Roman"/>
          <w:sz w:val="24"/>
          <w:szCs w:val="24"/>
          <w:shd w:val="clear" w:color="auto" w:fill="FFFFFF"/>
        </w:rPr>
        <w:t xml:space="preserve">the </w:t>
      </w:r>
      <w:r w:rsidR="00872643" w:rsidRPr="00E87A61">
        <w:rPr>
          <w:rFonts w:ascii="Times New Roman" w:hAnsi="Times New Roman" w:cs="Times New Roman"/>
          <w:sz w:val="24"/>
          <w:szCs w:val="24"/>
          <w:shd w:val="clear" w:color="auto" w:fill="FFFFFF"/>
        </w:rPr>
        <w:t>contaminated</w:t>
      </w:r>
      <w:r w:rsidRPr="00E87A61">
        <w:rPr>
          <w:rFonts w:ascii="Times New Roman" w:hAnsi="Times New Roman" w:cs="Times New Roman"/>
          <w:sz w:val="24"/>
          <w:szCs w:val="24"/>
          <w:shd w:val="clear" w:color="auto" w:fill="FFFFFF"/>
        </w:rPr>
        <w:t xml:space="preserve"> </w:t>
      </w:r>
      <w:r w:rsidR="00872643" w:rsidRPr="00E87A61">
        <w:rPr>
          <w:rFonts w:ascii="Times New Roman" w:hAnsi="Times New Roman" w:cs="Times New Roman"/>
          <w:sz w:val="24"/>
          <w:szCs w:val="24"/>
          <w:shd w:val="clear" w:color="auto" w:fill="FFFFFF"/>
        </w:rPr>
        <w:t>waterway.</w:t>
      </w:r>
      <w:r w:rsidRPr="00E87A61">
        <w:rPr>
          <w:rFonts w:ascii="Times New Roman" w:hAnsi="Times New Roman" w:cs="Times New Roman"/>
          <w:sz w:val="24"/>
          <w:szCs w:val="24"/>
          <w:shd w:val="clear" w:color="auto" w:fill="FFFFFF"/>
        </w:rPr>
        <w:t xml:space="preserve">  </w:t>
      </w:r>
      <w:r w:rsidR="00872643" w:rsidRPr="00E87A61">
        <w:rPr>
          <w:rFonts w:ascii="Times New Roman" w:hAnsi="Times New Roman" w:cs="Times New Roman"/>
          <w:sz w:val="24"/>
          <w:szCs w:val="24"/>
          <w:shd w:val="clear" w:color="auto" w:fill="FFFFFF"/>
        </w:rPr>
        <w:t>Social costs are an economic principle that must therefore be factored into the equation to continue to produce at an equilibrium. It is however exceedingly challenging for companies to measure in pounds and attach to the resulting impact. This principle is therefore usually employed by economists or legislators when creating an operating and production structure</w:t>
      </w:r>
      <w:r w:rsidR="00D54365" w:rsidRPr="00E87A61">
        <w:rPr>
          <w:rFonts w:ascii="Times New Roman" w:hAnsi="Times New Roman" w:cs="Times New Roman"/>
          <w:sz w:val="24"/>
          <w:szCs w:val="24"/>
          <w:shd w:val="clear" w:color="auto" w:fill="FFFFFF"/>
        </w:rPr>
        <w:t xml:space="preserve">, these are offered to companies to aid reduction of the costs of their actions </w:t>
      </w:r>
      <w:sdt>
        <w:sdtPr>
          <w:rPr>
            <w:rFonts w:ascii="Times New Roman" w:hAnsi="Times New Roman" w:cs="Times New Roman"/>
            <w:sz w:val="24"/>
            <w:szCs w:val="24"/>
            <w:shd w:val="clear" w:color="auto" w:fill="FFFFFF"/>
          </w:rPr>
          <w:id w:val="1185934133"/>
          <w:citation/>
        </w:sdtPr>
        <w:sdtEndPr/>
        <w:sdtContent>
          <w:r w:rsidR="00D54365" w:rsidRPr="00E87A61">
            <w:rPr>
              <w:rFonts w:ascii="Times New Roman" w:hAnsi="Times New Roman" w:cs="Times New Roman"/>
              <w:sz w:val="24"/>
              <w:szCs w:val="24"/>
              <w:shd w:val="clear" w:color="auto" w:fill="FFFFFF"/>
            </w:rPr>
            <w:fldChar w:fldCharType="begin"/>
          </w:r>
          <w:r w:rsidR="00D54365" w:rsidRPr="00E87A61">
            <w:rPr>
              <w:rFonts w:ascii="Times New Roman" w:hAnsi="Times New Roman" w:cs="Times New Roman"/>
              <w:sz w:val="24"/>
              <w:szCs w:val="24"/>
              <w:shd w:val="clear" w:color="auto" w:fill="FFFFFF"/>
            </w:rPr>
            <w:instrText xml:space="preserve"> CITATION Ken19 \l 2057 </w:instrText>
          </w:r>
          <w:r w:rsidR="00D54365" w:rsidRPr="00E87A61">
            <w:rPr>
              <w:rFonts w:ascii="Times New Roman" w:hAnsi="Times New Roman" w:cs="Times New Roman"/>
              <w:sz w:val="24"/>
              <w:szCs w:val="24"/>
              <w:shd w:val="clear" w:color="auto" w:fill="FFFFFF"/>
            </w:rPr>
            <w:fldChar w:fldCharType="separate"/>
          </w:r>
          <w:r w:rsidR="00D54365" w:rsidRPr="00E87A61">
            <w:rPr>
              <w:rFonts w:ascii="Times New Roman" w:hAnsi="Times New Roman" w:cs="Times New Roman"/>
              <w:noProof/>
              <w:sz w:val="24"/>
              <w:szCs w:val="24"/>
              <w:shd w:val="clear" w:color="auto" w:fill="FFFFFF"/>
            </w:rPr>
            <w:t>(Kenton, 2019)</w:t>
          </w:r>
          <w:r w:rsidR="00D54365" w:rsidRPr="00E87A61">
            <w:rPr>
              <w:rFonts w:ascii="Times New Roman" w:hAnsi="Times New Roman" w:cs="Times New Roman"/>
              <w:sz w:val="24"/>
              <w:szCs w:val="24"/>
              <w:shd w:val="clear" w:color="auto" w:fill="FFFFFF"/>
            </w:rPr>
            <w:fldChar w:fldCharType="end"/>
          </w:r>
        </w:sdtContent>
      </w:sdt>
      <w:r w:rsidR="00872643" w:rsidRPr="00E87A61">
        <w:rPr>
          <w:rFonts w:ascii="Times New Roman" w:hAnsi="Times New Roman" w:cs="Times New Roman"/>
          <w:sz w:val="24"/>
          <w:szCs w:val="24"/>
          <w:shd w:val="clear" w:color="auto" w:fill="FFFFFF"/>
        </w:rPr>
        <w:t xml:space="preserve">     </w:t>
      </w:r>
    </w:p>
    <w:p w14:paraId="6246F8CD" w14:textId="38F8FE82" w:rsidR="0049432C" w:rsidRPr="00B21CE0" w:rsidRDefault="0049432C" w:rsidP="00A71304">
      <w:pPr>
        <w:spacing w:line="480" w:lineRule="auto"/>
        <w:jc w:val="both"/>
        <w:rPr>
          <w:rFonts w:ascii="Times New Roman" w:hAnsi="Times New Roman" w:cs="Times New Roman"/>
          <w:sz w:val="24"/>
          <w:szCs w:val="24"/>
          <w:shd w:val="clear" w:color="auto" w:fill="FFFFFF"/>
        </w:rPr>
      </w:pPr>
      <w:r w:rsidRPr="00B21CE0">
        <w:rPr>
          <w:rFonts w:ascii="Times New Roman" w:hAnsi="Times New Roman" w:cs="Times New Roman"/>
          <w:sz w:val="24"/>
          <w:szCs w:val="24"/>
          <w:shd w:val="clear" w:color="auto" w:fill="FFFFFF"/>
        </w:rPr>
        <w:t>In order to prevent market failure through exclusion of externalities, industries must factor in these Marginal social costs</w:t>
      </w:r>
      <w:r w:rsidR="009F3A71" w:rsidRPr="00B21CE0">
        <w:rPr>
          <w:rFonts w:ascii="Times New Roman" w:hAnsi="Times New Roman" w:cs="Times New Roman"/>
          <w:sz w:val="24"/>
          <w:szCs w:val="24"/>
          <w:shd w:val="clear" w:color="auto" w:fill="FFFFFF"/>
        </w:rPr>
        <w:t xml:space="preserve">. In Figure </w:t>
      </w:r>
      <w:r w:rsidR="0059176D">
        <w:rPr>
          <w:rFonts w:ascii="Times New Roman" w:hAnsi="Times New Roman" w:cs="Times New Roman"/>
          <w:sz w:val="24"/>
          <w:szCs w:val="24"/>
          <w:shd w:val="clear" w:color="auto" w:fill="FFFFFF"/>
        </w:rPr>
        <w:t>5</w:t>
      </w:r>
      <w:r w:rsidR="009F3A71" w:rsidRPr="00B21CE0">
        <w:rPr>
          <w:rFonts w:ascii="Times New Roman" w:hAnsi="Times New Roman" w:cs="Times New Roman"/>
          <w:sz w:val="24"/>
          <w:szCs w:val="24"/>
          <w:shd w:val="clear" w:color="auto" w:fill="FFFFFF"/>
        </w:rPr>
        <w:t xml:space="preserve"> below the graph depicts oil</w:t>
      </w:r>
      <w:r w:rsidR="00C12640" w:rsidRPr="00B21CE0">
        <w:rPr>
          <w:rFonts w:ascii="Times New Roman" w:hAnsi="Times New Roman" w:cs="Times New Roman"/>
          <w:sz w:val="24"/>
          <w:szCs w:val="24"/>
          <w:shd w:val="clear" w:color="auto" w:fill="FFFFFF"/>
        </w:rPr>
        <w:t xml:space="preserve"> </w:t>
      </w:r>
      <w:r w:rsidR="009F3A71" w:rsidRPr="00B21CE0">
        <w:rPr>
          <w:rFonts w:ascii="Times New Roman" w:hAnsi="Times New Roman" w:cs="Times New Roman"/>
          <w:sz w:val="24"/>
          <w:szCs w:val="24"/>
          <w:shd w:val="clear" w:color="auto" w:fill="FFFFFF"/>
        </w:rPr>
        <w:t xml:space="preserve">supply and demand both with and without the inclusion of Marginal Social Benefits. It shows that by including these social principles the supply curve shifts up and to the left, this in turn causes the equilibrium price to rise while reducing production levels. </w:t>
      </w:r>
    </w:p>
    <w:p w14:paraId="027B571B" w14:textId="05C36BEA" w:rsidR="00214C89" w:rsidRPr="00E87A61" w:rsidRDefault="00F66ECA" w:rsidP="002276F9">
      <w:pPr>
        <w:pStyle w:val="ListParagraph"/>
        <w:spacing w:line="480" w:lineRule="auto"/>
        <w:ind w:left="0"/>
        <w:jc w:val="center"/>
      </w:pPr>
      <w:r w:rsidRPr="00E87A61">
        <w:rPr>
          <w:noProof/>
        </w:rPr>
        <w:drawing>
          <wp:inline distT="0" distB="0" distL="0" distR="0" wp14:anchorId="350F9F83" wp14:editId="423EB0E6">
            <wp:extent cx="3067776" cy="21792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497" t="29557" r="20896" b="15349"/>
                    <a:stretch/>
                  </pic:blipFill>
                  <pic:spPr bwMode="auto">
                    <a:xfrm>
                      <a:off x="0" y="0"/>
                      <a:ext cx="3112605" cy="2211088"/>
                    </a:xfrm>
                    <a:prstGeom prst="rect">
                      <a:avLst/>
                    </a:prstGeom>
                    <a:ln>
                      <a:noFill/>
                    </a:ln>
                    <a:extLst>
                      <a:ext uri="{53640926-AAD7-44D8-BBD7-CCE9431645EC}">
                        <a14:shadowObscured xmlns:a14="http://schemas.microsoft.com/office/drawing/2010/main"/>
                      </a:ext>
                    </a:extLst>
                  </pic:spPr>
                </pic:pic>
              </a:graphicData>
            </a:graphic>
          </wp:inline>
        </w:drawing>
      </w:r>
    </w:p>
    <w:p w14:paraId="575D16E9" w14:textId="256EA014" w:rsidR="00214C89" w:rsidRPr="00E87A61" w:rsidRDefault="009F3A71" w:rsidP="009F3A71">
      <w:pPr>
        <w:pStyle w:val="ListParagraph"/>
        <w:spacing w:line="480" w:lineRule="auto"/>
        <w:ind w:left="0"/>
        <w:jc w:val="center"/>
        <w:rPr>
          <w:sz w:val="20"/>
          <w:szCs w:val="20"/>
        </w:rPr>
      </w:pPr>
      <w:r w:rsidRPr="00E87A61">
        <w:rPr>
          <w:sz w:val="20"/>
          <w:szCs w:val="20"/>
        </w:rPr>
        <w:lastRenderedPageBreak/>
        <w:t xml:space="preserve">Figure </w:t>
      </w:r>
      <w:r w:rsidR="0059176D">
        <w:rPr>
          <w:sz w:val="20"/>
          <w:szCs w:val="20"/>
        </w:rPr>
        <w:t>5</w:t>
      </w:r>
      <w:r w:rsidRPr="00E87A61">
        <w:rPr>
          <w:sz w:val="20"/>
          <w:szCs w:val="20"/>
        </w:rPr>
        <w:t>: Supply and demand curve with and without Marginal Social Costs (MSC)</w:t>
      </w:r>
    </w:p>
    <w:p w14:paraId="0FC84378" w14:textId="77777777" w:rsidR="0059176D" w:rsidRDefault="0059176D" w:rsidP="002276F9">
      <w:pPr>
        <w:pStyle w:val="NormalWeb"/>
        <w:spacing w:before="0" w:beforeAutospacing="0" w:line="480" w:lineRule="auto"/>
        <w:jc w:val="both"/>
        <w:rPr>
          <w:rStyle w:val="Strong"/>
          <w:u w:val="single"/>
        </w:rPr>
      </w:pPr>
    </w:p>
    <w:p w14:paraId="5D3DFFCB" w14:textId="355B6F44" w:rsidR="00E818DD" w:rsidRPr="00E87A61" w:rsidRDefault="009F3A71" w:rsidP="002276F9">
      <w:pPr>
        <w:pStyle w:val="NormalWeb"/>
        <w:spacing w:before="0" w:beforeAutospacing="0" w:line="480" w:lineRule="auto"/>
        <w:jc w:val="both"/>
        <w:rPr>
          <w:b/>
          <w:bCs/>
          <w:u w:val="single"/>
        </w:rPr>
      </w:pPr>
      <w:r w:rsidRPr="00E87A61">
        <w:rPr>
          <w:rStyle w:val="Strong"/>
          <w:u w:val="single"/>
        </w:rPr>
        <w:t xml:space="preserve">Solutions </w:t>
      </w:r>
      <w:r w:rsidR="002276F9">
        <w:rPr>
          <w:rStyle w:val="Strong"/>
          <w:u w:val="single"/>
        </w:rPr>
        <w:t xml:space="preserve">:- </w:t>
      </w:r>
      <w:r w:rsidR="00E818DD" w:rsidRPr="00E87A61">
        <w:rPr>
          <w:b/>
          <w:bCs/>
          <w:u w:val="single"/>
        </w:rPr>
        <w:t>The Paris Agreement and its effects on UK Industry</w:t>
      </w:r>
    </w:p>
    <w:p w14:paraId="2E8AF2DA" w14:textId="59B96E7C" w:rsidR="00E818DD" w:rsidRPr="00E87A61" w:rsidRDefault="00E818DD" w:rsidP="00E818DD">
      <w:pPr>
        <w:spacing w:line="480" w:lineRule="auto"/>
        <w:jc w:val="both"/>
        <w:rPr>
          <w:rFonts w:ascii="Times New Roman" w:hAnsi="Times New Roman" w:cs="Times New Roman"/>
          <w:sz w:val="24"/>
          <w:szCs w:val="24"/>
        </w:rPr>
      </w:pPr>
      <w:r w:rsidRPr="00E87A61">
        <w:rPr>
          <w:rFonts w:ascii="Times New Roman" w:hAnsi="Times New Roman" w:cs="Times New Roman"/>
          <w:sz w:val="24"/>
          <w:szCs w:val="24"/>
        </w:rPr>
        <w:t xml:space="preserve">Initially agreed in 2015 by 195 countries, the Paris agreement is a voluntary deal made to aid international climate action. The key objective through the implementation of Article 2, is to maintain the average global temperature to under 2°C above pre-industrial levels </w:t>
      </w:r>
      <w:sdt>
        <w:sdtPr>
          <w:rPr>
            <w:rFonts w:ascii="Times New Roman" w:hAnsi="Times New Roman" w:cs="Times New Roman"/>
            <w:sz w:val="24"/>
            <w:szCs w:val="24"/>
          </w:rPr>
          <w:id w:val="-1033563876"/>
          <w:citation/>
        </w:sdtPr>
        <w:sdtEndPr/>
        <w:sdtContent>
          <w:r w:rsidRPr="00E87A61">
            <w:rPr>
              <w:rFonts w:ascii="Times New Roman" w:hAnsi="Times New Roman" w:cs="Times New Roman"/>
              <w:sz w:val="24"/>
              <w:szCs w:val="24"/>
            </w:rPr>
            <w:fldChar w:fldCharType="begin"/>
          </w:r>
          <w:r w:rsidRPr="00E87A61">
            <w:rPr>
              <w:rFonts w:ascii="Times New Roman" w:hAnsi="Times New Roman" w:cs="Times New Roman"/>
              <w:sz w:val="24"/>
              <w:szCs w:val="24"/>
            </w:rPr>
            <w:instrText xml:space="preserve"> CITATION Fug18 \l 2057 </w:instrText>
          </w:r>
          <w:r w:rsidRPr="00E87A61">
            <w:rPr>
              <w:rFonts w:ascii="Times New Roman" w:hAnsi="Times New Roman" w:cs="Times New Roman"/>
              <w:sz w:val="24"/>
              <w:szCs w:val="24"/>
            </w:rPr>
            <w:fldChar w:fldCharType="separate"/>
          </w:r>
          <w:r w:rsidRPr="00E87A61">
            <w:rPr>
              <w:rFonts w:ascii="Times New Roman" w:hAnsi="Times New Roman" w:cs="Times New Roman"/>
              <w:noProof/>
              <w:sz w:val="24"/>
              <w:szCs w:val="24"/>
            </w:rPr>
            <w:t>(Fuglestvedt, et al., 2018)</w:t>
          </w:r>
          <w:r w:rsidRPr="00E87A61">
            <w:rPr>
              <w:rFonts w:ascii="Times New Roman" w:hAnsi="Times New Roman" w:cs="Times New Roman"/>
              <w:sz w:val="24"/>
              <w:szCs w:val="24"/>
            </w:rPr>
            <w:fldChar w:fldCharType="end"/>
          </w:r>
        </w:sdtContent>
      </w:sdt>
      <w:r w:rsidRPr="00E87A61">
        <w:rPr>
          <w:rFonts w:ascii="Times New Roman" w:hAnsi="Times New Roman" w:cs="Times New Roman"/>
          <w:sz w:val="24"/>
          <w:szCs w:val="24"/>
        </w:rPr>
        <w:t xml:space="preserve">. However, the Paris Agreement goes much further than that covering greenhouse gas emissions, climate change adaptation and climate change mitigation. </w:t>
      </w:r>
    </w:p>
    <w:p w14:paraId="542B6D4B" w14:textId="7CCB873B" w:rsidR="00214C89" w:rsidRPr="00E87A61" w:rsidRDefault="00214C89" w:rsidP="00214C89">
      <w:pPr>
        <w:pStyle w:val="NormalWeb"/>
        <w:spacing w:before="0" w:beforeAutospacing="0" w:line="480" w:lineRule="auto"/>
        <w:jc w:val="both"/>
        <w:rPr>
          <w:rStyle w:val="Strong"/>
          <w:u w:val="single"/>
        </w:rPr>
      </w:pPr>
      <w:r w:rsidRPr="00E87A61">
        <w:rPr>
          <w:rStyle w:val="Strong"/>
          <w:u w:val="single"/>
        </w:rPr>
        <w:t xml:space="preserve">Article 6 </w:t>
      </w:r>
    </w:p>
    <w:p w14:paraId="3349691B" w14:textId="6F4AA9FE" w:rsidR="00126A52" w:rsidRPr="00E87A61" w:rsidRDefault="00214C89" w:rsidP="00214C89">
      <w:pPr>
        <w:pStyle w:val="NormalWeb"/>
        <w:spacing w:before="0" w:beforeAutospacing="0" w:line="480" w:lineRule="auto"/>
        <w:jc w:val="both"/>
      </w:pPr>
      <w:r w:rsidRPr="00E87A61">
        <w:t xml:space="preserve">Article 6 aspires to promote various methods to aid and support governments to implement </w:t>
      </w:r>
      <w:r w:rsidRPr="00E87A61">
        <w:rPr>
          <w:shd w:val="clear" w:color="auto" w:fill="FFFFFF"/>
        </w:rPr>
        <w:t>nationally determined contributions (</w:t>
      </w:r>
      <w:r w:rsidRPr="00E87A61">
        <w:t xml:space="preserve">NDC)s through voluntary global collaboration. This agreement will also aid the establishment of an emissions trading system. This scheme permits countries with lower emissions to offer any exceeding allowances to countries who produce greater emissions. Therefore, supply and demand for these allowances will aid in the creation of a worldwide carbon price, this will link the negative externalities of greenhouse gas emissions to polluters </w:t>
      </w:r>
      <w:sdt>
        <w:sdtPr>
          <w:id w:val="-1113513273"/>
          <w:citation/>
        </w:sdtPr>
        <w:sdtEndPr/>
        <w:sdtContent>
          <w:r w:rsidRPr="00E87A61">
            <w:fldChar w:fldCharType="begin"/>
          </w:r>
          <w:r w:rsidRPr="00E87A61">
            <w:instrText xml:space="preserve"> CITATION ICC19 \l 2057 </w:instrText>
          </w:r>
          <w:r w:rsidRPr="00E87A61">
            <w:fldChar w:fldCharType="separate"/>
          </w:r>
          <w:r w:rsidRPr="00E87A61">
            <w:rPr>
              <w:noProof/>
            </w:rPr>
            <w:t>(ICC, 2019)</w:t>
          </w:r>
          <w:r w:rsidRPr="00E87A61">
            <w:fldChar w:fldCharType="end"/>
          </w:r>
        </w:sdtContent>
      </w:sdt>
      <w:r w:rsidRPr="00E87A61">
        <w:t xml:space="preserve"> this process could really aid the UK industry, however, it is a voluntary agreement which means those signed up would bear the brunt of those who have not. </w:t>
      </w:r>
      <w:r w:rsidR="00937678" w:rsidRPr="00E87A61">
        <w:t>Moreover, this is not the first emissions trading system (ETS), the first European ETS was launched in 2005. Since its introduction this form of trading has grown in significance in the worldwide fight against climate change</w:t>
      </w:r>
      <w:r w:rsidR="00A85687" w:rsidRPr="00E87A61">
        <w:rPr>
          <w:noProof/>
        </w:rPr>
        <w:t xml:space="preserve"> (Borghesi, </w:t>
      </w:r>
      <w:r w:rsidR="00A85687">
        <w:rPr>
          <w:noProof/>
        </w:rPr>
        <w:t>et al</w:t>
      </w:r>
      <w:r w:rsidR="00A85687" w:rsidRPr="00E87A61">
        <w:rPr>
          <w:noProof/>
        </w:rPr>
        <w:t>, 2016)</w:t>
      </w:r>
      <w:r w:rsidR="00937678" w:rsidRPr="00E87A61">
        <w:t xml:space="preserve">.  </w:t>
      </w:r>
    </w:p>
    <w:p w14:paraId="7BA365CE" w14:textId="41F00D60" w:rsidR="00C542D7" w:rsidRPr="00E87A61" w:rsidRDefault="00126A52" w:rsidP="00214C89">
      <w:pPr>
        <w:pStyle w:val="NormalWeb"/>
        <w:spacing w:before="0" w:beforeAutospacing="0" w:line="480" w:lineRule="auto"/>
        <w:jc w:val="both"/>
        <w:rPr>
          <w:rFonts w:ascii="Arial" w:hAnsi="Arial" w:cs="Arial"/>
          <w:sz w:val="20"/>
          <w:szCs w:val="20"/>
          <w:shd w:val="clear" w:color="auto" w:fill="FFFFFF"/>
        </w:rPr>
      </w:pPr>
      <w:r w:rsidRPr="00E87A61">
        <w:t>Critics of the trading system argue that it is morally wrong</w:t>
      </w:r>
      <w:r w:rsidR="00A85687" w:rsidRPr="00E87A61">
        <w:rPr>
          <w:noProof/>
        </w:rPr>
        <w:t xml:space="preserve"> (Drury, </w:t>
      </w:r>
      <w:r w:rsidR="00A85687">
        <w:rPr>
          <w:noProof/>
        </w:rPr>
        <w:t>et al</w:t>
      </w:r>
      <w:r w:rsidR="00A85687" w:rsidRPr="00E87A61">
        <w:rPr>
          <w:noProof/>
        </w:rPr>
        <w:t>, 1998)</w:t>
      </w:r>
      <w:r w:rsidRPr="00E87A61">
        <w:t xml:space="preserve"> because </w:t>
      </w:r>
      <w:r w:rsidR="003D5A7C" w:rsidRPr="00E87A61">
        <w:t>it takes a negative act and converts it into a positive</w:t>
      </w:r>
      <w:r w:rsidR="006A005B" w:rsidRPr="00E87A61">
        <w:t xml:space="preserve"> act</w:t>
      </w:r>
      <w:r w:rsidR="003D5A7C" w:rsidRPr="00E87A61">
        <w:t>, continuing that</w:t>
      </w:r>
      <w:r w:rsidR="006A005B" w:rsidRPr="00E87A61">
        <w:t>,</w:t>
      </w:r>
      <w:r w:rsidR="003D5A7C" w:rsidRPr="00E87A61">
        <w:t xml:space="preserve"> allowances set are simply a licence to pollute</w:t>
      </w:r>
      <w:sdt>
        <w:sdtPr>
          <w:rPr>
            <w:shd w:val="clear" w:color="auto" w:fill="FFFFFF"/>
          </w:rPr>
          <w:id w:val="2133513336"/>
          <w:citation/>
        </w:sdtPr>
        <w:sdtEndPr/>
        <w:sdtContent>
          <w:r w:rsidR="009668DB" w:rsidRPr="00E87A61">
            <w:rPr>
              <w:shd w:val="clear" w:color="auto" w:fill="FFFFFF"/>
            </w:rPr>
            <w:fldChar w:fldCharType="begin"/>
          </w:r>
          <w:r w:rsidR="009668DB" w:rsidRPr="00E87A61">
            <w:rPr>
              <w:shd w:val="clear" w:color="auto" w:fill="FFFFFF"/>
            </w:rPr>
            <w:instrText xml:space="preserve"> CITATION Goo941 \l 2057 </w:instrText>
          </w:r>
          <w:r w:rsidR="009668DB" w:rsidRPr="00E87A61">
            <w:rPr>
              <w:shd w:val="clear" w:color="auto" w:fill="FFFFFF"/>
            </w:rPr>
            <w:fldChar w:fldCharType="separate"/>
          </w:r>
          <w:r w:rsidR="009668DB" w:rsidRPr="00E87A61">
            <w:rPr>
              <w:noProof/>
              <w:shd w:val="clear" w:color="auto" w:fill="FFFFFF"/>
            </w:rPr>
            <w:t xml:space="preserve"> (Goodin R. E., 1994)</w:t>
          </w:r>
          <w:r w:rsidR="009668DB" w:rsidRPr="00E87A61">
            <w:rPr>
              <w:shd w:val="clear" w:color="auto" w:fill="FFFFFF"/>
            </w:rPr>
            <w:fldChar w:fldCharType="end"/>
          </w:r>
        </w:sdtContent>
      </w:sdt>
      <w:r w:rsidR="003D5A7C" w:rsidRPr="00E87A61">
        <w:rPr>
          <w:shd w:val="clear" w:color="auto" w:fill="FFFFFF"/>
        </w:rPr>
        <w:t xml:space="preserve">. Other critics site concerns that higher levels of </w:t>
      </w:r>
      <w:r w:rsidR="003D5A7C" w:rsidRPr="00E87A61">
        <w:rPr>
          <w:shd w:val="clear" w:color="auto" w:fill="FFFFFF"/>
        </w:rPr>
        <w:lastRenderedPageBreak/>
        <w:t xml:space="preserve">flexibility </w:t>
      </w:r>
      <w:r w:rsidR="006A005B" w:rsidRPr="00E87A61">
        <w:rPr>
          <w:shd w:val="clear" w:color="auto" w:fill="FFFFFF"/>
        </w:rPr>
        <w:t xml:space="preserve">could lead to </w:t>
      </w:r>
      <w:r w:rsidR="003D5A7C" w:rsidRPr="00E87A61">
        <w:rPr>
          <w:shd w:val="clear" w:color="auto" w:fill="FFFFFF"/>
        </w:rPr>
        <w:t>organisations within the system</w:t>
      </w:r>
      <w:r w:rsidR="006A005B" w:rsidRPr="00E87A61">
        <w:rPr>
          <w:shd w:val="clear" w:color="auto" w:fill="FFFFFF"/>
        </w:rPr>
        <w:t xml:space="preserve"> becoming responsible for increased</w:t>
      </w:r>
      <w:r w:rsidR="003D5A7C" w:rsidRPr="00E87A61">
        <w:rPr>
          <w:shd w:val="clear" w:color="auto" w:fill="FFFFFF"/>
        </w:rPr>
        <w:t xml:space="preserve"> environmentally produced health risks</w:t>
      </w:r>
      <w:r w:rsidR="006A005B" w:rsidRPr="00E87A61">
        <w:rPr>
          <w:shd w:val="clear" w:color="auto" w:fill="FFFFFF"/>
        </w:rPr>
        <w:t xml:space="preserve"> </w:t>
      </w:r>
      <w:sdt>
        <w:sdtPr>
          <w:rPr>
            <w:shd w:val="clear" w:color="auto" w:fill="FFFFFF"/>
          </w:rPr>
          <w:id w:val="394702953"/>
          <w:citation/>
        </w:sdtPr>
        <w:sdtEndPr/>
        <w:sdtContent>
          <w:r w:rsidR="009668DB" w:rsidRPr="00E87A61">
            <w:rPr>
              <w:shd w:val="clear" w:color="auto" w:fill="FFFFFF"/>
            </w:rPr>
            <w:fldChar w:fldCharType="begin"/>
          </w:r>
          <w:r w:rsidR="009668DB" w:rsidRPr="00E87A61">
            <w:rPr>
              <w:shd w:val="clear" w:color="auto" w:fill="FFFFFF"/>
            </w:rPr>
            <w:instrText xml:space="preserve"> CITATION Sol00 \l 2057 </w:instrText>
          </w:r>
          <w:r w:rsidR="009668DB" w:rsidRPr="00E87A61">
            <w:rPr>
              <w:shd w:val="clear" w:color="auto" w:fill="FFFFFF"/>
            </w:rPr>
            <w:fldChar w:fldCharType="separate"/>
          </w:r>
          <w:r w:rsidR="009668DB" w:rsidRPr="00E87A61">
            <w:rPr>
              <w:noProof/>
              <w:shd w:val="clear" w:color="auto" w:fill="FFFFFF"/>
            </w:rPr>
            <w:t>(Solomon &amp; Lee, 2000)</w:t>
          </w:r>
          <w:r w:rsidR="009668DB" w:rsidRPr="00E87A61">
            <w:rPr>
              <w:shd w:val="clear" w:color="auto" w:fill="FFFFFF"/>
            </w:rPr>
            <w:fldChar w:fldCharType="end"/>
          </w:r>
        </w:sdtContent>
      </w:sdt>
      <w:r w:rsidR="006A005B" w:rsidRPr="00E87A61">
        <w:rPr>
          <w:shd w:val="clear" w:color="auto" w:fill="FFFFFF"/>
        </w:rPr>
        <w:t>.</w:t>
      </w:r>
      <w:r w:rsidR="00C542D7" w:rsidRPr="00E87A61">
        <w:rPr>
          <w:shd w:val="clear" w:color="auto" w:fill="FFFFFF"/>
        </w:rPr>
        <w:t xml:space="preserve"> </w:t>
      </w:r>
      <w:r w:rsidR="006A005B" w:rsidRPr="00E87A61">
        <w:rPr>
          <w:shd w:val="clear" w:color="auto" w:fill="FFFFFF"/>
        </w:rPr>
        <w:t>An example of this can be seen when studying the proximity</w:t>
      </w:r>
      <w:r w:rsidR="003E7FD8" w:rsidRPr="00E87A61">
        <w:rPr>
          <w:shd w:val="clear" w:color="auto" w:fill="FFFFFF"/>
        </w:rPr>
        <w:t xml:space="preserve"> </w:t>
      </w:r>
      <w:r w:rsidR="00077185" w:rsidRPr="00E87A61">
        <w:rPr>
          <w:shd w:val="clear" w:color="auto" w:fill="FFFFFF"/>
        </w:rPr>
        <w:t xml:space="preserve">of landfill sites and </w:t>
      </w:r>
      <w:r w:rsidR="003E7FD8" w:rsidRPr="00E87A61">
        <w:rPr>
          <w:shd w:val="clear" w:color="auto" w:fill="FFFFFF"/>
        </w:rPr>
        <w:t>comparable</w:t>
      </w:r>
      <w:r w:rsidR="00077185" w:rsidRPr="00E87A61">
        <w:rPr>
          <w:shd w:val="clear" w:color="auto" w:fill="FFFFFF"/>
        </w:rPr>
        <w:t xml:space="preserve"> </w:t>
      </w:r>
      <w:r w:rsidR="003E7FD8" w:rsidRPr="00E87A61">
        <w:rPr>
          <w:shd w:val="clear" w:color="auto" w:fill="FFFFFF"/>
        </w:rPr>
        <w:t>polluting businesses</w:t>
      </w:r>
      <w:r w:rsidR="00077185" w:rsidRPr="00E87A61">
        <w:rPr>
          <w:shd w:val="clear" w:color="auto" w:fill="FFFFFF"/>
        </w:rPr>
        <w:t xml:space="preserve"> </w:t>
      </w:r>
      <w:r w:rsidR="003E7FD8" w:rsidRPr="00E87A61">
        <w:rPr>
          <w:shd w:val="clear" w:color="auto" w:fill="FFFFFF"/>
        </w:rPr>
        <w:t>to local communities and the effect on the population’s health</w:t>
      </w:r>
      <w:sdt>
        <w:sdtPr>
          <w:rPr>
            <w:shd w:val="clear" w:color="auto" w:fill="FFFFFF"/>
          </w:rPr>
          <w:id w:val="438261256"/>
          <w:citation/>
        </w:sdtPr>
        <w:sdtEndPr/>
        <w:sdtContent>
          <w:r w:rsidR="003E7FD8" w:rsidRPr="00E87A61">
            <w:rPr>
              <w:shd w:val="clear" w:color="auto" w:fill="FFFFFF"/>
            </w:rPr>
            <w:fldChar w:fldCharType="begin"/>
          </w:r>
          <w:r w:rsidR="003E7FD8" w:rsidRPr="00E87A61">
            <w:rPr>
              <w:shd w:val="clear" w:color="auto" w:fill="FFFFFF"/>
            </w:rPr>
            <w:instrText xml:space="preserve"> CITATION Bow02 \l 2057 </w:instrText>
          </w:r>
          <w:r w:rsidR="003E7FD8" w:rsidRPr="00E87A61">
            <w:rPr>
              <w:shd w:val="clear" w:color="auto" w:fill="FFFFFF"/>
            </w:rPr>
            <w:fldChar w:fldCharType="separate"/>
          </w:r>
          <w:r w:rsidR="003E7FD8" w:rsidRPr="00E87A61">
            <w:rPr>
              <w:noProof/>
              <w:shd w:val="clear" w:color="auto" w:fill="FFFFFF"/>
            </w:rPr>
            <w:t xml:space="preserve"> (Bowen, 2002)</w:t>
          </w:r>
          <w:r w:rsidR="003E7FD8" w:rsidRPr="00E87A61">
            <w:rPr>
              <w:shd w:val="clear" w:color="auto" w:fill="FFFFFF"/>
            </w:rPr>
            <w:fldChar w:fldCharType="end"/>
          </w:r>
        </w:sdtContent>
      </w:sdt>
      <w:sdt>
        <w:sdtPr>
          <w:rPr>
            <w:shd w:val="clear" w:color="auto" w:fill="FFFFFF"/>
          </w:rPr>
          <w:id w:val="1504628361"/>
          <w:citation/>
        </w:sdtPr>
        <w:sdtEndPr/>
        <w:sdtContent>
          <w:r w:rsidR="003E7FD8" w:rsidRPr="00E87A61">
            <w:rPr>
              <w:shd w:val="clear" w:color="auto" w:fill="FFFFFF"/>
            </w:rPr>
            <w:fldChar w:fldCharType="begin"/>
          </w:r>
          <w:r w:rsidR="003E7FD8" w:rsidRPr="00E87A61">
            <w:rPr>
              <w:shd w:val="clear" w:color="auto" w:fill="FFFFFF"/>
            </w:rPr>
            <w:instrText xml:space="preserve"> CITATION Cor01 \l 2057 </w:instrText>
          </w:r>
          <w:r w:rsidR="003E7FD8" w:rsidRPr="00E87A61">
            <w:rPr>
              <w:shd w:val="clear" w:color="auto" w:fill="FFFFFF"/>
            </w:rPr>
            <w:fldChar w:fldCharType="separate"/>
          </w:r>
          <w:r w:rsidR="003E7FD8" w:rsidRPr="00E87A61">
            <w:rPr>
              <w:noProof/>
              <w:shd w:val="clear" w:color="auto" w:fill="FFFFFF"/>
            </w:rPr>
            <w:t xml:space="preserve"> (Corburn, 2001)</w:t>
          </w:r>
          <w:r w:rsidR="003E7FD8" w:rsidRPr="00E87A61">
            <w:rPr>
              <w:shd w:val="clear" w:color="auto" w:fill="FFFFFF"/>
            </w:rPr>
            <w:fldChar w:fldCharType="end"/>
          </w:r>
        </w:sdtContent>
      </w:sdt>
      <w:r w:rsidR="003E7FD8" w:rsidRPr="00E87A61">
        <w:rPr>
          <w:shd w:val="clear" w:color="auto" w:fill="FFFFFF"/>
        </w:rPr>
        <w:t>.  Emission Trading Systems have also been called into question in regards to the allocation of the allowance</w:t>
      </w:r>
      <w:r w:rsidR="00E800D1" w:rsidRPr="00E87A61">
        <w:rPr>
          <w:shd w:val="clear" w:color="auto" w:fill="FFFFFF"/>
        </w:rPr>
        <w:t>s to controlled firms within cap and trade systems. Stating allowances have been offered for free as well as being auctioned or s</w:t>
      </w:r>
      <w:r w:rsidR="00694B72" w:rsidRPr="00E87A61">
        <w:rPr>
          <w:shd w:val="clear" w:color="auto" w:fill="FFFFFF"/>
        </w:rPr>
        <w:t>o</w:t>
      </w:r>
      <w:r w:rsidR="00E800D1" w:rsidRPr="00E87A61">
        <w:rPr>
          <w:shd w:val="clear" w:color="auto" w:fill="FFFFFF"/>
        </w:rPr>
        <w:t>l</w:t>
      </w:r>
      <w:r w:rsidR="00694B72" w:rsidRPr="00E87A61">
        <w:rPr>
          <w:shd w:val="clear" w:color="auto" w:fill="FFFFFF"/>
        </w:rPr>
        <w:t xml:space="preserve">d for profit </w:t>
      </w:r>
      <w:sdt>
        <w:sdtPr>
          <w:rPr>
            <w:shd w:val="clear" w:color="auto" w:fill="FFFFFF"/>
          </w:rPr>
          <w:id w:val="670757097"/>
          <w:citation/>
        </w:sdtPr>
        <w:sdtEndPr/>
        <w:sdtContent>
          <w:r w:rsidR="00694B72" w:rsidRPr="00E87A61">
            <w:rPr>
              <w:shd w:val="clear" w:color="auto" w:fill="FFFFFF"/>
            </w:rPr>
            <w:fldChar w:fldCharType="begin"/>
          </w:r>
          <w:r w:rsidR="00694B72" w:rsidRPr="00E87A61">
            <w:rPr>
              <w:shd w:val="clear" w:color="auto" w:fill="FFFFFF"/>
            </w:rPr>
            <w:instrText xml:space="preserve"> CITATION Goo941 \l 2057 </w:instrText>
          </w:r>
          <w:r w:rsidR="00694B72" w:rsidRPr="00E87A61">
            <w:rPr>
              <w:shd w:val="clear" w:color="auto" w:fill="FFFFFF"/>
            </w:rPr>
            <w:fldChar w:fldCharType="separate"/>
          </w:r>
          <w:r w:rsidR="00694B72" w:rsidRPr="00E87A61">
            <w:rPr>
              <w:noProof/>
              <w:shd w:val="clear" w:color="auto" w:fill="FFFFFF"/>
            </w:rPr>
            <w:t>(Goodin R. E., 1994)</w:t>
          </w:r>
          <w:r w:rsidR="00694B72" w:rsidRPr="00E87A61">
            <w:rPr>
              <w:shd w:val="clear" w:color="auto" w:fill="FFFFFF"/>
            </w:rPr>
            <w:fldChar w:fldCharType="end"/>
          </w:r>
        </w:sdtContent>
      </w:sdt>
      <w:r w:rsidR="00694B72" w:rsidRPr="00E87A61">
        <w:rPr>
          <w:shd w:val="clear" w:color="auto" w:fill="FFFFFF"/>
        </w:rPr>
        <w:t xml:space="preserve">. Moreover, these decisions regarding allocation can be a formidable tool for politicians to utilise in order to achieve personal gains during the introduction of emission trading programmes </w:t>
      </w:r>
      <w:sdt>
        <w:sdtPr>
          <w:rPr>
            <w:rFonts w:ascii="Arial" w:hAnsi="Arial" w:cs="Arial"/>
            <w:sz w:val="20"/>
            <w:szCs w:val="20"/>
            <w:shd w:val="clear" w:color="auto" w:fill="FFFFFF"/>
          </w:rPr>
          <w:id w:val="2000159553"/>
          <w:citation/>
        </w:sdtPr>
        <w:sdtEndPr/>
        <w:sdtContent>
          <w:r w:rsidR="00DD4657" w:rsidRPr="00E87A61">
            <w:rPr>
              <w:rFonts w:ascii="Arial" w:hAnsi="Arial" w:cs="Arial"/>
              <w:sz w:val="20"/>
              <w:szCs w:val="20"/>
              <w:shd w:val="clear" w:color="auto" w:fill="FFFFFF"/>
            </w:rPr>
            <w:fldChar w:fldCharType="begin"/>
          </w:r>
          <w:r w:rsidR="00DD4657" w:rsidRPr="00E87A61">
            <w:instrText xml:space="preserve"> CITATION Jos98 \l 2057 </w:instrText>
          </w:r>
          <w:r w:rsidR="00DD4657" w:rsidRPr="00E87A61">
            <w:rPr>
              <w:rFonts w:ascii="Arial" w:hAnsi="Arial" w:cs="Arial"/>
              <w:sz w:val="20"/>
              <w:szCs w:val="20"/>
              <w:shd w:val="clear" w:color="auto" w:fill="FFFFFF"/>
            </w:rPr>
            <w:fldChar w:fldCharType="separate"/>
          </w:r>
          <w:r w:rsidR="00DD4657" w:rsidRPr="00E87A61">
            <w:rPr>
              <w:noProof/>
            </w:rPr>
            <w:t>(Joskow &amp; Schmalensee, 1998)</w:t>
          </w:r>
          <w:r w:rsidR="00DD4657" w:rsidRPr="00E87A61">
            <w:rPr>
              <w:rFonts w:ascii="Arial" w:hAnsi="Arial" w:cs="Arial"/>
              <w:sz w:val="20"/>
              <w:szCs w:val="20"/>
              <w:shd w:val="clear" w:color="auto" w:fill="FFFFFF"/>
            </w:rPr>
            <w:fldChar w:fldCharType="end"/>
          </w:r>
        </w:sdtContent>
      </w:sdt>
      <w:r w:rsidR="00C542D7" w:rsidRPr="00E87A61">
        <w:rPr>
          <w:rFonts w:ascii="Arial" w:hAnsi="Arial" w:cs="Arial"/>
          <w:sz w:val="20"/>
          <w:szCs w:val="20"/>
          <w:shd w:val="clear" w:color="auto" w:fill="FFFFFF"/>
        </w:rPr>
        <w:t xml:space="preserve">. </w:t>
      </w:r>
    </w:p>
    <w:p w14:paraId="2EF62FB4" w14:textId="4D48CC0F" w:rsidR="00214C89" w:rsidRPr="00E87A61" w:rsidRDefault="00A71304" w:rsidP="00214C89">
      <w:pPr>
        <w:pStyle w:val="NormalWeb"/>
        <w:spacing w:before="0" w:beforeAutospacing="0" w:line="480" w:lineRule="auto"/>
        <w:jc w:val="both"/>
        <w:rPr>
          <w:b/>
          <w:bCs/>
          <w:u w:val="single"/>
        </w:rPr>
      </w:pPr>
      <w:r w:rsidRPr="00E87A61">
        <w:rPr>
          <w:b/>
          <w:bCs/>
          <w:u w:val="single"/>
        </w:rPr>
        <w:t xml:space="preserve">Government </w:t>
      </w:r>
      <w:r w:rsidR="00214C89" w:rsidRPr="00E87A61">
        <w:rPr>
          <w:b/>
          <w:bCs/>
          <w:u w:val="single"/>
        </w:rPr>
        <w:t xml:space="preserve">Subsidies </w:t>
      </w:r>
      <w:r w:rsidR="00937678" w:rsidRPr="00E87A61">
        <w:rPr>
          <w:b/>
          <w:bCs/>
          <w:u w:val="single"/>
        </w:rPr>
        <w:t xml:space="preserve"> </w:t>
      </w:r>
    </w:p>
    <w:p w14:paraId="39231E0F" w14:textId="22631218" w:rsidR="00347F0E" w:rsidRDefault="00214C89" w:rsidP="00214C89">
      <w:pPr>
        <w:pStyle w:val="NormalWeb"/>
        <w:spacing w:before="0" w:beforeAutospacing="0" w:line="480" w:lineRule="auto"/>
        <w:jc w:val="both"/>
      </w:pPr>
      <w:r w:rsidRPr="00E87A61">
        <w:t xml:space="preserve">Subsidies </w:t>
      </w:r>
      <w:r w:rsidR="00347F0E" w:rsidRPr="00E87A61">
        <w:t xml:space="preserve">are </w:t>
      </w:r>
      <w:r w:rsidRPr="00E87A61">
        <w:t>offered by the government</w:t>
      </w:r>
      <w:r w:rsidR="00347F0E" w:rsidRPr="00E87A61">
        <w:t xml:space="preserve"> as a form of mediation to many different UK Industries. It can be offered as a form of encouragement or to save a dwindling business. if a business was given a subsidy then it could be clearly seen on their supply curve as a shift to the right </w:t>
      </w:r>
      <w:sdt>
        <w:sdtPr>
          <w:id w:val="-2079509405"/>
          <w:citation/>
        </w:sdtPr>
        <w:sdtEndPr/>
        <w:sdtContent>
          <w:r w:rsidR="00347F0E" w:rsidRPr="00E87A61">
            <w:fldChar w:fldCharType="begin"/>
          </w:r>
          <w:r w:rsidR="00347F0E" w:rsidRPr="00E87A61">
            <w:instrText xml:space="preserve"> CITATION Wre96 \l 2057 </w:instrText>
          </w:r>
          <w:r w:rsidR="00347F0E" w:rsidRPr="00E87A61">
            <w:fldChar w:fldCharType="separate"/>
          </w:r>
          <w:r w:rsidR="00347F0E" w:rsidRPr="00E87A61">
            <w:rPr>
              <w:noProof/>
            </w:rPr>
            <w:t>(Wren, 1996)</w:t>
          </w:r>
          <w:r w:rsidR="00347F0E" w:rsidRPr="00E87A61">
            <w:fldChar w:fldCharType="end"/>
          </w:r>
        </w:sdtContent>
      </w:sdt>
      <w:r w:rsidR="00347F0E" w:rsidRPr="00E87A61">
        <w:t xml:space="preserve">. </w:t>
      </w:r>
      <w:r w:rsidR="0059176D">
        <w:t>Figure 6 below</w:t>
      </w:r>
      <w:r w:rsidR="001462E0">
        <w:t xml:space="preserve"> </w:t>
      </w:r>
      <w:r w:rsidR="0059176D">
        <w:t>shows</w:t>
      </w:r>
      <w:r w:rsidR="001462E0">
        <w:t xml:space="preserve"> the</w:t>
      </w:r>
      <w:r w:rsidR="00347F0E" w:rsidRPr="00E87A61">
        <w:t xml:space="preserve"> various type of subsidy available</w:t>
      </w:r>
      <w:r w:rsidR="0059176D">
        <w:t>.</w:t>
      </w:r>
    </w:p>
    <w:p w14:paraId="4BEECAD1" w14:textId="7F1187E7" w:rsidR="001462E0" w:rsidRPr="00E87A61" w:rsidRDefault="0059176D" w:rsidP="0059176D">
      <w:pPr>
        <w:pStyle w:val="NormalWeb"/>
        <w:spacing w:before="0" w:beforeAutospacing="0" w:after="0" w:afterAutospacing="0" w:line="480" w:lineRule="auto"/>
        <w:jc w:val="center"/>
      </w:pPr>
      <w:r>
        <w:rPr>
          <w:noProof/>
        </w:rPr>
        <w:drawing>
          <wp:inline distT="0" distB="0" distL="0" distR="0" wp14:anchorId="5E97A4D9" wp14:editId="7A9C0374">
            <wp:extent cx="5222631" cy="175966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990" t="35659" r="14177" b="20697"/>
                    <a:stretch/>
                  </pic:blipFill>
                  <pic:spPr bwMode="auto">
                    <a:xfrm>
                      <a:off x="0" y="0"/>
                      <a:ext cx="5251268" cy="1769315"/>
                    </a:xfrm>
                    <a:prstGeom prst="rect">
                      <a:avLst/>
                    </a:prstGeom>
                    <a:ln>
                      <a:noFill/>
                    </a:ln>
                    <a:extLst>
                      <a:ext uri="{53640926-AAD7-44D8-BBD7-CCE9431645EC}">
                        <a14:shadowObscured xmlns:a14="http://schemas.microsoft.com/office/drawing/2010/main"/>
                      </a:ext>
                    </a:extLst>
                  </pic:spPr>
                </pic:pic>
              </a:graphicData>
            </a:graphic>
          </wp:inline>
        </w:drawing>
      </w:r>
    </w:p>
    <w:p w14:paraId="6DFDE297" w14:textId="558D792C" w:rsidR="00347F0E" w:rsidRPr="00E87A61" w:rsidRDefault="0059176D" w:rsidP="0059176D">
      <w:pPr>
        <w:pStyle w:val="NormalWeb"/>
        <w:spacing w:before="0" w:beforeAutospacing="0" w:line="480" w:lineRule="auto"/>
        <w:ind w:left="360"/>
        <w:jc w:val="center"/>
      </w:pPr>
      <w:bookmarkStart w:id="4" w:name="_Hlk35684283"/>
      <w:r w:rsidRPr="0059176D">
        <w:rPr>
          <w:sz w:val="16"/>
          <w:szCs w:val="16"/>
        </w:rPr>
        <w:t>Figure 6:</w:t>
      </w:r>
      <w:r>
        <w:rPr>
          <w:sz w:val="16"/>
          <w:szCs w:val="16"/>
        </w:rPr>
        <w:t xml:space="preserve"> Type of subsidies available in the UK</w:t>
      </w:r>
      <w:r w:rsidRPr="0059176D">
        <w:rPr>
          <w:sz w:val="16"/>
          <w:szCs w:val="16"/>
        </w:rPr>
        <w:t xml:space="preserve"> </w:t>
      </w:r>
      <w:r>
        <w:rPr>
          <w:sz w:val="16"/>
          <w:szCs w:val="16"/>
        </w:rPr>
        <w:t xml:space="preserve"> </w:t>
      </w:r>
      <w:r w:rsidR="000F3359" w:rsidRPr="0059176D">
        <w:rPr>
          <w:sz w:val="16"/>
          <w:szCs w:val="16"/>
        </w:rPr>
        <w:t xml:space="preserve"> </w:t>
      </w:r>
    </w:p>
    <w:bookmarkEnd w:id="4"/>
    <w:p w14:paraId="0EC18934" w14:textId="59F1B9C8" w:rsidR="00340D7F" w:rsidRPr="00E87A61" w:rsidRDefault="00622656" w:rsidP="00214C89">
      <w:pPr>
        <w:pStyle w:val="NormalWeb"/>
        <w:spacing w:before="0" w:beforeAutospacing="0" w:line="480" w:lineRule="auto"/>
        <w:jc w:val="both"/>
      </w:pPr>
      <w:r w:rsidRPr="00E87A61">
        <w:t xml:space="preserve">Government Subsidies may be warranted within UK Industry if it is seen to promote an increase in the supply and consumption levels of commodities that generate improved external benefits. </w:t>
      </w:r>
      <w:r w:rsidRPr="00E87A61">
        <w:lastRenderedPageBreak/>
        <w:t xml:space="preserve">Subsidies assist with managing inflation </w:t>
      </w:r>
      <w:r w:rsidR="00340D7F" w:rsidRPr="00E87A61">
        <w:t xml:space="preserve">through the </w:t>
      </w:r>
      <w:r w:rsidR="00DD2E4A" w:rsidRPr="00E87A61">
        <w:t>implementation</w:t>
      </w:r>
      <w:r w:rsidR="00340D7F" w:rsidRPr="00E87A61">
        <w:t xml:space="preserve"> of price controls</w:t>
      </w:r>
      <w:r w:rsidR="00DD2E4A" w:rsidRPr="00E87A61">
        <w:t>. This can be achieved through the freezing or capping of prices or quantities of products produced. Applying a subsidy can</w:t>
      </w:r>
      <w:r w:rsidR="004F551A" w:rsidRPr="00E87A61">
        <w:t xml:space="preserve"> aid increases in supply and a change in the equilibrium</w:t>
      </w:r>
      <w:sdt>
        <w:sdtPr>
          <w:id w:val="-1553987698"/>
          <w:citation/>
        </w:sdtPr>
        <w:sdtEndPr/>
        <w:sdtContent>
          <w:r w:rsidR="004F551A" w:rsidRPr="00E87A61">
            <w:fldChar w:fldCharType="begin"/>
          </w:r>
          <w:r w:rsidR="004F551A" w:rsidRPr="00E87A61">
            <w:instrText xml:space="preserve"> CITATION Mur19 \l 2057 </w:instrText>
          </w:r>
          <w:r w:rsidR="004F551A" w:rsidRPr="00E87A61">
            <w:fldChar w:fldCharType="separate"/>
          </w:r>
          <w:r w:rsidR="004F551A" w:rsidRPr="00E87A61">
            <w:rPr>
              <w:noProof/>
            </w:rPr>
            <w:t xml:space="preserve"> (Murphy &amp; Smeers, 2019)</w:t>
          </w:r>
          <w:r w:rsidR="004F551A" w:rsidRPr="00E87A61">
            <w:fldChar w:fldCharType="end"/>
          </w:r>
        </w:sdtContent>
      </w:sdt>
      <w:r w:rsidR="004F551A" w:rsidRPr="00E87A61">
        <w:t>. F</w:t>
      </w:r>
      <w:r w:rsidR="00DD2E4A" w:rsidRPr="00E87A61">
        <w:t xml:space="preserve">igure </w:t>
      </w:r>
      <w:r w:rsidR="0059176D">
        <w:t>7</w:t>
      </w:r>
      <w:r w:rsidR="00DD2E4A" w:rsidRPr="00E87A61">
        <w:t xml:space="preserve"> below</w:t>
      </w:r>
      <w:r w:rsidR="004F551A" w:rsidRPr="00E87A61">
        <w:t xml:space="preserve"> </w:t>
      </w:r>
      <w:r w:rsidR="00DD2E4A" w:rsidRPr="00E87A61">
        <w:t>illustrat</w:t>
      </w:r>
      <w:r w:rsidR="004F551A" w:rsidRPr="00E87A61">
        <w:t>es</w:t>
      </w:r>
      <w:r w:rsidR="00DD2E4A" w:rsidRPr="00E87A61">
        <w:t xml:space="preserve"> this through applying a per-unit subsidy</w:t>
      </w:r>
      <w:r w:rsidR="004F551A" w:rsidRPr="00E87A61">
        <w:t xml:space="preserve"> S</w:t>
      </w:r>
      <w:r w:rsidR="004F551A" w:rsidRPr="00E87A61">
        <w:rPr>
          <w:vertAlign w:val="superscript"/>
        </w:rPr>
        <w:t xml:space="preserve">e </w:t>
      </w:r>
      <w:r w:rsidR="004F551A" w:rsidRPr="00E87A61">
        <w:t>signifies the subsidy</w:t>
      </w:r>
      <w:r w:rsidR="00DD2E4A" w:rsidRPr="00E87A61">
        <w:t xml:space="preserve">.   </w:t>
      </w:r>
      <w:r w:rsidR="00340D7F" w:rsidRPr="00E87A61">
        <w:t xml:space="preserve"> </w:t>
      </w:r>
      <w:r w:rsidRPr="00E87A61">
        <w:t xml:space="preserve">   </w:t>
      </w:r>
    </w:p>
    <w:p w14:paraId="2BE4389D" w14:textId="53732AB5" w:rsidR="00340D7F" w:rsidRPr="00E87A61" w:rsidRDefault="00340D7F" w:rsidP="00340D7F">
      <w:pPr>
        <w:pStyle w:val="NormalWeb"/>
        <w:spacing w:before="0" w:beforeAutospacing="0" w:line="480" w:lineRule="auto"/>
        <w:jc w:val="center"/>
      </w:pPr>
      <w:r w:rsidRPr="00E87A61">
        <w:rPr>
          <w:noProof/>
        </w:rPr>
        <w:drawing>
          <wp:inline distT="0" distB="0" distL="0" distR="0" wp14:anchorId="043A45DD" wp14:editId="3C2BCA91">
            <wp:extent cx="4244798" cy="2114114"/>
            <wp:effectExtent l="0" t="0" r="3810" b="635"/>
            <wp:docPr id="2"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74908" cy="2129110"/>
                    </a:xfrm>
                    <a:prstGeom prst="rect">
                      <a:avLst/>
                    </a:prstGeom>
                    <a:noFill/>
                    <a:ln>
                      <a:noFill/>
                    </a:ln>
                  </pic:spPr>
                </pic:pic>
              </a:graphicData>
            </a:graphic>
          </wp:inline>
        </w:drawing>
      </w:r>
    </w:p>
    <w:p w14:paraId="43BCBE8D" w14:textId="494CA739" w:rsidR="00DD2E4A" w:rsidRPr="00E87A61" w:rsidRDefault="00340D7F" w:rsidP="00A71304">
      <w:pPr>
        <w:pStyle w:val="NormalWeb"/>
        <w:spacing w:before="0" w:beforeAutospacing="0" w:line="480" w:lineRule="auto"/>
        <w:jc w:val="center"/>
        <w:rPr>
          <w:sz w:val="16"/>
          <w:szCs w:val="16"/>
          <w:shd w:val="clear" w:color="auto" w:fill="FFFFFF"/>
        </w:rPr>
      </w:pPr>
      <w:r w:rsidRPr="00E87A61">
        <w:rPr>
          <w:rStyle w:val="label"/>
          <w:sz w:val="16"/>
          <w:szCs w:val="16"/>
        </w:rPr>
        <w:t xml:space="preserve">Figure </w:t>
      </w:r>
      <w:r w:rsidR="0059176D">
        <w:rPr>
          <w:rStyle w:val="label"/>
          <w:sz w:val="16"/>
          <w:szCs w:val="16"/>
        </w:rPr>
        <w:t>7</w:t>
      </w:r>
      <w:r w:rsidR="00DD2E4A" w:rsidRPr="00E87A61">
        <w:rPr>
          <w:rStyle w:val="label"/>
          <w:sz w:val="16"/>
          <w:szCs w:val="16"/>
        </w:rPr>
        <w:t>: This example shows the implementation of a per unit subsidy</w:t>
      </w:r>
      <w:sdt>
        <w:sdtPr>
          <w:rPr>
            <w:rStyle w:val="label"/>
            <w:sz w:val="16"/>
            <w:szCs w:val="16"/>
          </w:rPr>
          <w:id w:val="-1829516377"/>
          <w:citation/>
        </w:sdtPr>
        <w:sdtEndPr>
          <w:rPr>
            <w:rStyle w:val="label"/>
          </w:rPr>
        </w:sdtEndPr>
        <w:sdtContent>
          <w:r w:rsidR="004F551A" w:rsidRPr="00E87A61">
            <w:rPr>
              <w:rStyle w:val="label"/>
              <w:sz w:val="16"/>
              <w:szCs w:val="16"/>
            </w:rPr>
            <w:fldChar w:fldCharType="begin"/>
          </w:r>
          <w:r w:rsidR="004F551A" w:rsidRPr="00E87A61">
            <w:rPr>
              <w:rStyle w:val="label"/>
              <w:sz w:val="16"/>
              <w:szCs w:val="16"/>
            </w:rPr>
            <w:instrText xml:space="preserve"> CITATION Mur19 \l 2057 </w:instrText>
          </w:r>
          <w:r w:rsidR="004F551A" w:rsidRPr="00E87A61">
            <w:rPr>
              <w:rStyle w:val="label"/>
              <w:sz w:val="16"/>
              <w:szCs w:val="16"/>
            </w:rPr>
            <w:fldChar w:fldCharType="separate"/>
          </w:r>
          <w:r w:rsidR="004F551A" w:rsidRPr="00E87A61">
            <w:rPr>
              <w:rStyle w:val="label"/>
              <w:noProof/>
              <w:sz w:val="16"/>
              <w:szCs w:val="16"/>
            </w:rPr>
            <w:t xml:space="preserve"> </w:t>
          </w:r>
          <w:r w:rsidR="004F551A" w:rsidRPr="00E87A61">
            <w:rPr>
              <w:noProof/>
              <w:sz w:val="16"/>
              <w:szCs w:val="16"/>
            </w:rPr>
            <w:t>(Murphy &amp; Smeers, 2019)</w:t>
          </w:r>
          <w:r w:rsidR="004F551A" w:rsidRPr="00E87A61">
            <w:rPr>
              <w:rStyle w:val="label"/>
              <w:sz w:val="16"/>
              <w:szCs w:val="16"/>
            </w:rPr>
            <w:fldChar w:fldCharType="end"/>
          </w:r>
        </w:sdtContent>
      </w:sdt>
    </w:p>
    <w:p w14:paraId="68A72D4C" w14:textId="78B929CF" w:rsidR="00D01884" w:rsidRDefault="000339A9" w:rsidP="006C515F">
      <w:pPr>
        <w:pStyle w:val="NormalWeb"/>
        <w:spacing w:before="0" w:beforeAutospacing="0" w:line="480" w:lineRule="auto"/>
        <w:jc w:val="both"/>
      </w:pPr>
      <w:r w:rsidRPr="00E87A61">
        <w:t>Subsides can also be used to bo</w:t>
      </w:r>
      <w:r w:rsidR="00D53D18">
        <w:t>o</w:t>
      </w:r>
      <w:r w:rsidRPr="00E87A61">
        <w:t xml:space="preserve">st demand. This was used </w:t>
      </w:r>
      <w:r w:rsidR="007E3994" w:rsidRPr="00E87A61">
        <w:t>within the UK during the last recession, as a support for the car industry. The scrappage scheme as it was known has also been recently reimplemented in London for Vans and Minibuses in</w:t>
      </w:r>
      <w:r w:rsidR="00D53D18">
        <w:t xml:space="preserve"> the</w:t>
      </w:r>
      <w:r w:rsidR="007E3994" w:rsidRPr="00E87A61">
        <w:t xml:space="preserve"> hope</w:t>
      </w:r>
      <w:r w:rsidR="00D53D18">
        <w:t xml:space="preserve"> that</w:t>
      </w:r>
      <w:r w:rsidR="007E3994" w:rsidRPr="00E87A61">
        <w:t xml:space="preserve"> it will relieve air quality</w:t>
      </w:r>
      <w:sdt>
        <w:sdtPr>
          <w:id w:val="554813711"/>
          <w:citation/>
        </w:sdtPr>
        <w:sdtEndPr/>
        <w:sdtContent>
          <w:r w:rsidR="007E3994" w:rsidRPr="00E87A61">
            <w:fldChar w:fldCharType="begin"/>
          </w:r>
          <w:r w:rsidR="007E3994" w:rsidRPr="00E87A61">
            <w:instrText xml:space="preserve"> CITATION TFL20 \l 2057 </w:instrText>
          </w:r>
          <w:r w:rsidR="007E3994" w:rsidRPr="00E87A61">
            <w:fldChar w:fldCharType="separate"/>
          </w:r>
          <w:r w:rsidR="007E3994" w:rsidRPr="00E87A61">
            <w:rPr>
              <w:noProof/>
            </w:rPr>
            <w:t xml:space="preserve"> (TFL, 2020)</w:t>
          </w:r>
          <w:r w:rsidR="007E3994" w:rsidRPr="00E87A61">
            <w:fldChar w:fldCharType="end"/>
          </w:r>
        </w:sdtContent>
      </w:sdt>
      <w:r w:rsidR="007E3994" w:rsidRPr="00E87A61">
        <w:t xml:space="preserve">. Criticism of government subsidies state that </w:t>
      </w:r>
      <w:r w:rsidR="00F66ECA" w:rsidRPr="00E87A61">
        <w:t>they are costly, this expense typically l</w:t>
      </w:r>
      <w:r w:rsidR="00D53D18">
        <w:t>ies</w:t>
      </w:r>
      <w:r w:rsidR="00F66ECA" w:rsidRPr="00E87A61">
        <w:t xml:space="preserve"> with consumers. Allocation of subsidies have </w:t>
      </w:r>
      <w:r w:rsidR="00AD7AFF" w:rsidRPr="00E87A61">
        <w:t>be</w:t>
      </w:r>
      <w:r w:rsidR="00F66ECA" w:rsidRPr="00E87A61">
        <w:t>en</w:t>
      </w:r>
      <w:r w:rsidR="00AD7AFF" w:rsidRPr="00E87A61">
        <w:t xml:space="preserve"> deemed </w:t>
      </w:r>
      <w:r w:rsidR="00F66ECA" w:rsidRPr="00E87A61">
        <w:t>p</w:t>
      </w:r>
      <w:r w:rsidR="00AD7AFF" w:rsidRPr="00E87A61">
        <w:t>olitical</w:t>
      </w:r>
      <w:r w:rsidR="00266096" w:rsidRPr="00E87A61">
        <w:t xml:space="preserve">, with many decisive decisions concerning whom receives them regarded as </w:t>
      </w:r>
      <w:r w:rsidR="00AD7AFF" w:rsidRPr="00E87A61">
        <w:t>arbitrary</w:t>
      </w:r>
      <w:r w:rsidR="006C515F">
        <w:t>,</w:t>
      </w:r>
      <w:r w:rsidR="006C515F">
        <w:t xml:space="preserve"> i</w:t>
      </w:r>
      <w:r w:rsidR="006C515F" w:rsidRPr="006C515F">
        <w:t>n 2015</w:t>
      </w:r>
      <w:r w:rsidR="006C515F">
        <w:t xml:space="preserve"> </w:t>
      </w:r>
      <w:r w:rsidR="006C515F" w:rsidRPr="006C515F">
        <w:t xml:space="preserve">a </w:t>
      </w:r>
      <w:r w:rsidR="006C515F">
        <w:t>t</w:t>
      </w:r>
      <w:r w:rsidR="006C515F" w:rsidRPr="006C515F">
        <w:t>otal</w:t>
      </w:r>
      <w:r w:rsidR="006C515F">
        <w:t xml:space="preserve"> of $5.3tn of subsidies was paid worldwide to aid fossil fuel production a cost many feel would be better invested within the renewable energy</w:t>
      </w:r>
      <w:sdt>
        <w:sdtPr>
          <w:id w:val="1070771073"/>
          <w:citation/>
        </w:sdtPr>
        <w:sdtContent>
          <w:r w:rsidR="006C515F">
            <w:fldChar w:fldCharType="begin"/>
          </w:r>
          <w:r w:rsidR="006C515F">
            <w:instrText xml:space="preserve"> CITATION Abr17 \l 2057 </w:instrText>
          </w:r>
          <w:r w:rsidR="006C515F">
            <w:fldChar w:fldCharType="separate"/>
          </w:r>
          <w:r w:rsidR="006C515F">
            <w:rPr>
              <w:noProof/>
            </w:rPr>
            <w:t xml:space="preserve"> (Abraham, 2017)</w:t>
          </w:r>
          <w:r w:rsidR="006C515F">
            <w:fldChar w:fldCharType="end"/>
          </w:r>
        </w:sdtContent>
      </w:sdt>
      <w:r w:rsidR="006C515F">
        <w:t xml:space="preserve">. Furthermore, other critics </w:t>
      </w:r>
      <w:r w:rsidR="00235BEB">
        <w:t xml:space="preserve">state that </w:t>
      </w:r>
      <w:r w:rsidR="00F66ECA" w:rsidRPr="00E87A61">
        <w:t>many of these benefactors have often paid little or no tax within the UK, th</w:t>
      </w:r>
      <w:r w:rsidR="00235BEB">
        <w:t>ose</w:t>
      </w:r>
      <w:r w:rsidR="00F66ECA" w:rsidRPr="00E87A61">
        <w:t xml:space="preserve"> organisations include but are not limited to, Amazon, Ford and Nissan</w:t>
      </w:r>
      <w:r w:rsidR="00D01884">
        <w:t xml:space="preserve">. Figure </w:t>
      </w:r>
      <w:r w:rsidR="0059176D">
        <w:t xml:space="preserve">8 </w:t>
      </w:r>
      <w:r w:rsidR="00D01884">
        <w:t>below shows the difference between subsides and grants paid out to the UK industry compared to the income received from corporate Tax.</w:t>
      </w:r>
    </w:p>
    <w:p w14:paraId="1EB11166" w14:textId="58059161" w:rsidR="00D01884" w:rsidRDefault="00D01884" w:rsidP="00214C89">
      <w:pPr>
        <w:pStyle w:val="NormalWeb"/>
        <w:spacing w:before="0" w:beforeAutospacing="0" w:line="480" w:lineRule="auto"/>
        <w:jc w:val="both"/>
      </w:pPr>
      <w:r>
        <w:rPr>
          <w:noProof/>
        </w:rPr>
        <w:lastRenderedPageBreak/>
        <mc:AlternateContent>
          <mc:Choice Requires="wps">
            <w:drawing>
              <wp:anchor distT="45720" distB="45720" distL="114300" distR="114300" simplePos="0" relativeHeight="251668480" behindDoc="0" locked="0" layoutInCell="1" allowOverlap="1" wp14:anchorId="7BA1BF94" wp14:editId="277C3EA0">
                <wp:simplePos x="0" y="0"/>
                <wp:positionH relativeFrom="column">
                  <wp:posOffset>342900</wp:posOffset>
                </wp:positionH>
                <wp:positionV relativeFrom="paragraph">
                  <wp:posOffset>284480</wp:posOffset>
                </wp:positionV>
                <wp:extent cx="4518660" cy="2125980"/>
                <wp:effectExtent l="0" t="0" r="1524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8660" cy="2125980"/>
                        </a:xfrm>
                        <a:prstGeom prst="rect">
                          <a:avLst/>
                        </a:prstGeom>
                        <a:solidFill>
                          <a:srgbClr val="FFFFFF"/>
                        </a:solidFill>
                        <a:ln w="9525">
                          <a:solidFill>
                            <a:schemeClr val="tx1"/>
                          </a:solidFill>
                          <a:miter lim="800000"/>
                          <a:headEnd/>
                          <a:tailEnd/>
                        </a:ln>
                      </wps:spPr>
                      <wps:txbx>
                        <w:txbxContent>
                          <w:p w14:paraId="64FA38E9" w14:textId="64661B8F" w:rsidR="00D01884" w:rsidRDefault="00D01884">
                            <w:r>
                              <w:rPr>
                                <w:noProof/>
                              </w:rPr>
                              <w:drawing>
                                <wp:inline distT="0" distB="0" distL="0" distR="0" wp14:anchorId="3C3C18E3" wp14:editId="68795B7D">
                                  <wp:extent cx="4366260" cy="20454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186" t="30030" r="35784" b="20788"/>
                                          <a:stretch/>
                                        </pic:blipFill>
                                        <pic:spPr bwMode="auto">
                                          <a:xfrm>
                                            <a:off x="0" y="0"/>
                                            <a:ext cx="4394938" cy="205890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1BF94" id="_x0000_s1029" type="#_x0000_t202" style="position:absolute;left:0;text-align:left;margin-left:27pt;margin-top:22.4pt;width:355.8pt;height:167.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" strokecolor="black [3213]">
                <v:textbox>
                  <w:txbxContent>
                    <w:p w14:paraId="64FA38E9" w14:textId="64661B8F" w:rsidR="00D01884" w:rsidRDefault="00D01884">
                      <w:r>
                        <w:rPr>
                          <w:noProof/>
                        </w:rPr>
                        <w:drawing>
                          <wp:inline distT="0" distB="0" distL="0" distR="0" wp14:anchorId="3C3C18E3" wp14:editId="68795B7D">
                            <wp:extent cx="4366260" cy="20454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186" t="30030" r="35784" b="20788"/>
                                    <a:stretch/>
                                  </pic:blipFill>
                                  <pic:spPr bwMode="auto">
                                    <a:xfrm>
                                      <a:off x="0" y="0"/>
                                      <a:ext cx="4394938" cy="2058907"/>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14:paraId="14D8FD05" w14:textId="10605556" w:rsidR="00D01884" w:rsidRDefault="00D01884" w:rsidP="00214C89">
      <w:pPr>
        <w:pStyle w:val="NormalWeb"/>
        <w:spacing w:before="0" w:beforeAutospacing="0" w:line="480" w:lineRule="auto"/>
        <w:jc w:val="both"/>
      </w:pPr>
    </w:p>
    <w:p w14:paraId="1D21B9C3" w14:textId="77777777" w:rsidR="00D01884" w:rsidRDefault="00D01884" w:rsidP="00214C89">
      <w:pPr>
        <w:pStyle w:val="NormalWeb"/>
        <w:spacing w:before="0" w:beforeAutospacing="0" w:line="480" w:lineRule="auto"/>
        <w:jc w:val="both"/>
      </w:pPr>
    </w:p>
    <w:p w14:paraId="00A138A0" w14:textId="77777777" w:rsidR="00D01884" w:rsidRDefault="00D01884" w:rsidP="00214C89">
      <w:pPr>
        <w:pStyle w:val="NormalWeb"/>
        <w:spacing w:before="0" w:beforeAutospacing="0" w:line="480" w:lineRule="auto"/>
        <w:jc w:val="both"/>
      </w:pPr>
    </w:p>
    <w:p w14:paraId="3511E221" w14:textId="77777777" w:rsidR="00D01884" w:rsidRDefault="00D01884" w:rsidP="00214C89">
      <w:pPr>
        <w:pStyle w:val="NormalWeb"/>
        <w:spacing w:before="0" w:beforeAutospacing="0" w:line="480" w:lineRule="auto"/>
        <w:jc w:val="both"/>
      </w:pPr>
    </w:p>
    <w:p w14:paraId="10C991C7" w14:textId="36CF8C17" w:rsidR="00D01884" w:rsidRPr="00A27CB9" w:rsidRDefault="00D01884" w:rsidP="00A27CB9">
      <w:pPr>
        <w:pStyle w:val="NormalWeb"/>
        <w:spacing w:before="0" w:beforeAutospacing="0" w:line="480" w:lineRule="auto"/>
        <w:jc w:val="center"/>
        <w:rPr>
          <w:sz w:val="16"/>
          <w:szCs w:val="16"/>
        </w:rPr>
      </w:pPr>
      <w:r w:rsidRPr="00A27CB9">
        <w:rPr>
          <w:sz w:val="16"/>
          <w:szCs w:val="16"/>
        </w:rPr>
        <w:t>Figure</w:t>
      </w:r>
      <w:r w:rsidR="0059176D">
        <w:rPr>
          <w:sz w:val="16"/>
          <w:szCs w:val="16"/>
        </w:rPr>
        <w:t>8</w:t>
      </w:r>
      <w:r w:rsidRPr="00A27CB9">
        <w:rPr>
          <w:sz w:val="16"/>
          <w:szCs w:val="16"/>
        </w:rPr>
        <w:t xml:space="preserve">: comparable graph showing tax breaks </w:t>
      </w:r>
      <w:r w:rsidR="00A27CB9" w:rsidRPr="00A27CB9">
        <w:rPr>
          <w:sz w:val="16"/>
          <w:szCs w:val="16"/>
        </w:rPr>
        <w:t xml:space="preserve">and tax payable </w:t>
      </w:r>
      <w:sdt>
        <w:sdtPr>
          <w:rPr>
            <w:sz w:val="16"/>
            <w:szCs w:val="16"/>
          </w:rPr>
          <w:id w:val="-1711488219"/>
          <w:citation/>
        </w:sdtPr>
        <w:sdtEndPr/>
        <w:sdtContent>
          <w:r w:rsidR="00A27CB9" w:rsidRPr="00A27CB9">
            <w:rPr>
              <w:sz w:val="16"/>
              <w:szCs w:val="16"/>
            </w:rPr>
            <w:fldChar w:fldCharType="begin"/>
          </w:r>
          <w:r w:rsidR="00A27CB9" w:rsidRPr="00A27CB9">
            <w:rPr>
              <w:sz w:val="16"/>
              <w:szCs w:val="16"/>
            </w:rPr>
            <w:instrText xml:space="preserve"> CITATION Cha15 \l 2057 </w:instrText>
          </w:r>
          <w:r w:rsidR="00A27CB9" w:rsidRPr="00A27CB9">
            <w:rPr>
              <w:sz w:val="16"/>
              <w:szCs w:val="16"/>
            </w:rPr>
            <w:fldChar w:fldCharType="separate"/>
          </w:r>
          <w:r w:rsidR="00A27CB9" w:rsidRPr="00A27CB9">
            <w:rPr>
              <w:noProof/>
              <w:sz w:val="16"/>
              <w:szCs w:val="16"/>
            </w:rPr>
            <w:t>(Chakrabortty, 2015)</w:t>
          </w:r>
          <w:r w:rsidR="00A27CB9" w:rsidRPr="00A27CB9">
            <w:rPr>
              <w:sz w:val="16"/>
              <w:szCs w:val="16"/>
            </w:rPr>
            <w:fldChar w:fldCharType="end"/>
          </w:r>
        </w:sdtContent>
      </w:sdt>
    </w:p>
    <w:p w14:paraId="1836062C" w14:textId="34BD7539" w:rsidR="00340D7F" w:rsidRDefault="00F66ECA" w:rsidP="00214C89">
      <w:pPr>
        <w:pStyle w:val="NormalWeb"/>
        <w:spacing w:before="0" w:beforeAutospacing="0" w:line="480" w:lineRule="auto"/>
        <w:jc w:val="both"/>
        <w:rPr>
          <w:color w:val="FF0000"/>
        </w:rPr>
      </w:pPr>
      <w:r w:rsidRPr="00E87A61">
        <w:t xml:space="preserve"> </w:t>
      </w:r>
      <w:r w:rsidR="002A4ED3" w:rsidRPr="00072A92">
        <w:t xml:space="preserve">During the financial year 2012/2013 for example the UK government </w:t>
      </w:r>
      <w:r w:rsidR="00577220" w:rsidRPr="00072A92">
        <w:t xml:space="preserve">paid out £93bn incorporate aid, </w:t>
      </w:r>
      <w:r w:rsidR="00A27CB9" w:rsidRPr="00072A92">
        <w:t xml:space="preserve">a breakdown of these figures can be seen in </w:t>
      </w:r>
      <w:r w:rsidR="00577220" w:rsidRPr="00072A92">
        <w:t xml:space="preserve">figure </w:t>
      </w:r>
      <w:r w:rsidR="0059176D" w:rsidRPr="00072A92">
        <w:t>9</w:t>
      </w:r>
      <w:r w:rsidR="00577220" w:rsidRPr="00072A92">
        <w:t xml:space="preserve"> below  </w:t>
      </w:r>
      <w:sdt>
        <w:sdtPr>
          <w:id w:val="-1482998382"/>
          <w:citation/>
        </w:sdtPr>
        <w:sdtEndPr/>
        <w:sdtContent>
          <w:r w:rsidR="00577220" w:rsidRPr="00072A92">
            <w:fldChar w:fldCharType="begin"/>
          </w:r>
          <w:r w:rsidR="00577220" w:rsidRPr="00072A92">
            <w:instrText xml:space="preserve"> CITATION Cha15 \l 2057 </w:instrText>
          </w:r>
          <w:r w:rsidR="00577220" w:rsidRPr="00072A92">
            <w:fldChar w:fldCharType="separate"/>
          </w:r>
          <w:r w:rsidR="00577220" w:rsidRPr="00072A92">
            <w:rPr>
              <w:noProof/>
            </w:rPr>
            <w:t xml:space="preserve"> (Chakrabortty, 2015)</w:t>
          </w:r>
          <w:r w:rsidR="00577220" w:rsidRPr="00072A92">
            <w:fldChar w:fldCharType="end"/>
          </w:r>
        </w:sdtContent>
      </w:sdt>
      <w:r w:rsidR="00577220" w:rsidRPr="00072A92">
        <w:t xml:space="preserve">. </w:t>
      </w:r>
      <w:r w:rsidR="00266096" w:rsidRPr="00072A92">
        <w:t xml:space="preserve"> </w:t>
      </w:r>
      <w:r w:rsidR="00AD7AFF" w:rsidRPr="00072A92">
        <w:t xml:space="preserve"> </w:t>
      </w:r>
    </w:p>
    <w:p w14:paraId="2199BCC1" w14:textId="500BE943" w:rsidR="00D01884" w:rsidRDefault="00D01884" w:rsidP="00214C89">
      <w:pPr>
        <w:pStyle w:val="NormalWeb"/>
        <w:spacing w:before="0" w:beforeAutospacing="0" w:line="480" w:lineRule="auto"/>
        <w:jc w:val="both"/>
        <w:rPr>
          <w:color w:val="FF0000"/>
        </w:rPr>
      </w:pPr>
      <w:r w:rsidRPr="0003015C">
        <w:rPr>
          <w:noProof/>
          <w:color w:val="FF0000"/>
        </w:rPr>
        <mc:AlternateContent>
          <mc:Choice Requires="wps">
            <w:drawing>
              <wp:anchor distT="45720" distB="45720" distL="114300" distR="114300" simplePos="0" relativeHeight="251666432" behindDoc="0" locked="0" layoutInCell="1" allowOverlap="1" wp14:anchorId="7DB73AAA" wp14:editId="1D1D2AF2">
                <wp:simplePos x="0" y="0"/>
                <wp:positionH relativeFrom="column">
                  <wp:posOffset>541020</wp:posOffset>
                </wp:positionH>
                <wp:positionV relativeFrom="paragraph">
                  <wp:posOffset>370840</wp:posOffset>
                </wp:positionV>
                <wp:extent cx="4655820" cy="22707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5820" cy="2270760"/>
                        </a:xfrm>
                        <a:prstGeom prst="rect">
                          <a:avLst/>
                        </a:prstGeom>
                        <a:solidFill>
                          <a:srgbClr val="FFFFFF"/>
                        </a:solidFill>
                        <a:ln w="9525">
                          <a:solidFill>
                            <a:schemeClr val="tx1"/>
                          </a:solidFill>
                          <a:miter lim="800000"/>
                          <a:headEnd/>
                          <a:tailEnd/>
                        </a:ln>
                      </wps:spPr>
                      <wps:txbx>
                        <w:txbxContent>
                          <w:p w14:paraId="0161F69B" w14:textId="0E0E1D24" w:rsidR="0003015C" w:rsidRDefault="0003015C" w:rsidP="0003015C">
                            <w:pPr>
                              <w:jc w:val="center"/>
                            </w:pPr>
                            <w:r>
                              <w:rPr>
                                <w:noProof/>
                              </w:rPr>
                              <w:drawing>
                                <wp:inline distT="0" distB="0" distL="0" distR="0" wp14:anchorId="4E8093FE" wp14:editId="3E9DB758">
                                  <wp:extent cx="4250334" cy="2133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787" t="24591" r="35519" b="10384"/>
                                          <a:stretch/>
                                        </pic:blipFill>
                                        <pic:spPr bwMode="auto">
                                          <a:xfrm>
                                            <a:off x="0" y="0"/>
                                            <a:ext cx="4263992" cy="214045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73AAA" id="_x0000_s1030" type="#_x0000_t202" style="position:absolute;left:0;text-align:left;margin-left:42.6pt;margin-top:29.2pt;width:366.6pt;height:178.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" strokecolor="black [3213]">
                <v:textbox>
                  <w:txbxContent>
                    <w:p w14:paraId="0161F69B" w14:textId="0E0E1D24" w:rsidR="0003015C" w:rsidRDefault="0003015C" w:rsidP="0003015C">
                      <w:pPr>
                        <w:jc w:val="center"/>
                      </w:pPr>
                      <w:r>
                        <w:rPr>
                          <w:noProof/>
                        </w:rPr>
                        <w:drawing>
                          <wp:inline distT="0" distB="0" distL="0" distR="0" wp14:anchorId="4E8093FE" wp14:editId="3E9DB758">
                            <wp:extent cx="4250334" cy="2133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787" t="24591" r="35519" b="10384"/>
                                    <a:stretch/>
                                  </pic:blipFill>
                                  <pic:spPr bwMode="auto">
                                    <a:xfrm>
                                      <a:off x="0" y="0"/>
                                      <a:ext cx="4263992" cy="2140456"/>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14:paraId="08292DF4" w14:textId="77777777" w:rsidR="0003015C" w:rsidRDefault="0003015C" w:rsidP="00577220">
      <w:pPr>
        <w:pStyle w:val="NormalWeb"/>
        <w:spacing w:before="0" w:beforeAutospacing="0" w:line="480" w:lineRule="auto"/>
        <w:jc w:val="center"/>
        <w:rPr>
          <w:sz w:val="16"/>
          <w:szCs w:val="16"/>
        </w:rPr>
      </w:pPr>
      <w:bookmarkStart w:id="5" w:name="_Hlk35596607"/>
    </w:p>
    <w:p w14:paraId="3098F72C" w14:textId="77777777" w:rsidR="0003015C" w:rsidRDefault="0003015C" w:rsidP="00577220">
      <w:pPr>
        <w:pStyle w:val="NormalWeb"/>
        <w:spacing w:before="0" w:beforeAutospacing="0" w:line="480" w:lineRule="auto"/>
        <w:jc w:val="center"/>
        <w:rPr>
          <w:sz w:val="16"/>
          <w:szCs w:val="16"/>
        </w:rPr>
      </w:pPr>
    </w:p>
    <w:p w14:paraId="30191320" w14:textId="77777777" w:rsidR="0003015C" w:rsidRDefault="0003015C" w:rsidP="00577220">
      <w:pPr>
        <w:pStyle w:val="NormalWeb"/>
        <w:spacing w:before="0" w:beforeAutospacing="0" w:line="480" w:lineRule="auto"/>
        <w:jc w:val="center"/>
        <w:rPr>
          <w:sz w:val="16"/>
          <w:szCs w:val="16"/>
        </w:rPr>
      </w:pPr>
    </w:p>
    <w:p w14:paraId="7E3EB6A1" w14:textId="77777777" w:rsidR="0003015C" w:rsidRDefault="0003015C" w:rsidP="00577220">
      <w:pPr>
        <w:pStyle w:val="NormalWeb"/>
        <w:spacing w:before="0" w:beforeAutospacing="0" w:line="480" w:lineRule="auto"/>
        <w:jc w:val="center"/>
        <w:rPr>
          <w:sz w:val="16"/>
          <w:szCs w:val="16"/>
        </w:rPr>
      </w:pPr>
    </w:p>
    <w:p w14:paraId="2B1501A8" w14:textId="77777777" w:rsidR="0003015C" w:rsidRDefault="0003015C" w:rsidP="00D01884">
      <w:pPr>
        <w:pStyle w:val="NormalWeb"/>
        <w:spacing w:before="0" w:beforeAutospacing="0" w:after="0" w:afterAutospacing="0" w:line="480" w:lineRule="auto"/>
        <w:jc w:val="center"/>
        <w:rPr>
          <w:sz w:val="16"/>
          <w:szCs w:val="16"/>
        </w:rPr>
      </w:pPr>
      <w:bookmarkStart w:id="6" w:name="_Hlk35509753"/>
      <w:bookmarkEnd w:id="5"/>
    </w:p>
    <w:p w14:paraId="72853AC6" w14:textId="77777777" w:rsidR="0003015C" w:rsidRDefault="0003015C" w:rsidP="00D01884">
      <w:pPr>
        <w:pStyle w:val="NormalWeb"/>
        <w:spacing w:before="0" w:beforeAutospacing="0" w:after="0" w:afterAutospacing="0" w:line="480" w:lineRule="auto"/>
        <w:jc w:val="center"/>
        <w:rPr>
          <w:sz w:val="16"/>
          <w:szCs w:val="16"/>
        </w:rPr>
      </w:pPr>
    </w:p>
    <w:p w14:paraId="56A0B898" w14:textId="77777777" w:rsidR="00D01884" w:rsidRDefault="00D01884" w:rsidP="00D01884">
      <w:pPr>
        <w:pStyle w:val="NormalWeb"/>
        <w:spacing w:before="0" w:beforeAutospacing="0" w:after="0" w:afterAutospacing="0" w:line="480" w:lineRule="auto"/>
        <w:jc w:val="center"/>
        <w:rPr>
          <w:sz w:val="16"/>
          <w:szCs w:val="16"/>
        </w:rPr>
      </w:pPr>
    </w:p>
    <w:p w14:paraId="6054EB16" w14:textId="35276C6D" w:rsidR="0003015C" w:rsidRDefault="0003015C" w:rsidP="0003015C">
      <w:pPr>
        <w:pStyle w:val="NormalWeb"/>
        <w:spacing w:before="0" w:beforeAutospacing="0" w:line="480" w:lineRule="auto"/>
        <w:jc w:val="center"/>
        <w:rPr>
          <w:b/>
          <w:bCs/>
          <w:u w:val="single"/>
        </w:rPr>
      </w:pPr>
      <w:r w:rsidRPr="0003015C">
        <w:rPr>
          <w:sz w:val="16"/>
          <w:szCs w:val="16"/>
        </w:rPr>
        <w:t xml:space="preserve">Figure </w:t>
      </w:r>
      <w:r w:rsidR="0059176D">
        <w:rPr>
          <w:sz w:val="16"/>
          <w:szCs w:val="16"/>
        </w:rPr>
        <w:t>9</w:t>
      </w:r>
      <w:r w:rsidRPr="0003015C">
        <w:rPr>
          <w:sz w:val="16"/>
          <w:szCs w:val="16"/>
        </w:rPr>
        <w:t xml:space="preserve">: </w:t>
      </w:r>
      <w:r w:rsidR="00D01884">
        <w:rPr>
          <w:sz w:val="16"/>
          <w:szCs w:val="16"/>
        </w:rPr>
        <w:t>B</w:t>
      </w:r>
      <w:r w:rsidRPr="0003015C">
        <w:rPr>
          <w:sz w:val="16"/>
          <w:szCs w:val="16"/>
        </w:rPr>
        <w:t>reakdown of UK Government handouts 2012/2013</w:t>
      </w:r>
      <w:sdt>
        <w:sdtPr>
          <w:rPr>
            <w:sz w:val="16"/>
            <w:szCs w:val="16"/>
          </w:rPr>
          <w:id w:val="-1426339298"/>
          <w:citation/>
        </w:sdtPr>
        <w:sdtEndPr/>
        <w:sdtContent>
          <w:r>
            <w:rPr>
              <w:sz w:val="16"/>
              <w:szCs w:val="16"/>
            </w:rPr>
            <w:fldChar w:fldCharType="begin"/>
          </w:r>
          <w:r>
            <w:rPr>
              <w:sz w:val="16"/>
              <w:szCs w:val="16"/>
            </w:rPr>
            <w:instrText xml:space="preserve"> CITATION Cha15 \l 2057 </w:instrText>
          </w:r>
          <w:r>
            <w:rPr>
              <w:sz w:val="16"/>
              <w:szCs w:val="16"/>
            </w:rPr>
            <w:fldChar w:fldCharType="separate"/>
          </w:r>
          <w:r>
            <w:rPr>
              <w:noProof/>
              <w:sz w:val="16"/>
              <w:szCs w:val="16"/>
            </w:rPr>
            <w:t xml:space="preserve"> </w:t>
          </w:r>
          <w:r w:rsidRPr="0003015C">
            <w:rPr>
              <w:noProof/>
              <w:sz w:val="16"/>
              <w:szCs w:val="16"/>
            </w:rPr>
            <w:t>(Chakrabortty, 2015)</w:t>
          </w:r>
          <w:r>
            <w:rPr>
              <w:sz w:val="16"/>
              <w:szCs w:val="16"/>
            </w:rPr>
            <w:fldChar w:fldCharType="end"/>
          </w:r>
        </w:sdtContent>
      </w:sdt>
    </w:p>
    <w:p w14:paraId="2F4BDB47" w14:textId="5248DDC5" w:rsidR="0059176D" w:rsidRPr="006C515F" w:rsidRDefault="006C515F" w:rsidP="00214C89">
      <w:pPr>
        <w:pStyle w:val="NormalWeb"/>
        <w:spacing w:before="0" w:beforeAutospacing="0" w:line="480" w:lineRule="auto"/>
        <w:jc w:val="both"/>
      </w:pPr>
      <w:bookmarkStart w:id="7" w:name="_Hlk35686971"/>
      <w:r>
        <w:t>Continuing on with the allocation of subsidies, i</w:t>
      </w:r>
      <w:r w:rsidRPr="006C515F">
        <w:t>n 2015</w:t>
      </w:r>
      <w:r>
        <w:t xml:space="preserve"> </w:t>
      </w:r>
      <w:r w:rsidRPr="006C515F">
        <w:t xml:space="preserve">a </w:t>
      </w:r>
      <w:r>
        <w:t>t</w:t>
      </w:r>
      <w:r w:rsidRPr="006C515F">
        <w:t>otal</w:t>
      </w:r>
      <w:r>
        <w:t xml:space="preserve"> of $5.3tn of subsidies was paid worldwide to aid fossil fuel production a cost many feel would be better invested within the renewable energy  </w:t>
      </w:r>
      <w:r w:rsidRPr="006C515F">
        <w:t xml:space="preserve">  </w:t>
      </w:r>
    </w:p>
    <w:bookmarkEnd w:id="7"/>
    <w:p w14:paraId="1F74E951" w14:textId="568F8B20" w:rsidR="00347F0E" w:rsidRPr="00E87A61" w:rsidRDefault="00675C17" w:rsidP="00214C89">
      <w:pPr>
        <w:pStyle w:val="NormalWeb"/>
        <w:spacing w:before="0" w:beforeAutospacing="0" w:line="480" w:lineRule="auto"/>
        <w:jc w:val="both"/>
        <w:rPr>
          <w:b/>
          <w:bCs/>
          <w:u w:val="single"/>
        </w:rPr>
      </w:pPr>
      <w:r>
        <w:rPr>
          <w:b/>
          <w:bCs/>
          <w:u w:val="single"/>
        </w:rPr>
        <w:lastRenderedPageBreak/>
        <w:t>C</w:t>
      </w:r>
      <w:r w:rsidR="00694B72" w:rsidRPr="00E87A61">
        <w:rPr>
          <w:b/>
          <w:bCs/>
          <w:u w:val="single"/>
        </w:rPr>
        <w:t xml:space="preserve">onclusion </w:t>
      </w:r>
    </w:p>
    <w:p w14:paraId="17DF7FA8" w14:textId="13BB76CA" w:rsidR="00E06381" w:rsidRPr="00E87A61" w:rsidRDefault="00E06381" w:rsidP="00214C89">
      <w:pPr>
        <w:pStyle w:val="NormalWeb"/>
        <w:spacing w:before="0" w:beforeAutospacing="0" w:line="480" w:lineRule="auto"/>
        <w:jc w:val="both"/>
      </w:pPr>
      <w:r w:rsidRPr="00E87A61">
        <w:t xml:space="preserve">This report has shown a number of issues that </w:t>
      </w:r>
      <w:r w:rsidR="00D200A3" w:rsidRPr="00E87A61">
        <w:t>may</w:t>
      </w:r>
      <w:r w:rsidRPr="00E87A61">
        <w:t xml:space="preserve"> require the UK government to intervene</w:t>
      </w:r>
      <w:r w:rsidR="00D200A3" w:rsidRPr="00E87A61">
        <w:t xml:space="preserve"> and some instances when they could not. </w:t>
      </w:r>
      <w:r w:rsidR="005D64D9" w:rsidRPr="00E87A61">
        <w:t>D</w:t>
      </w:r>
      <w:r w:rsidR="00D200A3" w:rsidRPr="00E87A61">
        <w:t>escribing a small number of the UK’s current environmental issues along with several governmental solutions including subsidies and trading systems. It has been see</w:t>
      </w:r>
      <w:r w:rsidR="00287C7D">
        <w:t>n</w:t>
      </w:r>
      <w:r w:rsidR="00D200A3" w:rsidRPr="00E87A61">
        <w:t xml:space="preserve"> that these solutions may not always be the most effective resolution to current environmental issues. Subsid</w:t>
      </w:r>
      <w:r w:rsidR="00287C7D">
        <w:t>i</w:t>
      </w:r>
      <w:r w:rsidR="00D200A3" w:rsidRPr="00E87A61">
        <w:t xml:space="preserve">es are seen by critics as costly solutions placing the final financial burden on the consumer. While others state its usefulness in stabilising the economy. </w:t>
      </w:r>
      <w:r w:rsidR="005D64D9" w:rsidRPr="00E87A61">
        <w:t>There are in fact numerous government initiatives and incentives available to business to aid with achieving environmental targets. It is only by choosing the correct ones for each industry that the government can efficiently and effectively resolve its environmental issues and achieve it</w:t>
      </w:r>
      <w:r w:rsidR="009A3547">
        <w:t>s</w:t>
      </w:r>
      <w:r w:rsidR="005D64D9" w:rsidRPr="00E87A61">
        <w:t xml:space="preserve"> Paris agreement targets.   </w:t>
      </w:r>
      <w:r w:rsidR="00D200A3" w:rsidRPr="00E87A61">
        <w:t xml:space="preserve"> </w:t>
      </w:r>
      <w:r w:rsidRPr="00E87A61">
        <w:t xml:space="preserve"> </w:t>
      </w:r>
      <w:bookmarkEnd w:id="6"/>
      <w:r w:rsidRPr="00E87A61">
        <w:t xml:space="preserve"> </w:t>
      </w:r>
    </w:p>
    <w:p w14:paraId="7D251A73" w14:textId="2E4492B7" w:rsidR="00347F0E" w:rsidRDefault="00347F0E" w:rsidP="00214C89">
      <w:pPr>
        <w:pStyle w:val="NormalWeb"/>
        <w:spacing w:before="0" w:beforeAutospacing="0" w:line="480" w:lineRule="auto"/>
        <w:jc w:val="both"/>
      </w:pPr>
    </w:p>
    <w:p w14:paraId="17BD337A" w14:textId="506C7D40" w:rsidR="003859C3" w:rsidRDefault="003859C3" w:rsidP="00214C89">
      <w:pPr>
        <w:pStyle w:val="NormalWeb"/>
        <w:spacing w:before="0" w:beforeAutospacing="0" w:line="480" w:lineRule="auto"/>
        <w:jc w:val="both"/>
      </w:pPr>
      <w:bookmarkStart w:id="8" w:name="_GoBack"/>
      <w:bookmarkEnd w:id="8"/>
    </w:p>
    <w:p w14:paraId="6D0DE759" w14:textId="49713F23" w:rsidR="003859C3" w:rsidRDefault="003859C3" w:rsidP="00214C89">
      <w:pPr>
        <w:pStyle w:val="NormalWeb"/>
        <w:spacing w:before="0" w:beforeAutospacing="0" w:line="480" w:lineRule="auto"/>
        <w:jc w:val="both"/>
      </w:pPr>
    </w:p>
    <w:sdt>
      <w:sdtPr>
        <w:id w:val="-51614843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C17E1C" w14:textId="61EA3277" w:rsidR="003859C3" w:rsidRDefault="003859C3">
          <w:pPr>
            <w:pStyle w:val="Heading1"/>
          </w:pPr>
          <w:r>
            <w:t>References</w:t>
          </w:r>
        </w:p>
        <w:sdt>
          <w:sdtPr>
            <w:id w:val="-573587230"/>
            <w:bibliography/>
          </w:sdtPr>
          <w:sdtContent>
            <w:p w14:paraId="7A426711" w14:textId="77777777" w:rsidR="003859C3" w:rsidRDefault="003859C3" w:rsidP="003859C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Abraham, J. (2017, August 7). Fossil Fuel subbsidies are a staggering $5tn per year. </w:t>
              </w:r>
              <w:r>
                <w:rPr>
                  <w:i/>
                  <w:iCs/>
                  <w:noProof/>
                  <w:lang w:val="en-US"/>
                </w:rPr>
                <w:t>The Guardian</w:t>
              </w:r>
              <w:r>
                <w:rPr>
                  <w:noProof/>
                  <w:lang w:val="en-US"/>
                </w:rPr>
                <w:t>. Retrieved from https://www.theguardian.com/environment/climate-consensus-97-per-cent/2017/aug/07/fossil-fuel-subsidies-are-a-staggering-5-tn-per-year</w:t>
              </w:r>
            </w:p>
            <w:p w14:paraId="6078FD5F" w14:textId="77777777" w:rsidR="003859C3" w:rsidRDefault="003859C3" w:rsidP="003859C3">
              <w:pPr>
                <w:pStyle w:val="Bibliography"/>
                <w:ind w:left="720" w:hanging="720"/>
                <w:rPr>
                  <w:noProof/>
                  <w:lang w:val="en-US"/>
                </w:rPr>
              </w:pPr>
              <w:r>
                <w:rPr>
                  <w:noProof/>
                  <w:lang w:val="en-US"/>
                </w:rPr>
                <w:t xml:space="preserve">Araujo, A. S. (2019, Febuary 28). Marginal Cost &amp; its Variation in Different Economy Scales. </w:t>
              </w:r>
              <w:r>
                <w:rPr>
                  <w:i/>
                  <w:iCs/>
                  <w:noProof/>
                  <w:lang w:val="en-US"/>
                </w:rPr>
                <w:t>International Journal of Tax Economics and Management</w:t>
              </w:r>
              <w:r>
                <w:rPr>
                  <w:noProof/>
                  <w:lang w:val="en-US"/>
                </w:rPr>
                <w:t>, 29-34.</w:t>
              </w:r>
            </w:p>
            <w:p w14:paraId="1C9D0BA4" w14:textId="77777777" w:rsidR="003859C3" w:rsidRDefault="003859C3" w:rsidP="003859C3">
              <w:pPr>
                <w:pStyle w:val="Bibliography"/>
                <w:ind w:left="720" w:hanging="720"/>
                <w:rPr>
                  <w:noProof/>
                  <w:lang w:val="en-US"/>
                </w:rPr>
              </w:pPr>
              <w:r>
                <w:rPr>
                  <w:noProof/>
                  <w:lang w:val="en-US"/>
                </w:rPr>
                <w:t xml:space="preserve">Borghesi, S., Montini, M., &amp; Barreca, A. (2016). </w:t>
              </w:r>
              <w:r>
                <w:rPr>
                  <w:i/>
                  <w:iCs/>
                  <w:noProof/>
                  <w:lang w:val="en-US"/>
                </w:rPr>
                <w:t>The European Emission Trading System and Its Followers: Comparative Analysis and Linking Perspectives</w:t>
              </w:r>
              <w:r>
                <w:rPr>
                  <w:noProof/>
                  <w:lang w:val="en-US"/>
                </w:rPr>
                <w:t xml:space="preserve"> (First ed.). Switzerland : Springer.</w:t>
              </w:r>
            </w:p>
            <w:p w14:paraId="4FD45C28" w14:textId="77777777" w:rsidR="003859C3" w:rsidRDefault="003859C3" w:rsidP="003859C3">
              <w:pPr>
                <w:pStyle w:val="Bibliography"/>
                <w:ind w:left="720" w:hanging="720"/>
                <w:rPr>
                  <w:noProof/>
                  <w:lang w:val="en-US"/>
                </w:rPr>
              </w:pPr>
              <w:r>
                <w:rPr>
                  <w:noProof/>
                  <w:lang w:val="en-US"/>
                </w:rPr>
                <w:t xml:space="preserve">Bowen, W. (2002). An Analytical Review of Environmental Justice Research: What do we really know? </w:t>
              </w:r>
              <w:r>
                <w:rPr>
                  <w:i/>
                  <w:iCs/>
                  <w:noProof/>
                  <w:lang w:val="en-US"/>
                </w:rPr>
                <w:t>Environmental Management, 29</w:t>
              </w:r>
              <w:r>
                <w:rPr>
                  <w:noProof/>
                  <w:lang w:val="en-US"/>
                </w:rPr>
                <w:t>(1), 3-15.</w:t>
              </w:r>
            </w:p>
            <w:p w14:paraId="20E0529C" w14:textId="77777777" w:rsidR="003859C3" w:rsidRDefault="003859C3" w:rsidP="003859C3">
              <w:pPr>
                <w:pStyle w:val="Bibliography"/>
                <w:ind w:left="720" w:hanging="720"/>
                <w:rPr>
                  <w:noProof/>
                  <w:lang w:val="en-US"/>
                </w:rPr>
              </w:pPr>
              <w:r>
                <w:rPr>
                  <w:noProof/>
                  <w:lang w:val="en-US"/>
                </w:rPr>
                <w:t xml:space="preserve">Buchanan, J. M. (1999). </w:t>
              </w:r>
              <w:r>
                <w:rPr>
                  <w:i/>
                  <w:iCs/>
                  <w:noProof/>
                  <w:lang w:val="en-US"/>
                </w:rPr>
                <w:t>The Demand and supply of Public Goods.</w:t>
              </w:r>
              <w:r>
                <w:rPr>
                  <w:noProof/>
                  <w:lang w:val="en-US"/>
                </w:rPr>
                <w:t xml:space="preserve"> Indianapolis: Liberty Fund INC.</w:t>
              </w:r>
            </w:p>
            <w:p w14:paraId="58CDE99C" w14:textId="77777777" w:rsidR="003859C3" w:rsidRDefault="003859C3" w:rsidP="003859C3">
              <w:pPr>
                <w:pStyle w:val="Bibliography"/>
                <w:ind w:left="720" w:hanging="720"/>
                <w:rPr>
                  <w:noProof/>
                  <w:lang w:val="en-US"/>
                </w:rPr>
              </w:pPr>
              <w:r>
                <w:rPr>
                  <w:noProof/>
                  <w:lang w:val="en-US"/>
                </w:rPr>
                <w:lastRenderedPageBreak/>
                <w:t xml:space="preserve">Chakrabortty, A. (2015, July 7). The £93bn Handshake: Businesses Pocket Huge Subsidies and Tax Breaks. </w:t>
              </w:r>
              <w:r>
                <w:rPr>
                  <w:i/>
                  <w:iCs/>
                  <w:noProof/>
                  <w:lang w:val="en-US"/>
                </w:rPr>
                <w:t>The Guardian</w:t>
              </w:r>
              <w:r>
                <w:rPr>
                  <w:noProof/>
                  <w:lang w:val="en-US"/>
                </w:rPr>
                <w:t>. Retrieved from https://www.theguardian.com/politics/2015/jul/07/corporate-welfare-a-93bn-handshake</w:t>
              </w:r>
            </w:p>
            <w:p w14:paraId="6E87F5B0" w14:textId="77777777" w:rsidR="003859C3" w:rsidRDefault="003859C3" w:rsidP="003859C3">
              <w:pPr>
                <w:pStyle w:val="Bibliography"/>
                <w:ind w:left="720" w:hanging="720"/>
                <w:rPr>
                  <w:noProof/>
                  <w:lang w:val="en-US"/>
                </w:rPr>
              </w:pPr>
              <w:r>
                <w:rPr>
                  <w:noProof/>
                  <w:lang w:val="en-US"/>
                </w:rPr>
                <w:t xml:space="preserve">Cohen, A. J., Brauer, M., Burnett, R., Anderson, H. R., Frostad, J., Estep, K., . . . Dandona, R. (2017). Estimates and 25-year trends of The Global Burden of Disease Attributable to Ambient Air Pollution: An Analysis of Data from the Global Burden of Diseases Study. </w:t>
              </w:r>
              <w:r>
                <w:rPr>
                  <w:i/>
                  <w:iCs/>
                  <w:noProof/>
                  <w:lang w:val="en-US"/>
                </w:rPr>
                <w:t>The Lancet</w:t>
              </w:r>
              <w:r>
                <w:rPr>
                  <w:noProof/>
                  <w:lang w:val="en-US"/>
                </w:rPr>
                <w:t>, 389.</w:t>
              </w:r>
            </w:p>
            <w:p w14:paraId="70E94FFB" w14:textId="77777777" w:rsidR="003859C3" w:rsidRDefault="003859C3" w:rsidP="003859C3">
              <w:pPr>
                <w:pStyle w:val="Bibliography"/>
                <w:ind w:left="720" w:hanging="720"/>
                <w:rPr>
                  <w:noProof/>
                  <w:lang w:val="en-US"/>
                </w:rPr>
              </w:pPr>
              <w:r>
                <w:rPr>
                  <w:noProof/>
                  <w:lang w:val="en-US"/>
                </w:rPr>
                <w:t xml:space="preserve">Corburn, J. (2001). Emissions Trading and Environmental Justice. </w:t>
              </w:r>
              <w:r>
                <w:rPr>
                  <w:i/>
                  <w:iCs/>
                  <w:noProof/>
                  <w:lang w:val="en-US"/>
                </w:rPr>
                <w:t>Environmental Conversation, 28</w:t>
              </w:r>
              <w:r>
                <w:rPr>
                  <w:noProof/>
                  <w:lang w:val="en-US"/>
                </w:rPr>
                <w:t>, 323-332.</w:t>
              </w:r>
            </w:p>
            <w:p w14:paraId="41AE3184" w14:textId="77777777" w:rsidR="003859C3" w:rsidRDefault="003859C3" w:rsidP="003859C3">
              <w:pPr>
                <w:pStyle w:val="Bibliography"/>
                <w:ind w:left="720" w:hanging="720"/>
                <w:rPr>
                  <w:noProof/>
                  <w:lang w:val="en-US"/>
                </w:rPr>
              </w:pPr>
              <w:r>
                <w:rPr>
                  <w:noProof/>
                  <w:lang w:val="en-US"/>
                </w:rPr>
                <w:t xml:space="preserve">Drury, R. T., Belliveau, M. E., Kuhn, S., &amp; Bansal, S. (1998). Polution Trading and Environmental Injustice. </w:t>
              </w:r>
              <w:r>
                <w:rPr>
                  <w:i/>
                  <w:iCs/>
                  <w:noProof/>
                  <w:lang w:val="en-US"/>
                </w:rPr>
                <w:t>Duke Environmental Law &amp; Policy Forum, 9</w:t>
              </w:r>
              <w:r>
                <w:rPr>
                  <w:noProof/>
                  <w:lang w:val="en-US"/>
                </w:rPr>
                <w:t>, 231.</w:t>
              </w:r>
            </w:p>
            <w:p w14:paraId="52AE6CFE" w14:textId="77777777" w:rsidR="003859C3" w:rsidRDefault="003859C3" w:rsidP="003859C3">
              <w:pPr>
                <w:pStyle w:val="Bibliography"/>
                <w:ind w:left="720" w:hanging="720"/>
                <w:rPr>
                  <w:noProof/>
                  <w:lang w:val="en-US"/>
                </w:rPr>
              </w:pPr>
              <w:r>
                <w:rPr>
                  <w:noProof/>
                  <w:lang w:val="en-US"/>
                </w:rPr>
                <w:t xml:space="preserve">Elliot, L., &amp; Treanor, J. (2017, August 3). The day the credit crunch began, 10 years on: 'the world changed'. </w:t>
              </w:r>
              <w:r>
                <w:rPr>
                  <w:i/>
                  <w:iCs/>
                  <w:noProof/>
                  <w:lang w:val="en-US"/>
                </w:rPr>
                <w:t>The Guardian</w:t>
              </w:r>
              <w:r>
                <w:rPr>
                  <w:noProof/>
                  <w:lang w:val="en-US"/>
                </w:rPr>
                <w:t>. Retrieved from https://www.theguardian.com/business/2017/aug/02/day-credit-crunch-began-10-years-on-world-changed</w:t>
              </w:r>
            </w:p>
            <w:p w14:paraId="08983687" w14:textId="77777777" w:rsidR="003859C3" w:rsidRDefault="003859C3" w:rsidP="003859C3">
              <w:pPr>
                <w:pStyle w:val="Bibliography"/>
                <w:ind w:left="720" w:hanging="720"/>
                <w:rPr>
                  <w:noProof/>
                  <w:lang w:val="en-US"/>
                </w:rPr>
              </w:pPr>
              <w:r>
                <w:rPr>
                  <w:noProof/>
                  <w:lang w:val="en-US"/>
                </w:rPr>
                <w:t xml:space="preserve">Fuglestvedt, J., Rogelj, J., Millar, R. J., Allen, M., O'Boucher, O., Cain, M., . . . Shindell, D. (2018, April 2). Implicationsofpossible interpretationsof‘greenhouse gasbalance’intheParis Agreement. </w:t>
              </w:r>
              <w:r>
                <w:rPr>
                  <w:i/>
                  <w:iCs/>
                  <w:noProof/>
                  <w:lang w:val="en-US"/>
                </w:rPr>
                <w:t>Philosophical Transactions of the Royal Society A: Mathematical, Physical and Engineering Sciences 376, no. 2119, 376</w:t>
              </w:r>
              <w:r>
                <w:rPr>
                  <w:noProof/>
                  <w:lang w:val="en-US"/>
                </w:rPr>
                <w:t>(2119).</w:t>
              </w:r>
            </w:p>
            <w:p w14:paraId="52707BE2" w14:textId="77777777" w:rsidR="003859C3" w:rsidRDefault="003859C3" w:rsidP="003859C3">
              <w:pPr>
                <w:pStyle w:val="Bibliography"/>
                <w:ind w:left="720" w:hanging="720"/>
                <w:rPr>
                  <w:noProof/>
                  <w:lang w:val="en-US"/>
                </w:rPr>
              </w:pPr>
              <w:r>
                <w:rPr>
                  <w:noProof/>
                  <w:lang w:val="en-US"/>
                </w:rPr>
                <w:t xml:space="preserve">Goodin, R. E. (1994). Selling environmental indulgences. </w:t>
              </w:r>
              <w:r>
                <w:rPr>
                  <w:i/>
                  <w:iCs/>
                  <w:noProof/>
                  <w:lang w:val="en-US"/>
                </w:rPr>
                <w:t>Kyklos, 47</w:t>
              </w:r>
              <w:r>
                <w:rPr>
                  <w:noProof/>
                  <w:lang w:val="en-US"/>
                </w:rPr>
                <w:t>(4), 573-596.</w:t>
              </w:r>
            </w:p>
            <w:p w14:paraId="404D78B3" w14:textId="77777777" w:rsidR="003859C3" w:rsidRDefault="003859C3" w:rsidP="003859C3">
              <w:pPr>
                <w:pStyle w:val="Bibliography"/>
                <w:ind w:left="720" w:hanging="720"/>
                <w:rPr>
                  <w:noProof/>
                  <w:lang w:val="en-US"/>
                </w:rPr>
              </w:pPr>
              <w:r>
                <w:rPr>
                  <w:noProof/>
                  <w:lang w:val="en-US"/>
                </w:rPr>
                <w:t xml:space="preserve">Goodin, R. E. (1994). Selling Environmental Indulgences . </w:t>
              </w:r>
              <w:r>
                <w:rPr>
                  <w:i/>
                  <w:iCs/>
                  <w:noProof/>
                  <w:lang w:val="en-US"/>
                </w:rPr>
                <w:t>Kyklos, 47</w:t>
              </w:r>
              <w:r>
                <w:rPr>
                  <w:noProof/>
                  <w:lang w:val="en-US"/>
                </w:rPr>
                <w:t>, 573-596.</w:t>
              </w:r>
            </w:p>
            <w:p w14:paraId="771C3E92" w14:textId="77777777" w:rsidR="003859C3" w:rsidRDefault="003859C3" w:rsidP="003859C3">
              <w:pPr>
                <w:pStyle w:val="Bibliography"/>
                <w:ind w:left="720" w:hanging="720"/>
                <w:rPr>
                  <w:noProof/>
                  <w:lang w:val="en-US"/>
                </w:rPr>
              </w:pPr>
              <w:r>
                <w:rPr>
                  <w:noProof/>
                  <w:lang w:val="en-US"/>
                </w:rPr>
                <w:t xml:space="preserve">Hopwood, A. G., Unerman, J., &amp; Fries, J. (2010). </w:t>
              </w:r>
              <w:r>
                <w:rPr>
                  <w:i/>
                  <w:iCs/>
                  <w:noProof/>
                  <w:lang w:val="en-US"/>
                </w:rPr>
                <w:t>Accounting for sustainability : practical insights</w:t>
              </w:r>
              <w:r>
                <w:rPr>
                  <w:noProof/>
                  <w:lang w:val="en-US"/>
                </w:rPr>
                <w:t xml:space="preserve"> (1st ed.). London: Routledge.</w:t>
              </w:r>
            </w:p>
            <w:p w14:paraId="11995530" w14:textId="77777777" w:rsidR="003859C3" w:rsidRDefault="003859C3" w:rsidP="003859C3">
              <w:pPr>
                <w:pStyle w:val="Bibliography"/>
                <w:ind w:left="720" w:hanging="720"/>
                <w:rPr>
                  <w:noProof/>
                  <w:lang w:val="en-US"/>
                </w:rPr>
              </w:pPr>
              <w:r>
                <w:rPr>
                  <w:noProof/>
                  <w:lang w:val="en-US"/>
                </w:rPr>
                <w:t xml:space="preserve">ICC. (2019). </w:t>
              </w:r>
              <w:r>
                <w:rPr>
                  <w:i/>
                  <w:iCs/>
                  <w:noProof/>
                  <w:lang w:val="en-US"/>
                </w:rPr>
                <w:t>Article 6: What is it and why is it important?</w:t>
              </w:r>
              <w:r>
                <w:rPr>
                  <w:noProof/>
                  <w:lang w:val="en-US"/>
                </w:rPr>
                <w:t xml:space="preserve"> Paris: International Chamber or Commerce. Retrieved from https://iccwbo.org/media-wall/news-speeches/article-6-important/</w:t>
              </w:r>
            </w:p>
            <w:p w14:paraId="4265C683" w14:textId="77777777" w:rsidR="003859C3" w:rsidRDefault="003859C3" w:rsidP="003859C3">
              <w:pPr>
                <w:pStyle w:val="Bibliography"/>
                <w:ind w:left="720" w:hanging="720"/>
                <w:rPr>
                  <w:noProof/>
                  <w:lang w:val="en-US"/>
                </w:rPr>
              </w:pPr>
              <w:r>
                <w:rPr>
                  <w:noProof/>
                  <w:lang w:val="en-US"/>
                </w:rPr>
                <w:t xml:space="preserve">Joskow, P. L., &amp; Schmalensee, R. (1998). The Political Economy of Market-Based Environmental Policy. </w:t>
              </w:r>
              <w:r>
                <w:rPr>
                  <w:i/>
                  <w:iCs/>
                  <w:noProof/>
                  <w:lang w:val="en-US"/>
                </w:rPr>
                <w:t>The Journal of Law and Economics, 41</w:t>
              </w:r>
              <w:r>
                <w:rPr>
                  <w:noProof/>
                  <w:lang w:val="en-US"/>
                </w:rPr>
                <w:t>(1), 37-84.</w:t>
              </w:r>
            </w:p>
            <w:p w14:paraId="557D72A5" w14:textId="77777777" w:rsidR="003859C3" w:rsidRDefault="003859C3" w:rsidP="003859C3">
              <w:pPr>
                <w:pStyle w:val="Bibliography"/>
                <w:ind w:left="720" w:hanging="720"/>
                <w:rPr>
                  <w:noProof/>
                  <w:lang w:val="en-US"/>
                </w:rPr>
              </w:pPr>
              <w:r>
                <w:rPr>
                  <w:noProof/>
                  <w:lang w:val="en-US"/>
                </w:rPr>
                <w:t xml:space="preserve">Kenton, W. (2019, November 12). </w:t>
              </w:r>
              <w:r>
                <w:rPr>
                  <w:i/>
                  <w:iCs/>
                  <w:noProof/>
                  <w:lang w:val="en-US"/>
                </w:rPr>
                <w:t>Marginal Social Cost (MSC).</w:t>
              </w:r>
              <w:r>
                <w:rPr>
                  <w:noProof/>
                  <w:lang w:val="en-US"/>
                </w:rPr>
                <w:t xml:space="preserve"> Retrieved from Investopedia: https://www.investopedia.com/terms/m/marginalsocialcost.asp</w:t>
              </w:r>
            </w:p>
            <w:p w14:paraId="48A402BA" w14:textId="77777777" w:rsidR="003859C3" w:rsidRDefault="003859C3" w:rsidP="003859C3">
              <w:pPr>
                <w:pStyle w:val="Bibliography"/>
                <w:ind w:left="720" w:hanging="720"/>
                <w:rPr>
                  <w:noProof/>
                  <w:lang w:val="en-US"/>
                </w:rPr>
              </w:pPr>
              <w:r>
                <w:rPr>
                  <w:noProof/>
                  <w:lang w:val="en-US"/>
                </w:rPr>
                <w:t xml:space="preserve">Murphy, F., &amp; Smeers, Y. (2019, June 1). Measuring the effects of price controls using mixed complementarity models. </w:t>
              </w:r>
              <w:r>
                <w:rPr>
                  <w:i/>
                  <w:iCs/>
                  <w:noProof/>
                  <w:lang w:val="en-US"/>
                </w:rPr>
                <w:t>European Journal of Operational Research, 275</w:t>
              </w:r>
              <w:r>
                <w:rPr>
                  <w:noProof/>
                  <w:lang w:val="en-US"/>
                </w:rPr>
                <w:t>(2), 666-676.</w:t>
              </w:r>
            </w:p>
            <w:p w14:paraId="57096ACB" w14:textId="77777777" w:rsidR="003859C3" w:rsidRDefault="003859C3" w:rsidP="003859C3">
              <w:pPr>
                <w:pStyle w:val="Bibliography"/>
                <w:ind w:left="720" w:hanging="720"/>
                <w:rPr>
                  <w:noProof/>
                  <w:lang w:val="en-US"/>
                </w:rPr>
              </w:pPr>
              <w:r>
                <w:rPr>
                  <w:noProof/>
                  <w:lang w:val="en-US"/>
                </w:rPr>
                <w:t xml:space="preserve">NCC. (2016). </w:t>
              </w:r>
              <w:r>
                <w:rPr>
                  <w:i/>
                  <w:iCs/>
                  <w:noProof/>
                  <w:lang w:val="en-US"/>
                </w:rPr>
                <w:t>The Protocal.</w:t>
              </w:r>
              <w:r>
                <w:rPr>
                  <w:noProof/>
                  <w:lang w:val="en-US"/>
                </w:rPr>
                <w:t xml:space="preserve"> Retrieved from National Capital Coalition: www.naturalcapitalcoalition.org/protocol</w:t>
              </w:r>
            </w:p>
            <w:p w14:paraId="1F52C3B1" w14:textId="77777777" w:rsidR="003859C3" w:rsidRDefault="003859C3" w:rsidP="003859C3">
              <w:pPr>
                <w:pStyle w:val="Bibliography"/>
                <w:ind w:left="720" w:hanging="720"/>
                <w:rPr>
                  <w:noProof/>
                  <w:lang w:val="en-US"/>
                </w:rPr>
              </w:pPr>
              <w:r>
                <w:rPr>
                  <w:noProof/>
                  <w:lang w:val="en-US"/>
                </w:rPr>
                <w:t xml:space="preserve">NIC. (2017). </w:t>
              </w:r>
              <w:r>
                <w:rPr>
                  <w:i/>
                  <w:iCs/>
                  <w:noProof/>
                  <w:lang w:val="en-US"/>
                </w:rPr>
                <w:t>ECONOMIC GROWTH AND DEMAND FOR INFRASTRUCTURE SERVICES.</w:t>
              </w:r>
              <w:r>
                <w:rPr>
                  <w:noProof/>
                  <w:lang w:val="en-US"/>
                </w:rPr>
                <w:t xml:space="preserve"> The National Infrastructure Commission. London: UK Government . Retrieved from https://www.gov.uk/government/publications/economic-growth-and-demand-for-infrastructure-services</w:t>
              </w:r>
            </w:p>
            <w:p w14:paraId="452A1DE4" w14:textId="77777777" w:rsidR="003859C3" w:rsidRDefault="003859C3" w:rsidP="003859C3">
              <w:pPr>
                <w:pStyle w:val="Bibliography"/>
                <w:ind w:left="720" w:hanging="720"/>
                <w:rPr>
                  <w:noProof/>
                  <w:lang w:val="en-US"/>
                </w:rPr>
              </w:pPr>
              <w:r>
                <w:rPr>
                  <w:noProof/>
                  <w:lang w:val="en-US"/>
                </w:rPr>
                <w:t xml:space="preserve">ORR. (2019, February 7). </w:t>
              </w:r>
              <w:r>
                <w:rPr>
                  <w:i/>
                  <w:iCs/>
                  <w:noProof/>
                  <w:lang w:val="en-US"/>
                </w:rPr>
                <w:t>Rail investment and subsidies.</w:t>
              </w:r>
              <w:r>
                <w:rPr>
                  <w:noProof/>
                  <w:lang w:val="en-US"/>
                </w:rPr>
                <w:t xml:space="preserve"> London: Office of Rail and Road . Retrieved from https://dataportal.orr.gov.uk/statistics/finance/rail-investment-and-subsidies/</w:t>
              </w:r>
            </w:p>
            <w:p w14:paraId="7BC97D54" w14:textId="77777777" w:rsidR="003859C3" w:rsidRDefault="003859C3" w:rsidP="003859C3">
              <w:pPr>
                <w:pStyle w:val="Bibliography"/>
                <w:ind w:left="720" w:hanging="720"/>
                <w:rPr>
                  <w:noProof/>
                  <w:lang w:val="en-US"/>
                </w:rPr>
              </w:pPr>
              <w:r>
                <w:rPr>
                  <w:noProof/>
                  <w:lang w:val="en-US"/>
                </w:rPr>
                <w:lastRenderedPageBreak/>
                <w:t xml:space="preserve">Pettinger, T. (2019, June 14). </w:t>
              </w:r>
              <w:r>
                <w:rPr>
                  <w:i/>
                  <w:iCs/>
                  <w:noProof/>
                  <w:lang w:val="en-US"/>
                </w:rPr>
                <w:t>Policies for reducing unemployment</w:t>
              </w:r>
              <w:r>
                <w:rPr>
                  <w:noProof/>
                  <w:lang w:val="en-US"/>
                </w:rPr>
                <w:t>. Retrieved from Economics Help: https://www.economicshelp.org</w:t>
              </w:r>
            </w:p>
            <w:p w14:paraId="7BDA06FC" w14:textId="77777777" w:rsidR="003859C3" w:rsidRDefault="003859C3" w:rsidP="003859C3">
              <w:pPr>
                <w:pStyle w:val="Bibliography"/>
                <w:ind w:left="720" w:hanging="720"/>
                <w:rPr>
                  <w:noProof/>
                  <w:lang w:val="en-US"/>
                </w:rPr>
              </w:pPr>
              <w:r>
                <w:rPr>
                  <w:noProof/>
                  <w:lang w:val="en-US"/>
                </w:rPr>
                <w:t xml:space="preserve">Podmore, W. (2018, February 8). The Collapse of Carillion: Another Free Market Failure. </w:t>
              </w:r>
              <w:r>
                <w:rPr>
                  <w:i/>
                  <w:iCs/>
                  <w:noProof/>
                  <w:lang w:val="en-US"/>
                </w:rPr>
                <w:t>Counterpunch</w:t>
              </w:r>
              <w:r>
                <w:rPr>
                  <w:noProof/>
                  <w:lang w:val="en-US"/>
                </w:rPr>
                <w:t>. Retrieved from https://www.counterpunch.org/2018/02/08/the-collapse-of-carillion-another-free-market-failure/</w:t>
              </w:r>
            </w:p>
            <w:p w14:paraId="764ADAF8" w14:textId="77777777" w:rsidR="003859C3" w:rsidRDefault="003859C3" w:rsidP="003859C3">
              <w:pPr>
                <w:pStyle w:val="Bibliography"/>
                <w:ind w:left="720" w:hanging="720"/>
                <w:rPr>
                  <w:noProof/>
                  <w:lang w:val="en-US"/>
                </w:rPr>
              </w:pPr>
              <w:r>
                <w:rPr>
                  <w:noProof/>
                  <w:lang w:val="en-US"/>
                </w:rPr>
                <w:t xml:space="preserve">Sloman, J., Hinde, K., &amp; Garratt, D. (2013). </w:t>
              </w:r>
              <w:r>
                <w:rPr>
                  <w:i/>
                  <w:iCs/>
                  <w:noProof/>
                  <w:lang w:val="en-US"/>
                </w:rPr>
                <w:t>EconomicsFor Business</w:t>
              </w:r>
              <w:r>
                <w:rPr>
                  <w:noProof/>
                  <w:lang w:val="en-US"/>
                </w:rPr>
                <w:t xml:space="preserve"> (Sixth ed.). Harlow: Pearsons Education LTD.</w:t>
              </w:r>
            </w:p>
            <w:p w14:paraId="30BF4BD0" w14:textId="77777777" w:rsidR="003859C3" w:rsidRDefault="003859C3" w:rsidP="003859C3">
              <w:pPr>
                <w:pStyle w:val="Bibliography"/>
                <w:ind w:left="720" w:hanging="720"/>
                <w:rPr>
                  <w:noProof/>
                  <w:lang w:val="en-US"/>
                </w:rPr>
              </w:pPr>
              <w:r>
                <w:rPr>
                  <w:noProof/>
                  <w:lang w:val="en-US"/>
                </w:rPr>
                <w:t xml:space="preserve">Smith, B. (2015, June 9). </w:t>
              </w:r>
              <w:r>
                <w:rPr>
                  <w:i/>
                  <w:iCs/>
                  <w:noProof/>
                  <w:lang w:val="en-US"/>
                </w:rPr>
                <w:t>United Kingdom: Environmental Issues, Policies and Clean Technology.</w:t>
              </w:r>
              <w:r>
                <w:rPr>
                  <w:noProof/>
                  <w:lang w:val="en-US"/>
                </w:rPr>
                <w:t xml:space="preserve"> AZO Clean Tech. Retrieved from https://www.azocleantech.com/article.aspx?ArticleID=535</w:t>
              </w:r>
            </w:p>
            <w:p w14:paraId="35CC3DCF" w14:textId="77777777" w:rsidR="003859C3" w:rsidRDefault="003859C3" w:rsidP="003859C3">
              <w:pPr>
                <w:pStyle w:val="Bibliography"/>
                <w:ind w:left="720" w:hanging="720"/>
                <w:rPr>
                  <w:noProof/>
                  <w:lang w:val="en-US"/>
                </w:rPr>
              </w:pPr>
              <w:r>
                <w:rPr>
                  <w:noProof/>
                  <w:lang w:val="en-US"/>
                </w:rPr>
                <w:t xml:space="preserve">Solomon, B. D., &amp; Lee, R. (2000). Emissions trading systems and environmental justice. </w:t>
              </w:r>
              <w:r>
                <w:rPr>
                  <w:i/>
                  <w:iCs/>
                  <w:noProof/>
                  <w:lang w:val="en-US"/>
                </w:rPr>
                <w:t>Environment: Science and policy for Sustainable Development, 42</w:t>
              </w:r>
              <w:r>
                <w:rPr>
                  <w:noProof/>
                  <w:lang w:val="en-US"/>
                </w:rPr>
                <w:t>(8), 32-45.</w:t>
              </w:r>
            </w:p>
            <w:p w14:paraId="776C0078" w14:textId="77777777" w:rsidR="003859C3" w:rsidRDefault="003859C3" w:rsidP="003859C3">
              <w:pPr>
                <w:pStyle w:val="Bibliography"/>
                <w:ind w:left="720" w:hanging="720"/>
                <w:rPr>
                  <w:noProof/>
                  <w:lang w:val="en-US"/>
                </w:rPr>
              </w:pPr>
              <w:r>
                <w:rPr>
                  <w:noProof/>
                  <w:lang w:val="en-US"/>
                </w:rPr>
                <w:t xml:space="preserve">TamoClass. (2014, October 17). Market Equilibrium. </w:t>
              </w:r>
              <w:r>
                <w:rPr>
                  <w:i/>
                  <w:iCs/>
                  <w:noProof/>
                  <w:lang w:val="en-US"/>
                </w:rPr>
                <w:t>TamoClass</w:t>
              </w:r>
              <w:r>
                <w:rPr>
                  <w:noProof/>
                  <w:lang w:val="en-US"/>
                </w:rPr>
                <w:t>. World Press. Retrieved from https://tamoclass.wordpress.com/2014/10/17/econ-market-equilibrium/</w:t>
              </w:r>
            </w:p>
            <w:p w14:paraId="055AE65F" w14:textId="77777777" w:rsidR="003859C3" w:rsidRDefault="003859C3" w:rsidP="003859C3">
              <w:pPr>
                <w:pStyle w:val="Bibliography"/>
                <w:ind w:left="720" w:hanging="720"/>
                <w:rPr>
                  <w:noProof/>
                  <w:lang w:val="en-US"/>
                </w:rPr>
              </w:pPr>
              <w:r>
                <w:rPr>
                  <w:noProof/>
                  <w:lang w:val="en-US"/>
                </w:rPr>
                <w:t xml:space="preserve">TFL. (2020). </w:t>
              </w:r>
              <w:r>
                <w:rPr>
                  <w:i/>
                  <w:iCs/>
                  <w:noProof/>
                  <w:lang w:val="en-US"/>
                </w:rPr>
                <w:t>Scrappage Scheme for Vans and Minibuses.</w:t>
              </w:r>
              <w:r>
                <w:rPr>
                  <w:noProof/>
                  <w:lang w:val="en-US"/>
                </w:rPr>
                <w:t xml:space="preserve"> Retrieved from Transport for London: https://tfl.gov.uk/modes/driving/ultra-low-emission-zone/scrappage-scheme?cid=scrappage-scheme</w:t>
              </w:r>
            </w:p>
            <w:p w14:paraId="0B4477D9" w14:textId="77777777" w:rsidR="003859C3" w:rsidRDefault="003859C3" w:rsidP="003859C3">
              <w:pPr>
                <w:pStyle w:val="Bibliography"/>
                <w:ind w:left="720" w:hanging="720"/>
                <w:rPr>
                  <w:noProof/>
                  <w:lang w:val="en-US"/>
                </w:rPr>
              </w:pPr>
              <w:r>
                <w:rPr>
                  <w:noProof/>
                  <w:lang w:val="en-US"/>
                </w:rPr>
                <w:t xml:space="preserve">Unerman, J., Bebbington, J., &amp; O'dwyer, B. (2018, June 4). Corporate reporting and accounting for externalities. </w:t>
              </w:r>
              <w:r>
                <w:rPr>
                  <w:i/>
                  <w:iCs/>
                  <w:noProof/>
                  <w:lang w:val="en-US"/>
                </w:rPr>
                <w:t>Accounting and Business Research, 48</w:t>
              </w:r>
              <w:r>
                <w:rPr>
                  <w:noProof/>
                  <w:lang w:val="en-US"/>
                </w:rPr>
                <w:t>(5), 497-522.</w:t>
              </w:r>
            </w:p>
            <w:p w14:paraId="5CB66F2F" w14:textId="77777777" w:rsidR="003859C3" w:rsidRDefault="003859C3" w:rsidP="003859C3">
              <w:pPr>
                <w:pStyle w:val="Bibliography"/>
                <w:ind w:left="720" w:hanging="720"/>
                <w:rPr>
                  <w:noProof/>
                  <w:lang w:val="en-US"/>
                </w:rPr>
              </w:pPr>
              <w:r>
                <w:rPr>
                  <w:noProof/>
                  <w:lang w:val="en-US"/>
                </w:rPr>
                <w:t xml:space="preserve">Wallis, J., &amp; Dollery, B. (1999). </w:t>
              </w:r>
              <w:r>
                <w:rPr>
                  <w:i/>
                  <w:iCs/>
                  <w:noProof/>
                  <w:lang w:val="en-US"/>
                </w:rPr>
                <w:t>Market Failure, Government Failure, Leadership and Public Policy</w:t>
              </w:r>
              <w:r>
                <w:rPr>
                  <w:noProof/>
                  <w:lang w:val="en-US"/>
                </w:rPr>
                <w:t xml:space="preserve"> (First ed.). Basingstoke , Hampshire : Macmillan Press LTD.</w:t>
              </w:r>
            </w:p>
            <w:p w14:paraId="5DD4567C" w14:textId="77777777" w:rsidR="003859C3" w:rsidRDefault="003859C3" w:rsidP="003859C3">
              <w:pPr>
                <w:pStyle w:val="Bibliography"/>
                <w:ind w:left="720" w:hanging="720"/>
                <w:rPr>
                  <w:noProof/>
                  <w:lang w:val="en-US"/>
                </w:rPr>
              </w:pPr>
              <w:r>
                <w:rPr>
                  <w:noProof/>
                  <w:lang w:val="en-US"/>
                </w:rPr>
                <w:t xml:space="preserve">Winston, C. (2006). </w:t>
              </w:r>
              <w:r>
                <w:rPr>
                  <w:i/>
                  <w:iCs/>
                  <w:noProof/>
                  <w:lang w:val="en-US"/>
                </w:rPr>
                <w:t>Government Failure Versus Market Failure: Macroeconomics Policy Research and Government Performance.</w:t>
              </w:r>
              <w:r>
                <w:rPr>
                  <w:noProof/>
                  <w:lang w:val="en-US"/>
                </w:rPr>
                <w:t xml:space="preserve"> Washington DC: Brookings Institution Press.</w:t>
              </w:r>
            </w:p>
            <w:p w14:paraId="3606A8EA" w14:textId="77777777" w:rsidR="003859C3" w:rsidRDefault="003859C3" w:rsidP="003859C3">
              <w:pPr>
                <w:pStyle w:val="Bibliography"/>
                <w:ind w:left="720" w:hanging="720"/>
                <w:rPr>
                  <w:noProof/>
                  <w:lang w:val="en-US"/>
                </w:rPr>
              </w:pPr>
              <w:r>
                <w:rPr>
                  <w:noProof/>
                  <w:lang w:val="en-US"/>
                </w:rPr>
                <w:t xml:space="preserve">Wren, C. (1996). </w:t>
              </w:r>
              <w:r>
                <w:rPr>
                  <w:i/>
                  <w:iCs/>
                  <w:noProof/>
                  <w:lang w:val="en-US"/>
                </w:rPr>
                <w:t>Industrial Subsidies: The UK Experience.</w:t>
              </w:r>
              <w:r>
                <w:rPr>
                  <w:noProof/>
                  <w:lang w:val="en-US"/>
                </w:rPr>
                <w:t xml:space="preserve"> Basingstoke, Hampshire : Palgrave Macmillan.</w:t>
              </w:r>
            </w:p>
            <w:p w14:paraId="1B0FFB39" w14:textId="0FAC594A" w:rsidR="003859C3" w:rsidRDefault="003859C3" w:rsidP="003859C3">
              <w:r>
                <w:rPr>
                  <w:b/>
                  <w:bCs/>
                  <w:noProof/>
                </w:rPr>
                <w:fldChar w:fldCharType="end"/>
              </w:r>
            </w:p>
          </w:sdtContent>
        </w:sdt>
      </w:sdtContent>
    </w:sdt>
    <w:p w14:paraId="188FFAA8" w14:textId="77777777" w:rsidR="003859C3" w:rsidRPr="00E87A61" w:rsidRDefault="003859C3" w:rsidP="00214C89">
      <w:pPr>
        <w:pStyle w:val="NormalWeb"/>
        <w:spacing w:before="0" w:beforeAutospacing="0" w:line="480" w:lineRule="auto"/>
        <w:jc w:val="both"/>
      </w:pPr>
    </w:p>
    <w:sectPr w:rsidR="003859C3" w:rsidRPr="00E87A61">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AD7FE" w14:textId="77777777" w:rsidR="00516925" w:rsidRDefault="00516925" w:rsidP="002276F9">
      <w:pPr>
        <w:spacing w:after="0" w:line="240" w:lineRule="auto"/>
      </w:pPr>
      <w:r>
        <w:separator/>
      </w:r>
    </w:p>
  </w:endnote>
  <w:endnote w:type="continuationSeparator" w:id="0">
    <w:p w14:paraId="0C15D7DD" w14:textId="77777777" w:rsidR="00516925" w:rsidRDefault="00516925" w:rsidP="00227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168849"/>
      <w:docPartObj>
        <w:docPartGallery w:val="Page Numbers (Bottom of Page)"/>
        <w:docPartUnique/>
      </w:docPartObj>
    </w:sdtPr>
    <w:sdtEndPr>
      <w:rPr>
        <w:noProof/>
      </w:rPr>
    </w:sdtEndPr>
    <w:sdtContent>
      <w:p w14:paraId="210B0158" w14:textId="1F35BD72" w:rsidR="002276F9" w:rsidRDefault="002276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55A18F" w14:textId="77777777" w:rsidR="002276F9" w:rsidRDefault="00227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22B53" w14:textId="77777777" w:rsidR="00516925" w:rsidRDefault="00516925" w:rsidP="002276F9">
      <w:pPr>
        <w:spacing w:after="0" w:line="240" w:lineRule="auto"/>
      </w:pPr>
      <w:r>
        <w:separator/>
      </w:r>
    </w:p>
  </w:footnote>
  <w:footnote w:type="continuationSeparator" w:id="0">
    <w:p w14:paraId="24A9A628" w14:textId="77777777" w:rsidR="00516925" w:rsidRDefault="00516925" w:rsidP="00227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45EB4" w14:textId="32958CBA" w:rsidR="003859C3" w:rsidRDefault="003859C3">
    <w:pPr>
      <w:pStyle w:val="Header"/>
    </w:pPr>
    <w:r>
      <w:t xml:space="preserve">UK Market Failures &amp; Solutions </w:t>
    </w:r>
  </w:p>
  <w:p w14:paraId="7934A07C" w14:textId="77777777" w:rsidR="003859C3" w:rsidRDefault="00385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64D17"/>
    <w:multiLevelType w:val="hybridMultilevel"/>
    <w:tmpl w:val="76F2B14C"/>
    <w:lvl w:ilvl="0" w:tplc="269ED7E8">
      <w:start w:val="1"/>
      <w:numFmt w:val="bullet"/>
      <w:lvlText w:val="•"/>
      <w:lvlJc w:val="left"/>
      <w:pPr>
        <w:tabs>
          <w:tab w:val="num" w:pos="720"/>
        </w:tabs>
        <w:ind w:left="720" w:hanging="360"/>
      </w:pPr>
      <w:rPr>
        <w:rFonts w:ascii="Arial" w:hAnsi="Arial" w:hint="default"/>
      </w:rPr>
    </w:lvl>
    <w:lvl w:ilvl="1" w:tplc="9A427600" w:tentative="1">
      <w:start w:val="1"/>
      <w:numFmt w:val="bullet"/>
      <w:lvlText w:val="•"/>
      <w:lvlJc w:val="left"/>
      <w:pPr>
        <w:tabs>
          <w:tab w:val="num" w:pos="1440"/>
        </w:tabs>
        <w:ind w:left="1440" w:hanging="360"/>
      </w:pPr>
      <w:rPr>
        <w:rFonts w:ascii="Arial" w:hAnsi="Arial" w:hint="default"/>
      </w:rPr>
    </w:lvl>
    <w:lvl w:ilvl="2" w:tplc="575CC51E" w:tentative="1">
      <w:start w:val="1"/>
      <w:numFmt w:val="bullet"/>
      <w:lvlText w:val="•"/>
      <w:lvlJc w:val="left"/>
      <w:pPr>
        <w:tabs>
          <w:tab w:val="num" w:pos="2160"/>
        </w:tabs>
        <w:ind w:left="2160" w:hanging="360"/>
      </w:pPr>
      <w:rPr>
        <w:rFonts w:ascii="Arial" w:hAnsi="Arial" w:hint="default"/>
      </w:rPr>
    </w:lvl>
    <w:lvl w:ilvl="3" w:tplc="C756A3C6" w:tentative="1">
      <w:start w:val="1"/>
      <w:numFmt w:val="bullet"/>
      <w:lvlText w:val="•"/>
      <w:lvlJc w:val="left"/>
      <w:pPr>
        <w:tabs>
          <w:tab w:val="num" w:pos="2880"/>
        </w:tabs>
        <w:ind w:left="2880" w:hanging="360"/>
      </w:pPr>
      <w:rPr>
        <w:rFonts w:ascii="Arial" w:hAnsi="Arial" w:hint="default"/>
      </w:rPr>
    </w:lvl>
    <w:lvl w:ilvl="4" w:tplc="75BC3D44" w:tentative="1">
      <w:start w:val="1"/>
      <w:numFmt w:val="bullet"/>
      <w:lvlText w:val="•"/>
      <w:lvlJc w:val="left"/>
      <w:pPr>
        <w:tabs>
          <w:tab w:val="num" w:pos="3600"/>
        </w:tabs>
        <w:ind w:left="3600" w:hanging="360"/>
      </w:pPr>
      <w:rPr>
        <w:rFonts w:ascii="Arial" w:hAnsi="Arial" w:hint="default"/>
      </w:rPr>
    </w:lvl>
    <w:lvl w:ilvl="5" w:tplc="BA70F2F4" w:tentative="1">
      <w:start w:val="1"/>
      <w:numFmt w:val="bullet"/>
      <w:lvlText w:val="•"/>
      <w:lvlJc w:val="left"/>
      <w:pPr>
        <w:tabs>
          <w:tab w:val="num" w:pos="4320"/>
        </w:tabs>
        <w:ind w:left="4320" w:hanging="360"/>
      </w:pPr>
      <w:rPr>
        <w:rFonts w:ascii="Arial" w:hAnsi="Arial" w:hint="default"/>
      </w:rPr>
    </w:lvl>
    <w:lvl w:ilvl="6" w:tplc="FF3AE776" w:tentative="1">
      <w:start w:val="1"/>
      <w:numFmt w:val="bullet"/>
      <w:lvlText w:val="•"/>
      <w:lvlJc w:val="left"/>
      <w:pPr>
        <w:tabs>
          <w:tab w:val="num" w:pos="5040"/>
        </w:tabs>
        <w:ind w:left="5040" w:hanging="360"/>
      </w:pPr>
      <w:rPr>
        <w:rFonts w:ascii="Arial" w:hAnsi="Arial" w:hint="default"/>
      </w:rPr>
    </w:lvl>
    <w:lvl w:ilvl="7" w:tplc="3300D238" w:tentative="1">
      <w:start w:val="1"/>
      <w:numFmt w:val="bullet"/>
      <w:lvlText w:val="•"/>
      <w:lvlJc w:val="left"/>
      <w:pPr>
        <w:tabs>
          <w:tab w:val="num" w:pos="5760"/>
        </w:tabs>
        <w:ind w:left="5760" w:hanging="360"/>
      </w:pPr>
      <w:rPr>
        <w:rFonts w:ascii="Arial" w:hAnsi="Arial" w:hint="default"/>
      </w:rPr>
    </w:lvl>
    <w:lvl w:ilvl="8" w:tplc="2B221F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096CB0"/>
    <w:multiLevelType w:val="hybridMultilevel"/>
    <w:tmpl w:val="F1E21356"/>
    <w:lvl w:ilvl="0" w:tplc="1A7C6066">
      <w:start w:val="1"/>
      <w:numFmt w:val="bullet"/>
      <w:lvlText w:val="•"/>
      <w:lvlJc w:val="left"/>
      <w:pPr>
        <w:tabs>
          <w:tab w:val="num" w:pos="720"/>
        </w:tabs>
        <w:ind w:left="720" w:hanging="360"/>
      </w:pPr>
      <w:rPr>
        <w:rFonts w:ascii="Arial" w:hAnsi="Arial" w:hint="default"/>
      </w:rPr>
    </w:lvl>
    <w:lvl w:ilvl="1" w:tplc="90360C74">
      <w:numFmt w:val="bullet"/>
      <w:lvlText w:val="–"/>
      <w:lvlJc w:val="left"/>
      <w:pPr>
        <w:tabs>
          <w:tab w:val="num" w:pos="1440"/>
        </w:tabs>
        <w:ind w:left="1440" w:hanging="360"/>
      </w:pPr>
      <w:rPr>
        <w:rFonts w:ascii="Arial" w:hAnsi="Arial" w:hint="default"/>
      </w:rPr>
    </w:lvl>
    <w:lvl w:ilvl="2" w:tplc="0EE23440" w:tentative="1">
      <w:start w:val="1"/>
      <w:numFmt w:val="bullet"/>
      <w:lvlText w:val="•"/>
      <w:lvlJc w:val="left"/>
      <w:pPr>
        <w:tabs>
          <w:tab w:val="num" w:pos="2160"/>
        </w:tabs>
        <w:ind w:left="2160" w:hanging="360"/>
      </w:pPr>
      <w:rPr>
        <w:rFonts w:ascii="Arial" w:hAnsi="Arial" w:hint="default"/>
      </w:rPr>
    </w:lvl>
    <w:lvl w:ilvl="3" w:tplc="C3F8B8C4" w:tentative="1">
      <w:start w:val="1"/>
      <w:numFmt w:val="bullet"/>
      <w:lvlText w:val="•"/>
      <w:lvlJc w:val="left"/>
      <w:pPr>
        <w:tabs>
          <w:tab w:val="num" w:pos="2880"/>
        </w:tabs>
        <w:ind w:left="2880" w:hanging="360"/>
      </w:pPr>
      <w:rPr>
        <w:rFonts w:ascii="Arial" w:hAnsi="Arial" w:hint="default"/>
      </w:rPr>
    </w:lvl>
    <w:lvl w:ilvl="4" w:tplc="B2700C8A" w:tentative="1">
      <w:start w:val="1"/>
      <w:numFmt w:val="bullet"/>
      <w:lvlText w:val="•"/>
      <w:lvlJc w:val="left"/>
      <w:pPr>
        <w:tabs>
          <w:tab w:val="num" w:pos="3600"/>
        </w:tabs>
        <w:ind w:left="3600" w:hanging="360"/>
      </w:pPr>
      <w:rPr>
        <w:rFonts w:ascii="Arial" w:hAnsi="Arial" w:hint="default"/>
      </w:rPr>
    </w:lvl>
    <w:lvl w:ilvl="5" w:tplc="8FBC9D9A" w:tentative="1">
      <w:start w:val="1"/>
      <w:numFmt w:val="bullet"/>
      <w:lvlText w:val="•"/>
      <w:lvlJc w:val="left"/>
      <w:pPr>
        <w:tabs>
          <w:tab w:val="num" w:pos="4320"/>
        </w:tabs>
        <w:ind w:left="4320" w:hanging="360"/>
      </w:pPr>
      <w:rPr>
        <w:rFonts w:ascii="Arial" w:hAnsi="Arial" w:hint="default"/>
      </w:rPr>
    </w:lvl>
    <w:lvl w:ilvl="6" w:tplc="A08A7EA8" w:tentative="1">
      <w:start w:val="1"/>
      <w:numFmt w:val="bullet"/>
      <w:lvlText w:val="•"/>
      <w:lvlJc w:val="left"/>
      <w:pPr>
        <w:tabs>
          <w:tab w:val="num" w:pos="5040"/>
        </w:tabs>
        <w:ind w:left="5040" w:hanging="360"/>
      </w:pPr>
      <w:rPr>
        <w:rFonts w:ascii="Arial" w:hAnsi="Arial" w:hint="default"/>
      </w:rPr>
    </w:lvl>
    <w:lvl w:ilvl="7" w:tplc="860E60FC" w:tentative="1">
      <w:start w:val="1"/>
      <w:numFmt w:val="bullet"/>
      <w:lvlText w:val="•"/>
      <w:lvlJc w:val="left"/>
      <w:pPr>
        <w:tabs>
          <w:tab w:val="num" w:pos="5760"/>
        </w:tabs>
        <w:ind w:left="5760" w:hanging="360"/>
      </w:pPr>
      <w:rPr>
        <w:rFonts w:ascii="Arial" w:hAnsi="Arial" w:hint="default"/>
      </w:rPr>
    </w:lvl>
    <w:lvl w:ilvl="8" w:tplc="09F2E8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203934"/>
    <w:multiLevelType w:val="hybridMultilevel"/>
    <w:tmpl w:val="9106FF3C"/>
    <w:lvl w:ilvl="0" w:tplc="4532EE26">
      <w:start w:val="1"/>
      <w:numFmt w:val="bullet"/>
      <w:lvlText w:val="•"/>
      <w:lvlJc w:val="left"/>
      <w:pPr>
        <w:tabs>
          <w:tab w:val="num" w:pos="720"/>
        </w:tabs>
        <w:ind w:left="720" w:hanging="360"/>
      </w:pPr>
      <w:rPr>
        <w:rFonts w:ascii="Arial" w:hAnsi="Arial" w:hint="default"/>
      </w:rPr>
    </w:lvl>
    <w:lvl w:ilvl="1" w:tplc="C4D22886">
      <w:numFmt w:val="bullet"/>
      <w:lvlText w:val="–"/>
      <w:lvlJc w:val="left"/>
      <w:pPr>
        <w:tabs>
          <w:tab w:val="num" w:pos="1440"/>
        </w:tabs>
        <w:ind w:left="1440" w:hanging="360"/>
      </w:pPr>
      <w:rPr>
        <w:rFonts w:ascii="Arial" w:hAnsi="Arial" w:hint="default"/>
      </w:rPr>
    </w:lvl>
    <w:lvl w:ilvl="2" w:tplc="15D269D6" w:tentative="1">
      <w:start w:val="1"/>
      <w:numFmt w:val="bullet"/>
      <w:lvlText w:val="•"/>
      <w:lvlJc w:val="left"/>
      <w:pPr>
        <w:tabs>
          <w:tab w:val="num" w:pos="2160"/>
        </w:tabs>
        <w:ind w:left="2160" w:hanging="360"/>
      </w:pPr>
      <w:rPr>
        <w:rFonts w:ascii="Arial" w:hAnsi="Arial" w:hint="default"/>
      </w:rPr>
    </w:lvl>
    <w:lvl w:ilvl="3" w:tplc="D67CD544" w:tentative="1">
      <w:start w:val="1"/>
      <w:numFmt w:val="bullet"/>
      <w:lvlText w:val="•"/>
      <w:lvlJc w:val="left"/>
      <w:pPr>
        <w:tabs>
          <w:tab w:val="num" w:pos="2880"/>
        </w:tabs>
        <w:ind w:left="2880" w:hanging="360"/>
      </w:pPr>
      <w:rPr>
        <w:rFonts w:ascii="Arial" w:hAnsi="Arial" w:hint="default"/>
      </w:rPr>
    </w:lvl>
    <w:lvl w:ilvl="4" w:tplc="0A4EC192" w:tentative="1">
      <w:start w:val="1"/>
      <w:numFmt w:val="bullet"/>
      <w:lvlText w:val="•"/>
      <w:lvlJc w:val="left"/>
      <w:pPr>
        <w:tabs>
          <w:tab w:val="num" w:pos="3600"/>
        </w:tabs>
        <w:ind w:left="3600" w:hanging="360"/>
      </w:pPr>
      <w:rPr>
        <w:rFonts w:ascii="Arial" w:hAnsi="Arial" w:hint="default"/>
      </w:rPr>
    </w:lvl>
    <w:lvl w:ilvl="5" w:tplc="8CC63430" w:tentative="1">
      <w:start w:val="1"/>
      <w:numFmt w:val="bullet"/>
      <w:lvlText w:val="•"/>
      <w:lvlJc w:val="left"/>
      <w:pPr>
        <w:tabs>
          <w:tab w:val="num" w:pos="4320"/>
        </w:tabs>
        <w:ind w:left="4320" w:hanging="360"/>
      </w:pPr>
      <w:rPr>
        <w:rFonts w:ascii="Arial" w:hAnsi="Arial" w:hint="default"/>
      </w:rPr>
    </w:lvl>
    <w:lvl w:ilvl="6" w:tplc="87FC5EC8" w:tentative="1">
      <w:start w:val="1"/>
      <w:numFmt w:val="bullet"/>
      <w:lvlText w:val="•"/>
      <w:lvlJc w:val="left"/>
      <w:pPr>
        <w:tabs>
          <w:tab w:val="num" w:pos="5040"/>
        </w:tabs>
        <w:ind w:left="5040" w:hanging="360"/>
      </w:pPr>
      <w:rPr>
        <w:rFonts w:ascii="Arial" w:hAnsi="Arial" w:hint="default"/>
      </w:rPr>
    </w:lvl>
    <w:lvl w:ilvl="7" w:tplc="7FAC8FEE" w:tentative="1">
      <w:start w:val="1"/>
      <w:numFmt w:val="bullet"/>
      <w:lvlText w:val="•"/>
      <w:lvlJc w:val="left"/>
      <w:pPr>
        <w:tabs>
          <w:tab w:val="num" w:pos="5760"/>
        </w:tabs>
        <w:ind w:left="5760" w:hanging="360"/>
      </w:pPr>
      <w:rPr>
        <w:rFonts w:ascii="Arial" w:hAnsi="Arial" w:hint="default"/>
      </w:rPr>
    </w:lvl>
    <w:lvl w:ilvl="8" w:tplc="1BEED9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79679C"/>
    <w:multiLevelType w:val="hybridMultilevel"/>
    <w:tmpl w:val="41D6159C"/>
    <w:lvl w:ilvl="0" w:tplc="5F18A38E">
      <w:start w:val="1"/>
      <w:numFmt w:val="bullet"/>
      <w:lvlText w:val="•"/>
      <w:lvlJc w:val="left"/>
      <w:pPr>
        <w:tabs>
          <w:tab w:val="num" w:pos="720"/>
        </w:tabs>
        <w:ind w:left="720" w:hanging="360"/>
      </w:pPr>
      <w:rPr>
        <w:rFonts w:ascii="Arial" w:hAnsi="Arial" w:hint="default"/>
      </w:rPr>
    </w:lvl>
    <w:lvl w:ilvl="1" w:tplc="250EE466" w:tentative="1">
      <w:start w:val="1"/>
      <w:numFmt w:val="bullet"/>
      <w:lvlText w:val="•"/>
      <w:lvlJc w:val="left"/>
      <w:pPr>
        <w:tabs>
          <w:tab w:val="num" w:pos="1440"/>
        </w:tabs>
        <w:ind w:left="1440" w:hanging="360"/>
      </w:pPr>
      <w:rPr>
        <w:rFonts w:ascii="Arial" w:hAnsi="Arial" w:hint="default"/>
      </w:rPr>
    </w:lvl>
    <w:lvl w:ilvl="2" w:tplc="ADE0F39C" w:tentative="1">
      <w:start w:val="1"/>
      <w:numFmt w:val="bullet"/>
      <w:lvlText w:val="•"/>
      <w:lvlJc w:val="left"/>
      <w:pPr>
        <w:tabs>
          <w:tab w:val="num" w:pos="2160"/>
        </w:tabs>
        <w:ind w:left="2160" w:hanging="360"/>
      </w:pPr>
      <w:rPr>
        <w:rFonts w:ascii="Arial" w:hAnsi="Arial" w:hint="default"/>
      </w:rPr>
    </w:lvl>
    <w:lvl w:ilvl="3" w:tplc="59569602" w:tentative="1">
      <w:start w:val="1"/>
      <w:numFmt w:val="bullet"/>
      <w:lvlText w:val="•"/>
      <w:lvlJc w:val="left"/>
      <w:pPr>
        <w:tabs>
          <w:tab w:val="num" w:pos="2880"/>
        </w:tabs>
        <w:ind w:left="2880" w:hanging="360"/>
      </w:pPr>
      <w:rPr>
        <w:rFonts w:ascii="Arial" w:hAnsi="Arial" w:hint="default"/>
      </w:rPr>
    </w:lvl>
    <w:lvl w:ilvl="4" w:tplc="4DDE9A3A" w:tentative="1">
      <w:start w:val="1"/>
      <w:numFmt w:val="bullet"/>
      <w:lvlText w:val="•"/>
      <w:lvlJc w:val="left"/>
      <w:pPr>
        <w:tabs>
          <w:tab w:val="num" w:pos="3600"/>
        </w:tabs>
        <w:ind w:left="3600" w:hanging="360"/>
      </w:pPr>
      <w:rPr>
        <w:rFonts w:ascii="Arial" w:hAnsi="Arial" w:hint="default"/>
      </w:rPr>
    </w:lvl>
    <w:lvl w:ilvl="5" w:tplc="1908C2FE" w:tentative="1">
      <w:start w:val="1"/>
      <w:numFmt w:val="bullet"/>
      <w:lvlText w:val="•"/>
      <w:lvlJc w:val="left"/>
      <w:pPr>
        <w:tabs>
          <w:tab w:val="num" w:pos="4320"/>
        </w:tabs>
        <w:ind w:left="4320" w:hanging="360"/>
      </w:pPr>
      <w:rPr>
        <w:rFonts w:ascii="Arial" w:hAnsi="Arial" w:hint="default"/>
      </w:rPr>
    </w:lvl>
    <w:lvl w:ilvl="6" w:tplc="3EF84446" w:tentative="1">
      <w:start w:val="1"/>
      <w:numFmt w:val="bullet"/>
      <w:lvlText w:val="•"/>
      <w:lvlJc w:val="left"/>
      <w:pPr>
        <w:tabs>
          <w:tab w:val="num" w:pos="5040"/>
        </w:tabs>
        <w:ind w:left="5040" w:hanging="360"/>
      </w:pPr>
      <w:rPr>
        <w:rFonts w:ascii="Arial" w:hAnsi="Arial" w:hint="default"/>
      </w:rPr>
    </w:lvl>
    <w:lvl w:ilvl="7" w:tplc="BB680AB2" w:tentative="1">
      <w:start w:val="1"/>
      <w:numFmt w:val="bullet"/>
      <w:lvlText w:val="•"/>
      <w:lvlJc w:val="left"/>
      <w:pPr>
        <w:tabs>
          <w:tab w:val="num" w:pos="5760"/>
        </w:tabs>
        <w:ind w:left="5760" w:hanging="360"/>
      </w:pPr>
      <w:rPr>
        <w:rFonts w:ascii="Arial" w:hAnsi="Arial" w:hint="default"/>
      </w:rPr>
    </w:lvl>
    <w:lvl w:ilvl="8" w:tplc="CA501D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07090B"/>
    <w:multiLevelType w:val="hybridMultilevel"/>
    <w:tmpl w:val="14AC4EE6"/>
    <w:lvl w:ilvl="0" w:tplc="2230FD30">
      <w:start w:val="1"/>
      <w:numFmt w:val="bullet"/>
      <w:lvlText w:val=""/>
      <w:lvlJc w:val="left"/>
      <w:pPr>
        <w:tabs>
          <w:tab w:val="num" w:pos="720"/>
        </w:tabs>
        <w:ind w:left="720" w:hanging="360"/>
      </w:pPr>
      <w:rPr>
        <w:rFonts w:ascii="Wingdings" w:hAnsi="Wingdings" w:hint="default"/>
      </w:rPr>
    </w:lvl>
    <w:lvl w:ilvl="1" w:tplc="A37C6D5E" w:tentative="1">
      <w:start w:val="1"/>
      <w:numFmt w:val="bullet"/>
      <w:lvlText w:val=""/>
      <w:lvlJc w:val="left"/>
      <w:pPr>
        <w:tabs>
          <w:tab w:val="num" w:pos="1440"/>
        </w:tabs>
        <w:ind w:left="1440" w:hanging="360"/>
      </w:pPr>
      <w:rPr>
        <w:rFonts w:ascii="Wingdings" w:hAnsi="Wingdings" w:hint="default"/>
      </w:rPr>
    </w:lvl>
    <w:lvl w:ilvl="2" w:tplc="367C8DA4" w:tentative="1">
      <w:start w:val="1"/>
      <w:numFmt w:val="bullet"/>
      <w:lvlText w:val=""/>
      <w:lvlJc w:val="left"/>
      <w:pPr>
        <w:tabs>
          <w:tab w:val="num" w:pos="2160"/>
        </w:tabs>
        <w:ind w:left="2160" w:hanging="360"/>
      </w:pPr>
      <w:rPr>
        <w:rFonts w:ascii="Wingdings" w:hAnsi="Wingdings" w:hint="default"/>
      </w:rPr>
    </w:lvl>
    <w:lvl w:ilvl="3" w:tplc="3D904CB8" w:tentative="1">
      <w:start w:val="1"/>
      <w:numFmt w:val="bullet"/>
      <w:lvlText w:val=""/>
      <w:lvlJc w:val="left"/>
      <w:pPr>
        <w:tabs>
          <w:tab w:val="num" w:pos="2880"/>
        </w:tabs>
        <w:ind w:left="2880" w:hanging="360"/>
      </w:pPr>
      <w:rPr>
        <w:rFonts w:ascii="Wingdings" w:hAnsi="Wingdings" w:hint="default"/>
      </w:rPr>
    </w:lvl>
    <w:lvl w:ilvl="4" w:tplc="83CC9DD6" w:tentative="1">
      <w:start w:val="1"/>
      <w:numFmt w:val="bullet"/>
      <w:lvlText w:val=""/>
      <w:lvlJc w:val="left"/>
      <w:pPr>
        <w:tabs>
          <w:tab w:val="num" w:pos="3600"/>
        </w:tabs>
        <w:ind w:left="3600" w:hanging="360"/>
      </w:pPr>
      <w:rPr>
        <w:rFonts w:ascii="Wingdings" w:hAnsi="Wingdings" w:hint="default"/>
      </w:rPr>
    </w:lvl>
    <w:lvl w:ilvl="5" w:tplc="80ACEC76" w:tentative="1">
      <w:start w:val="1"/>
      <w:numFmt w:val="bullet"/>
      <w:lvlText w:val=""/>
      <w:lvlJc w:val="left"/>
      <w:pPr>
        <w:tabs>
          <w:tab w:val="num" w:pos="4320"/>
        </w:tabs>
        <w:ind w:left="4320" w:hanging="360"/>
      </w:pPr>
      <w:rPr>
        <w:rFonts w:ascii="Wingdings" w:hAnsi="Wingdings" w:hint="default"/>
      </w:rPr>
    </w:lvl>
    <w:lvl w:ilvl="6" w:tplc="21AE7D1E" w:tentative="1">
      <w:start w:val="1"/>
      <w:numFmt w:val="bullet"/>
      <w:lvlText w:val=""/>
      <w:lvlJc w:val="left"/>
      <w:pPr>
        <w:tabs>
          <w:tab w:val="num" w:pos="5040"/>
        </w:tabs>
        <w:ind w:left="5040" w:hanging="360"/>
      </w:pPr>
      <w:rPr>
        <w:rFonts w:ascii="Wingdings" w:hAnsi="Wingdings" w:hint="default"/>
      </w:rPr>
    </w:lvl>
    <w:lvl w:ilvl="7" w:tplc="8FB231AC" w:tentative="1">
      <w:start w:val="1"/>
      <w:numFmt w:val="bullet"/>
      <w:lvlText w:val=""/>
      <w:lvlJc w:val="left"/>
      <w:pPr>
        <w:tabs>
          <w:tab w:val="num" w:pos="5760"/>
        </w:tabs>
        <w:ind w:left="5760" w:hanging="360"/>
      </w:pPr>
      <w:rPr>
        <w:rFonts w:ascii="Wingdings" w:hAnsi="Wingdings" w:hint="default"/>
      </w:rPr>
    </w:lvl>
    <w:lvl w:ilvl="8" w:tplc="03EE196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EA2AD1"/>
    <w:multiLevelType w:val="hybridMultilevel"/>
    <w:tmpl w:val="ABA8F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E730B"/>
    <w:multiLevelType w:val="hybridMultilevel"/>
    <w:tmpl w:val="9EB6524E"/>
    <w:lvl w:ilvl="0" w:tplc="DA688908">
      <w:start w:val="1"/>
      <w:numFmt w:val="bullet"/>
      <w:lvlText w:val="•"/>
      <w:lvlJc w:val="left"/>
      <w:pPr>
        <w:tabs>
          <w:tab w:val="num" w:pos="720"/>
        </w:tabs>
        <w:ind w:left="720" w:hanging="360"/>
      </w:pPr>
      <w:rPr>
        <w:rFonts w:ascii="Arial" w:hAnsi="Arial" w:hint="default"/>
      </w:rPr>
    </w:lvl>
    <w:lvl w:ilvl="1" w:tplc="7F624860" w:tentative="1">
      <w:start w:val="1"/>
      <w:numFmt w:val="bullet"/>
      <w:lvlText w:val="•"/>
      <w:lvlJc w:val="left"/>
      <w:pPr>
        <w:tabs>
          <w:tab w:val="num" w:pos="1440"/>
        </w:tabs>
        <w:ind w:left="1440" w:hanging="360"/>
      </w:pPr>
      <w:rPr>
        <w:rFonts w:ascii="Arial" w:hAnsi="Arial" w:hint="default"/>
      </w:rPr>
    </w:lvl>
    <w:lvl w:ilvl="2" w:tplc="E4821176" w:tentative="1">
      <w:start w:val="1"/>
      <w:numFmt w:val="bullet"/>
      <w:lvlText w:val="•"/>
      <w:lvlJc w:val="left"/>
      <w:pPr>
        <w:tabs>
          <w:tab w:val="num" w:pos="2160"/>
        </w:tabs>
        <w:ind w:left="2160" w:hanging="360"/>
      </w:pPr>
      <w:rPr>
        <w:rFonts w:ascii="Arial" w:hAnsi="Arial" w:hint="default"/>
      </w:rPr>
    </w:lvl>
    <w:lvl w:ilvl="3" w:tplc="4296F4C0" w:tentative="1">
      <w:start w:val="1"/>
      <w:numFmt w:val="bullet"/>
      <w:lvlText w:val="•"/>
      <w:lvlJc w:val="left"/>
      <w:pPr>
        <w:tabs>
          <w:tab w:val="num" w:pos="2880"/>
        </w:tabs>
        <w:ind w:left="2880" w:hanging="360"/>
      </w:pPr>
      <w:rPr>
        <w:rFonts w:ascii="Arial" w:hAnsi="Arial" w:hint="default"/>
      </w:rPr>
    </w:lvl>
    <w:lvl w:ilvl="4" w:tplc="18BC5D36" w:tentative="1">
      <w:start w:val="1"/>
      <w:numFmt w:val="bullet"/>
      <w:lvlText w:val="•"/>
      <w:lvlJc w:val="left"/>
      <w:pPr>
        <w:tabs>
          <w:tab w:val="num" w:pos="3600"/>
        </w:tabs>
        <w:ind w:left="3600" w:hanging="360"/>
      </w:pPr>
      <w:rPr>
        <w:rFonts w:ascii="Arial" w:hAnsi="Arial" w:hint="default"/>
      </w:rPr>
    </w:lvl>
    <w:lvl w:ilvl="5" w:tplc="6616D27C" w:tentative="1">
      <w:start w:val="1"/>
      <w:numFmt w:val="bullet"/>
      <w:lvlText w:val="•"/>
      <w:lvlJc w:val="left"/>
      <w:pPr>
        <w:tabs>
          <w:tab w:val="num" w:pos="4320"/>
        </w:tabs>
        <w:ind w:left="4320" w:hanging="360"/>
      </w:pPr>
      <w:rPr>
        <w:rFonts w:ascii="Arial" w:hAnsi="Arial" w:hint="default"/>
      </w:rPr>
    </w:lvl>
    <w:lvl w:ilvl="6" w:tplc="6A245252" w:tentative="1">
      <w:start w:val="1"/>
      <w:numFmt w:val="bullet"/>
      <w:lvlText w:val="•"/>
      <w:lvlJc w:val="left"/>
      <w:pPr>
        <w:tabs>
          <w:tab w:val="num" w:pos="5040"/>
        </w:tabs>
        <w:ind w:left="5040" w:hanging="360"/>
      </w:pPr>
      <w:rPr>
        <w:rFonts w:ascii="Arial" w:hAnsi="Arial" w:hint="default"/>
      </w:rPr>
    </w:lvl>
    <w:lvl w:ilvl="7" w:tplc="6B98202C" w:tentative="1">
      <w:start w:val="1"/>
      <w:numFmt w:val="bullet"/>
      <w:lvlText w:val="•"/>
      <w:lvlJc w:val="left"/>
      <w:pPr>
        <w:tabs>
          <w:tab w:val="num" w:pos="5760"/>
        </w:tabs>
        <w:ind w:left="5760" w:hanging="360"/>
      </w:pPr>
      <w:rPr>
        <w:rFonts w:ascii="Arial" w:hAnsi="Arial" w:hint="default"/>
      </w:rPr>
    </w:lvl>
    <w:lvl w:ilvl="8" w:tplc="BC26ADA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B907C1"/>
    <w:multiLevelType w:val="hybridMultilevel"/>
    <w:tmpl w:val="3E4EBC24"/>
    <w:lvl w:ilvl="0" w:tplc="34B2EE42">
      <w:start w:val="1"/>
      <w:numFmt w:val="bullet"/>
      <w:lvlText w:val=""/>
      <w:lvlJc w:val="left"/>
      <w:pPr>
        <w:tabs>
          <w:tab w:val="num" w:pos="720"/>
        </w:tabs>
        <w:ind w:left="720" w:hanging="360"/>
      </w:pPr>
      <w:rPr>
        <w:rFonts w:ascii="Wingdings" w:hAnsi="Wingdings" w:hint="default"/>
      </w:rPr>
    </w:lvl>
    <w:lvl w:ilvl="1" w:tplc="F1CCC8EA" w:tentative="1">
      <w:start w:val="1"/>
      <w:numFmt w:val="bullet"/>
      <w:lvlText w:val=""/>
      <w:lvlJc w:val="left"/>
      <w:pPr>
        <w:tabs>
          <w:tab w:val="num" w:pos="1440"/>
        </w:tabs>
        <w:ind w:left="1440" w:hanging="360"/>
      </w:pPr>
      <w:rPr>
        <w:rFonts w:ascii="Wingdings" w:hAnsi="Wingdings" w:hint="default"/>
      </w:rPr>
    </w:lvl>
    <w:lvl w:ilvl="2" w:tplc="33188352" w:tentative="1">
      <w:start w:val="1"/>
      <w:numFmt w:val="bullet"/>
      <w:lvlText w:val=""/>
      <w:lvlJc w:val="left"/>
      <w:pPr>
        <w:tabs>
          <w:tab w:val="num" w:pos="2160"/>
        </w:tabs>
        <w:ind w:left="2160" w:hanging="360"/>
      </w:pPr>
      <w:rPr>
        <w:rFonts w:ascii="Wingdings" w:hAnsi="Wingdings" w:hint="default"/>
      </w:rPr>
    </w:lvl>
    <w:lvl w:ilvl="3" w:tplc="61EAEBEE" w:tentative="1">
      <w:start w:val="1"/>
      <w:numFmt w:val="bullet"/>
      <w:lvlText w:val=""/>
      <w:lvlJc w:val="left"/>
      <w:pPr>
        <w:tabs>
          <w:tab w:val="num" w:pos="2880"/>
        </w:tabs>
        <w:ind w:left="2880" w:hanging="360"/>
      </w:pPr>
      <w:rPr>
        <w:rFonts w:ascii="Wingdings" w:hAnsi="Wingdings" w:hint="default"/>
      </w:rPr>
    </w:lvl>
    <w:lvl w:ilvl="4" w:tplc="A2DA0834" w:tentative="1">
      <w:start w:val="1"/>
      <w:numFmt w:val="bullet"/>
      <w:lvlText w:val=""/>
      <w:lvlJc w:val="left"/>
      <w:pPr>
        <w:tabs>
          <w:tab w:val="num" w:pos="3600"/>
        </w:tabs>
        <w:ind w:left="3600" w:hanging="360"/>
      </w:pPr>
      <w:rPr>
        <w:rFonts w:ascii="Wingdings" w:hAnsi="Wingdings" w:hint="default"/>
      </w:rPr>
    </w:lvl>
    <w:lvl w:ilvl="5" w:tplc="1F5A2AE4" w:tentative="1">
      <w:start w:val="1"/>
      <w:numFmt w:val="bullet"/>
      <w:lvlText w:val=""/>
      <w:lvlJc w:val="left"/>
      <w:pPr>
        <w:tabs>
          <w:tab w:val="num" w:pos="4320"/>
        </w:tabs>
        <w:ind w:left="4320" w:hanging="360"/>
      </w:pPr>
      <w:rPr>
        <w:rFonts w:ascii="Wingdings" w:hAnsi="Wingdings" w:hint="default"/>
      </w:rPr>
    </w:lvl>
    <w:lvl w:ilvl="6" w:tplc="CE80AF16" w:tentative="1">
      <w:start w:val="1"/>
      <w:numFmt w:val="bullet"/>
      <w:lvlText w:val=""/>
      <w:lvlJc w:val="left"/>
      <w:pPr>
        <w:tabs>
          <w:tab w:val="num" w:pos="5040"/>
        </w:tabs>
        <w:ind w:left="5040" w:hanging="360"/>
      </w:pPr>
      <w:rPr>
        <w:rFonts w:ascii="Wingdings" w:hAnsi="Wingdings" w:hint="default"/>
      </w:rPr>
    </w:lvl>
    <w:lvl w:ilvl="7" w:tplc="878451D4" w:tentative="1">
      <w:start w:val="1"/>
      <w:numFmt w:val="bullet"/>
      <w:lvlText w:val=""/>
      <w:lvlJc w:val="left"/>
      <w:pPr>
        <w:tabs>
          <w:tab w:val="num" w:pos="5760"/>
        </w:tabs>
        <w:ind w:left="5760" w:hanging="360"/>
      </w:pPr>
      <w:rPr>
        <w:rFonts w:ascii="Wingdings" w:hAnsi="Wingdings" w:hint="default"/>
      </w:rPr>
    </w:lvl>
    <w:lvl w:ilvl="8" w:tplc="C220D72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DF92BD1"/>
    <w:multiLevelType w:val="hybridMultilevel"/>
    <w:tmpl w:val="5AC47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A105C1"/>
    <w:multiLevelType w:val="hybridMultilevel"/>
    <w:tmpl w:val="FDFC3220"/>
    <w:lvl w:ilvl="0" w:tplc="4CD4DF7C">
      <w:start w:val="1"/>
      <w:numFmt w:val="bullet"/>
      <w:lvlText w:val="–"/>
      <w:lvlJc w:val="left"/>
      <w:pPr>
        <w:tabs>
          <w:tab w:val="num" w:pos="720"/>
        </w:tabs>
        <w:ind w:left="720" w:hanging="360"/>
      </w:pPr>
      <w:rPr>
        <w:rFonts w:ascii="Arial" w:hAnsi="Arial" w:hint="default"/>
      </w:rPr>
    </w:lvl>
    <w:lvl w:ilvl="1" w:tplc="3CD4E23A">
      <w:start w:val="1"/>
      <w:numFmt w:val="bullet"/>
      <w:lvlText w:val="–"/>
      <w:lvlJc w:val="left"/>
      <w:pPr>
        <w:tabs>
          <w:tab w:val="num" w:pos="1440"/>
        </w:tabs>
        <w:ind w:left="1440" w:hanging="360"/>
      </w:pPr>
      <w:rPr>
        <w:rFonts w:ascii="Arial" w:hAnsi="Arial" w:hint="default"/>
      </w:rPr>
    </w:lvl>
    <w:lvl w:ilvl="2" w:tplc="53D6D288" w:tentative="1">
      <w:start w:val="1"/>
      <w:numFmt w:val="bullet"/>
      <w:lvlText w:val="–"/>
      <w:lvlJc w:val="left"/>
      <w:pPr>
        <w:tabs>
          <w:tab w:val="num" w:pos="2160"/>
        </w:tabs>
        <w:ind w:left="2160" w:hanging="360"/>
      </w:pPr>
      <w:rPr>
        <w:rFonts w:ascii="Arial" w:hAnsi="Arial" w:hint="default"/>
      </w:rPr>
    </w:lvl>
    <w:lvl w:ilvl="3" w:tplc="2D5EDB6A" w:tentative="1">
      <w:start w:val="1"/>
      <w:numFmt w:val="bullet"/>
      <w:lvlText w:val="–"/>
      <w:lvlJc w:val="left"/>
      <w:pPr>
        <w:tabs>
          <w:tab w:val="num" w:pos="2880"/>
        </w:tabs>
        <w:ind w:left="2880" w:hanging="360"/>
      </w:pPr>
      <w:rPr>
        <w:rFonts w:ascii="Arial" w:hAnsi="Arial" w:hint="default"/>
      </w:rPr>
    </w:lvl>
    <w:lvl w:ilvl="4" w:tplc="FC5C08A2" w:tentative="1">
      <w:start w:val="1"/>
      <w:numFmt w:val="bullet"/>
      <w:lvlText w:val="–"/>
      <w:lvlJc w:val="left"/>
      <w:pPr>
        <w:tabs>
          <w:tab w:val="num" w:pos="3600"/>
        </w:tabs>
        <w:ind w:left="3600" w:hanging="360"/>
      </w:pPr>
      <w:rPr>
        <w:rFonts w:ascii="Arial" w:hAnsi="Arial" w:hint="default"/>
      </w:rPr>
    </w:lvl>
    <w:lvl w:ilvl="5" w:tplc="6ACCB50A" w:tentative="1">
      <w:start w:val="1"/>
      <w:numFmt w:val="bullet"/>
      <w:lvlText w:val="–"/>
      <w:lvlJc w:val="left"/>
      <w:pPr>
        <w:tabs>
          <w:tab w:val="num" w:pos="4320"/>
        </w:tabs>
        <w:ind w:left="4320" w:hanging="360"/>
      </w:pPr>
      <w:rPr>
        <w:rFonts w:ascii="Arial" w:hAnsi="Arial" w:hint="default"/>
      </w:rPr>
    </w:lvl>
    <w:lvl w:ilvl="6" w:tplc="F6780AC8" w:tentative="1">
      <w:start w:val="1"/>
      <w:numFmt w:val="bullet"/>
      <w:lvlText w:val="–"/>
      <w:lvlJc w:val="left"/>
      <w:pPr>
        <w:tabs>
          <w:tab w:val="num" w:pos="5040"/>
        </w:tabs>
        <w:ind w:left="5040" w:hanging="360"/>
      </w:pPr>
      <w:rPr>
        <w:rFonts w:ascii="Arial" w:hAnsi="Arial" w:hint="default"/>
      </w:rPr>
    </w:lvl>
    <w:lvl w:ilvl="7" w:tplc="D62AA3DA" w:tentative="1">
      <w:start w:val="1"/>
      <w:numFmt w:val="bullet"/>
      <w:lvlText w:val="–"/>
      <w:lvlJc w:val="left"/>
      <w:pPr>
        <w:tabs>
          <w:tab w:val="num" w:pos="5760"/>
        </w:tabs>
        <w:ind w:left="5760" w:hanging="360"/>
      </w:pPr>
      <w:rPr>
        <w:rFonts w:ascii="Arial" w:hAnsi="Arial" w:hint="default"/>
      </w:rPr>
    </w:lvl>
    <w:lvl w:ilvl="8" w:tplc="6234EF3A"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5"/>
  </w:num>
  <w:num w:numId="3">
    <w:abstractNumId w:val="4"/>
  </w:num>
  <w:num w:numId="4">
    <w:abstractNumId w:val="2"/>
  </w:num>
  <w:num w:numId="5">
    <w:abstractNumId w:val="7"/>
  </w:num>
  <w:num w:numId="6">
    <w:abstractNumId w:val="3"/>
  </w:num>
  <w:num w:numId="7">
    <w:abstractNumId w:val="1"/>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C89"/>
    <w:rsid w:val="0000344B"/>
    <w:rsid w:val="0003015C"/>
    <w:rsid w:val="000339A9"/>
    <w:rsid w:val="00047D34"/>
    <w:rsid w:val="0006034B"/>
    <w:rsid w:val="00061BEF"/>
    <w:rsid w:val="00072A92"/>
    <w:rsid w:val="000750DA"/>
    <w:rsid w:val="00077185"/>
    <w:rsid w:val="000D30D3"/>
    <w:rsid w:val="000F3359"/>
    <w:rsid w:val="000F3C35"/>
    <w:rsid w:val="000F437A"/>
    <w:rsid w:val="00105808"/>
    <w:rsid w:val="00115E52"/>
    <w:rsid w:val="00126A52"/>
    <w:rsid w:val="00135488"/>
    <w:rsid w:val="001462E0"/>
    <w:rsid w:val="001A1ED6"/>
    <w:rsid w:val="001B09FC"/>
    <w:rsid w:val="00214C89"/>
    <w:rsid w:val="00217B27"/>
    <w:rsid w:val="002276F9"/>
    <w:rsid w:val="00235BEB"/>
    <w:rsid w:val="00266096"/>
    <w:rsid w:val="0027181F"/>
    <w:rsid w:val="00287C7D"/>
    <w:rsid w:val="002934B1"/>
    <w:rsid w:val="002A4ED3"/>
    <w:rsid w:val="002C74A0"/>
    <w:rsid w:val="002D63FF"/>
    <w:rsid w:val="00340D7F"/>
    <w:rsid w:val="003461A4"/>
    <w:rsid w:val="00347F0E"/>
    <w:rsid w:val="00372D8C"/>
    <w:rsid w:val="003859C3"/>
    <w:rsid w:val="003D5A7C"/>
    <w:rsid w:val="003E7FD8"/>
    <w:rsid w:val="00403C2D"/>
    <w:rsid w:val="00421D43"/>
    <w:rsid w:val="0043077C"/>
    <w:rsid w:val="00436772"/>
    <w:rsid w:val="00441376"/>
    <w:rsid w:val="0049432C"/>
    <w:rsid w:val="0049523F"/>
    <w:rsid w:val="004F551A"/>
    <w:rsid w:val="00516925"/>
    <w:rsid w:val="0052341F"/>
    <w:rsid w:val="0053636C"/>
    <w:rsid w:val="0053688A"/>
    <w:rsid w:val="00550DD1"/>
    <w:rsid w:val="00552CB6"/>
    <w:rsid w:val="00577220"/>
    <w:rsid w:val="0059176D"/>
    <w:rsid w:val="0059739E"/>
    <w:rsid w:val="005A1632"/>
    <w:rsid w:val="005A28E0"/>
    <w:rsid w:val="005B083D"/>
    <w:rsid w:val="005D4AE7"/>
    <w:rsid w:val="005D64D9"/>
    <w:rsid w:val="00622656"/>
    <w:rsid w:val="00675C17"/>
    <w:rsid w:val="00694B72"/>
    <w:rsid w:val="006A005B"/>
    <w:rsid w:val="006C515F"/>
    <w:rsid w:val="006E319A"/>
    <w:rsid w:val="007132C9"/>
    <w:rsid w:val="0072725D"/>
    <w:rsid w:val="007376DF"/>
    <w:rsid w:val="00745608"/>
    <w:rsid w:val="007C468D"/>
    <w:rsid w:val="007E3994"/>
    <w:rsid w:val="007F4D1B"/>
    <w:rsid w:val="007F606C"/>
    <w:rsid w:val="0080389E"/>
    <w:rsid w:val="0083759D"/>
    <w:rsid w:val="00872643"/>
    <w:rsid w:val="00887755"/>
    <w:rsid w:val="00891CEF"/>
    <w:rsid w:val="008B5837"/>
    <w:rsid w:val="00937678"/>
    <w:rsid w:val="009668DB"/>
    <w:rsid w:val="009A3547"/>
    <w:rsid w:val="009E003B"/>
    <w:rsid w:val="009E1A9D"/>
    <w:rsid w:val="009F3A71"/>
    <w:rsid w:val="00A1259A"/>
    <w:rsid w:val="00A27140"/>
    <w:rsid w:val="00A27CB9"/>
    <w:rsid w:val="00A71304"/>
    <w:rsid w:val="00A82A78"/>
    <w:rsid w:val="00A85687"/>
    <w:rsid w:val="00AA51BD"/>
    <w:rsid w:val="00AD6331"/>
    <w:rsid w:val="00AD7AFF"/>
    <w:rsid w:val="00B048A6"/>
    <w:rsid w:val="00B20D70"/>
    <w:rsid w:val="00B21CE0"/>
    <w:rsid w:val="00BE20EE"/>
    <w:rsid w:val="00C12640"/>
    <w:rsid w:val="00C25C77"/>
    <w:rsid w:val="00C27874"/>
    <w:rsid w:val="00C33BD1"/>
    <w:rsid w:val="00C50DEF"/>
    <w:rsid w:val="00C542D7"/>
    <w:rsid w:val="00C61DDC"/>
    <w:rsid w:val="00C7734E"/>
    <w:rsid w:val="00C86F10"/>
    <w:rsid w:val="00C92E1C"/>
    <w:rsid w:val="00D01884"/>
    <w:rsid w:val="00D07C30"/>
    <w:rsid w:val="00D200A3"/>
    <w:rsid w:val="00D21311"/>
    <w:rsid w:val="00D53D18"/>
    <w:rsid w:val="00D54365"/>
    <w:rsid w:val="00D55BD7"/>
    <w:rsid w:val="00DC3984"/>
    <w:rsid w:val="00DC5284"/>
    <w:rsid w:val="00DD2E4A"/>
    <w:rsid w:val="00DD4657"/>
    <w:rsid w:val="00DD49D4"/>
    <w:rsid w:val="00E06381"/>
    <w:rsid w:val="00E10BFE"/>
    <w:rsid w:val="00E3310F"/>
    <w:rsid w:val="00E800D1"/>
    <w:rsid w:val="00E818DD"/>
    <w:rsid w:val="00E8228E"/>
    <w:rsid w:val="00E87A61"/>
    <w:rsid w:val="00EE3A54"/>
    <w:rsid w:val="00F26953"/>
    <w:rsid w:val="00F66ECA"/>
    <w:rsid w:val="00F85449"/>
    <w:rsid w:val="00F94B40"/>
    <w:rsid w:val="00F94F12"/>
    <w:rsid w:val="00FD746D"/>
    <w:rsid w:val="00FE2D8E"/>
    <w:rsid w:val="00FF3B2C"/>
    <w:rsid w:val="00FF5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6E88"/>
  <w15:chartTrackingRefBased/>
  <w15:docId w15:val="{94549A02-4F5F-442A-9913-96DCE9D7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9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4C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4C89"/>
    <w:rPr>
      <w:b/>
      <w:bCs/>
    </w:rPr>
  </w:style>
  <w:style w:type="paragraph" w:styleId="ListParagraph">
    <w:name w:val="List Paragraph"/>
    <w:basedOn w:val="Normal"/>
    <w:uiPriority w:val="34"/>
    <w:qFormat/>
    <w:rsid w:val="00214C89"/>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label">
    <w:name w:val="label"/>
    <w:basedOn w:val="DefaultParagraphFont"/>
    <w:rsid w:val="00340D7F"/>
  </w:style>
  <w:style w:type="character" w:customStyle="1" w:styleId="mjxassistivemathml">
    <w:name w:val="mjx_assistive_mathml"/>
    <w:basedOn w:val="DefaultParagraphFont"/>
    <w:rsid w:val="00340D7F"/>
  </w:style>
  <w:style w:type="character" w:styleId="Emphasis">
    <w:name w:val="Emphasis"/>
    <w:basedOn w:val="DefaultParagraphFont"/>
    <w:uiPriority w:val="20"/>
    <w:qFormat/>
    <w:rsid w:val="00340D7F"/>
    <w:rPr>
      <w:i/>
      <w:iCs/>
    </w:rPr>
  </w:style>
  <w:style w:type="character" w:styleId="Hyperlink">
    <w:name w:val="Hyperlink"/>
    <w:basedOn w:val="DefaultParagraphFont"/>
    <w:uiPriority w:val="99"/>
    <w:semiHidden/>
    <w:unhideWhenUsed/>
    <w:rsid w:val="00F94F12"/>
    <w:rPr>
      <w:color w:val="0000FF"/>
      <w:u w:val="single"/>
    </w:rPr>
  </w:style>
  <w:style w:type="paragraph" w:styleId="Caption">
    <w:name w:val="caption"/>
    <w:basedOn w:val="Normal"/>
    <w:next w:val="Normal"/>
    <w:uiPriority w:val="35"/>
    <w:unhideWhenUsed/>
    <w:qFormat/>
    <w:rsid w:val="00C25C7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FF3B2C"/>
    <w:rPr>
      <w:sz w:val="16"/>
      <w:szCs w:val="16"/>
    </w:rPr>
  </w:style>
  <w:style w:type="paragraph" w:styleId="CommentText">
    <w:name w:val="annotation text"/>
    <w:basedOn w:val="Normal"/>
    <w:link w:val="CommentTextChar"/>
    <w:uiPriority w:val="99"/>
    <w:semiHidden/>
    <w:unhideWhenUsed/>
    <w:rsid w:val="00FF3B2C"/>
    <w:pPr>
      <w:spacing w:line="240" w:lineRule="auto"/>
    </w:pPr>
    <w:rPr>
      <w:sz w:val="20"/>
      <w:szCs w:val="20"/>
    </w:rPr>
  </w:style>
  <w:style w:type="character" w:customStyle="1" w:styleId="CommentTextChar">
    <w:name w:val="Comment Text Char"/>
    <w:basedOn w:val="DefaultParagraphFont"/>
    <w:link w:val="CommentText"/>
    <w:uiPriority w:val="99"/>
    <w:semiHidden/>
    <w:rsid w:val="00FF3B2C"/>
    <w:rPr>
      <w:sz w:val="20"/>
      <w:szCs w:val="20"/>
    </w:rPr>
  </w:style>
  <w:style w:type="paragraph" w:styleId="CommentSubject">
    <w:name w:val="annotation subject"/>
    <w:basedOn w:val="CommentText"/>
    <w:next w:val="CommentText"/>
    <w:link w:val="CommentSubjectChar"/>
    <w:uiPriority w:val="99"/>
    <w:semiHidden/>
    <w:unhideWhenUsed/>
    <w:rsid w:val="00FF3B2C"/>
    <w:rPr>
      <w:b/>
      <w:bCs/>
    </w:rPr>
  </w:style>
  <w:style w:type="character" w:customStyle="1" w:styleId="CommentSubjectChar">
    <w:name w:val="Comment Subject Char"/>
    <w:basedOn w:val="CommentTextChar"/>
    <w:link w:val="CommentSubject"/>
    <w:uiPriority w:val="99"/>
    <w:semiHidden/>
    <w:rsid w:val="00FF3B2C"/>
    <w:rPr>
      <w:b/>
      <w:bCs/>
      <w:sz w:val="20"/>
      <w:szCs w:val="20"/>
    </w:rPr>
  </w:style>
  <w:style w:type="paragraph" w:styleId="BalloonText">
    <w:name w:val="Balloon Text"/>
    <w:basedOn w:val="Normal"/>
    <w:link w:val="BalloonTextChar"/>
    <w:uiPriority w:val="99"/>
    <w:semiHidden/>
    <w:unhideWhenUsed/>
    <w:rsid w:val="00FF3B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B2C"/>
    <w:rPr>
      <w:rFonts w:ascii="Segoe UI" w:hAnsi="Segoe UI" w:cs="Segoe UI"/>
      <w:sz w:val="18"/>
      <w:szCs w:val="18"/>
    </w:rPr>
  </w:style>
  <w:style w:type="paragraph" w:styleId="Header">
    <w:name w:val="header"/>
    <w:basedOn w:val="Normal"/>
    <w:link w:val="HeaderChar"/>
    <w:uiPriority w:val="99"/>
    <w:unhideWhenUsed/>
    <w:rsid w:val="00227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6F9"/>
  </w:style>
  <w:style w:type="paragraph" w:styleId="Footer">
    <w:name w:val="footer"/>
    <w:basedOn w:val="Normal"/>
    <w:link w:val="FooterChar"/>
    <w:uiPriority w:val="99"/>
    <w:unhideWhenUsed/>
    <w:rsid w:val="00227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6F9"/>
  </w:style>
  <w:style w:type="table" w:styleId="TableGrid">
    <w:name w:val="Table Grid"/>
    <w:basedOn w:val="TableNormal"/>
    <w:uiPriority w:val="39"/>
    <w:rsid w:val="00146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859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85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3692">
      <w:bodyDiv w:val="1"/>
      <w:marLeft w:val="0"/>
      <w:marRight w:val="0"/>
      <w:marTop w:val="0"/>
      <w:marBottom w:val="0"/>
      <w:divBdr>
        <w:top w:val="none" w:sz="0" w:space="0" w:color="auto"/>
        <w:left w:val="none" w:sz="0" w:space="0" w:color="auto"/>
        <w:bottom w:val="none" w:sz="0" w:space="0" w:color="auto"/>
        <w:right w:val="none" w:sz="0" w:space="0" w:color="auto"/>
      </w:divBdr>
    </w:div>
    <w:div w:id="71397866">
      <w:bodyDiv w:val="1"/>
      <w:marLeft w:val="0"/>
      <w:marRight w:val="0"/>
      <w:marTop w:val="0"/>
      <w:marBottom w:val="0"/>
      <w:divBdr>
        <w:top w:val="none" w:sz="0" w:space="0" w:color="auto"/>
        <w:left w:val="none" w:sz="0" w:space="0" w:color="auto"/>
        <w:bottom w:val="none" w:sz="0" w:space="0" w:color="auto"/>
        <w:right w:val="none" w:sz="0" w:space="0" w:color="auto"/>
      </w:divBdr>
    </w:div>
    <w:div w:id="99841649">
      <w:bodyDiv w:val="1"/>
      <w:marLeft w:val="0"/>
      <w:marRight w:val="0"/>
      <w:marTop w:val="0"/>
      <w:marBottom w:val="0"/>
      <w:divBdr>
        <w:top w:val="none" w:sz="0" w:space="0" w:color="auto"/>
        <w:left w:val="none" w:sz="0" w:space="0" w:color="auto"/>
        <w:bottom w:val="none" w:sz="0" w:space="0" w:color="auto"/>
        <w:right w:val="none" w:sz="0" w:space="0" w:color="auto"/>
      </w:divBdr>
    </w:div>
    <w:div w:id="141696395">
      <w:bodyDiv w:val="1"/>
      <w:marLeft w:val="0"/>
      <w:marRight w:val="0"/>
      <w:marTop w:val="0"/>
      <w:marBottom w:val="0"/>
      <w:divBdr>
        <w:top w:val="none" w:sz="0" w:space="0" w:color="auto"/>
        <w:left w:val="none" w:sz="0" w:space="0" w:color="auto"/>
        <w:bottom w:val="none" w:sz="0" w:space="0" w:color="auto"/>
        <w:right w:val="none" w:sz="0" w:space="0" w:color="auto"/>
      </w:divBdr>
      <w:divsChild>
        <w:div w:id="1142580795">
          <w:marLeft w:val="547"/>
          <w:marRight w:val="0"/>
          <w:marTop w:val="154"/>
          <w:marBottom w:val="0"/>
          <w:divBdr>
            <w:top w:val="none" w:sz="0" w:space="0" w:color="auto"/>
            <w:left w:val="none" w:sz="0" w:space="0" w:color="auto"/>
            <w:bottom w:val="none" w:sz="0" w:space="0" w:color="auto"/>
            <w:right w:val="none" w:sz="0" w:space="0" w:color="auto"/>
          </w:divBdr>
        </w:div>
      </w:divsChild>
    </w:div>
    <w:div w:id="153883588">
      <w:bodyDiv w:val="1"/>
      <w:marLeft w:val="0"/>
      <w:marRight w:val="0"/>
      <w:marTop w:val="0"/>
      <w:marBottom w:val="0"/>
      <w:divBdr>
        <w:top w:val="none" w:sz="0" w:space="0" w:color="auto"/>
        <w:left w:val="none" w:sz="0" w:space="0" w:color="auto"/>
        <w:bottom w:val="none" w:sz="0" w:space="0" w:color="auto"/>
        <w:right w:val="none" w:sz="0" w:space="0" w:color="auto"/>
      </w:divBdr>
      <w:divsChild>
        <w:div w:id="79105936">
          <w:marLeft w:val="547"/>
          <w:marRight w:val="0"/>
          <w:marTop w:val="134"/>
          <w:marBottom w:val="0"/>
          <w:divBdr>
            <w:top w:val="none" w:sz="0" w:space="0" w:color="auto"/>
            <w:left w:val="none" w:sz="0" w:space="0" w:color="auto"/>
            <w:bottom w:val="none" w:sz="0" w:space="0" w:color="auto"/>
            <w:right w:val="none" w:sz="0" w:space="0" w:color="auto"/>
          </w:divBdr>
        </w:div>
        <w:div w:id="891649026">
          <w:marLeft w:val="547"/>
          <w:marRight w:val="0"/>
          <w:marTop w:val="134"/>
          <w:marBottom w:val="0"/>
          <w:divBdr>
            <w:top w:val="none" w:sz="0" w:space="0" w:color="auto"/>
            <w:left w:val="none" w:sz="0" w:space="0" w:color="auto"/>
            <w:bottom w:val="none" w:sz="0" w:space="0" w:color="auto"/>
            <w:right w:val="none" w:sz="0" w:space="0" w:color="auto"/>
          </w:divBdr>
        </w:div>
      </w:divsChild>
    </w:div>
    <w:div w:id="168299296">
      <w:bodyDiv w:val="1"/>
      <w:marLeft w:val="0"/>
      <w:marRight w:val="0"/>
      <w:marTop w:val="0"/>
      <w:marBottom w:val="0"/>
      <w:divBdr>
        <w:top w:val="none" w:sz="0" w:space="0" w:color="auto"/>
        <w:left w:val="none" w:sz="0" w:space="0" w:color="auto"/>
        <w:bottom w:val="none" w:sz="0" w:space="0" w:color="auto"/>
        <w:right w:val="none" w:sz="0" w:space="0" w:color="auto"/>
      </w:divBdr>
    </w:div>
    <w:div w:id="260065774">
      <w:bodyDiv w:val="1"/>
      <w:marLeft w:val="0"/>
      <w:marRight w:val="0"/>
      <w:marTop w:val="0"/>
      <w:marBottom w:val="0"/>
      <w:divBdr>
        <w:top w:val="none" w:sz="0" w:space="0" w:color="auto"/>
        <w:left w:val="none" w:sz="0" w:space="0" w:color="auto"/>
        <w:bottom w:val="none" w:sz="0" w:space="0" w:color="auto"/>
        <w:right w:val="none" w:sz="0" w:space="0" w:color="auto"/>
      </w:divBdr>
    </w:div>
    <w:div w:id="269315234">
      <w:bodyDiv w:val="1"/>
      <w:marLeft w:val="0"/>
      <w:marRight w:val="0"/>
      <w:marTop w:val="0"/>
      <w:marBottom w:val="0"/>
      <w:divBdr>
        <w:top w:val="none" w:sz="0" w:space="0" w:color="auto"/>
        <w:left w:val="none" w:sz="0" w:space="0" w:color="auto"/>
        <w:bottom w:val="none" w:sz="0" w:space="0" w:color="auto"/>
        <w:right w:val="none" w:sz="0" w:space="0" w:color="auto"/>
      </w:divBdr>
    </w:div>
    <w:div w:id="287469376">
      <w:bodyDiv w:val="1"/>
      <w:marLeft w:val="0"/>
      <w:marRight w:val="0"/>
      <w:marTop w:val="0"/>
      <w:marBottom w:val="0"/>
      <w:divBdr>
        <w:top w:val="none" w:sz="0" w:space="0" w:color="auto"/>
        <w:left w:val="none" w:sz="0" w:space="0" w:color="auto"/>
        <w:bottom w:val="none" w:sz="0" w:space="0" w:color="auto"/>
        <w:right w:val="none" w:sz="0" w:space="0" w:color="auto"/>
      </w:divBdr>
    </w:div>
    <w:div w:id="304047326">
      <w:bodyDiv w:val="1"/>
      <w:marLeft w:val="0"/>
      <w:marRight w:val="0"/>
      <w:marTop w:val="0"/>
      <w:marBottom w:val="0"/>
      <w:divBdr>
        <w:top w:val="none" w:sz="0" w:space="0" w:color="auto"/>
        <w:left w:val="none" w:sz="0" w:space="0" w:color="auto"/>
        <w:bottom w:val="none" w:sz="0" w:space="0" w:color="auto"/>
        <w:right w:val="none" w:sz="0" w:space="0" w:color="auto"/>
      </w:divBdr>
    </w:div>
    <w:div w:id="314724326">
      <w:bodyDiv w:val="1"/>
      <w:marLeft w:val="0"/>
      <w:marRight w:val="0"/>
      <w:marTop w:val="0"/>
      <w:marBottom w:val="0"/>
      <w:divBdr>
        <w:top w:val="none" w:sz="0" w:space="0" w:color="auto"/>
        <w:left w:val="none" w:sz="0" w:space="0" w:color="auto"/>
        <w:bottom w:val="none" w:sz="0" w:space="0" w:color="auto"/>
        <w:right w:val="none" w:sz="0" w:space="0" w:color="auto"/>
      </w:divBdr>
    </w:div>
    <w:div w:id="344522822">
      <w:bodyDiv w:val="1"/>
      <w:marLeft w:val="0"/>
      <w:marRight w:val="0"/>
      <w:marTop w:val="0"/>
      <w:marBottom w:val="0"/>
      <w:divBdr>
        <w:top w:val="none" w:sz="0" w:space="0" w:color="auto"/>
        <w:left w:val="none" w:sz="0" w:space="0" w:color="auto"/>
        <w:bottom w:val="none" w:sz="0" w:space="0" w:color="auto"/>
        <w:right w:val="none" w:sz="0" w:space="0" w:color="auto"/>
      </w:divBdr>
    </w:div>
    <w:div w:id="368649940">
      <w:bodyDiv w:val="1"/>
      <w:marLeft w:val="0"/>
      <w:marRight w:val="0"/>
      <w:marTop w:val="0"/>
      <w:marBottom w:val="0"/>
      <w:divBdr>
        <w:top w:val="none" w:sz="0" w:space="0" w:color="auto"/>
        <w:left w:val="none" w:sz="0" w:space="0" w:color="auto"/>
        <w:bottom w:val="none" w:sz="0" w:space="0" w:color="auto"/>
        <w:right w:val="none" w:sz="0" w:space="0" w:color="auto"/>
      </w:divBdr>
    </w:div>
    <w:div w:id="372533916">
      <w:bodyDiv w:val="1"/>
      <w:marLeft w:val="0"/>
      <w:marRight w:val="0"/>
      <w:marTop w:val="0"/>
      <w:marBottom w:val="0"/>
      <w:divBdr>
        <w:top w:val="none" w:sz="0" w:space="0" w:color="auto"/>
        <w:left w:val="none" w:sz="0" w:space="0" w:color="auto"/>
        <w:bottom w:val="none" w:sz="0" w:space="0" w:color="auto"/>
        <w:right w:val="none" w:sz="0" w:space="0" w:color="auto"/>
      </w:divBdr>
    </w:div>
    <w:div w:id="388194723">
      <w:bodyDiv w:val="1"/>
      <w:marLeft w:val="0"/>
      <w:marRight w:val="0"/>
      <w:marTop w:val="0"/>
      <w:marBottom w:val="0"/>
      <w:divBdr>
        <w:top w:val="none" w:sz="0" w:space="0" w:color="auto"/>
        <w:left w:val="none" w:sz="0" w:space="0" w:color="auto"/>
        <w:bottom w:val="none" w:sz="0" w:space="0" w:color="auto"/>
        <w:right w:val="none" w:sz="0" w:space="0" w:color="auto"/>
      </w:divBdr>
    </w:div>
    <w:div w:id="411319422">
      <w:bodyDiv w:val="1"/>
      <w:marLeft w:val="0"/>
      <w:marRight w:val="0"/>
      <w:marTop w:val="0"/>
      <w:marBottom w:val="0"/>
      <w:divBdr>
        <w:top w:val="none" w:sz="0" w:space="0" w:color="auto"/>
        <w:left w:val="none" w:sz="0" w:space="0" w:color="auto"/>
        <w:bottom w:val="none" w:sz="0" w:space="0" w:color="auto"/>
        <w:right w:val="none" w:sz="0" w:space="0" w:color="auto"/>
      </w:divBdr>
    </w:div>
    <w:div w:id="427040636">
      <w:bodyDiv w:val="1"/>
      <w:marLeft w:val="0"/>
      <w:marRight w:val="0"/>
      <w:marTop w:val="0"/>
      <w:marBottom w:val="0"/>
      <w:divBdr>
        <w:top w:val="none" w:sz="0" w:space="0" w:color="auto"/>
        <w:left w:val="none" w:sz="0" w:space="0" w:color="auto"/>
        <w:bottom w:val="none" w:sz="0" w:space="0" w:color="auto"/>
        <w:right w:val="none" w:sz="0" w:space="0" w:color="auto"/>
      </w:divBdr>
    </w:div>
    <w:div w:id="479737315">
      <w:bodyDiv w:val="1"/>
      <w:marLeft w:val="0"/>
      <w:marRight w:val="0"/>
      <w:marTop w:val="0"/>
      <w:marBottom w:val="0"/>
      <w:divBdr>
        <w:top w:val="none" w:sz="0" w:space="0" w:color="auto"/>
        <w:left w:val="none" w:sz="0" w:space="0" w:color="auto"/>
        <w:bottom w:val="none" w:sz="0" w:space="0" w:color="auto"/>
        <w:right w:val="none" w:sz="0" w:space="0" w:color="auto"/>
      </w:divBdr>
      <w:divsChild>
        <w:div w:id="981234942">
          <w:marLeft w:val="547"/>
          <w:marRight w:val="0"/>
          <w:marTop w:val="154"/>
          <w:marBottom w:val="0"/>
          <w:divBdr>
            <w:top w:val="none" w:sz="0" w:space="0" w:color="auto"/>
            <w:left w:val="none" w:sz="0" w:space="0" w:color="auto"/>
            <w:bottom w:val="none" w:sz="0" w:space="0" w:color="auto"/>
            <w:right w:val="none" w:sz="0" w:space="0" w:color="auto"/>
          </w:divBdr>
        </w:div>
        <w:div w:id="290284146">
          <w:marLeft w:val="1166"/>
          <w:marRight w:val="0"/>
          <w:marTop w:val="115"/>
          <w:marBottom w:val="0"/>
          <w:divBdr>
            <w:top w:val="none" w:sz="0" w:space="0" w:color="auto"/>
            <w:left w:val="none" w:sz="0" w:space="0" w:color="auto"/>
            <w:bottom w:val="none" w:sz="0" w:space="0" w:color="auto"/>
            <w:right w:val="none" w:sz="0" w:space="0" w:color="auto"/>
          </w:divBdr>
        </w:div>
        <w:div w:id="287054397">
          <w:marLeft w:val="1166"/>
          <w:marRight w:val="0"/>
          <w:marTop w:val="115"/>
          <w:marBottom w:val="0"/>
          <w:divBdr>
            <w:top w:val="none" w:sz="0" w:space="0" w:color="auto"/>
            <w:left w:val="none" w:sz="0" w:space="0" w:color="auto"/>
            <w:bottom w:val="none" w:sz="0" w:space="0" w:color="auto"/>
            <w:right w:val="none" w:sz="0" w:space="0" w:color="auto"/>
          </w:divBdr>
        </w:div>
      </w:divsChild>
    </w:div>
    <w:div w:id="501818215">
      <w:bodyDiv w:val="1"/>
      <w:marLeft w:val="0"/>
      <w:marRight w:val="0"/>
      <w:marTop w:val="0"/>
      <w:marBottom w:val="0"/>
      <w:divBdr>
        <w:top w:val="none" w:sz="0" w:space="0" w:color="auto"/>
        <w:left w:val="none" w:sz="0" w:space="0" w:color="auto"/>
        <w:bottom w:val="none" w:sz="0" w:space="0" w:color="auto"/>
        <w:right w:val="none" w:sz="0" w:space="0" w:color="auto"/>
      </w:divBdr>
    </w:div>
    <w:div w:id="502358257">
      <w:bodyDiv w:val="1"/>
      <w:marLeft w:val="0"/>
      <w:marRight w:val="0"/>
      <w:marTop w:val="0"/>
      <w:marBottom w:val="0"/>
      <w:divBdr>
        <w:top w:val="none" w:sz="0" w:space="0" w:color="auto"/>
        <w:left w:val="none" w:sz="0" w:space="0" w:color="auto"/>
        <w:bottom w:val="none" w:sz="0" w:space="0" w:color="auto"/>
        <w:right w:val="none" w:sz="0" w:space="0" w:color="auto"/>
      </w:divBdr>
    </w:div>
    <w:div w:id="510989957">
      <w:bodyDiv w:val="1"/>
      <w:marLeft w:val="0"/>
      <w:marRight w:val="0"/>
      <w:marTop w:val="0"/>
      <w:marBottom w:val="0"/>
      <w:divBdr>
        <w:top w:val="none" w:sz="0" w:space="0" w:color="auto"/>
        <w:left w:val="none" w:sz="0" w:space="0" w:color="auto"/>
        <w:bottom w:val="none" w:sz="0" w:space="0" w:color="auto"/>
        <w:right w:val="none" w:sz="0" w:space="0" w:color="auto"/>
      </w:divBdr>
    </w:div>
    <w:div w:id="516161631">
      <w:bodyDiv w:val="1"/>
      <w:marLeft w:val="0"/>
      <w:marRight w:val="0"/>
      <w:marTop w:val="0"/>
      <w:marBottom w:val="0"/>
      <w:divBdr>
        <w:top w:val="none" w:sz="0" w:space="0" w:color="auto"/>
        <w:left w:val="none" w:sz="0" w:space="0" w:color="auto"/>
        <w:bottom w:val="none" w:sz="0" w:space="0" w:color="auto"/>
        <w:right w:val="none" w:sz="0" w:space="0" w:color="auto"/>
      </w:divBdr>
    </w:div>
    <w:div w:id="648096258">
      <w:bodyDiv w:val="1"/>
      <w:marLeft w:val="0"/>
      <w:marRight w:val="0"/>
      <w:marTop w:val="0"/>
      <w:marBottom w:val="0"/>
      <w:divBdr>
        <w:top w:val="none" w:sz="0" w:space="0" w:color="auto"/>
        <w:left w:val="none" w:sz="0" w:space="0" w:color="auto"/>
        <w:bottom w:val="none" w:sz="0" w:space="0" w:color="auto"/>
        <w:right w:val="none" w:sz="0" w:space="0" w:color="auto"/>
      </w:divBdr>
    </w:div>
    <w:div w:id="674763729">
      <w:bodyDiv w:val="1"/>
      <w:marLeft w:val="0"/>
      <w:marRight w:val="0"/>
      <w:marTop w:val="0"/>
      <w:marBottom w:val="0"/>
      <w:divBdr>
        <w:top w:val="none" w:sz="0" w:space="0" w:color="auto"/>
        <w:left w:val="none" w:sz="0" w:space="0" w:color="auto"/>
        <w:bottom w:val="none" w:sz="0" w:space="0" w:color="auto"/>
        <w:right w:val="none" w:sz="0" w:space="0" w:color="auto"/>
      </w:divBdr>
    </w:div>
    <w:div w:id="681786549">
      <w:bodyDiv w:val="1"/>
      <w:marLeft w:val="0"/>
      <w:marRight w:val="0"/>
      <w:marTop w:val="0"/>
      <w:marBottom w:val="0"/>
      <w:divBdr>
        <w:top w:val="none" w:sz="0" w:space="0" w:color="auto"/>
        <w:left w:val="none" w:sz="0" w:space="0" w:color="auto"/>
        <w:bottom w:val="none" w:sz="0" w:space="0" w:color="auto"/>
        <w:right w:val="none" w:sz="0" w:space="0" w:color="auto"/>
      </w:divBdr>
    </w:div>
    <w:div w:id="753624894">
      <w:bodyDiv w:val="1"/>
      <w:marLeft w:val="0"/>
      <w:marRight w:val="0"/>
      <w:marTop w:val="0"/>
      <w:marBottom w:val="0"/>
      <w:divBdr>
        <w:top w:val="none" w:sz="0" w:space="0" w:color="auto"/>
        <w:left w:val="none" w:sz="0" w:space="0" w:color="auto"/>
        <w:bottom w:val="none" w:sz="0" w:space="0" w:color="auto"/>
        <w:right w:val="none" w:sz="0" w:space="0" w:color="auto"/>
      </w:divBdr>
    </w:div>
    <w:div w:id="780302028">
      <w:bodyDiv w:val="1"/>
      <w:marLeft w:val="0"/>
      <w:marRight w:val="0"/>
      <w:marTop w:val="0"/>
      <w:marBottom w:val="0"/>
      <w:divBdr>
        <w:top w:val="none" w:sz="0" w:space="0" w:color="auto"/>
        <w:left w:val="none" w:sz="0" w:space="0" w:color="auto"/>
        <w:bottom w:val="none" w:sz="0" w:space="0" w:color="auto"/>
        <w:right w:val="none" w:sz="0" w:space="0" w:color="auto"/>
      </w:divBdr>
    </w:div>
    <w:div w:id="782303296">
      <w:bodyDiv w:val="1"/>
      <w:marLeft w:val="0"/>
      <w:marRight w:val="0"/>
      <w:marTop w:val="0"/>
      <w:marBottom w:val="0"/>
      <w:divBdr>
        <w:top w:val="none" w:sz="0" w:space="0" w:color="auto"/>
        <w:left w:val="none" w:sz="0" w:space="0" w:color="auto"/>
        <w:bottom w:val="none" w:sz="0" w:space="0" w:color="auto"/>
        <w:right w:val="none" w:sz="0" w:space="0" w:color="auto"/>
      </w:divBdr>
    </w:div>
    <w:div w:id="791484100">
      <w:bodyDiv w:val="1"/>
      <w:marLeft w:val="0"/>
      <w:marRight w:val="0"/>
      <w:marTop w:val="0"/>
      <w:marBottom w:val="0"/>
      <w:divBdr>
        <w:top w:val="none" w:sz="0" w:space="0" w:color="auto"/>
        <w:left w:val="none" w:sz="0" w:space="0" w:color="auto"/>
        <w:bottom w:val="none" w:sz="0" w:space="0" w:color="auto"/>
        <w:right w:val="none" w:sz="0" w:space="0" w:color="auto"/>
      </w:divBdr>
    </w:div>
    <w:div w:id="864832726">
      <w:bodyDiv w:val="1"/>
      <w:marLeft w:val="0"/>
      <w:marRight w:val="0"/>
      <w:marTop w:val="0"/>
      <w:marBottom w:val="0"/>
      <w:divBdr>
        <w:top w:val="none" w:sz="0" w:space="0" w:color="auto"/>
        <w:left w:val="none" w:sz="0" w:space="0" w:color="auto"/>
        <w:bottom w:val="none" w:sz="0" w:space="0" w:color="auto"/>
        <w:right w:val="none" w:sz="0" w:space="0" w:color="auto"/>
      </w:divBdr>
    </w:div>
    <w:div w:id="925266222">
      <w:bodyDiv w:val="1"/>
      <w:marLeft w:val="0"/>
      <w:marRight w:val="0"/>
      <w:marTop w:val="0"/>
      <w:marBottom w:val="0"/>
      <w:divBdr>
        <w:top w:val="none" w:sz="0" w:space="0" w:color="auto"/>
        <w:left w:val="none" w:sz="0" w:space="0" w:color="auto"/>
        <w:bottom w:val="none" w:sz="0" w:space="0" w:color="auto"/>
        <w:right w:val="none" w:sz="0" w:space="0" w:color="auto"/>
      </w:divBdr>
    </w:div>
    <w:div w:id="935554404">
      <w:bodyDiv w:val="1"/>
      <w:marLeft w:val="0"/>
      <w:marRight w:val="0"/>
      <w:marTop w:val="0"/>
      <w:marBottom w:val="0"/>
      <w:divBdr>
        <w:top w:val="none" w:sz="0" w:space="0" w:color="auto"/>
        <w:left w:val="none" w:sz="0" w:space="0" w:color="auto"/>
        <w:bottom w:val="none" w:sz="0" w:space="0" w:color="auto"/>
        <w:right w:val="none" w:sz="0" w:space="0" w:color="auto"/>
      </w:divBdr>
      <w:divsChild>
        <w:div w:id="1193108515">
          <w:marLeft w:val="547"/>
          <w:marRight w:val="0"/>
          <w:marTop w:val="134"/>
          <w:marBottom w:val="0"/>
          <w:divBdr>
            <w:top w:val="none" w:sz="0" w:space="0" w:color="auto"/>
            <w:left w:val="none" w:sz="0" w:space="0" w:color="auto"/>
            <w:bottom w:val="none" w:sz="0" w:space="0" w:color="auto"/>
            <w:right w:val="none" w:sz="0" w:space="0" w:color="auto"/>
          </w:divBdr>
        </w:div>
      </w:divsChild>
    </w:div>
    <w:div w:id="966667345">
      <w:bodyDiv w:val="1"/>
      <w:marLeft w:val="0"/>
      <w:marRight w:val="0"/>
      <w:marTop w:val="0"/>
      <w:marBottom w:val="0"/>
      <w:divBdr>
        <w:top w:val="none" w:sz="0" w:space="0" w:color="auto"/>
        <w:left w:val="none" w:sz="0" w:space="0" w:color="auto"/>
        <w:bottom w:val="none" w:sz="0" w:space="0" w:color="auto"/>
        <w:right w:val="none" w:sz="0" w:space="0" w:color="auto"/>
      </w:divBdr>
      <w:divsChild>
        <w:div w:id="826364471">
          <w:marLeft w:val="547"/>
          <w:marRight w:val="0"/>
          <w:marTop w:val="130"/>
          <w:marBottom w:val="0"/>
          <w:divBdr>
            <w:top w:val="none" w:sz="0" w:space="0" w:color="auto"/>
            <w:left w:val="none" w:sz="0" w:space="0" w:color="auto"/>
            <w:bottom w:val="none" w:sz="0" w:space="0" w:color="auto"/>
            <w:right w:val="none" w:sz="0" w:space="0" w:color="auto"/>
          </w:divBdr>
        </w:div>
        <w:div w:id="472646424">
          <w:marLeft w:val="547"/>
          <w:marRight w:val="0"/>
          <w:marTop w:val="130"/>
          <w:marBottom w:val="0"/>
          <w:divBdr>
            <w:top w:val="none" w:sz="0" w:space="0" w:color="auto"/>
            <w:left w:val="none" w:sz="0" w:space="0" w:color="auto"/>
            <w:bottom w:val="none" w:sz="0" w:space="0" w:color="auto"/>
            <w:right w:val="none" w:sz="0" w:space="0" w:color="auto"/>
          </w:divBdr>
        </w:div>
      </w:divsChild>
    </w:div>
    <w:div w:id="972834870">
      <w:bodyDiv w:val="1"/>
      <w:marLeft w:val="0"/>
      <w:marRight w:val="0"/>
      <w:marTop w:val="0"/>
      <w:marBottom w:val="0"/>
      <w:divBdr>
        <w:top w:val="none" w:sz="0" w:space="0" w:color="auto"/>
        <w:left w:val="none" w:sz="0" w:space="0" w:color="auto"/>
        <w:bottom w:val="none" w:sz="0" w:space="0" w:color="auto"/>
        <w:right w:val="none" w:sz="0" w:space="0" w:color="auto"/>
      </w:divBdr>
    </w:div>
    <w:div w:id="977607726">
      <w:bodyDiv w:val="1"/>
      <w:marLeft w:val="0"/>
      <w:marRight w:val="0"/>
      <w:marTop w:val="0"/>
      <w:marBottom w:val="0"/>
      <w:divBdr>
        <w:top w:val="none" w:sz="0" w:space="0" w:color="auto"/>
        <w:left w:val="none" w:sz="0" w:space="0" w:color="auto"/>
        <w:bottom w:val="none" w:sz="0" w:space="0" w:color="auto"/>
        <w:right w:val="none" w:sz="0" w:space="0" w:color="auto"/>
      </w:divBdr>
    </w:div>
    <w:div w:id="1015351667">
      <w:bodyDiv w:val="1"/>
      <w:marLeft w:val="0"/>
      <w:marRight w:val="0"/>
      <w:marTop w:val="0"/>
      <w:marBottom w:val="0"/>
      <w:divBdr>
        <w:top w:val="none" w:sz="0" w:space="0" w:color="auto"/>
        <w:left w:val="none" w:sz="0" w:space="0" w:color="auto"/>
        <w:bottom w:val="none" w:sz="0" w:space="0" w:color="auto"/>
        <w:right w:val="none" w:sz="0" w:space="0" w:color="auto"/>
      </w:divBdr>
    </w:div>
    <w:div w:id="1047947306">
      <w:bodyDiv w:val="1"/>
      <w:marLeft w:val="0"/>
      <w:marRight w:val="0"/>
      <w:marTop w:val="0"/>
      <w:marBottom w:val="0"/>
      <w:divBdr>
        <w:top w:val="none" w:sz="0" w:space="0" w:color="auto"/>
        <w:left w:val="none" w:sz="0" w:space="0" w:color="auto"/>
        <w:bottom w:val="none" w:sz="0" w:space="0" w:color="auto"/>
        <w:right w:val="none" w:sz="0" w:space="0" w:color="auto"/>
      </w:divBdr>
    </w:div>
    <w:div w:id="1108814385">
      <w:bodyDiv w:val="1"/>
      <w:marLeft w:val="0"/>
      <w:marRight w:val="0"/>
      <w:marTop w:val="0"/>
      <w:marBottom w:val="0"/>
      <w:divBdr>
        <w:top w:val="none" w:sz="0" w:space="0" w:color="auto"/>
        <w:left w:val="none" w:sz="0" w:space="0" w:color="auto"/>
        <w:bottom w:val="none" w:sz="0" w:space="0" w:color="auto"/>
        <w:right w:val="none" w:sz="0" w:space="0" w:color="auto"/>
      </w:divBdr>
    </w:div>
    <w:div w:id="1110927972">
      <w:bodyDiv w:val="1"/>
      <w:marLeft w:val="0"/>
      <w:marRight w:val="0"/>
      <w:marTop w:val="0"/>
      <w:marBottom w:val="0"/>
      <w:divBdr>
        <w:top w:val="none" w:sz="0" w:space="0" w:color="auto"/>
        <w:left w:val="none" w:sz="0" w:space="0" w:color="auto"/>
        <w:bottom w:val="none" w:sz="0" w:space="0" w:color="auto"/>
        <w:right w:val="none" w:sz="0" w:space="0" w:color="auto"/>
      </w:divBdr>
    </w:div>
    <w:div w:id="1189561289">
      <w:bodyDiv w:val="1"/>
      <w:marLeft w:val="0"/>
      <w:marRight w:val="0"/>
      <w:marTop w:val="0"/>
      <w:marBottom w:val="0"/>
      <w:divBdr>
        <w:top w:val="none" w:sz="0" w:space="0" w:color="auto"/>
        <w:left w:val="none" w:sz="0" w:space="0" w:color="auto"/>
        <w:bottom w:val="none" w:sz="0" w:space="0" w:color="auto"/>
        <w:right w:val="none" w:sz="0" w:space="0" w:color="auto"/>
      </w:divBdr>
    </w:div>
    <w:div w:id="1195194654">
      <w:bodyDiv w:val="1"/>
      <w:marLeft w:val="0"/>
      <w:marRight w:val="0"/>
      <w:marTop w:val="0"/>
      <w:marBottom w:val="0"/>
      <w:divBdr>
        <w:top w:val="none" w:sz="0" w:space="0" w:color="auto"/>
        <w:left w:val="none" w:sz="0" w:space="0" w:color="auto"/>
        <w:bottom w:val="none" w:sz="0" w:space="0" w:color="auto"/>
        <w:right w:val="none" w:sz="0" w:space="0" w:color="auto"/>
      </w:divBdr>
    </w:div>
    <w:div w:id="1327787476">
      <w:bodyDiv w:val="1"/>
      <w:marLeft w:val="0"/>
      <w:marRight w:val="0"/>
      <w:marTop w:val="0"/>
      <w:marBottom w:val="0"/>
      <w:divBdr>
        <w:top w:val="none" w:sz="0" w:space="0" w:color="auto"/>
        <w:left w:val="none" w:sz="0" w:space="0" w:color="auto"/>
        <w:bottom w:val="none" w:sz="0" w:space="0" w:color="auto"/>
        <w:right w:val="none" w:sz="0" w:space="0" w:color="auto"/>
      </w:divBdr>
    </w:div>
    <w:div w:id="1348827350">
      <w:bodyDiv w:val="1"/>
      <w:marLeft w:val="0"/>
      <w:marRight w:val="0"/>
      <w:marTop w:val="0"/>
      <w:marBottom w:val="0"/>
      <w:divBdr>
        <w:top w:val="none" w:sz="0" w:space="0" w:color="auto"/>
        <w:left w:val="none" w:sz="0" w:space="0" w:color="auto"/>
        <w:bottom w:val="none" w:sz="0" w:space="0" w:color="auto"/>
        <w:right w:val="none" w:sz="0" w:space="0" w:color="auto"/>
      </w:divBdr>
    </w:div>
    <w:div w:id="1428503302">
      <w:bodyDiv w:val="1"/>
      <w:marLeft w:val="0"/>
      <w:marRight w:val="0"/>
      <w:marTop w:val="0"/>
      <w:marBottom w:val="0"/>
      <w:divBdr>
        <w:top w:val="none" w:sz="0" w:space="0" w:color="auto"/>
        <w:left w:val="none" w:sz="0" w:space="0" w:color="auto"/>
        <w:bottom w:val="none" w:sz="0" w:space="0" w:color="auto"/>
        <w:right w:val="none" w:sz="0" w:space="0" w:color="auto"/>
      </w:divBdr>
    </w:div>
    <w:div w:id="1435906120">
      <w:bodyDiv w:val="1"/>
      <w:marLeft w:val="0"/>
      <w:marRight w:val="0"/>
      <w:marTop w:val="0"/>
      <w:marBottom w:val="0"/>
      <w:divBdr>
        <w:top w:val="none" w:sz="0" w:space="0" w:color="auto"/>
        <w:left w:val="none" w:sz="0" w:space="0" w:color="auto"/>
        <w:bottom w:val="none" w:sz="0" w:space="0" w:color="auto"/>
        <w:right w:val="none" w:sz="0" w:space="0" w:color="auto"/>
      </w:divBdr>
    </w:div>
    <w:div w:id="1489053348">
      <w:bodyDiv w:val="1"/>
      <w:marLeft w:val="0"/>
      <w:marRight w:val="0"/>
      <w:marTop w:val="0"/>
      <w:marBottom w:val="0"/>
      <w:divBdr>
        <w:top w:val="none" w:sz="0" w:space="0" w:color="auto"/>
        <w:left w:val="none" w:sz="0" w:space="0" w:color="auto"/>
        <w:bottom w:val="none" w:sz="0" w:space="0" w:color="auto"/>
        <w:right w:val="none" w:sz="0" w:space="0" w:color="auto"/>
      </w:divBdr>
    </w:div>
    <w:div w:id="1565407582">
      <w:bodyDiv w:val="1"/>
      <w:marLeft w:val="0"/>
      <w:marRight w:val="0"/>
      <w:marTop w:val="0"/>
      <w:marBottom w:val="0"/>
      <w:divBdr>
        <w:top w:val="none" w:sz="0" w:space="0" w:color="auto"/>
        <w:left w:val="none" w:sz="0" w:space="0" w:color="auto"/>
        <w:bottom w:val="none" w:sz="0" w:space="0" w:color="auto"/>
        <w:right w:val="none" w:sz="0" w:space="0" w:color="auto"/>
      </w:divBdr>
    </w:div>
    <w:div w:id="1571573012">
      <w:bodyDiv w:val="1"/>
      <w:marLeft w:val="0"/>
      <w:marRight w:val="0"/>
      <w:marTop w:val="0"/>
      <w:marBottom w:val="0"/>
      <w:divBdr>
        <w:top w:val="none" w:sz="0" w:space="0" w:color="auto"/>
        <w:left w:val="none" w:sz="0" w:space="0" w:color="auto"/>
        <w:bottom w:val="none" w:sz="0" w:space="0" w:color="auto"/>
        <w:right w:val="none" w:sz="0" w:space="0" w:color="auto"/>
      </w:divBdr>
    </w:div>
    <w:div w:id="1584292021">
      <w:bodyDiv w:val="1"/>
      <w:marLeft w:val="0"/>
      <w:marRight w:val="0"/>
      <w:marTop w:val="0"/>
      <w:marBottom w:val="0"/>
      <w:divBdr>
        <w:top w:val="none" w:sz="0" w:space="0" w:color="auto"/>
        <w:left w:val="none" w:sz="0" w:space="0" w:color="auto"/>
        <w:bottom w:val="none" w:sz="0" w:space="0" w:color="auto"/>
        <w:right w:val="none" w:sz="0" w:space="0" w:color="auto"/>
      </w:divBdr>
    </w:div>
    <w:div w:id="1656061729">
      <w:bodyDiv w:val="1"/>
      <w:marLeft w:val="0"/>
      <w:marRight w:val="0"/>
      <w:marTop w:val="0"/>
      <w:marBottom w:val="0"/>
      <w:divBdr>
        <w:top w:val="none" w:sz="0" w:space="0" w:color="auto"/>
        <w:left w:val="none" w:sz="0" w:space="0" w:color="auto"/>
        <w:bottom w:val="none" w:sz="0" w:space="0" w:color="auto"/>
        <w:right w:val="none" w:sz="0" w:space="0" w:color="auto"/>
      </w:divBdr>
    </w:div>
    <w:div w:id="1678386188">
      <w:bodyDiv w:val="1"/>
      <w:marLeft w:val="0"/>
      <w:marRight w:val="0"/>
      <w:marTop w:val="0"/>
      <w:marBottom w:val="0"/>
      <w:divBdr>
        <w:top w:val="none" w:sz="0" w:space="0" w:color="auto"/>
        <w:left w:val="none" w:sz="0" w:space="0" w:color="auto"/>
        <w:bottom w:val="none" w:sz="0" w:space="0" w:color="auto"/>
        <w:right w:val="none" w:sz="0" w:space="0" w:color="auto"/>
      </w:divBdr>
      <w:divsChild>
        <w:div w:id="2092920731">
          <w:marLeft w:val="547"/>
          <w:marRight w:val="0"/>
          <w:marTop w:val="154"/>
          <w:marBottom w:val="0"/>
          <w:divBdr>
            <w:top w:val="none" w:sz="0" w:space="0" w:color="auto"/>
            <w:left w:val="none" w:sz="0" w:space="0" w:color="auto"/>
            <w:bottom w:val="none" w:sz="0" w:space="0" w:color="auto"/>
            <w:right w:val="none" w:sz="0" w:space="0" w:color="auto"/>
          </w:divBdr>
        </w:div>
        <w:div w:id="1870022882">
          <w:marLeft w:val="547"/>
          <w:marRight w:val="0"/>
          <w:marTop w:val="154"/>
          <w:marBottom w:val="0"/>
          <w:divBdr>
            <w:top w:val="none" w:sz="0" w:space="0" w:color="auto"/>
            <w:left w:val="none" w:sz="0" w:space="0" w:color="auto"/>
            <w:bottom w:val="none" w:sz="0" w:space="0" w:color="auto"/>
            <w:right w:val="none" w:sz="0" w:space="0" w:color="auto"/>
          </w:divBdr>
        </w:div>
        <w:div w:id="1542673653">
          <w:marLeft w:val="1166"/>
          <w:marRight w:val="0"/>
          <w:marTop w:val="134"/>
          <w:marBottom w:val="0"/>
          <w:divBdr>
            <w:top w:val="none" w:sz="0" w:space="0" w:color="auto"/>
            <w:left w:val="none" w:sz="0" w:space="0" w:color="auto"/>
            <w:bottom w:val="none" w:sz="0" w:space="0" w:color="auto"/>
            <w:right w:val="none" w:sz="0" w:space="0" w:color="auto"/>
          </w:divBdr>
        </w:div>
      </w:divsChild>
    </w:div>
    <w:div w:id="1778719034">
      <w:bodyDiv w:val="1"/>
      <w:marLeft w:val="0"/>
      <w:marRight w:val="0"/>
      <w:marTop w:val="0"/>
      <w:marBottom w:val="0"/>
      <w:divBdr>
        <w:top w:val="none" w:sz="0" w:space="0" w:color="auto"/>
        <w:left w:val="none" w:sz="0" w:space="0" w:color="auto"/>
        <w:bottom w:val="none" w:sz="0" w:space="0" w:color="auto"/>
        <w:right w:val="none" w:sz="0" w:space="0" w:color="auto"/>
      </w:divBdr>
    </w:div>
    <w:div w:id="1823039927">
      <w:bodyDiv w:val="1"/>
      <w:marLeft w:val="0"/>
      <w:marRight w:val="0"/>
      <w:marTop w:val="0"/>
      <w:marBottom w:val="0"/>
      <w:divBdr>
        <w:top w:val="none" w:sz="0" w:space="0" w:color="auto"/>
        <w:left w:val="none" w:sz="0" w:space="0" w:color="auto"/>
        <w:bottom w:val="none" w:sz="0" w:space="0" w:color="auto"/>
        <w:right w:val="none" w:sz="0" w:space="0" w:color="auto"/>
      </w:divBdr>
    </w:div>
    <w:div w:id="1847282523">
      <w:bodyDiv w:val="1"/>
      <w:marLeft w:val="0"/>
      <w:marRight w:val="0"/>
      <w:marTop w:val="0"/>
      <w:marBottom w:val="0"/>
      <w:divBdr>
        <w:top w:val="none" w:sz="0" w:space="0" w:color="auto"/>
        <w:left w:val="none" w:sz="0" w:space="0" w:color="auto"/>
        <w:bottom w:val="none" w:sz="0" w:space="0" w:color="auto"/>
        <w:right w:val="none" w:sz="0" w:space="0" w:color="auto"/>
      </w:divBdr>
    </w:div>
    <w:div w:id="1897207156">
      <w:bodyDiv w:val="1"/>
      <w:marLeft w:val="0"/>
      <w:marRight w:val="0"/>
      <w:marTop w:val="0"/>
      <w:marBottom w:val="0"/>
      <w:divBdr>
        <w:top w:val="none" w:sz="0" w:space="0" w:color="auto"/>
        <w:left w:val="none" w:sz="0" w:space="0" w:color="auto"/>
        <w:bottom w:val="none" w:sz="0" w:space="0" w:color="auto"/>
        <w:right w:val="none" w:sz="0" w:space="0" w:color="auto"/>
      </w:divBdr>
    </w:div>
    <w:div w:id="1908764861">
      <w:bodyDiv w:val="1"/>
      <w:marLeft w:val="0"/>
      <w:marRight w:val="0"/>
      <w:marTop w:val="0"/>
      <w:marBottom w:val="0"/>
      <w:divBdr>
        <w:top w:val="none" w:sz="0" w:space="0" w:color="auto"/>
        <w:left w:val="none" w:sz="0" w:space="0" w:color="auto"/>
        <w:bottom w:val="none" w:sz="0" w:space="0" w:color="auto"/>
        <w:right w:val="none" w:sz="0" w:space="0" w:color="auto"/>
      </w:divBdr>
    </w:div>
    <w:div w:id="1943950262">
      <w:bodyDiv w:val="1"/>
      <w:marLeft w:val="0"/>
      <w:marRight w:val="0"/>
      <w:marTop w:val="0"/>
      <w:marBottom w:val="0"/>
      <w:divBdr>
        <w:top w:val="none" w:sz="0" w:space="0" w:color="auto"/>
        <w:left w:val="none" w:sz="0" w:space="0" w:color="auto"/>
        <w:bottom w:val="none" w:sz="0" w:space="0" w:color="auto"/>
        <w:right w:val="none" w:sz="0" w:space="0" w:color="auto"/>
      </w:divBdr>
    </w:div>
    <w:div w:id="1952400006">
      <w:bodyDiv w:val="1"/>
      <w:marLeft w:val="0"/>
      <w:marRight w:val="0"/>
      <w:marTop w:val="0"/>
      <w:marBottom w:val="0"/>
      <w:divBdr>
        <w:top w:val="none" w:sz="0" w:space="0" w:color="auto"/>
        <w:left w:val="none" w:sz="0" w:space="0" w:color="auto"/>
        <w:bottom w:val="none" w:sz="0" w:space="0" w:color="auto"/>
        <w:right w:val="none" w:sz="0" w:space="0" w:color="auto"/>
      </w:divBdr>
    </w:div>
    <w:div w:id="1965774295">
      <w:bodyDiv w:val="1"/>
      <w:marLeft w:val="0"/>
      <w:marRight w:val="0"/>
      <w:marTop w:val="0"/>
      <w:marBottom w:val="0"/>
      <w:divBdr>
        <w:top w:val="none" w:sz="0" w:space="0" w:color="auto"/>
        <w:left w:val="none" w:sz="0" w:space="0" w:color="auto"/>
        <w:bottom w:val="none" w:sz="0" w:space="0" w:color="auto"/>
        <w:right w:val="none" w:sz="0" w:space="0" w:color="auto"/>
      </w:divBdr>
    </w:div>
    <w:div w:id="2111925339">
      <w:bodyDiv w:val="1"/>
      <w:marLeft w:val="0"/>
      <w:marRight w:val="0"/>
      <w:marTop w:val="0"/>
      <w:marBottom w:val="0"/>
      <w:divBdr>
        <w:top w:val="none" w:sz="0" w:space="0" w:color="auto"/>
        <w:left w:val="none" w:sz="0" w:space="0" w:color="auto"/>
        <w:bottom w:val="none" w:sz="0" w:space="0" w:color="auto"/>
        <w:right w:val="none" w:sz="0" w:space="0" w:color="auto"/>
      </w:divBdr>
    </w:div>
    <w:div w:id="2117670392">
      <w:bodyDiv w:val="1"/>
      <w:marLeft w:val="0"/>
      <w:marRight w:val="0"/>
      <w:marTop w:val="0"/>
      <w:marBottom w:val="0"/>
      <w:divBdr>
        <w:top w:val="none" w:sz="0" w:space="0" w:color="auto"/>
        <w:left w:val="none" w:sz="0" w:space="0" w:color="auto"/>
        <w:bottom w:val="none" w:sz="0" w:space="0" w:color="auto"/>
        <w:right w:val="none" w:sz="0" w:space="0" w:color="auto"/>
      </w:divBdr>
    </w:div>
    <w:div w:id="2119908927">
      <w:bodyDiv w:val="1"/>
      <w:marLeft w:val="0"/>
      <w:marRight w:val="0"/>
      <w:marTop w:val="0"/>
      <w:marBottom w:val="0"/>
      <w:divBdr>
        <w:top w:val="none" w:sz="0" w:space="0" w:color="auto"/>
        <w:left w:val="none" w:sz="0" w:space="0" w:color="auto"/>
        <w:bottom w:val="none" w:sz="0" w:space="0" w:color="auto"/>
        <w:right w:val="none" w:sz="0" w:space="0" w:color="auto"/>
      </w:divBdr>
    </w:div>
    <w:div w:id="2120493152">
      <w:bodyDiv w:val="1"/>
      <w:marLeft w:val="0"/>
      <w:marRight w:val="0"/>
      <w:marTop w:val="0"/>
      <w:marBottom w:val="0"/>
      <w:divBdr>
        <w:top w:val="none" w:sz="0" w:space="0" w:color="auto"/>
        <w:left w:val="none" w:sz="0" w:space="0" w:color="auto"/>
        <w:bottom w:val="none" w:sz="0" w:space="0" w:color="auto"/>
        <w:right w:val="none" w:sz="0" w:space="0" w:color="auto"/>
      </w:divBdr>
      <w:divsChild>
        <w:div w:id="46415306">
          <w:marLeft w:val="1166"/>
          <w:marRight w:val="0"/>
          <w:marTop w:val="115"/>
          <w:marBottom w:val="0"/>
          <w:divBdr>
            <w:top w:val="none" w:sz="0" w:space="0" w:color="auto"/>
            <w:left w:val="none" w:sz="0" w:space="0" w:color="auto"/>
            <w:bottom w:val="none" w:sz="0" w:space="0" w:color="auto"/>
            <w:right w:val="none" w:sz="0" w:space="0" w:color="auto"/>
          </w:divBdr>
        </w:div>
      </w:divsChild>
    </w:div>
    <w:div w:id="2124418567">
      <w:bodyDiv w:val="1"/>
      <w:marLeft w:val="0"/>
      <w:marRight w:val="0"/>
      <w:marTop w:val="0"/>
      <w:marBottom w:val="0"/>
      <w:divBdr>
        <w:top w:val="none" w:sz="0" w:space="0" w:color="auto"/>
        <w:left w:val="none" w:sz="0" w:space="0" w:color="auto"/>
        <w:bottom w:val="none" w:sz="0" w:space="0" w:color="auto"/>
        <w:right w:val="none" w:sz="0" w:space="0" w:color="auto"/>
      </w:divBdr>
      <w:divsChild>
        <w:div w:id="1046561581">
          <w:marLeft w:val="547"/>
          <w:marRight w:val="0"/>
          <w:marTop w:val="154"/>
          <w:marBottom w:val="0"/>
          <w:divBdr>
            <w:top w:val="none" w:sz="0" w:space="0" w:color="auto"/>
            <w:left w:val="none" w:sz="0" w:space="0" w:color="auto"/>
            <w:bottom w:val="none" w:sz="0" w:space="0" w:color="auto"/>
            <w:right w:val="none" w:sz="0" w:space="0" w:color="auto"/>
          </w:divBdr>
        </w:div>
        <w:div w:id="206722232">
          <w:marLeft w:val="547"/>
          <w:marRight w:val="0"/>
          <w:marTop w:val="154"/>
          <w:marBottom w:val="0"/>
          <w:divBdr>
            <w:top w:val="none" w:sz="0" w:space="0" w:color="auto"/>
            <w:left w:val="none" w:sz="0" w:space="0" w:color="auto"/>
            <w:bottom w:val="none" w:sz="0" w:space="0" w:color="auto"/>
            <w:right w:val="none" w:sz="0" w:space="0" w:color="auto"/>
          </w:divBdr>
        </w:div>
        <w:div w:id="5737774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ICC19</b:Tag>
    <b:SourceType>Report</b:SourceType>
    <b:Guid>{5D9B9693-E01E-48F7-98BE-948D001180CC}</b:Guid>
    <b:Title>Article 6: What is it and why is it important?</b:Title>
    <b:Year>2019</b:Year>
    <b:City>Paris</b:City>
    <b:Publisher>International Chamber or Commerce</b:Publisher>
    <b:Author>
      <b:Author>
        <b:Corporate>ICC</b:Corporate>
      </b:Author>
    </b:Author>
    <b:URL>https://iccwbo.org/media-wall/news-speeches/article-6-important/</b:URL>
    <b:RefOrder>16</b:RefOrder>
  </b:Source>
  <b:Source>
    <b:Tag>Hop10</b:Tag>
    <b:SourceType>Book</b:SourceType>
    <b:Guid>{8BDF8766-163E-41C2-B025-629A7A8B8248}</b:Guid>
    <b:Title>Accounting for sustainability : practical insights</b:Title>
    <b:Year>2010</b:Year>
    <b:Author>
      <b:Author>
        <b:NameList>
          <b:Person>
            <b:Last>Hopwood</b:Last>
            <b:Middle>G</b:Middle>
            <b:First>Anthony</b:First>
          </b:Person>
          <b:Person>
            <b:Last>Unerman</b:Last>
            <b:First>Jeffrey</b:First>
          </b:Person>
          <b:Person>
            <b:Last>Fries</b:Last>
            <b:First>Jessica</b:First>
          </b:Person>
        </b:NameList>
      </b:Author>
    </b:Author>
    <b:City>London</b:City>
    <b:Publisher>Routledge</b:Publisher>
    <b:Edition>1st</b:Edition>
    <b:RefOrder>10</b:RefOrder>
  </b:Source>
  <b:Source>
    <b:Tag>NCC16</b:Tag>
    <b:SourceType>DocumentFromInternetSite</b:SourceType>
    <b:Guid>{13262BAA-CAFE-45F0-B547-BCE2C7977579}</b:Guid>
    <b:Title>The Protocal</b:Title>
    <b:Year>2016</b:Year>
    <b:Author>
      <b:Author>
        <b:Corporate>NCC</b:Corporate>
      </b:Author>
    </b:Author>
    <b:InternetSiteTitle>National Capital Coalition</b:InternetSiteTitle>
    <b:URL>www.naturalcapitalcoalition.org/protocol</b:URL>
    <b:Medium>Report</b:Medium>
    <b:Comments>London</b:Comments>
    <b:RefOrder>11</b:RefOrder>
  </b:Source>
  <b:Source>
    <b:Tag>Une18</b:Tag>
    <b:SourceType>JournalArticle</b:SourceType>
    <b:Guid>{D499FA97-94AB-4D56-9479-11D58E04C6CA}</b:Guid>
    <b:Title>Corporate reporting and accounting for externalities</b:Title>
    <b:Year>2018</b:Year>
    <b:Month>June</b:Month>
    <b:Day>4</b:Day>
    <b:Author>
      <b:Interviewee>
        <b:NameList>
          <b:Person>
            <b:Last>Unerman</b:Last>
            <b:First>Jeffrey</b:First>
          </b:Person>
        </b:NameList>
      </b:Interviewee>
      <b:Author>
        <b:NameList>
          <b:Person>
            <b:Last>Unerman</b:Last>
            <b:First>Jeffrey</b:First>
          </b:Person>
          <b:Person>
            <b:Last>Bebbington</b:Last>
            <b:First>Jan</b:First>
          </b:Person>
          <b:Person>
            <b:Last>O'dwyer</b:Last>
            <b:First>Brendan</b:First>
          </b:Person>
        </b:NameList>
      </b:Author>
    </b:Author>
    <b:JournalName>Accounting and Business Research</b:JournalName>
    <b:Pages>497-522</b:Pages>
    <b:Publisher>Taylor and Francis Online</b:Publisher>
    <b:Volume>48</b:Volume>
    <b:Issue>5</b:Issue>
    <b:RefOrder>12</b:RefOrder>
  </b:Source>
  <b:Source>
    <b:Tag>Win06</b:Tag>
    <b:SourceType>Book</b:SourceType>
    <b:Guid>{C59B3D26-A49C-4D38-B813-D5C57BF403A8}</b:Guid>
    <b:Title>Government Failure Versus Market Failure: Macroeconomics Policy Research and Government Performance</b:Title>
    <b:Year>2006</b:Year>
    <b:Publisher>Brookings Institution Press</b:Publisher>
    <b:City>Washington DC</b:City>
    <b:Author>
      <b:Author>
        <b:NameList>
          <b:Person>
            <b:Last>Winston</b:Last>
            <b:First>Clifford</b:First>
          </b:Person>
        </b:NameList>
      </b:Author>
    </b:Author>
    <b:RefOrder>7</b:RefOrder>
  </b:Source>
  <b:Source>
    <b:Tag>Wre96</b:Tag>
    <b:SourceType>Book</b:SourceType>
    <b:Guid>{2C1FC1BB-FC1F-4B05-A8E5-6FD9BD468731}</b:Guid>
    <b:Title>Industrial Subsidies: The UK Experience</b:Title>
    <b:Year>1996</b:Year>
    <b:Publisher>Palgrave Macmillan</b:Publisher>
    <b:City>Basingstoke</b:City>
    <b:Author>
      <b:Author>
        <b:NameList>
          <b:Person>
            <b:Last>Wren</b:Last>
            <b:First>Colin</b:First>
          </b:Person>
        </b:NameList>
      </b:Author>
    </b:Author>
    <b:StateProvince>Hampshire </b:StateProvince>
    <b:Pages>253</b:Pages>
    <b:RefOrder>24</b:RefOrder>
  </b:Source>
  <b:Source>
    <b:Tag>Ell17</b:Tag>
    <b:SourceType>ArticleInAPeriodical</b:SourceType>
    <b:Guid>{FE7FB0D4-10EB-41C0-B099-2D4A34F51E50}</b:Guid>
    <b:Title>The day the credit crunch began, 10 years on: 'the world changed'</b:Title>
    <b:Year>2017</b:Year>
    <b:City>London</b:City>
    <b:PeriodicalTitle>The Guardian</b:PeriodicalTitle>
    <b:Month>August</b:Month>
    <b:Day>3</b:Day>
    <b:URL>https://www.theguardian.com/business/2017/aug/02/day-credit-crunch-began-10-years-on-world-changed</b:URL>
    <b:Author>
      <b:Author>
        <b:NameList>
          <b:Person>
            <b:Last>Elliot</b:Last>
            <b:First>Larry</b:First>
          </b:Person>
          <b:Person>
            <b:Last>Treanor</b:Last>
            <b:First>Jill</b:First>
          </b:Person>
        </b:NameList>
      </b:Author>
    </b:Author>
    <b:RefOrder>26</b:RefOrder>
  </b:Source>
  <b:Source>
    <b:Tag>ORR19</b:Tag>
    <b:SourceType>Report</b:SourceType>
    <b:Guid>{74165C65-97CE-4CEA-942C-6A11213FCDE2}</b:Guid>
    <b:Title>Rail investment and subsidies</b:Title>
    <b:Year>2019</b:Year>
    <b:Month>February </b:Month>
    <b:Day>7</b:Day>
    <b:Publisher>Office of Rail and Road </b:Publisher>
    <b:City>London</b:City>
    <b:Author>
      <b:Author>
        <b:Corporate>ORR</b:Corporate>
      </b:Author>
    </b:Author>
    <b:URL>https://dataportal.orr.gov.uk/statistics/finance/rail-investment-and-subsidies/</b:URL>
    <b:RefOrder>25</b:RefOrder>
  </b:Source>
  <b:Source>
    <b:Tag>Tej19</b:Tag>
    <b:SourceType>InternetSite</b:SourceType>
    <b:Guid>{5AD47564-DC5E-453B-AE5E-C2D8DAF5E2DE}</b:Guid>
    <b:Title>Policies for reducing unemployment</b:Title>
    <b:Year>2019</b:Year>
    <b:Author>
      <b:Author>
        <b:NameList>
          <b:Person>
            <b:Last>Pettinger</b:Last>
            <b:First>Tejvan</b:First>
          </b:Person>
        </b:NameList>
      </b:Author>
    </b:Author>
    <b:InternetSiteTitle>Economics Help</b:InternetSiteTitle>
    <b:Month>June</b:Month>
    <b:Day>14</b:Day>
    <b:URL>https://www.economicshelp.org</b:URL>
    <b:RefOrder>27</b:RefOrder>
  </b:Source>
  <b:Source>
    <b:Tag>Mur19</b:Tag>
    <b:SourceType>JournalArticle</b:SourceType>
    <b:Guid>{8708DDC4-EB0B-4EBF-9F15-A119B207D6CC}</b:Guid>
    <b:Title>Measuring the effects of price controls using mixed complementarity models</b:Title>
    <b:Year>2019</b:Year>
    <b:Month>June</b:Month>
    <b:Day>1</b:Day>
    <b:JournalName>European Journal of Operational Research</b:JournalName>
    <b:Pages>666-676</b:Pages>
    <b:Publisher>Science Direct</b:Publisher>
    <b:Volume>275</b:Volume>
    <b:Issue>2</b:Issue>
    <b:Author>
      <b:Author>
        <b:NameList>
          <b:Person>
            <b:Last>Murphy</b:Last>
            <b:First>Fredric</b:First>
          </b:Person>
          <b:Person>
            <b:Last>Smeers</b:Last>
            <b:First>Yves</b:First>
          </b:Person>
        </b:NameList>
      </b:Author>
    </b:Author>
    <b:RefOrder>28</b:RefOrder>
  </b:Source>
  <b:Source>
    <b:Tag>TFL20</b:Tag>
    <b:SourceType>DocumentFromInternetSite</b:SourceType>
    <b:Guid>{3CBE45A7-679F-4E88-9876-CB15BFA8719F}</b:Guid>
    <b:Title>Scrappage Scheme for Vans and Minibuses</b:Title>
    <b:Year>2020</b:Year>
    <b:InternetSiteTitle>Transport for London</b:InternetSiteTitle>
    <b:URL>https://tfl.gov.uk/modes/driving/ultra-low-emission-zone/scrappage-scheme?cid=scrappage-scheme</b:URL>
    <b:Author>
      <b:Author>
        <b:Corporate>TFL</b:Corporate>
      </b:Author>
    </b:Author>
    <b:RefOrder>29</b:RefOrder>
  </b:Source>
  <b:Source>
    <b:Tag>Cha15</b:Tag>
    <b:SourceType>ArticleInAPeriodical</b:SourceType>
    <b:Guid>{BE0AEBEA-A2E9-4DE9-A57D-0CA7E55AE207}</b:Guid>
    <b:Author>
      <b:Author>
        <b:NameList>
          <b:Person>
            <b:Last>Chakrabortty</b:Last>
            <b:First>Aditya</b:First>
          </b:Person>
        </b:NameList>
      </b:Author>
    </b:Author>
    <b:Title>The £93bn Handshake: Businesses Pocket Huge Subsidies and Tax Breaks</b:Title>
    <b:Year>2015</b:Year>
    <b:Month>July</b:Month>
    <b:Day>7</b:Day>
    <b:URL>https://www.theguardian.com/politics/2015/jul/07/corporate-welfare-a-93bn-handshake</b:URL>
    <b:PeriodicalTitle>The Guardian</b:PeriodicalTitle>
    <b:City>London</b:City>
    <b:RefOrder>31</b:RefOrder>
  </b:Source>
  <b:Source>
    <b:Tag>Fug18</b:Tag>
    <b:SourceType>JournalArticle</b:SourceType>
    <b:Guid>{517D5116-D065-4174-98B0-6B603B82A5E4}</b:Guid>
    <b:Title>Implicationsofpossible interpretationsof‘greenhouse gasbalance’intheParis Agreement</b:Title>
    <b:Year>2018</b:Year>
    <b:Month>April</b:Month>
    <b:Day>2</b:Day>
    <b:Author>
      <b:Author>
        <b:NameList>
          <b:Person>
            <b:Last>Fuglestvedt</b:Last>
            <b:First>J</b:First>
          </b:Person>
          <b:Person>
            <b:Last>Rogelj</b:Last>
            <b:First>J</b:First>
          </b:Person>
          <b:Person>
            <b:Last>Millar</b:Last>
            <b:Middle>J</b:Middle>
            <b:First>R</b:First>
          </b:Person>
          <b:Person>
            <b:Last>Allen</b:Last>
            <b:First>M</b:First>
          </b:Person>
          <b:Person>
            <b:Last>O'Boucher</b:Last>
            <b:First>O</b:First>
          </b:Person>
          <b:Person>
            <b:Last>Cain</b:Last>
            <b:First>M</b:First>
          </b:Person>
          <b:Person>
            <b:Last>Forster</b:Last>
            <b:Middle>M</b:Middle>
            <b:First>P</b:First>
          </b:Person>
          <b:Person>
            <b:Last>Kriegler</b:Last>
            <b:First>E</b:First>
          </b:Person>
          <b:Person>
            <b:Last>Shindell</b:Last>
            <b:First>D</b:First>
          </b:Person>
        </b:NameList>
      </b:Author>
    </b:Author>
    <b:JournalName>Philosophical Transactions of the Royal Society A: Mathematical, Physical and Engineering Sciences 376, no. 2119</b:JournalName>
    <b:Publisher>Royal Society Publishing </b:Publisher>
    <b:Volume>376</b:Volume>
    <b:Issue>2119</b:Issue>
    <b:RefOrder>15</b:RefOrder>
  </b:Source>
  <b:Source>
    <b:Tag>NIC17</b:Tag>
    <b:SourceType>Report</b:SourceType>
    <b:Guid>{41ABEF21-BF15-491B-9238-8FFBEB14528D}</b:Guid>
    <b:Title>ECONOMIC GROWTH  AND DEMAND FOR INFRASTRUCTURE SERVICES</b:Title>
    <b:Year>2017</b:Year>
    <b:Author>
      <b:Author>
        <b:Corporate>NIC</b:Corporate>
      </b:Author>
    </b:Author>
    <b:Publisher>UK Government </b:Publisher>
    <b:City>London</b:City>
    <b:Institution>The National Infrastructure Commission</b:Institution>
    <b:URL>https://www.gov.uk/government/publications/economic-growth-and-demand-for-infrastructure-services</b:URL>
    <b:RefOrder>3</b:RefOrder>
  </b:Source>
  <b:Source>
    <b:Tag>BAB15</b:Tag>
    <b:SourceType>Report</b:SourceType>
    <b:Guid>{E3A56A0D-6944-4A7B-88E7-60224E699795}</b:Guid>
    <b:Title>United Kingdom: Environmental Issues, Policies and Clean Technology</b:Title>
    <b:Year>2015</b:Year>
    <b:Publisher>AZO Clean Tech</b:Publisher>
    <b:Month>June</b:Month>
    <b:Day>9</b:Day>
    <b:Author>
      <b:Author>
        <b:NameList>
          <b:Person>
            <b:Last>Smith</b:Last>
            <b:First>Brett</b:First>
          </b:Person>
        </b:NameList>
      </b:Author>
    </b:Author>
    <b:URL>https://www.azocleantech.com/article.aspx?ArticleID=535</b:URL>
    <b:RefOrder>2</b:RefOrder>
  </b:Source>
  <b:Source>
    <b:Tag>Slo13</b:Tag>
    <b:SourceType>Book</b:SourceType>
    <b:Guid>{40E6E656-0E16-4E16-979D-14C920F5A802}</b:Guid>
    <b:Title>EconomicsFor Business</b:Title>
    <b:Year>2013</b:Year>
    <b:Publisher>Pearsons Education LTD</b:Publisher>
    <b:City>Harlow</b:City>
    <b:Author>
      <b:Author>
        <b:NameList>
          <b:Person>
            <b:Last>Sloman</b:Last>
            <b:First>John</b:First>
          </b:Person>
          <b:Person>
            <b:Last>Hinde</b:Last>
            <b:First>Kevin</b:First>
          </b:Person>
          <b:Person>
            <b:Last>Garratt</b:Last>
            <b:First>Dean</b:First>
          </b:Person>
        </b:NameList>
      </b:Author>
    </b:Author>
    <b:Edition>Sixth </b:Edition>
    <b:RefOrder>4</b:RefOrder>
  </b:Source>
  <b:Source>
    <b:Tag>Coh17</b:Tag>
    <b:SourceType>JournalArticle</b:SourceType>
    <b:Guid>{98D8A285-2D13-4E4E-8033-D5CA06B38375}</b:Guid>
    <b:Title>Estimates and 25-year trends of The Global Burden of Disease Attributable to Ambient Air Pollution: An Analysis of Data from the Global Burden of Diseases Study</b:Title>
    <b:Year>2017</b:Year>
    <b:JournalName>The Lancet</b:JournalName>
    <b:Pages>389</b:Pages>
    <b:Author>
      <b:Author>
        <b:NameList>
          <b:Person>
            <b:Last>Cohen</b:Last>
            <b:Middle>J</b:Middle>
            <b:First>A</b:First>
          </b:Person>
          <b:Person>
            <b:Last>Brauer</b:Last>
            <b:First>M</b:First>
          </b:Person>
          <b:Person>
            <b:Last>Burnett</b:Last>
            <b:First>R</b:First>
          </b:Person>
          <b:Person>
            <b:Last>Anderson</b:Last>
            <b:Middle>R</b:Middle>
            <b:First>H</b:First>
          </b:Person>
          <b:Person>
            <b:Last>Frostad</b:Last>
            <b:First>J</b:First>
          </b:Person>
          <b:Person>
            <b:Last>Estep</b:Last>
            <b:First>K</b:First>
          </b:Person>
          <b:Person>
            <b:Last>Balakrishnan</b:Last>
            <b:First>K</b:First>
          </b:Person>
          <b:Person>
            <b:Last>Brunekreef</b:Last>
            <b:First>B</b:First>
          </b:Person>
          <b:Person>
            <b:Last>Dandona</b:Last>
            <b:First>L</b:First>
          </b:Person>
          <b:Person>
            <b:Last>Dandona</b:Last>
            <b:First>R</b:First>
          </b:Person>
        </b:NameList>
      </b:Author>
    </b:Author>
    <b:RefOrder>1</b:RefOrder>
  </b:Source>
  <b:Source>
    <b:Tag>Wal99</b:Tag>
    <b:SourceType>Book</b:SourceType>
    <b:Guid>{A956CF4D-E0A9-466C-8A71-198BBD6EA60A}</b:Guid>
    <b:Title>Market Failure, Government Failure, Leadership and Public Policy</b:Title>
    <b:Year>1999</b:Year>
    <b:City>Basingstoke </b:City>
    <b:Publisher>Macmillan Press LTD</b:Publisher>
    <b:Author>
      <b:Author>
        <b:NameList>
          <b:Person>
            <b:Last>Wallis</b:Last>
            <b:First>Joe</b:First>
          </b:Person>
          <b:Person>
            <b:Last>Dollery</b:Last>
            <b:First>Brian</b:First>
          </b:Person>
        </b:NameList>
      </b:Author>
    </b:Author>
    <b:StateProvince>Hampshire </b:StateProvince>
    <b:Edition>First </b:Edition>
    <b:RefOrder>6</b:RefOrder>
  </b:Source>
  <b:Source>
    <b:Tag>Ara19</b:Tag>
    <b:SourceType>JournalArticle</b:SourceType>
    <b:Guid>{6B8CCD15-CEA7-4293-A17F-D373B8458840}</b:Guid>
    <b:Title>Marginal Cost &amp; its Variation in Different Economy Scales</b:Title>
    <b:Year>2019</b:Year>
    <b:Author>
      <b:Author>
        <b:NameList>
          <b:Person>
            <b:Last>Araujo</b:Last>
            <b:First>Antônio</b:First>
            <b:Middle>Souza</b:Middle>
          </b:Person>
        </b:NameList>
      </b:Author>
    </b:Author>
    <b:JournalName>International Journal of Tax Economics and Management</b:JournalName>
    <b:Pages>29-34</b:Pages>
    <b:Month>Febuary</b:Month>
    <b:Day>28</b:Day>
    <b:RefOrder>13</b:RefOrder>
  </b:Source>
  <b:Source>
    <b:Tag>Ken19</b:Tag>
    <b:SourceType>DocumentFromInternetSite</b:SourceType>
    <b:Guid>{CE67E711-DC42-457D-B5D3-50C055C50E78}</b:Guid>
    <b:Title>Marginal Social Cost (MSC)</b:Title>
    <b:Year>2019</b:Year>
    <b:InternetSiteTitle>Investopedia</b:InternetSiteTitle>
    <b:Month>November</b:Month>
    <b:Day>12</b:Day>
    <b:URL>https://www.investopedia.com/terms/m/marginalsocialcost.asp</b:URL>
    <b:Author>
      <b:Author>
        <b:NameList>
          <b:Person>
            <b:Last>Kenton</b:Last>
            <b:First>Will</b:First>
          </b:Person>
        </b:NameList>
      </b:Author>
    </b:Author>
    <b:RefOrder>14</b:RefOrder>
  </b:Source>
  <b:Source>
    <b:Tag>Bor16</b:Tag>
    <b:SourceType>Book</b:SourceType>
    <b:Guid>{AF3F9744-8227-45CC-A3B8-8624D3B52AA6}</b:Guid>
    <b:Title>The European Emission Trading System and Its Followers: Comparative Analysis and Linking Perspectives</b:Title>
    <b:Year>2016</b:Year>
    <b:Author>
      <b:Author>
        <b:NameList>
          <b:Person>
            <b:Last>Borghesi</b:Last>
            <b:First>Simone</b:First>
          </b:Person>
          <b:Person>
            <b:Last>Montini</b:Last>
            <b:First>Massimiliano</b:First>
          </b:Person>
          <b:Person>
            <b:Last>Barreca</b:Last>
            <b:First>Alessandra</b:First>
          </b:Person>
        </b:NameList>
      </b:Author>
    </b:Author>
    <b:Publisher>Springer</b:Publisher>
    <b:CountryRegion>Switzerland </b:CountryRegion>
    <b:Edition>First</b:Edition>
    <b:RefOrder>17</b:RefOrder>
  </b:Source>
  <b:Source>
    <b:Tag>Jos98</b:Tag>
    <b:SourceType>JournalArticle</b:SourceType>
    <b:Guid>{03712917-D799-47A6-82AC-BC0DC9BA5076}</b:Guid>
    <b:Title>The Political Economy of Market-Based Environmental Policy</b:Title>
    <b:Year>1998</b:Year>
    <b:Pages>37-84</b:Pages>
    <b:JournalName>The Journal of Law and Economics</b:JournalName>
    <b:Author>
      <b:Author>
        <b:NameList>
          <b:Person>
            <b:Last>Joskow</b:Last>
            <b:Middle>L</b:Middle>
            <b:First>Paul</b:First>
          </b:Person>
          <b:Person>
            <b:Last>Schmalensee</b:Last>
            <b:First>Richard</b:First>
          </b:Person>
        </b:NameList>
      </b:Author>
    </b:Author>
    <b:Volume>41</b:Volume>
    <b:Issue>1</b:Issue>
    <b:RefOrder>23</b:RefOrder>
  </b:Source>
  <b:Source>
    <b:Tag>Goo94</b:Tag>
    <b:SourceType>JournalArticle</b:SourceType>
    <b:Guid>{647CF94A-DFEE-40CA-B7D8-1FE783F53264}</b:Guid>
    <b:Title>Selling Environmental Indulgences </b:Title>
    <b:JournalName>Kyklos</b:JournalName>
    <b:Year>1994</b:Year>
    <b:Pages>573-596</b:Pages>
    <b:Author>
      <b:Author>
        <b:NameList>
          <b:Person>
            <b:Last>Goodin</b:Last>
            <b:Middle>E</b:Middle>
            <b:First>R</b:First>
          </b:Person>
        </b:NameList>
      </b:Author>
    </b:Author>
    <b:Volume>47</b:Volume>
    <b:RefOrder>32</b:RefOrder>
  </b:Source>
  <b:Source>
    <b:Tag>Cor01</b:Tag>
    <b:SourceType>JournalArticle</b:SourceType>
    <b:Guid>{BC582A14-4688-4697-A0F3-D47CAAD7754B}</b:Guid>
    <b:Title>Emissions Trading and Environmental Justice</b:Title>
    <b:JournalName>Environmental Conversation</b:JournalName>
    <b:Year>2001</b:Year>
    <b:Pages>323-332</b:Pages>
    <b:Author>
      <b:Author>
        <b:NameList>
          <b:Person>
            <b:Last>Corburn</b:Last>
            <b:First>Jason</b:First>
          </b:Person>
        </b:NameList>
      </b:Author>
    </b:Author>
    <b:Volume>28</b:Volume>
    <b:RefOrder>22</b:RefOrder>
  </b:Source>
  <b:Source>
    <b:Tag>Bow02</b:Tag>
    <b:SourceType>JournalArticle</b:SourceType>
    <b:Guid>{D014090B-73C2-48CF-A80B-00293E458D94}</b:Guid>
    <b:Title>An Analytical Review of Environmental Justice Research: What do we really know?</b:Title>
    <b:JournalName>Environmental Management</b:JournalName>
    <b:Year>2002</b:Year>
    <b:Pages>3-15</b:Pages>
    <b:Author>
      <b:Author>
        <b:NameList>
          <b:Person>
            <b:Last>Bowen</b:Last>
            <b:First>William</b:First>
          </b:Person>
        </b:NameList>
      </b:Author>
    </b:Author>
    <b:Volume>29</b:Volume>
    <b:Issue>1</b:Issue>
    <b:RefOrder>21</b:RefOrder>
  </b:Source>
  <b:Source>
    <b:Tag>Sol00</b:Tag>
    <b:SourceType>JournalArticle</b:SourceType>
    <b:Guid>{CA44A38C-F68D-4A1E-863E-3CFA8830212B}</b:Guid>
    <b:Title>Emissions trading systems and environmental justice</b:Title>
    <b:JournalName>Environment: Science and policy for Sustainable Development</b:JournalName>
    <b:Year>2000</b:Year>
    <b:Pages>32-45</b:Pages>
    <b:Volume>42</b:Volume>
    <b:Issue>8</b:Issue>
    <b:Author>
      <b:Author>
        <b:NameList>
          <b:Person>
            <b:Last>Solomon</b:Last>
            <b:Middle>D</b:Middle>
            <b:First>Barry</b:First>
          </b:Person>
          <b:Person>
            <b:Last>Lee</b:Last>
            <b:First>Russell</b:First>
          </b:Person>
        </b:NameList>
      </b:Author>
    </b:Author>
    <b:RefOrder>20</b:RefOrder>
  </b:Source>
  <b:Source>
    <b:Tag>Goo941</b:Tag>
    <b:SourceType>JournalArticle</b:SourceType>
    <b:Guid>{A8B22AFE-05CD-4B59-A0E2-DE7F0CDEC535}</b:Guid>
    <b:Title>Selling environmental indulgences</b:Title>
    <b:JournalName>Kyklos</b:JournalName>
    <b:Year>1994</b:Year>
    <b:Pages>573-596</b:Pages>
    <b:Author>
      <b:Author>
        <b:NameList>
          <b:Person>
            <b:Last>Goodin</b:Last>
            <b:Middle>E</b:Middle>
            <b:First>Robert</b:First>
          </b:Person>
        </b:NameList>
      </b:Author>
    </b:Author>
    <b:Volume>47</b:Volume>
    <b:Issue>4</b:Issue>
    <b:RefOrder>19</b:RefOrder>
  </b:Source>
  <b:Source>
    <b:Tag>Pol98</b:Tag>
    <b:SourceType>JournalArticle</b:SourceType>
    <b:Guid>{4145FE38-C840-472E-A002-5670A6B36B0F}</b:Guid>
    <b:Title>Polution Trading and Environmental Injustice</b:Title>
    <b:JournalName>Duke Environmental Law &amp; Policy Forum</b:JournalName>
    <b:Year>1998</b:Year>
    <b:Pages>231</b:Pages>
    <b:Volume>9</b:Volume>
    <b:Author>
      <b:Author>
        <b:NameList>
          <b:Person>
            <b:Last>Drury</b:Last>
            <b:Middle>Toshiyuki</b:Middle>
            <b:First>Richard</b:First>
          </b:Person>
          <b:Person>
            <b:Last>Belliveau</b:Last>
            <b:Middle>E</b:Middle>
            <b:First>Michael</b:First>
          </b:Person>
          <b:Person>
            <b:Last>Kuhn</b:Last>
            <b:First>Scott</b:First>
          </b:Person>
          <b:Person>
            <b:Last>Bansal</b:Last>
            <b:First>Shipra</b:First>
          </b:Person>
        </b:NameList>
      </b:Author>
    </b:Author>
    <b:RefOrder>18</b:RefOrder>
  </b:Source>
  <b:Source>
    <b:Tag>Wor14</b:Tag>
    <b:SourceType>Misc</b:SourceType>
    <b:Guid>{5A077F78-2D7D-4932-8024-013D5E074C69}</b:Guid>
    <b:Title>Market Equilibrium</b:Title>
    <b:Year>2014</b:Year>
    <b:PublicationTitle>TamoClass</b:PublicationTitle>
    <b:Month>October</b:Month>
    <b:Day>17</b:Day>
    <b:Publisher>World Press</b:Publisher>
    <b:Author>
      <b:Author>
        <b:Corporate>TamoClass</b:Corporate>
      </b:Author>
    </b:Author>
    <b:URL>https://tamoclass.wordpress.com/2014/10/17/econ-market-equilibrium/</b:URL>
    <b:RefOrder>5</b:RefOrder>
  </b:Source>
  <b:Source>
    <b:Tag>Pod18</b:Tag>
    <b:SourceType>ArticleInAPeriodical</b:SourceType>
    <b:Guid>{7C0E8319-66CF-4F9B-940D-87C55ADE9F48}</b:Guid>
    <b:Title>The Collapse of Carillion: Another Free Market Failure</b:Title>
    <b:Year>2018</b:Year>
    <b:Month>February</b:Month>
    <b:Day>8</b:Day>
    <b:PeriodicalTitle>Counterpunch</b:PeriodicalTitle>
    <b:Author>
      <b:Author>
        <b:NameList>
          <b:Person>
            <b:Last>Podmore</b:Last>
            <b:First>Will</b:First>
          </b:Person>
        </b:NameList>
      </b:Author>
    </b:Author>
    <b:URL>https://www.counterpunch.org/2018/02/08/the-collapse-of-carillion-another-free-market-failure/</b:URL>
    <b:RefOrder>8</b:RefOrder>
  </b:Source>
  <b:Source>
    <b:Tag>Buc99</b:Tag>
    <b:SourceType>Book</b:SourceType>
    <b:Guid>{38BCA656-5C60-47DC-8D10-897BFEC41674}</b:Guid>
    <b:Title>The Demand and supply of Public Goods</b:Title>
    <b:Year>1999</b:Year>
    <b:City>Indianapolis</b:City>
    <b:Publisher>Liberty Fund INC</b:Publisher>
    <b:Author>
      <b:Author>
        <b:NameList>
          <b:Person>
            <b:Last>Buchanan</b:Last>
            <b:Middle>M</b:Middle>
            <b:First>James</b:First>
          </b:Person>
        </b:NameList>
      </b:Author>
    </b:Author>
    <b:RefOrder>9</b:RefOrder>
  </b:Source>
  <b:Source>
    <b:Tag>Abr17</b:Tag>
    <b:SourceType>ArticleInAPeriodical</b:SourceType>
    <b:Guid>{BDF0F6A0-3918-4BEA-A2C9-0AA0CECE48BD}</b:Guid>
    <b:Title>Fossil Fuel subbsidies are a staggering $5tn per year</b:Title>
    <b:Year>2017</b:Year>
    <b:PeriodicalTitle>The Guardian</b:PeriodicalTitle>
    <b:Month>August</b:Month>
    <b:Day>7</b:Day>
    <b:Author>
      <b:Author>
        <b:NameList>
          <b:Person>
            <b:Last>Abraham</b:Last>
            <b:First>John</b:First>
          </b:Person>
        </b:NameList>
      </b:Author>
    </b:Author>
    <b:URL>https://www.theguardian.com/environment/climate-consensus-97-per-cent/2017/aug/07/fossil-fuel-subsidies-are-a-staggering-5-tn-per-year</b:URL>
    <b:RefOrder>30</b:RefOrder>
  </b:Source>
</b:Sources>
</file>

<file path=customXml/itemProps1.xml><?xml version="1.0" encoding="utf-8"?>
<ds:datastoreItem xmlns:ds="http://schemas.openxmlformats.org/officeDocument/2006/customXml" ds:itemID="{70A18713-ADB0-47FF-BC96-2919C8FD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16</Pages>
  <Words>3596</Words>
  <Characters>20501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14</cp:revision>
  <dcterms:created xsi:type="dcterms:W3CDTF">2020-03-19T15:53:00Z</dcterms:created>
  <dcterms:modified xsi:type="dcterms:W3CDTF">2020-03-21T13:26:00Z</dcterms:modified>
</cp:coreProperties>
</file>