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144CB8A" wp14:noSpellErr="1" wp14:paraId="3ACD336E" wp14:textId="628E7D5F">
      <w:pPr>
        <w:spacing w:before="281" w:beforeAutospacing="off" w:after="281" w:afterAutospacing="off"/>
        <w:rPr>
          <w:rFonts w:ascii="Arial Nova" w:hAnsi="Arial Nova" w:eastAsia="Arial Nova" w:cs="Arial Nova"/>
          <w:color w:val="auto"/>
          <w:sz w:val="28"/>
          <w:szCs w:val="28"/>
        </w:rPr>
      </w:pPr>
      <w:r w:rsidRPr="4144CB8A" w:rsidR="5966F75E">
        <w:rPr>
          <w:rFonts w:ascii="Arial Nova" w:hAnsi="Arial Nova" w:eastAsia="Arial Nova" w:cs="Arial Nova"/>
          <w:color w:val="auto"/>
          <w:sz w:val="28"/>
          <w:szCs w:val="28"/>
        </w:rPr>
        <w:t>University of Wales Trinity Saint David</w:t>
      </w:r>
    </w:p>
    <w:p xmlns:wp14="http://schemas.microsoft.com/office/word/2010/wordml" w:rsidP="4144CB8A" wp14:paraId="7FEE626E" wp14:textId="639E4964">
      <w:pPr>
        <w:spacing w:before="281" w:beforeAutospacing="off" w:after="281" w:afterAutospacing="off"/>
        <w:rPr>
          <w:rFonts w:ascii="Arial Nova" w:hAnsi="Arial Nova" w:eastAsia="Arial Nova" w:cs="Arial Nova"/>
          <w:color w:val="auto"/>
          <w:sz w:val="28"/>
          <w:szCs w:val="28"/>
        </w:rPr>
      </w:pPr>
      <w:r w:rsidRPr="4144CB8A" w:rsidR="4DE715EB">
        <w:rPr>
          <w:rFonts w:ascii="Arial Nova" w:hAnsi="Arial Nova" w:eastAsia="Arial Nova" w:cs="Arial Nova"/>
          <w:color w:val="auto"/>
          <w:sz w:val="28"/>
          <w:szCs w:val="28"/>
        </w:rPr>
        <w:t>BA (Hons) Leadership and Management Skills</w:t>
      </w:r>
      <w:r w:rsidRPr="4144CB8A" w:rsidR="1A41A374">
        <w:rPr>
          <w:rFonts w:ascii="Arial Nova" w:hAnsi="Arial Nova" w:eastAsia="Arial Nova" w:cs="Arial Nova"/>
          <w:color w:val="auto"/>
          <w:sz w:val="28"/>
          <w:szCs w:val="28"/>
        </w:rPr>
        <w:t xml:space="preserve"> for the Workpla</w:t>
      </w:r>
      <w:r w:rsidRPr="4144CB8A" w:rsidR="57CF0AE2">
        <w:rPr>
          <w:rFonts w:ascii="Arial Nova" w:hAnsi="Arial Nova" w:eastAsia="Arial Nova" w:cs="Arial Nova"/>
          <w:color w:val="auto"/>
          <w:sz w:val="28"/>
          <w:szCs w:val="28"/>
        </w:rPr>
        <w:t>ce</w:t>
      </w:r>
    </w:p>
    <w:p xmlns:wp14="http://schemas.microsoft.com/office/word/2010/wordml" w:rsidP="4144CB8A" wp14:paraId="572E951F" wp14:textId="5DF81A50">
      <w:pPr>
        <w:spacing w:before="281" w:beforeAutospacing="off" w:after="281" w:afterAutospacing="off"/>
        <w:rPr>
          <w:rFonts w:ascii="Arial Nova" w:hAnsi="Arial Nova" w:eastAsia="Arial Nova" w:cs="Arial Nova"/>
          <w:color w:val="auto"/>
          <w:sz w:val="28"/>
          <w:szCs w:val="28"/>
        </w:rPr>
      </w:pPr>
      <w:r w:rsidRPr="4144CB8A" w:rsidR="57CF0AE2">
        <w:rPr>
          <w:rFonts w:ascii="Arial Nova" w:hAnsi="Arial Nova" w:eastAsia="Arial Nova" w:cs="Arial Nova"/>
          <w:color w:val="auto"/>
          <w:sz w:val="28"/>
          <w:szCs w:val="28"/>
        </w:rPr>
        <w:t>LCLM5005 Component 1</w:t>
      </w:r>
    </w:p>
    <w:p xmlns:wp14="http://schemas.microsoft.com/office/word/2010/wordml" w:rsidP="4144CB8A" wp14:paraId="2B0BD9DE" wp14:textId="2C32A62C">
      <w:pPr>
        <w:spacing w:before="281" w:beforeAutospacing="off" w:after="281" w:afterAutospacing="off"/>
        <w:rPr>
          <w:rFonts w:ascii="Arial Nova" w:hAnsi="Arial Nova" w:eastAsia="Arial Nova" w:cs="Arial Nova"/>
          <w:color w:val="auto"/>
          <w:sz w:val="28"/>
          <w:szCs w:val="28"/>
        </w:rPr>
      </w:pPr>
      <w:r w:rsidRPr="4144CB8A" w:rsidR="57CF0AE2">
        <w:rPr>
          <w:rFonts w:ascii="Arial Nova" w:hAnsi="Arial Nova" w:eastAsia="Arial Nova" w:cs="Arial Nova"/>
          <w:color w:val="auto"/>
          <w:sz w:val="28"/>
          <w:szCs w:val="28"/>
        </w:rPr>
        <w:t>Traian-Remus Radu</w:t>
      </w:r>
    </w:p>
    <w:p xmlns:wp14="http://schemas.microsoft.com/office/word/2010/wordml" w:rsidP="4144CB8A" wp14:paraId="607884D2" wp14:textId="3C70F18A">
      <w:pPr>
        <w:spacing w:before="281" w:beforeAutospacing="off" w:after="281" w:afterAutospacing="off"/>
        <w:rPr>
          <w:rFonts w:ascii="Arial Nova" w:hAnsi="Arial Nova" w:eastAsia="Arial Nova" w:cs="Arial Nova"/>
          <w:color w:val="auto"/>
          <w:sz w:val="28"/>
          <w:szCs w:val="28"/>
        </w:rPr>
      </w:pPr>
      <w:r w:rsidRPr="4144CB8A" w:rsidR="57CF0AE2">
        <w:rPr>
          <w:rFonts w:ascii="Arial Nova" w:hAnsi="Arial Nova" w:eastAsia="Arial Nova" w:cs="Arial Nova"/>
          <w:color w:val="auto"/>
          <w:sz w:val="28"/>
          <w:szCs w:val="28"/>
        </w:rPr>
        <w:t>2312046</w:t>
      </w:r>
    </w:p>
    <w:p xmlns:wp14="http://schemas.microsoft.com/office/word/2010/wordml" w:rsidP="4144CB8A" wp14:paraId="1BEB7D19" wp14:textId="2C131F6F">
      <w:pPr>
        <w:spacing w:before="281" w:beforeAutospacing="off" w:after="281" w:afterAutospacing="off"/>
        <w:rPr>
          <w:rFonts w:ascii="Arial Nova" w:hAnsi="Arial Nova" w:eastAsia="Arial Nova" w:cs="Arial Nova"/>
          <w:color w:val="auto"/>
          <w:sz w:val="28"/>
          <w:szCs w:val="28"/>
        </w:rPr>
      </w:pPr>
      <w:r w:rsidRPr="4144CB8A" w:rsidR="57CF0AE2">
        <w:rPr>
          <w:rFonts w:ascii="Arial Nova" w:hAnsi="Arial Nova" w:eastAsia="Arial Nova" w:cs="Arial Nova"/>
          <w:color w:val="auto"/>
          <w:sz w:val="28"/>
          <w:szCs w:val="28"/>
        </w:rPr>
        <w:t>Lecturer: Ibrahim Rufai</w:t>
      </w:r>
    </w:p>
    <w:p xmlns:wp14="http://schemas.microsoft.com/office/word/2010/wordml" w:rsidP="4144CB8A" wp14:paraId="10AE2529" wp14:textId="6B534E98">
      <w:pPr>
        <w:pStyle w:val="Heading1"/>
        <w:rPr>
          <w:noProof w:val="0"/>
          <w:color w:val="auto"/>
          <w:u w:val="single"/>
          <w:lang w:val="en-US"/>
        </w:rPr>
      </w:pPr>
    </w:p>
    <w:p xmlns:wp14="http://schemas.microsoft.com/office/word/2010/wordml" w:rsidP="4144CB8A" wp14:paraId="13ED1DF8" wp14:textId="7BB8DF1B">
      <w:pPr>
        <w:pStyle w:val="Heading1"/>
        <w:rPr>
          <w:noProof w:val="0"/>
          <w:color w:val="auto"/>
          <w:u w:val="single"/>
          <w:lang w:val="en-US"/>
        </w:rPr>
      </w:pPr>
    </w:p>
    <w:p xmlns:wp14="http://schemas.microsoft.com/office/word/2010/wordml" w:rsidP="4144CB8A" wp14:paraId="4E7C6148" wp14:textId="5ABF3C75">
      <w:pPr>
        <w:pStyle w:val="Heading1"/>
        <w:rPr>
          <w:noProof w:val="0"/>
          <w:color w:val="auto"/>
          <w:u w:val="single"/>
          <w:lang w:val="en-US"/>
        </w:rPr>
      </w:pPr>
    </w:p>
    <w:p xmlns:wp14="http://schemas.microsoft.com/office/word/2010/wordml" w:rsidP="4144CB8A" wp14:paraId="6641AB5F" wp14:textId="51917354">
      <w:pPr>
        <w:pStyle w:val="Heading1"/>
        <w:rPr>
          <w:noProof w:val="0"/>
          <w:color w:val="auto"/>
          <w:u w:val="single"/>
          <w:lang w:val="en-US"/>
        </w:rPr>
      </w:pPr>
    </w:p>
    <w:p xmlns:wp14="http://schemas.microsoft.com/office/word/2010/wordml" w:rsidP="4144CB8A" wp14:paraId="50CE0F44" wp14:textId="4E4CA5E0">
      <w:pPr>
        <w:pStyle w:val="Heading1"/>
        <w:rPr>
          <w:noProof w:val="0"/>
          <w:color w:val="auto"/>
          <w:u w:val="single"/>
          <w:lang w:val="en-US"/>
        </w:rPr>
      </w:pPr>
    </w:p>
    <w:p xmlns:wp14="http://schemas.microsoft.com/office/word/2010/wordml" w:rsidP="4144CB8A" wp14:paraId="5354E028" wp14:textId="71A60263">
      <w:pPr>
        <w:pStyle w:val="Heading1"/>
        <w:rPr>
          <w:noProof w:val="0"/>
          <w:color w:val="auto"/>
          <w:u w:val="single"/>
          <w:lang w:val="en-US"/>
        </w:rPr>
      </w:pPr>
    </w:p>
    <w:p xmlns:wp14="http://schemas.microsoft.com/office/word/2010/wordml" w:rsidP="4144CB8A" wp14:paraId="4B206BE4" wp14:textId="49D6C258">
      <w:pPr>
        <w:pStyle w:val="Heading1"/>
        <w:rPr>
          <w:noProof w:val="0"/>
          <w:color w:val="auto"/>
          <w:u w:val="single"/>
          <w:lang w:val="en-US"/>
        </w:rPr>
      </w:pPr>
    </w:p>
    <w:p xmlns:wp14="http://schemas.microsoft.com/office/word/2010/wordml" w:rsidP="4144CB8A" wp14:paraId="421C5E46" wp14:textId="3F366061">
      <w:pPr>
        <w:pStyle w:val="Heading1"/>
        <w:rPr>
          <w:noProof w:val="0"/>
          <w:color w:val="auto"/>
          <w:u w:val="single"/>
          <w:lang w:val="en-US"/>
        </w:rPr>
      </w:pPr>
    </w:p>
    <w:p xmlns:wp14="http://schemas.microsoft.com/office/word/2010/wordml" w:rsidP="4144CB8A" wp14:paraId="39E59A18" wp14:textId="46E51201">
      <w:pPr>
        <w:pStyle w:val="Normal"/>
        <w:rPr>
          <w:noProof w:val="0"/>
          <w:lang w:val="en-US"/>
        </w:rPr>
      </w:pPr>
    </w:p>
    <w:p xmlns:wp14="http://schemas.microsoft.com/office/word/2010/wordml" w:rsidP="4144CB8A" wp14:paraId="07D3B0FC" wp14:textId="2811E6C5">
      <w:pPr>
        <w:pStyle w:val="Normal"/>
        <w:rPr>
          <w:noProof w:val="0"/>
          <w:lang w:val="en-US"/>
        </w:rPr>
      </w:pPr>
    </w:p>
    <w:p xmlns:wp14="http://schemas.microsoft.com/office/word/2010/wordml" w:rsidP="4144CB8A" wp14:paraId="1CCC6F3E" wp14:textId="44827D9B">
      <w:pPr>
        <w:pStyle w:val="Heading1"/>
        <w:rPr>
          <w:noProof w:val="0"/>
          <w:color w:val="auto"/>
          <w:u w:val="single"/>
          <w:lang w:val="en-US"/>
        </w:rPr>
      </w:pPr>
      <w:bookmarkStart w:name="_Toc1338799156" w:id="1084595479"/>
      <w:r w:rsidRPr="4144CB8A" w:rsidR="6F156F82">
        <w:rPr>
          <w:noProof w:val="0"/>
          <w:color w:val="auto"/>
          <w:u w:val="single"/>
          <w:lang w:val="en-US"/>
        </w:rPr>
        <w:t>Table of Contents:</w:t>
      </w:r>
      <w:bookmarkEnd w:id="1084595479"/>
    </w:p>
    <w:p xmlns:wp14="http://schemas.microsoft.com/office/word/2010/wordml" w:rsidP="4144CB8A" wp14:paraId="400CC500" wp14:textId="77C5B3FF">
      <w:pPr>
        <w:pStyle w:val="Normal"/>
        <w:rPr>
          <w:noProof w:val="0"/>
          <w:lang w:val="en-US"/>
        </w:rPr>
      </w:pPr>
    </w:p>
    <w:sdt>
      <w:sdtPr>
        <w:id w:val="337403684"/>
        <w:docPartObj>
          <w:docPartGallery w:val="Table of Contents"/>
          <w:docPartUnique/>
        </w:docPartObj>
      </w:sdtPr>
      <w:sdtContent>
        <w:p xmlns:wp14="http://schemas.microsoft.com/office/word/2010/wordml" w:rsidP="4144CB8A" wp14:paraId="681DA180" wp14:textId="0519B54A">
          <w:pPr>
            <w:pStyle w:val="TOC1"/>
            <w:tabs>
              <w:tab w:val="right" w:leader="dot" w:pos="9360"/>
            </w:tabs>
            <w:bidi w:val="0"/>
            <w:spacing w:before="281" w:beforeAutospacing="off" w:after="281" w:afterAutospacing="off"/>
            <w:rPr>
              <w:rStyle w:val="Hyperlink"/>
            </w:rPr>
          </w:pPr>
          <w:r>
            <w:fldChar w:fldCharType="begin"/>
          </w:r>
          <w:r>
            <w:instrText xml:space="preserve">TOC \o \z \u \h</w:instrText>
          </w:r>
          <w:r>
            <w:fldChar w:fldCharType="separate"/>
          </w:r>
          <w:hyperlink w:anchor="_Toc1338799156">
            <w:r w:rsidRPr="4144CB8A" w:rsidR="4144CB8A">
              <w:rPr>
                <w:rStyle w:val="Hyperlink"/>
              </w:rPr>
              <w:t>Table of Contents:</w:t>
            </w:r>
            <w:r>
              <w:tab/>
            </w:r>
            <w:r>
              <w:fldChar w:fldCharType="begin"/>
            </w:r>
            <w:r>
              <w:instrText xml:space="preserve">PAGEREF _Toc1338799156 \h</w:instrText>
            </w:r>
            <w:r>
              <w:fldChar w:fldCharType="separate"/>
            </w:r>
            <w:r w:rsidRPr="4144CB8A" w:rsidR="4144CB8A">
              <w:rPr>
                <w:rStyle w:val="Hyperlink"/>
              </w:rPr>
              <w:t>1</w:t>
            </w:r>
            <w:r>
              <w:fldChar w:fldCharType="end"/>
            </w:r>
          </w:hyperlink>
        </w:p>
        <w:p xmlns:wp14="http://schemas.microsoft.com/office/word/2010/wordml" w:rsidP="4144CB8A" wp14:paraId="6F304360" wp14:textId="480ACCC2">
          <w:pPr>
            <w:pStyle w:val="TOC1"/>
            <w:tabs>
              <w:tab w:val="right" w:leader="dot" w:pos="9360"/>
            </w:tabs>
            <w:bidi w:val="0"/>
            <w:spacing w:before="281" w:beforeAutospacing="off" w:after="281" w:afterAutospacing="off"/>
            <w:rPr>
              <w:rStyle w:val="Hyperlink"/>
            </w:rPr>
          </w:pPr>
          <w:hyperlink w:anchor="_Toc1223224975">
            <w:r w:rsidRPr="4144CB8A" w:rsidR="4144CB8A">
              <w:rPr>
                <w:rStyle w:val="Hyperlink"/>
              </w:rPr>
              <w:t>Introduction</w:t>
            </w:r>
            <w:r>
              <w:tab/>
            </w:r>
            <w:r>
              <w:fldChar w:fldCharType="begin"/>
            </w:r>
            <w:r>
              <w:instrText xml:space="preserve">PAGEREF _Toc1223224975 \h</w:instrText>
            </w:r>
            <w:r>
              <w:fldChar w:fldCharType="separate"/>
            </w:r>
            <w:r w:rsidRPr="4144CB8A" w:rsidR="4144CB8A">
              <w:rPr>
                <w:rStyle w:val="Hyperlink"/>
              </w:rPr>
              <w:t>2</w:t>
            </w:r>
            <w:r>
              <w:fldChar w:fldCharType="end"/>
            </w:r>
          </w:hyperlink>
        </w:p>
        <w:p xmlns:wp14="http://schemas.microsoft.com/office/word/2010/wordml" w:rsidP="4144CB8A" wp14:paraId="23A2878F" wp14:textId="5F60A07F">
          <w:pPr>
            <w:pStyle w:val="TOC1"/>
            <w:tabs>
              <w:tab w:val="right" w:leader="dot" w:pos="9360"/>
            </w:tabs>
            <w:bidi w:val="0"/>
            <w:spacing w:before="281" w:beforeAutospacing="off" w:after="281" w:afterAutospacing="off"/>
            <w:rPr>
              <w:rStyle w:val="Hyperlink"/>
            </w:rPr>
          </w:pPr>
          <w:hyperlink w:anchor="_Toc496327731">
            <w:r w:rsidRPr="4144CB8A" w:rsidR="4144CB8A">
              <w:rPr>
                <w:rStyle w:val="Hyperlink"/>
              </w:rPr>
              <w:t>Organisational Culture of Toyota</w:t>
            </w:r>
            <w:r>
              <w:tab/>
            </w:r>
            <w:r>
              <w:fldChar w:fldCharType="begin"/>
            </w:r>
            <w:r>
              <w:instrText xml:space="preserve">PAGEREF _Toc496327731 \h</w:instrText>
            </w:r>
            <w:r>
              <w:fldChar w:fldCharType="separate"/>
            </w:r>
            <w:r w:rsidRPr="4144CB8A" w:rsidR="4144CB8A">
              <w:rPr>
                <w:rStyle w:val="Hyperlink"/>
              </w:rPr>
              <w:t>3</w:t>
            </w:r>
            <w:r>
              <w:fldChar w:fldCharType="end"/>
            </w:r>
          </w:hyperlink>
        </w:p>
        <w:p xmlns:wp14="http://schemas.microsoft.com/office/word/2010/wordml" w:rsidP="4144CB8A" wp14:paraId="04E805A1" wp14:textId="60CD567E">
          <w:pPr>
            <w:pStyle w:val="TOC1"/>
            <w:tabs>
              <w:tab w:val="right" w:leader="dot" w:pos="9360"/>
            </w:tabs>
            <w:bidi w:val="0"/>
            <w:spacing w:before="281" w:beforeAutospacing="off" w:after="281" w:afterAutospacing="off"/>
            <w:rPr>
              <w:rStyle w:val="Hyperlink"/>
            </w:rPr>
          </w:pPr>
          <w:hyperlink w:anchor="_Toc1993603403">
            <w:r w:rsidRPr="4144CB8A" w:rsidR="4144CB8A">
              <w:rPr>
                <w:rStyle w:val="Hyperlink"/>
              </w:rPr>
              <w:t>Influence of Culture on Structure and Decision-Making</w:t>
            </w:r>
            <w:r>
              <w:tab/>
            </w:r>
            <w:r>
              <w:fldChar w:fldCharType="begin"/>
            </w:r>
            <w:r>
              <w:instrText xml:space="preserve">PAGEREF _Toc1993603403 \h</w:instrText>
            </w:r>
            <w:r>
              <w:fldChar w:fldCharType="separate"/>
            </w:r>
            <w:r w:rsidRPr="4144CB8A" w:rsidR="4144CB8A">
              <w:rPr>
                <w:rStyle w:val="Hyperlink"/>
              </w:rPr>
              <w:t>5</w:t>
            </w:r>
            <w:r>
              <w:fldChar w:fldCharType="end"/>
            </w:r>
          </w:hyperlink>
        </w:p>
        <w:p xmlns:wp14="http://schemas.microsoft.com/office/word/2010/wordml" w:rsidP="4144CB8A" wp14:paraId="4748E592" wp14:textId="0045542C">
          <w:pPr>
            <w:pStyle w:val="TOC1"/>
            <w:tabs>
              <w:tab w:val="right" w:leader="dot" w:pos="9360"/>
            </w:tabs>
            <w:bidi w:val="0"/>
            <w:spacing w:before="281" w:beforeAutospacing="off" w:after="281" w:afterAutospacing="off"/>
            <w:rPr>
              <w:rStyle w:val="Hyperlink"/>
            </w:rPr>
          </w:pPr>
          <w:hyperlink w:anchor="_Toc428455732">
            <w:r w:rsidRPr="4144CB8A" w:rsidR="4144CB8A">
              <w:rPr>
                <w:rStyle w:val="Hyperlink"/>
              </w:rPr>
              <w:t>Identifying Cultural Types: Models and Frameworks</w:t>
            </w:r>
            <w:r>
              <w:tab/>
            </w:r>
            <w:r>
              <w:fldChar w:fldCharType="begin"/>
            </w:r>
            <w:r>
              <w:instrText xml:space="preserve">PAGEREF _Toc428455732 \h</w:instrText>
            </w:r>
            <w:r>
              <w:fldChar w:fldCharType="separate"/>
            </w:r>
            <w:r w:rsidRPr="4144CB8A" w:rsidR="4144CB8A">
              <w:rPr>
                <w:rStyle w:val="Hyperlink"/>
              </w:rPr>
              <w:t>6</w:t>
            </w:r>
            <w:r>
              <w:fldChar w:fldCharType="end"/>
            </w:r>
          </w:hyperlink>
        </w:p>
        <w:p xmlns:wp14="http://schemas.microsoft.com/office/word/2010/wordml" w:rsidP="4144CB8A" wp14:paraId="2895C0FA" wp14:textId="44F03066">
          <w:pPr>
            <w:pStyle w:val="TOC1"/>
            <w:tabs>
              <w:tab w:val="right" w:leader="dot" w:pos="9360"/>
            </w:tabs>
            <w:bidi w:val="0"/>
            <w:spacing w:before="281" w:beforeAutospacing="off" w:after="281" w:afterAutospacing="off"/>
            <w:rPr>
              <w:rStyle w:val="Hyperlink"/>
            </w:rPr>
          </w:pPr>
          <w:hyperlink w:anchor="_Toc1133420765">
            <w:r w:rsidRPr="4144CB8A" w:rsidR="4144CB8A">
              <w:rPr>
                <w:rStyle w:val="Hyperlink"/>
              </w:rPr>
              <w:t>Culture and the External Environment</w:t>
            </w:r>
            <w:r>
              <w:tab/>
            </w:r>
            <w:r>
              <w:fldChar w:fldCharType="begin"/>
            </w:r>
            <w:r>
              <w:instrText xml:space="preserve">PAGEREF _Toc1133420765 \h</w:instrText>
            </w:r>
            <w:r>
              <w:fldChar w:fldCharType="separate"/>
            </w:r>
            <w:r w:rsidRPr="4144CB8A" w:rsidR="4144CB8A">
              <w:rPr>
                <w:rStyle w:val="Hyperlink"/>
              </w:rPr>
              <w:t>8</w:t>
            </w:r>
            <w:r>
              <w:fldChar w:fldCharType="end"/>
            </w:r>
          </w:hyperlink>
        </w:p>
        <w:p xmlns:wp14="http://schemas.microsoft.com/office/word/2010/wordml" w:rsidP="4144CB8A" wp14:paraId="70D99690" wp14:textId="793A91B8">
          <w:pPr>
            <w:pStyle w:val="TOC1"/>
            <w:tabs>
              <w:tab w:val="right" w:leader="dot" w:pos="9360"/>
            </w:tabs>
            <w:bidi w:val="0"/>
            <w:spacing w:before="281" w:beforeAutospacing="off" w:after="281" w:afterAutospacing="off"/>
            <w:rPr>
              <w:rStyle w:val="Hyperlink"/>
            </w:rPr>
          </w:pPr>
          <w:hyperlink w:anchor="_Toc698939919">
            <w:r w:rsidRPr="4144CB8A" w:rsidR="4144CB8A">
              <w:rPr>
                <w:rStyle w:val="Hyperlink"/>
              </w:rPr>
              <w:t>Organisational Culture Barriers</w:t>
            </w:r>
            <w:r>
              <w:tab/>
            </w:r>
            <w:r>
              <w:fldChar w:fldCharType="begin"/>
            </w:r>
            <w:r>
              <w:instrText xml:space="preserve">PAGEREF _Toc698939919 \h</w:instrText>
            </w:r>
            <w:r>
              <w:fldChar w:fldCharType="separate"/>
            </w:r>
            <w:r w:rsidRPr="4144CB8A" w:rsidR="4144CB8A">
              <w:rPr>
                <w:rStyle w:val="Hyperlink"/>
              </w:rPr>
              <w:t>9</w:t>
            </w:r>
            <w:r>
              <w:fldChar w:fldCharType="end"/>
            </w:r>
          </w:hyperlink>
        </w:p>
        <w:p xmlns:wp14="http://schemas.microsoft.com/office/word/2010/wordml" w:rsidP="4144CB8A" wp14:paraId="5C1E64BA" wp14:textId="6CCF6A03">
          <w:pPr>
            <w:pStyle w:val="TOC1"/>
            <w:tabs>
              <w:tab w:val="right" w:leader="dot" w:pos="9360"/>
            </w:tabs>
            <w:bidi w:val="0"/>
            <w:spacing w:before="281" w:beforeAutospacing="off" w:after="281" w:afterAutospacing="off"/>
            <w:rPr>
              <w:rStyle w:val="Hyperlink"/>
            </w:rPr>
          </w:pPr>
          <w:hyperlink w:anchor="_Toc991713316">
            <w:r w:rsidRPr="4144CB8A" w:rsidR="4144CB8A">
              <w:rPr>
                <w:rStyle w:val="Hyperlink"/>
              </w:rPr>
              <w:t>Culture Impacts on Organisational Performance</w:t>
            </w:r>
            <w:r>
              <w:tab/>
            </w:r>
            <w:r>
              <w:fldChar w:fldCharType="begin"/>
            </w:r>
            <w:r>
              <w:instrText xml:space="preserve">PAGEREF _Toc991713316 \h</w:instrText>
            </w:r>
            <w:r>
              <w:fldChar w:fldCharType="separate"/>
            </w:r>
            <w:r w:rsidRPr="4144CB8A" w:rsidR="4144CB8A">
              <w:rPr>
                <w:rStyle w:val="Hyperlink"/>
              </w:rPr>
              <w:t>10</w:t>
            </w:r>
            <w:r>
              <w:fldChar w:fldCharType="end"/>
            </w:r>
          </w:hyperlink>
        </w:p>
        <w:p xmlns:wp14="http://schemas.microsoft.com/office/word/2010/wordml" w:rsidP="4144CB8A" wp14:paraId="52E318E4" wp14:textId="7AC00F42">
          <w:pPr>
            <w:pStyle w:val="TOC1"/>
            <w:tabs>
              <w:tab w:val="right" w:leader="dot" w:pos="9360"/>
            </w:tabs>
            <w:bidi w:val="0"/>
            <w:spacing w:before="281" w:beforeAutospacing="off" w:after="281" w:afterAutospacing="off"/>
            <w:rPr>
              <w:rStyle w:val="Hyperlink"/>
            </w:rPr>
          </w:pPr>
          <w:hyperlink w:anchor="_Toc610235639">
            <w:r w:rsidRPr="4144CB8A" w:rsidR="4144CB8A">
              <w:rPr>
                <w:rStyle w:val="Hyperlink"/>
              </w:rPr>
              <w:t>Conclusion</w:t>
            </w:r>
            <w:r>
              <w:tab/>
            </w:r>
            <w:r>
              <w:fldChar w:fldCharType="begin"/>
            </w:r>
            <w:r>
              <w:instrText xml:space="preserve">PAGEREF _Toc610235639 \h</w:instrText>
            </w:r>
            <w:r>
              <w:fldChar w:fldCharType="separate"/>
            </w:r>
            <w:r w:rsidRPr="4144CB8A" w:rsidR="4144CB8A">
              <w:rPr>
                <w:rStyle w:val="Hyperlink"/>
              </w:rPr>
              <w:t>10</w:t>
            </w:r>
            <w:r>
              <w:fldChar w:fldCharType="end"/>
            </w:r>
          </w:hyperlink>
        </w:p>
        <w:p xmlns:wp14="http://schemas.microsoft.com/office/word/2010/wordml" w:rsidP="4144CB8A" wp14:paraId="735B0734" wp14:textId="38456D67">
          <w:pPr>
            <w:pStyle w:val="TOC1"/>
            <w:tabs>
              <w:tab w:val="right" w:leader="dot" w:pos="9360"/>
            </w:tabs>
            <w:bidi w:val="0"/>
            <w:spacing w:before="281" w:beforeAutospacing="off" w:after="281" w:afterAutospacing="off"/>
            <w:rPr>
              <w:rStyle w:val="Hyperlink"/>
            </w:rPr>
          </w:pPr>
          <w:hyperlink w:anchor="_Toc243328507">
            <w:r w:rsidRPr="4144CB8A" w:rsidR="4144CB8A">
              <w:rPr>
                <w:rStyle w:val="Hyperlink"/>
              </w:rPr>
              <w:t>References</w:t>
            </w:r>
            <w:r>
              <w:tab/>
            </w:r>
            <w:r>
              <w:fldChar w:fldCharType="begin"/>
            </w:r>
            <w:r>
              <w:instrText xml:space="preserve">PAGEREF _Toc243328507 \h</w:instrText>
            </w:r>
            <w:r>
              <w:fldChar w:fldCharType="separate"/>
            </w:r>
            <w:r w:rsidRPr="4144CB8A" w:rsidR="4144CB8A">
              <w:rPr>
                <w:rStyle w:val="Hyperlink"/>
              </w:rPr>
              <w:t>11</w:t>
            </w:r>
            <w:r>
              <w:fldChar w:fldCharType="end"/>
            </w:r>
          </w:hyperlink>
          <w:r>
            <w:fldChar w:fldCharType="end"/>
          </w:r>
        </w:p>
      </w:sdtContent>
    </w:sdt>
    <w:p xmlns:wp14="http://schemas.microsoft.com/office/word/2010/wordml" w:rsidP="4144CB8A" wp14:paraId="0D48F80C" wp14:textId="5E789453">
      <w:pPr>
        <w:pStyle w:val="Heading1"/>
        <w:rPr>
          <w:noProof w:val="0"/>
          <w:color w:val="auto"/>
          <w:u w:val="single"/>
          <w:lang w:val="en-US"/>
        </w:rPr>
      </w:pPr>
    </w:p>
    <w:p xmlns:wp14="http://schemas.microsoft.com/office/word/2010/wordml" w:rsidP="4144CB8A" wp14:paraId="00428B75" wp14:textId="07A57B57">
      <w:pPr>
        <w:pStyle w:val="Heading1"/>
        <w:rPr>
          <w:noProof w:val="0"/>
          <w:color w:val="auto"/>
          <w:u w:val="single"/>
          <w:lang w:val="en-US"/>
        </w:rPr>
      </w:pPr>
    </w:p>
    <w:p xmlns:wp14="http://schemas.microsoft.com/office/word/2010/wordml" w:rsidP="4144CB8A" wp14:paraId="43DD969B" wp14:textId="5BB4CB3B">
      <w:pPr>
        <w:pStyle w:val="Heading1"/>
        <w:rPr>
          <w:noProof w:val="0"/>
          <w:color w:val="auto"/>
          <w:u w:val="single"/>
          <w:lang w:val="en-US"/>
        </w:rPr>
      </w:pPr>
    </w:p>
    <w:p xmlns:wp14="http://schemas.microsoft.com/office/word/2010/wordml" w:rsidP="4144CB8A" wp14:paraId="5809FC53" wp14:textId="0EE3BD56">
      <w:pPr>
        <w:pStyle w:val="Heading1"/>
        <w:rPr>
          <w:noProof w:val="0"/>
          <w:color w:val="auto"/>
          <w:u w:val="single"/>
          <w:lang w:val="en-US"/>
        </w:rPr>
      </w:pPr>
    </w:p>
    <w:p xmlns:wp14="http://schemas.microsoft.com/office/word/2010/wordml" w:rsidP="4144CB8A" wp14:paraId="3E07E778" wp14:textId="24905BAD">
      <w:pPr>
        <w:pStyle w:val="Heading1"/>
        <w:rPr>
          <w:noProof w:val="0"/>
          <w:color w:val="auto"/>
          <w:u w:val="single"/>
          <w:lang w:val="en-US"/>
        </w:rPr>
      </w:pPr>
    </w:p>
    <w:p xmlns:wp14="http://schemas.microsoft.com/office/word/2010/wordml" w:rsidP="4144CB8A" wp14:paraId="16507851" wp14:textId="35F97798">
      <w:pPr>
        <w:pStyle w:val="Normal"/>
        <w:rPr>
          <w:noProof w:val="0"/>
          <w:lang w:val="en-US"/>
        </w:rPr>
      </w:pPr>
    </w:p>
    <w:p xmlns:wp14="http://schemas.microsoft.com/office/word/2010/wordml" w:rsidP="4144CB8A" wp14:paraId="1E5E4824" wp14:textId="44A69E18">
      <w:pPr>
        <w:pStyle w:val="Normal"/>
        <w:rPr>
          <w:noProof w:val="0"/>
          <w:lang w:val="en-US"/>
        </w:rPr>
      </w:pPr>
    </w:p>
    <w:p xmlns:wp14="http://schemas.microsoft.com/office/word/2010/wordml" w:rsidP="4144CB8A" wp14:paraId="17A35FBC" wp14:textId="3C45C70E">
      <w:pPr>
        <w:pStyle w:val="Heading1"/>
        <w:rPr>
          <w:rFonts w:ascii="Arial Nova" w:hAnsi="Arial Nova" w:eastAsia="Arial Nova" w:cs="Arial Nova"/>
          <w:b w:val="0"/>
          <w:bCs w:val="0"/>
          <w:i w:val="0"/>
          <w:iCs w:val="0"/>
          <w:noProof w:val="0"/>
          <w:color w:val="auto"/>
          <w:sz w:val="24"/>
          <w:szCs w:val="24"/>
          <w:u w:val="single"/>
          <w:lang w:val="en-US"/>
        </w:rPr>
      </w:pPr>
      <w:bookmarkStart w:name="_Toc1223224975" w:id="1279441032"/>
      <w:r w:rsidRPr="4144CB8A" w:rsidR="0D9005EB">
        <w:rPr>
          <w:noProof w:val="0"/>
          <w:color w:val="auto"/>
          <w:u w:val="single"/>
          <w:lang w:val="en-US"/>
        </w:rPr>
        <w:t>Introduction</w:t>
      </w:r>
      <w:bookmarkEnd w:id="1279441032"/>
    </w:p>
    <w:p xmlns:wp14="http://schemas.microsoft.com/office/word/2010/wordml" w:rsidP="4144CB8A" wp14:paraId="369934C7" wp14:textId="1BC7B73B"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represents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the shared values, beliefs, and assumptions that shape the way members of an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interact and perform their roles. It defines “how things are done around here</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influencing employee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behaviour</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managerial decisions, and overall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effectiveness (Mullins and Christy, 2016). The concept is critical as it forms the underlying framework for communication, motivation, structure, and strategic orientation within an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A strong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 can lead to consistency, stability, and improved performance, while a weak or misaligned culture may hinder progress and innovation.</w:t>
      </w:r>
    </w:p>
    <w:p xmlns:wp14="http://schemas.microsoft.com/office/word/2010/wordml" w:rsidP="4144CB8A" wp14:paraId="02D36B48" wp14:textId="76917F35"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This report examines the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 of Toyota Motor Corporation, one of the world’s largest automobile manufacturers, headquartered in Toyota City, Japan. Founded in 1937 by Kiichiro Toyoda, Toyota is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recognised</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for its commitment to quality, innovation, and continuous improvement. The company’s culture, often referred to as the “Toyota Way</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has become a global benchmark in manufacturing and management practices. Through this analysis, the report will assess how Toyota’s culture shapes its structure and decision-making, explore cultural identification through various models and frameworks, discuss its role in adapting to external environments, and evaluate whether the culture acts as a barrier to effective functioning. Finally, the impact of Toyota’s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 on overall performance will be evaluated, and recommendations for enhancement will be provided.</w:t>
      </w:r>
    </w:p>
    <w:p w:rsidR="4144CB8A" w:rsidP="4144CB8A" w:rsidRDefault="4144CB8A" w14:noSpellErr="1" w14:paraId="656E9E67" w14:textId="088CB5E5">
      <w:pPr>
        <w:pStyle w:val="Heading1"/>
        <w:rPr>
          <w:rFonts w:ascii="Arial Nova" w:hAnsi="Arial Nova" w:eastAsia="Arial Nova" w:cs="Arial Nova"/>
          <w:b w:val="0"/>
          <w:bCs w:val="0"/>
          <w:i w:val="0"/>
          <w:iCs w:val="0"/>
          <w:color w:val="000000" w:themeColor="text1" w:themeTint="FF" w:themeShade="FF"/>
          <w:sz w:val="24"/>
          <w:szCs w:val="24"/>
        </w:rPr>
      </w:pPr>
    </w:p>
    <w:p w:rsidR="4144CB8A" w:rsidP="4144CB8A" w:rsidRDefault="4144CB8A" w14:paraId="29823F45" w14:textId="299061D9">
      <w:pPr>
        <w:pStyle w:val="Normal"/>
        <w:rPr>
          <w:noProof w:val="0"/>
          <w:lang w:val="en-US"/>
        </w:rPr>
      </w:pPr>
    </w:p>
    <w:p w:rsidR="4144CB8A" w:rsidP="4144CB8A" w:rsidRDefault="4144CB8A" w14:paraId="047DB8D1" w14:textId="009D9E0A">
      <w:pPr>
        <w:pStyle w:val="Normal"/>
        <w:rPr>
          <w:noProof w:val="0"/>
          <w:lang w:val="en-US"/>
        </w:rPr>
      </w:pPr>
    </w:p>
    <w:p xmlns:wp14="http://schemas.microsoft.com/office/word/2010/wordml" w:rsidP="4144CB8A" wp14:paraId="51FCF3AD" wp14:textId="10E3CBB5" wp14:noSpellErr="1">
      <w:pPr>
        <w:pStyle w:val="Heading1"/>
        <w:rPr>
          <w:rFonts w:ascii="Arial Nova" w:hAnsi="Arial Nova" w:eastAsia="Arial Nova" w:cs="Arial Nova"/>
          <w:b w:val="0"/>
          <w:bCs w:val="0"/>
          <w:i w:val="0"/>
          <w:iCs w:val="0"/>
          <w:noProof w:val="0"/>
          <w:color w:val="auto"/>
          <w:sz w:val="24"/>
          <w:szCs w:val="24"/>
          <w:u w:val="single"/>
          <w:lang w:val="en-US"/>
        </w:rPr>
      </w:pPr>
      <w:bookmarkStart w:name="_Toc496327731" w:id="1312347456"/>
      <w:r w:rsidRPr="4144CB8A" w:rsidR="0D9005EB">
        <w:rPr>
          <w:noProof w:val="0"/>
          <w:color w:val="auto"/>
          <w:u w:val="single"/>
          <w:lang w:val="en-US"/>
        </w:rPr>
        <w:t>Organisational</w:t>
      </w:r>
      <w:r w:rsidRPr="4144CB8A" w:rsidR="0D9005EB">
        <w:rPr>
          <w:noProof w:val="0"/>
          <w:color w:val="auto"/>
          <w:u w:val="single"/>
          <w:lang w:val="en-US"/>
        </w:rPr>
        <w:t xml:space="preserve"> Culture of Toyota</w:t>
      </w:r>
      <w:bookmarkEnd w:id="1312347456"/>
    </w:p>
    <w:p w:rsidR="4144CB8A" w:rsidP="4144CB8A" w:rsidRDefault="4144CB8A" w14:paraId="1EF98132" w14:textId="3557122A">
      <w:pPr>
        <w:rPr>
          <w:rFonts w:ascii="Arial Nova" w:hAnsi="Arial Nova" w:eastAsia="Arial Nova" w:cs="Arial Nova"/>
          <w:b w:val="0"/>
          <w:bCs w:val="0"/>
          <w:i w:val="0"/>
          <w:iCs w:val="0"/>
          <w:color w:val="000000" w:themeColor="text1" w:themeTint="FF" w:themeShade="FF"/>
          <w:sz w:val="24"/>
          <w:szCs w:val="24"/>
        </w:rPr>
      </w:pPr>
    </w:p>
    <w:p w:rsidR="551943D6" w:rsidP="4144CB8A" w:rsidRDefault="551943D6" w14:paraId="4560C9B4" w14:textId="0739A264">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Toyota’s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culture is deeply rooted in Japanese values of respect, teamwork, humility, and continuous improvement. This cultural foundation, often referred to as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The Toyota Way</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is built upon two fundamental pillars: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continuous improvement (Kaizen)</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and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respect for people</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These guiding principles underpin every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facet</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of Toyota’s operations</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w:t>
      </w:r>
      <w:r w:rsidRPr="4144CB8A" w:rsidR="055F76E6">
        <w:rPr>
          <w:rFonts w:ascii="Arial Nova" w:hAnsi="Arial Nova" w:eastAsia="Arial Nova" w:cs="Arial Nova"/>
          <w:b w:val="0"/>
          <w:bCs w:val="0"/>
          <w:i w:val="0"/>
          <w:iCs w:val="0"/>
          <w:noProof w:val="0"/>
          <w:color w:val="000000" w:themeColor="text1" w:themeTint="FF" w:themeShade="FF"/>
          <w:sz w:val="24"/>
          <w:szCs w:val="24"/>
          <w:lang w:val="en-US"/>
        </w:rPr>
        <w:t>(</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from product design and production to leadership philosophy and stakeholder relations</w:t>
      </w:r>
      <w:r w:rsidRPr="4144CB8A" w:rsidR="4C378194">
        <w:rPr>
          <w:rFonts w:ascii="Arial Nova" w:hAnsi="Arial Nova" w:eastAsia="Arial Nova" w:cs="Arial Nova"/>
          <w:b w:val="0"/>
          <w:bCs w:val="0"/>
          <w:i w:val="0"/>
          <w:iCs w:val="0"/>
          <w:noProof w:val="0"/>
          <w:color w:val="000000" w:themeColor="text1" w:themeTint="FF" w:themeShade="FF"/>
          <w:sz w:val="24"/>
          <w:szCs w:val="24"/>
          <w:lang w:val="en-US"/>
        </w:rPr>
        <w:t xml:space="preserve">)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and have been instrumental in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establishing</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Toyota’s reputation for excellence, innovation, and reliability in the global automobile industry.</w:t>
      </w:r>
    </w:p>
    <w:p w:rsidR="551943D6" w:rsidP="4144CB8A" w:rsidRDefault="551943D6" w14:paraId="273BEAC5" w14:textId="5F87635F">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The principle of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continuous improvement (Kaizen)</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encourages an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mindset of learning, reflection, and incremental innovation. Rather than viewing improvement as a one-time effort, Toyota promotes it as an ongoing, collective process that involves employees at all levels. Workers are empowered to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identify</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inefficiencies and propose practical solutions, which </w:t>
      </w:r>
      <w:r w:rsidRPr="4144CB8A" w:rsidR="08C83FA9">
        <w:rPr>
          <w:rFonts w:ascii="Arial Nova" w:hAnsi="Arial Nova" w:eastAsia="Arial Nova" w:cs="Arial Nova"/>
          <w:b w:val="0"/>
          <w:bCs w:val="0"/>
          <w:i w:val="0"/>
          <w:iCs w:val="0"/>
          <w:noProof w:val="0"/>
          <w:color w:val="000000" w:themeColor="text1" w:themeTint="FF" w:themeShade="FF"/>
          <w:sz w:val="24"/>
          <w:szCs w:val="24"/>
          <w:lang w:val="en-US"/>
        </w:rPr>
        <w:t>foster</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a sense of ownership, accountability, and pride in their work (Liker, 2004). This participative approach has become embedded in Toyota’s production system, where practices such as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Just-in-Time</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and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Jidoka</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(automation with a human touch) exemplify precision, quality, and efficiency. The empowerment of employees to stop production lines when a defect is detected highlights a culture that values problem-solving and trust,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prioritising</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long-term quality over short-term output.</w:t>
      </w:r>
    </w:p>
    <w:p w:rsidR="551943D6" w:rsidP="4144CB8A" w:rsidRDefault="551943D6" w14:paraId="7DCCCF57" w14:textId="025385CF">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The second pillar,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respect for people</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emphasises</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the human dimension of Toyota’s success. The company regards its employees, suppliers, and customers as partners rather than transactional stakeholders. This belief fosters a culture of mutual trust, open communication, and collaboration. Toyota invests heavily in employee training, leadership development, and career progression to ensure that staff not only perform their roles effectively but also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internalise</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the company’s core values. For instance, Toyota’s global leadership programs are designed to cultivate managers who embody humility and empathy</w:t>
      </w:r>
      <w:r w:rsidRPr="4144CB8A" w:rsidR="42027319">
        <w:rPr>
          <w:rFonts w:ascii="Arial Nova" w:hAnsi="Arial Nova" w:eastAsia="Arial Nova" w:cs="Arial Nova"/>
          <w:b w:val="0"/>
          <w:bCs w:val="0"/>
          <w:i w:val="0"/>
          <w:iCs w:val="0"/>
          <w:noProof w:val="0"/>
          <w:color w:val="000000" w:themeColor="text1" w:themeTint="FF" w:themeShade="FF"/>
          <w:sz w:val="24"/>
          <w:szCs w:val="24"/>
          <w:lang w:val="en-US"/>
        </w:rPr>
        <w:t xml:space="preserve">. </w:t>
      </w:r>
    </w:p>
    <w:p w:rsidR="551943D6" w:rsidP="4144CB8A" w:rsidRDefault="551943D6" w14:paraId="7DA5D450" w14:textId="7512017A">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Toyota’s culture also reflects Japan’s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collectivis</w:t>
      </w:r>
      <w:r w:rsidRPr="4144CB8A" w:rsidR="1EF244A5">
        <w:rPr>
          <w:rFonts w:ascii="Arial Nova" w:hAnsi="Arial Nova" w:eastAsia="Arial Nova" w:cs="Arial Nova"/>
          <w:b w:val="0"/>
          <w:bCs w:val="0"/>
          <w:i w:val="0"/>
          <w:iCs w:val="0"/>
          <w:noProof w:val="0"/>
          <w:color w:val="000000" w:themeColor="text1" w:themeTint="FF" w:themeShade="FF"/>
          <w:sz w:val="24"/>
          <w:szCs w:val="24"/>
          <w:lang w:val="en-US"/>
        </w:rPr>
        <w:t>m</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which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prioritises</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group harmony and consensus over individual achievement (Hofstede, 2011). This collectivism manifests in Toyota’s emphasis on teamwork and shared responsibility. Decision-making often involves</w:t>
      </w:r>
      <w:r w:rsidRPr="4144CB8A" w:rsidR="7B70AF91">
        <w:rPr>
          <w:rFonts w:ascii="Arial Nova" w:hAnsi="Arial Nova" w:eastAsia="Arial Nova" w:cs="Arial Nova"/>
          <w:b w:val="0"/>
          <w:bCs w:val="0"/>
          <w:i w:val="0"/>
          <w:iCs w:val="0"/>
          <w:noProof w:val="0"/>
          <w:color w:val="000000" w:themeColor="text1" w:themeTint="FF" w:themeShade="FF"/>
          <w:sz w:val="24"/>
          <w:szCs w:val="24"/>
          <w:lang w:val="en-US"/>
        </w:rPr>
        <w:t xml:space="preserve">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an informal consensus-building process that ensures all relevant parties are consulted before a final decision is made. This practice enhances unity and commitment, ensuring that once a decision is reached, implementation is efficient and conflict-free. However, this inclusive approach can sometimes make decision-making slower, particularly in fast-moving markets where agility is crucial.</w:t>
      </w:r>
    </w:p>
    <w:p w:rsidR="551943D6" w:rsidP="4144CB8A" w:rsidRDefault="551943D6" w14:paraId="774E3A53" w14:textId="13ECC5E6">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Moreover, Toyota’s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culture embodies a balance between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tradition and innovation</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While deeply rooted in Japanese customs, the company has successfully adapted its cultural principles to fit international contexts. Toyota’s ability to transfer its culture across global subsidiaries </w:t>
      </w:r>
      <w:r w:rsidRPr="4144CB8A" w:rsidR="5FE0BE49">
        <w:rPr>
          <w:rFonts w:ascii="Arial Nova" w:hAnsi="Arial Nova" w:eastAsia="Arial Nova" w:cs="Arial Nova"/>
          <w:b w:val="0"/>
          <w:bCs w:val="0"/>
          <w:i w:val="0"/>
          <w:iCs w:val="0"/>
          <w:noProof w:val="0"/>
          <w:color w:val="000000" w:themeColor="text1" w:themeTint="FF" w:themeShade="FF"/>
          <w:sz w:val="24"/>
          <w:szCs w:val="24"/>
          <w:lang w:val="en-US"/>
        </w:rPr>
        <w:t>(</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through structured training, shared rituals, and a clear articulation of the Toyota Way</w:t>
      </w:r>
      <w:r w:rsidRPr="4144CB8A" w:rsidR="218F2F8C">
        <w:rPr>
          <w:rFonts w:ascii="Arial Nova" w:hAnsi="Arial Nova" w:eastAsia="Arial Nova" w:cs="Arial Nova"/>
          <w:b w:val="0"/>
          <w:bCs w:val="0"/>
          <w:i w:val="0"/>
          <w:iCs w:val="0"/>
          <w:noProof w:val="0"/>
          <w:color w:val="000000" w:themeColor="text1" w:themeTint="FF" w:themeShade="FF"/>
          <w:sz w:val="24"/>
          <w:szCs w:val="24"/>
          <w:lang w:val="en-US"/>
        </w:rPr>
        <w:t xml:space="preserve">)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ensures consistency and alignment with corporate values.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Overall, Toyota’s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culture is </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characterised</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by cohesion, discipline, and a commitment to excellence. It has evolved into a strategic asset that drives innovation, strengthens stakeholder relationships, and sustains competitive </w:t>
      </w:r>
      <w:r w:rsidRPr="4144CB8A" w:rsidR="5574F673">
        <w:rPr>
          <w:rFonts w:ascii="Arial Nova" w:hAnsi="Arial Nova" w:eastAsia="Arial Nova" w:cs="Arial Nova"/>
          <w:b w:val="0"/>
          <w:bCs w:val="0"/>
          <w:i w:val="0"/>
          <w:iCs w:val="0"/>
          <w:noProof w:val="0"/>
          <w:color w:val="000000" w:themeColor="text1" w:themeTint="FF" w:themeShade="FF"/>
          <w:sz w:val="24"/>
          <w:szCs w:val="24"/>
          <w:lang w:val="en-US"/>
        </w:rPr>
        <w:t>advantages</w:t>
      </w:r>
      <w:r w:rsidRPr="4144CB8A" w:rsidR="551943D6">
        <w:rPr>
          <w:rFonts w:ascii="Arial Nova" w:hAnsi="Arial Nova" w:eastAsia="Arial Nova" w:cs="Arial Nova"/>
          <w:b w:val="0"/>
          <w:bCs w:val="0"/>
          <w:i w:val="0"/>
          <w:iCs w:val="0"/>
          <w:noProof w:val="0"/>
          <w:color w:val="000000" w:themeColor="text1" w:themeTint="FF" w:themeShade="FF"/>
          <w:sz w:val="24"/>
          <w:szCs w:val="24"/>
          <w:lang w:val="en-US"/>
        </w:rPr>
        <w:t xml:space="preserve">. </w:t>
      </w:r>
    </w:p>
    <w:p w:rsidR="4144CB8A" w:rsidP="4144CB8A" w:rsidRDefault="4144CB8A" w14:paraId="5A707333" w14:textId="463A6AFC">
      <w:pPr>
        <w:pStyle w:val="Normal"/>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29E63EDD" w14:textId="0BAD13E4">
      <w:pPr>
        <w:pStyle w:val="Normal"/>
        <w:rPr>
          <w:rFonts w:ascii="Arial Nova" w:hAnsi="Arial Nova" w:eastAsia="Arial Nova" w:cs="Arial Nova"/>
          <w:b w:val="0"/>
          <w:bCs w:val="0"/>
          <w:i w:val="0"/>
          <w:iCs w:val="0"/>
          <w:noProof w:val="0"/>
          <w:color w:val="000000" w:themeColor="text1" w:themeTint="FF" w:themeShade="FF"/>
          <w:sz w:val="24"/>
          <w:szCs w:val="24"/>
          <w:lang w:val="en-US"/>
        </w:rPr>
      </w:pPr>
    </w:p>
    <w:p w:rsidR="0177A0B5" w:rsidP="4144CB8A" w:rsidRDefault="0177A0B5" w14:paraId="44DC9167" w14:textId="6C9FDEC1">
      <w:pPr>
        <w:pStyle w:val="Heading1"/>
        <w:rPr>
          <w:rFonts w:ascii="Arial Nova" w:hAnsi="Arial Nova" w:eastAsia="Arial Nova" w:cs="Arial Nova"/>
          <w:b w:val="0"/>
          <w:bCs w:val="0"/>
          <w:i w:val="0"/>
          <w:iCs w:val="0"/>
          <w:noProof w:val="0"/>
          <w:color w:val="auto"/>
          <w:sz w:val="24"/>
          <w:szCs w:val="24"/>
          <w:u w:val="single"/>
          <w:lang w:val="en-US"/>
        </w:rPr>
      </w:pPr>
      <w:bookmarkStart w:name="_Toc1993603403" w:id="1989339293"/>
      <w:r w:rsidRPr="4144CB8A" w:rsidR="0177A0B5">
        <w:rPr>
          <w:noProof w:val="0"/>
          <w:color w:val="auto"/>
          <w:u w:val="single"/>
          <w:lang w:val="en-US"/>
        </w:rPr>
        <w:t>Influence of Culture on Structure and Decision-Making</w:t>
      </w:r>
      <w:bookmarkEnd w:id="1989339293"/>
    </w:p>
    <w:p w:rsidR="0177A0B5" w:rsidP="4144CB8A" w:rsidRDefault="0177A0B5" w14:paraId="69A7C187" w14:textId="2203694B">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Toyota’s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culture has a profound influence on both its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structure</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and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decision-making processes</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shaping how authority, communication, and collaboration occur throughout the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organisation</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The company employs a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hybrid structure</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that blends elements of functional and divisional design, allowing it to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maintain</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global coordination while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remaining</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responsive to local market needs. This structure reflects Toyota’s core cultural principles of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teamwork,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decentralisation</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and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continuous improvement</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ensuring that its strategic and operational practices are closely aligned with its cultural foundations.</w:t>
      </w:r>
    </w:p>
    <w:p w:rsidR="0177A0B5" w:rsidP="4144CB8A" w:rsidRDefault="0177A0B5" w14:paraId="306AA6EF" w14:textId="64515F6F">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The pillar of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respect for people</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is particularly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evident</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in Toyota’s structural design. The company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maintains</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a </w:t>
      </w:r>
      <w:r w:rsidRPr="4144CB8A" w:rsidR="31CF6F42">
        <w:rPr>
          <w:rFonts w:ascii="Arial Nova" w:hAnsi="Arial Nova" w:eastAsia="Arial Nova" w:cs="Arial Nova"/>
          <w:b w:val="0"/>
          <w:bCs w:val="0"/>
          <w:i w:val="0"/>
          <w:iCs w:val="0"/>
          <w:noProof w:val="0"/>
          <w:color w:val="000000" w:themeColor="text1" w:themeTint="FF" w:themeShade="FF"/>
          <w:sz w:val="24"/>
          <w:szCs w:val="24"/>
          <w:lang w:val="en-US"/>
        </w:rPr>
        <w:t>flat</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hierarchy</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where communication channels between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different levels</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of the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organisation</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are open and encouraged. Employees are expected to share ideas freely and work collaboratively across functions, fostering a climate of mutual trust and shared responsibility. This participative structure supports Toyota’s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Kaizen</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philosophy, ensuring that valuable insights from all employees</w:t>
      </w:r>
      <w:r w:rsidRPr="4144CB8A" w:rsidR="20A73C42">
        <w:rPr>
          <w:rFonts w:ascii="Arial Nova" w:hAnsi="Arial Nova" w:eastAsia="Arial Nova" w:cs="Arial Nova"/>
          <w:b w:val="0"/>
          <w:bCs w:val="0"/>
          <w:i w:val="0"/>
          <w:iCs w:val="0"/>
          <w:noProof w:val="0"/>
          <w:color w:val="000000" w:themeColor="text1" w:themeTint="FF" w:themeShade="FF"/>
          <w:sz w:val="24"/>
          <w:szCs w:val="24"/>
          <w:lang w:val="en-US"/>
        </w:rPr>
        <w:t>,</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not only managers</w:t>
      </w:r>
      <w:r w:rsidRPr="4144CB8A" w:rsidR="6AFE5F89">
        <w:rPr>
          <w:rFonts w:ascii="Arial Nova" w:hAnsi="Arial Nova" w:eastAsia="Arial Nova" w:cs="Arial Nova"/>
          <w:b w:val="0"/>
          <w:bCs w:val="0"/>
          <w:i w:val="0"/>
          <w:iCs w:val="0"/>
          <w:noProof w:val="0"/>
          <w:color w:val="000000" w:themeColor="text1" w:themeTint="FF" w:themeShade="FF"/>
          <w:sz w:val="24"/>
          <w:szCs w:val="24"/>
          <w:lang w:val="en-US"/>
        </w:rPr>
        <w:t xml:space="preserve">,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contribute to problem-solving and innovation. It also enhances engagement, as workers feel that their contributions directly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impact</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success.</w:t>
      </w:r>
    </w:p>
    <w:p w:rsidR="0177A0B5" w:rsidP="4144CB8A" w:rsidRDefault="0177A0B5" w14:paraId="47D834FC" w14:textId="21E1EF93">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A defining feature of Toyota’s decision-making is its emphasis on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Genchi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Genbutsu</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which translates to “go and see for yourself.” This principle requires leaders and managers to visit the site of a problem,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observe</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processes firsthand, and base decisions on factual, real-world evidence. This practice ensures that decisions are informed, practical, and aligned with the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organisation’s</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operational realities. It also reinforces Toyota’s cultural commitment to learning and continuous improvement, as leaders are expected to understand the challenges faced by their teams at the ground level.</w:t>
      </w:r>
    </w:p>
    <w:p w:rsidR="0177A0B5" w:rsidP="4144CB8A" w:rsidRDefault="0177A0B5" w14:paraId="2F2F1355" w14:textId="64C4575F">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Decision-making at Toyota typically follows a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bottom-up and consensus-based approach</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contrasting with the top-down models found in many Western corporations. The process of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Nemawashi</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(informal consensus-building) ensures that before a decision is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finalised</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all affected parties have an opportunity to discuss and shape the outcome. This inclusive method not only builds stronger buy-in and commitment from employees but also reduces the likelihood of resistance during implementation. As Hino (2006) notes, while this approach can slow down decision-making, it significantly enhances the quality and sustainability of decisions because they are based on broad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support and diverse perspectives.</w:t>
      </w:r>
    </w:p>
    <w:p w:rsidR="0177A0B5" w:rsidP="4144CB8A" w:rsidRDefault="0177A0B5" w14:paraId="4F526528" w14:textId="50260D16">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Culturally, Toyota’s decision-making style also reflects a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balance between caution and progressiveness</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The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organisation</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encourages innovation but adopts a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risk-averse and incremental</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approach to change. Rather than implementing radical shifts, Toyota often tests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new ideas</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through small-scale experiments, evaluates the results, and then scales successful practices. This iterative approach aligns with its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Kaizen</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philosophy, ensuring that change is both continuous and controlled. For instance, innovations within the Toyota Production System are often refined over time through collective input before being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standardised</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across global operations.</w:t>
      </w:r>
    </w:p>
    <w:p w:rsidR="0177A0B5" w:rsidP="4144CB8A" w:rsidRDefault="0177A0B5" w14:paraId="2E95A9FA" w14:textId="4EA30A5D">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Furthermore, Toyota’s structure supports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cross-functional collaboration</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especially between departments such as engineering, production, and quality assurance. This integration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minimises</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silos and enhances information flow, ensuring that decisions consider multiple operational perspectives. It also enables Toyota to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maintain</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its reputation for high-quality standards, as problems can be addressed collaboratively and efficiently.</w:t>
      </w:r>
    </w:p>
    <w:p w:rsidR="0177A0B5" w:rsidP="4144CB8A" w:rsidRDefault="0177A0B5" w14:paraId="14581627" w14:textId="78F79445">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In summary, Toyota’s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culture and structure are deeply intertwined, creating a system that values participation, evidence-based decision-making, and long-term thinking. The combination of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decentralisation</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consensus-building, and disciplined implementation ensures that Toyota’s decisions are not only effective but also culturally consistent with its principles of respect, teamwork, and continuous improvement. This cultural integration within structure and decision-making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remains</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a key driver of Toyota’s global success and enduring </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177A0B5">
        <w:rPr>
          <w:rFonts w:ascii="Arial Nova" w:hAnsi="Arial Nova" w:eastAsia="Arial Nova" w:cs="Arial Nova"/>
          <w:b w:val="0"/>
          <w:bCs w:val="0"/>
          <w:i w:val="0"/>
          <w:iCs w:val="0"/>
          <w:noProof w:val="0"/>
          <w:color w:val="000000" w:themeColor="text1" w:themeTint="FF" w:themeShade="FF"/>
          <w:sz w:val="24"/>
          <w:szCs w:val="24"/>
          <w:lang w:val="en-US"/>
        </w:rPr>
        <w:t xml:space="preserve"> stability.</w:t>
      </w:r>
    </w:p>
    <w:p w:rsidR="4144CB8A" w:rsidP="4144CB8A" w:rsidRDefault="4144CB8A" w14:paraId="225DFFFA" w14:textId="3F7D74BA">
      <w:pPr>
        <w:pStyle w:val="Normal"/>
        <w:rPr>
          <w:rFonts w:ascii="Arial Nova" w:hAnsi="Arial Nova" w:eastAsia="Arial Nova" w:cs="Arial Nova"/>
          <w:b w:val="0"/>
          <w:bCs w:val="0"/>
          <w:i w:val="0"/>
          <w:iCs w:val="0"/>
          <w:color w:val="000000" w:themeColor="text1" w:themeTint="FF" w:themeShade="FF"/>
          <w:sz w:val="24"/>
          <w:szCs w:val="24"/>
        </w:rPr>
      </w:pPr>
    </w:p>
    <w:p w:rsidR="4144CB8A" w:rsidP="4144CB8A" w:rsidRDefault="4144CB8A" w14:paraId="2160DE15" w14:textId="3F2FE126">
      <w:pPr>
        <w:pStyle w:val="Normal"/>
        <w:rPr>
          <w:rFonts w:ascii="Arial Nova" w:hAnsi="Arial Nova" w:eastAsia="Arial Nova" w:cs="Arial Nova"/>
          <w:b w:val="0"/>
          <w:bCs w:val="0"/>
          <w:i w:val="0"/>
          <w:iCs w:val="0"/>
          <w:color w:val="000000" w:themeColor="text1" w:themeTint="FF" w:themeShade="FF"/>
          <w:sz w:val="24"/>
          <w:szCs w:val="24"/>
        </w:rPr>
      </w:pPr>
    </w:p>
    <w:p xmlns:wp14="http://schemas.microsoft.com/office/word/2010/wordml" w:rsidP="4144CB8A" wp14:paraId="386FDE45" wp14:textId="531A0FE6" wp14:noSpellErr="1">
      <w:pPr>
        <w:pStyle w:val="Heading1"/>
        <w:rPr>
          <w:rFonts w:ascii="Arial Nova" w:hAnsi="Arial Nova" w:eastAsia="Arial Nova" w:cs="Arial Nova"/>
          <w:b w:val="0"/>
          <w:bCs w:val="0"/>
          <w:i w:val="0"/>
          <w:iCs w:val="0"/>
          <w:noProof w:val="0"/>
          <w:color w:val="auto"/>
          <w:sz w:val="24"/>
          <w:szCs w:val="24"/>
          <w:u w:val="single"/>
          <w:lang w:val="en-US"/>
        </w:rPr>
      </w:pPr>
      <w:bookmarkStart w:name="_Toc428455732" w:id="877636023"/>
      <w:r w:rsidRPr="4144CB8A" w:rsidR="0D9005EB">
        <w:rPr>
          <w:noProof w:val="0"/>
          <w:color w:val="auto"/>
          <w:u w:val="single"/>
          <w:lang w:val="en-US"/>
        </w:rPr>
        <w:t>Identifying</w:t>
      </w:r>
      <w:r w:rsidRPr="4144CB8A" w:rsidR="0D9005EB">
        <w:rPr>
          <w:noProof w:val="0"/>
          <w:color w:val="auto"/>
          <w:u w:val="single"/>
          <w:lang w:val="en-US"/>
        </w:rPr>
        <w:t xml:space="preserve"> Cultural Types: Models and Frameworks</w:t>
      </w:r>
      <w:bookmarkEnd w:id="877636023"/>
    </w:p>
    <w:p xmlns:wp14="http://schemas.microsoft.com/office/word/2010/wordml" w:rsidP="4144CB8A" wp14:paraId="249F17EF" wp14:textId="12A7BBB6"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To understand Toyota’s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 more comprehensively, various models and frameworks can be applied, including Schein’s Model of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 Hofstede’s Cultural Dimensions, and Handy’s Cultural Types.</w:t>
      </w:r>
    </w:p>
    <w:p xmlns:wp14="http://schemas.microsoft.com/office/word/2010/wordml" w:rsidP="4144CB8A" wp14:paraId="3216F565" wp14:textId="7EC433DA"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Schein’s Model of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(Schein, 2010) divides culture into three levels: artefacts, espoused values, and basic underlying assumptions. At Toyota,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artefacts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include visible manifestations such as the Toyota Production System (TPS), employee uniforms, and quality circles.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Espoused values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are represented by the Toyota Way’s principles of continuous improvement and respect for people. The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underlying assumptions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relate to deeply held beliefs about teamwork, discipline, and problem-solving. These assumptions are so ingrained that they guide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behaviour</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unconsciously, promoting a collective sense of responsibility and a long-term perspective.</w:t>
      </w:r>
    </w:p>
    <w:p xmlns:wp14="http://schemas.microsoft.com/office/word/2010/wordml" w:rsidP="4144CB8A" wp14:paraId="0457E969" wp14:textId="7E72C411"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Hofstede’s Cultural Dimensions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framework provides insights into Toyota’s cultural orientation. Japan scores high in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uncertainty avoidance</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and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collectivism</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and moderately high in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power distance</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which reflects Toyota’s structured approach to management and respect for hierarchy. However, the company’s commitment to collaboration and mutual respect reduces hierarchical barriers. The emphasis on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long-term orientation</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aligns with Toyota’s strategic patience and emphasis on sustainable growth. Furthermore, its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masculine culture</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underscores competitiveness and achievement,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evident</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in the company’s relentless pursuit of excellence.</w:t>
      </w:r>
    </w:p>
    <w:tbl>
      <w:tblPr>
        <w:tblStyle w:val="TableNormal"/>
        <w:bidiVisual w:val="0"/>
        <w:tblW w:w="0" w:type="auto"/>
        <w:tblBorders>
          <w:top w:val="single" w:color="000000" w:themeColor="text1" w:sz="12"/>
          <w:left w:val="single" w:color="000000" w:themeColor="text1" w:sz="12"/>
          <w:bottom w:val="single" w:color="000000" w:themeColor="text1" w:sz="12"/>
          <w:right w:val="single" w:color="000000" w:themeColor="text1" w:sz="12"/>
          <w:insideH w:val="single" w:color="000000" w:themeColor="text1" w:sz="12"/>
          <w:insideV w:val="single" w:color="000000" w:themeColor="text1" w:sz="12"/>
        </w:tblBorders>
        <w:tblLayout w:type="fixed"/>
        <w:tblLook w:val="06A0" w:firstRow="1" w:lastRow="0" w:firstColumn="1" w:lastColumn="0" w:noHBand="1" w:noVBand="1"/>
      </w:tblPr>
      <w:tblGrid>
        <w:gridCol w:w="3087"/>
        <w:gridCol w:w="1766"/>
        <w:gridCol w:w="5545"/>
      </w:tblGrid>
      <w:tr w:rsidR="4144CB8A" w:rsidTr="4144CB8A" w14:paraId="596FC0D5">
        <w:trPr>
          <w:trHeight w:val="300"/>
        </w:trPr>
        <w:tc>
          <w:tcPr>
            <w:tcW w:w="3087" w:type="dxa"/>
            <w:tcMar/>
            <w:vAlign w:val="center"/>
          </w:tcPr>
          <w:p w:rsidR="4144CB8A" w:rsidP="4144CB8A" w:rsidRDefault="4144CB8A" w14:paraId="426EDAA8" w14:textId="77843408">
            <w:pPr>
              <w:spacing w:before="0" w:beforeAutospacing="off" w:after="0" w:afterAutospacing="off"/>
              <w:jc w:val="center"/>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Dimension</w:t>
            </w:r>
          </w:p>
        </w:tc>
        <w:tc>
          <w:tcPr>
            <w:tcW w:w="1766" w:type="dxa"/>
            <w:tcMar/>
            <w:vAlign w:val="center"/>
          </w:tcPr>
          <w:p w:rsidR="4144CB8A" w:rsidP="4144CB8A" w:rsidRDefault="4144CB8A" w14:paraId="38E47236" w14:textId="3B7EEAF4">
            <w:pPr>
              <w:spacing w:before="0" w:beforeAutospacing="off" w:after="0" w:afterAutospacing="off"/>
              <w:jc w:val="center"/>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Japan’s Score</w:t>
            </w:r>
          </w:p>
        </w:tc>
        <w:tc>
          <w:tcPr>
            <w:tcW w:w="5545" w:type="dxa"/>
            <w:tcMar/>
            <w:vAlign w:val="center"/>
          </w:tcPr>
          <w:p w:rsidR="4144CB8A" w:rsidP="4144CB8A" w:rsidRDefault="4144CB8A" w14:paraId="620CDBA0" w14:textId="20061D9D">
            <w:pPr>
              <w:spacing w:before="0" w:beforeAutospacing="off" w:after="0" w:afterAutospacing="off"/>
              <w:jc w:val="center"/>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Toyota’s Cultural Reflection</w:t>
            </w:r>
          </w:p>
        </w:tc>
      </w:tr>
      <w:tr w:rsidR="4144CB8A" w:rsidTr="4144CB8A" w14:paraId="2285921D">
        <w:trPr>
          <w:trHeight w:val="300"/>
        </w:trPr>
        <w:tc>
          <w:tcPr>
            <w:tcW w:w="3087" w:type="dxa"/>
            <w:tcMar/>
            <w:vAlign w:val="center"/>
          </w:tcPr>
          <w:p w:rsidR="4144CB8A" w:rsidP="4144CB8A" w:rsidRDefault="4144CB8A" w14:paraId="46B32D65" w14:textId="56289A70">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Power Distance</w:t>
            </w:r>
          </w:p>
        </w:tc>
        <w:tc>
          <w:tcPr>
            <w:tcW w:w="1766" w:type="dxa"/>
            <w:tcMar/>
            <w:vAlign w:val="center"/>
          </w:tcPr>
          <w:p w:rsidR="4144CB8A" w:rsidP="4144CB8A" w:rsidRDefault="4144CB8A" w14:paraId="21A2BBD0" w14:textId="29510725">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Moderate</w:t>
            </w:r>
          </w:p>
        </w:tc>
        <w:tc>
          <w:tcPr>
            <w:tcW w:w="5545" w:type="dxa"/>
            <w:tcMar/>
            <w:vAlign w:val="center"/>
          </w:tcPr>
          <w:p w:rsidR="4144CB8A" w:rsidP="4144CB8A" w:rsidRDefault="4144CB8A" w14:paraId="18B44F9C" w14:textId="294FF7D2">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Respect for hierarchy balanced with open communication</w:t>
            </w:r>
          </w:p>
        </w:tc>
      </w:tr>
      <w:tr w:rsidR="4144CB8A" w:rsidTr="4144CB8A" w14:paraId="7E30890B">
        <w:trPr>
          <w:trHeight w:val="300"/>
        </w:trPr>
        <w:tc>
          <w:tcPr>
            <w:tcW w:w="3087" w:type="dxa"/>
            <w:tcMar/>
            <w:vAlign w:val="center"/>
          </w:tcPr>
          <w:p w:rsidR="4144CB8A" w:rsidP="4144CB8A" w:rsidRDefault="4144CB8A" w14:paraId="246E017A" w14:textId="01BF2465">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Individualism vs. Collectivism</w:t>
            </w:r>
          </w:p>
        </w:tc>
        <w:tc>
          <w:tcPr>
            <w:tcW w:w="1766" w:type="dxa"/>
            <w:tcMar/>
            <w:vAlign w:val="center"/>
          </w:tcPr>
          <w:p w:rsidR="4144CB8A" w:rsidP="4144CB8A" w:rsidRDefault="4144CB8A" w14:paraId="0DB06670" w14:textId="78E088D7">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Low (Collectivist)</w:t>
            </w:r>
          </w:p>
        </w:tc>
        <w:tc>
          <w:tcPr>
            <w:tcW w:w="5545" w:type="dxa"/>
            <w:tcMar/>
            <w:vAlign w:val="center"/>
          </w:tcPr>
          <w:p w:rsidR="4144CB8A" w:rsidP="4144CB8A" w:rsidRDefault="4144CB8A" w14:paraId="2BA98906" w14:textId="2812BD9B">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Teamwork, group decision-making, and shared success</w:t>
            </w:r>
          </w:p>
        </w:tc>
      </w:tr>
      <w:tr w:rsidR="4144CB8A" w:rsidTr="4144CB8A" w14:paraId="11F37C9B">
        <w:trPr>
          <w:trHeight w:val="300"/>
        </w:trPr>
        <w:tc>
          <w:tcPr>
            <w:tcW w:w="3087" w:type="dxa"/>
            <w:tcMar/>
            <w:vAlign w:val="center"/>
          </w:tcPr>
          <w:p w:rsidR="4144CB8A" w:rsidP="4144CB8A" w:rsidRDefault="4144CB8A" w14:paraId="692F0F1A" w14:textId="00B26664">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Uncertainty Avoidance</w:t>
            </w:r>
          </w:p>
        </w:tc>
        <w:tc>
          <w:tcPr>
            <w:tcW w:w="1766" w:type="dxa"/>
            <w:tcMar/>
            <w:vAlign w:val="center"/>
          </w:tcPr>
          <w:p w:rsidR="4144CB8A" w:rsidP="4144CB8A" w:rsidRDefault="4144CB8A" w14:paraId="2AC3161A" w14:textId="0FBD4F05">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High</w:t>
            </w:r>
          </w:p>
        </w:tc>
        <w:tc>
          <w:tcPr>
            <w:tcW w:w="5545" w:type="dxa"/>
            <w:tcMar/>
            <w:vAlign w:val="center"/>
          </w:tcPr>
          <w:p w:rsidR="4144CB8A" w:rsidP="4144CB8A" w:rsidRDefault="4144CB8A" w14:paraId="15CE78F7" w14:textId="6E5C8EAA">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 xml:space="preserve">Emphasis on structure, rules, and risk </w:t>
            </w:r>
            <w:r w:rsidRPr="4144CB8A" w:rsidR="4144CB8A">
              <w:rPr>
                <w:rFonts w:ascii="Arial Nova" w:hAnsi="Arial Nova" w:eastAsia="Arial Nova" w:cs="Arial Nova"/>
                <w:b w:val="0"/>
                <w:bCs w:val="0"/>
                <w:i w:val="0"/>
                <w:iCs w:val="0"/>
                <w:color w:val="000000" w:themeColor="text1" w:themeTint="FF" w:themeShade="FF"/>
                <w:sz w:val="24"/>
                <w:szCs w:val="24"/>
              </w:rPr>
              <w:t>minimisation</w:t>
            </w:r>
          </w:p>
        </w:tc>
      </w:tr>
      <w:tr w:rsidR="4144CB8A" w:rsidTr="4144CB8A" w14:paraId="73D03F38">
        <w:trPr>
          <w:trHeight w:val="300"/>
        </w:trPr>
        <w:tc>
          <w:tcPr>
            <w:tcW w:w="3087" w:type="dxa"/>
            <w:tcMar/>
            <w:vAlign w:val="center"/>
          </w:tcPr>
          <w:p w:rsidR="4144CB8A" w:rsidP="4144CB8A" w:rsidRDefault="4144CB8A" w14:paraId="6B3900FA" w14:textId="0AD43F62">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Masculinity vs. Femininity</w:t>
            </w:r>
          </w:p>
        </w:tc>
        <w:tc>
          <w:tcPr>
            <w:tcW w:w="1766" w:type="dxa"/>
            <w:tcMar/>
            <w:vAlign w:val="center"/>
          </w:tcPr>
          <w:p w:rsidR="4144CB8A" w:rsidP="4144CB8A" w:rsidRDefault="4144CB8A" w14:paraId="5AA897C4" w14:textId="42C65877">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High (Masculine)</w:t>
            </w:r>
          </w:p>
        </w:tc>
        <w:tc>
          <w:tcPr>
            <w:tcW w:w="5545" w:type="dxa"/>
            <w:tcMar/>
            <w:vAlign w:val="center"/>
          </w:tcPr>
          <w:p w:rsidR="4144CB8A" w:rsidP="4144CB8A" w:rsidRDefault="4144CB8A" w14:paraId="46B0A4FB" w14:textId="7388739B">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Drive for achievement, excellence, and quality</w:t>
            </w:r>
          </w:p>
        </w:tc>
      </w:tr>
      <w:tr w:rsidR="4144CB8A" w:rsidTr="4144CB8A" w14:paraId="788F0A35">
        <w:trPr>
          <w:trHeight w:val="300"/>
        </w:trPr>
        <w:tc>
          <w:tcPr>
            <w:tcW w:w="3087" w:type="dxa"/>
            <w:tcMar/>
            <w:vAlign w:val="center"/>
          </w:tcPr>
          <w:p w:rsidR="4144CB8A" w:rsidP="4144CB8A" w:rsidRDefault="4144CB8A" w14:paraId="48F394B8" w14:textId="7842F650">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Long-Term Orientation</w:t>
            </w:r>
          </w:p>
        </w:tc>
        <w:tc>
          <w:tcPr>
            <w:tcW w:w="1766" w:type="dxa"/>
            <w:tcMar/>
            <w:vAlign w:val="center"/>
          </w:tcPr>
          <w:p w:rsidR="4144CB8A" w:rsidP="4144CB8A" w:rsidRDefault="4144CB8A" w14:paraId="50878DAA" w14:textId="79FAEE90">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Very High</w:t>
            </w:r>
          </w:p>
        </w:tc>
        <w:tc>
          <w:tcPr>
            <w:tcW w:w="5545" w:type="dxa"/>
            <w:tcMar/>
            <w:vAlign w:val="center"/>
          </w:tcPr>
          <w:p w:rsidR="4144CB8A" w:rsidP="4144CB8A" w:rsidRDefault="4144CB8A" w14:paraId="6E75E266" w14:textId="0A7776DA">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Focus on sustainability, learning, and gradual innovation</w:t>
            </w:r>
          </w:p>
        </w:tc>
      </w:tr>
      <w:tr w:rsidR="4144CB8A" w:rsidTr="4144CB8A" w14:paraId="05E4DB1E">
        <w:trPr>
          <w:trHeight w:val="300"/>
        </w:trPr>
        <w:tc>
          <w:tcPr>
            <w:tcW w:w="3087" w:type="dxa"/>
            <w:tcMar/>
            <w:vAlign w:val="center"/>
          </w:tcPr>
          <w:p w:rsidR="4144CB8A" w:rsidP="4144CB8A" w:rsidRDefault="4144CB8A" w14:paraId="02BB9F60" w14:textId="0D1C6F9C">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Indulgence vs. Restraint</w:t>
            </w:r>
          </w:p>
        </w:tc>
        <w:tc>
          <w:tcPr>
            <w:tcW w:w="1766" w:type="dxa"/>
            <w:tcMar/>
            <w:vAlign w:val="center"/>
          </w:tcPr>
          <w:p w:rsidR="4144CB8A" w:rsidP="4144CB8A" w:rsidRDefault="4144CB8A" w14:paraId="3C62D0D1" w14:textId="1D56F2DA">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Low</w:t>
            </w:r>
          </w:p>
        </w:tc>
        <w:tc>
          <w:tcPr>
            <w:tcW w:w="5545" w:type="dxa"/>
            <w:tcMar/>
            <w:vAlign w:val="center"/>
          </w:tcPr>
          <w:p w:rsidR="4144CB8A" w:rsidP="4144CB8A" w:rsidRDefault="4144CB8A" w14:paraId="3B7FA667" w14:textId="2646BF48">
            <w:pPr>
              <w:spacing w:before="0" w:beforeAutospacing="off" w:after="0" w:afterAutospacing="off"/>
              <w:rPr>
                <w:rFonts w:ascii="Arial Nova" w:hAnsi="Arial Nova" w:eastAsia="Arial Nova" w:cs="Arial Nova"/>
                <w:b w:val="0"/>
                <w:bCs w:val="0"/>
                <w:i w:val="0"/>
                <w:iCs w:val="0"/>
                <w:color w:val="000000" w:themeColor="text1" w:themeTint="FF" w:themeShade="FF"/>
                <w:sz w:val="24"/>
                <w:szCs w:val="24"/>
              </w:rPr>
            </w:pPr>
            <w:r w:rsidRPr="4144CB8A" w:rsidR="4144CB8A">
              <w:rPr>
                <w:rFonts w:ascii="Arial Nova" w:hAnsi="Arial Nova" w:eastAsia="Arial Nova" w:cs="Arial Nova"/>
                <w:b w:val="0"/>
                <w:bCs w:val="0"/>
                <w:i w:val="0"/>
                <w:iCs w:val="0"/>
                <w:color w:val="000000" w:themeColor="text1" w:themeTint="FF" w:themeShade="FF"/>
                <w:sz w:val="24"/>
                <w:szCs w:val="24"/>
              </w:rPr>
              <w:t>Discipline and self-control in work ethic</w:t>
            </w:r>
          </w:p>
        </w:tc>
      </w:tr>
    </w:tbl>
    <w:p w:rsidR="4144CB8A" w:rsidP="4144CB8A" w:rsidRDefault="4144CB8A" w14:paraId="0B01BA37" w14:textId="0D03D924">
      <w:pPr>
        <w:bidi w:val="0"/>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3DC1FE0E" w14:textId="70D702DA">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xmlns:wp14="http://schemas.microsoft.com/office/word/2010/wordml" w:rsidP="4144CB8A" wp14:paraId="73C472E8" wp14:textId="55B1F75E"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Handy’s Model of Cultural Types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(Handy, 1993)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identifies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four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 types: power, role, task, and person cultures. Toyota primarily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exhibits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a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task culture</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characterised</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by teamwork,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expertise</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and problem-solving. However, aspects of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role culture</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are also present, as employees have clearly defined responsibilities and follow established procedures. This combination allows Toyota to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maintain</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discipline and consistency while promoting innovation and collaboration.</w:t>
      </w:r>
    </w:p>
    <w:p xmlns:wp14="http://schemas.microsoft.com/office/word/2010/wordml" w:rsidP="4144CB8A" wp14:paraId="5869A294" wp14:noSpellErr="1" wp14:textId="052C2389">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79579E52">
        <w:rPr>
          <w:rFonts w:ascii="Arial Nova" w:hAnsi="Arial Nova" w:eastAsia="Arial Nova" w:cs="Arial Nova"/>
          <w:b w:val="0"/>
          <w:bCs w:val="0"/>
          <w:i w:val="0"/>
          <w:iCs w:val="0"/>
          <w:noProof w:val="0"/>
          <w:color w:val="000000" w:themeColor="text1" w:themeTint="FF" w:themeShade="FF"/>
          <w:sz w:val="24"/>
          <w:szCs w:val="24"/>
          <w:lang w:val="en-US"/>
        </w:rPr>
        <w:t>Through these frameworks, Toyota’s culture is multifaceted, balancing hierarchy and empowerment, tradition, and innovation.</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This cultural blend enables Toyota to sustain high performance and adapt effectively to different contexts across the globe.</w:t>
      </w:r>
    </w:p>
    <w:p xmlns:wp14="http://schemas.microsoft.com/office/word/2010/wordml" w:rsidP="4144CB8A" wp14:paraId="3D0BB3A3" wp14:textId="6CC940B8" wp14:noSpellErr="1">
      <w:pPr>
        <w:rPr>
          <w:rFonts w:ascii="Arial Nova" w:hAnsi="Arial Nova" w:eastAsia="Arial Nova" w:cs="Arial Nova"/>
          <w:b w:val="0"/>
          <w:bCs w:val="0"/>
          <w:i w:val="0"/>
          <w:iCs w:val="0"/>
          <w:color w:val="000000" w:themeColor="text1" w:themeTint="FF" w:themeShade="FF"/>
          <w:sz w:val="24"/>
          <w:szCs w:val="24"/>
        </w:rPr>
      </w:pPr>
    </w:p>
    <w:p w:rsidR="4144CB8A" w:rsidP="4144CB8A" w:rsidRDefault="4144CB8A" w14:paraId="305E4E0D" w14:textId="1E07A3FF">
      <w:pPr>
        <w:rPr>
          <w:rFonts w:ascii="Arial Nova" w:hAnsi="Arial Nova" w:eastAsia="Arial Nova" w:cs="Arial Nova"/>
          <w:b w:val="0"/>
          <w:bCs w:val="0"/>
          <w:i w:val="0"/>
          <w:iCs w:val="0"/>
          <w:color w:val="000000" w:themeColor="text1" w:themeTint="FF" w:themeShade="FF"/>
          <w:sz w:val="24"/>
          <w:szCs w:val="24"/>
        </w:rPr>
      </w:pPr>
    </w:p>
    <w:p xmlns:wp14="http://schemas.microsoft.com/office/word/2010/wordml" w:rsidP="4144CB8A" wp14:paraId="75DF8C30" wp14:textId="2A65FC35" wp14:noSpellErr="1">
      <w:pPr>
        <w:pStyle w:val="Heading1"/>
        <w:rPr>
          <w:rFonts w:ascii="Arial Nova" w:hAnsi="Arial Nova" w:eastAsia="Arial Nova" w:cs="Arial Nova"/>
          <w:b w:val="0"/>
          <w:bCs w:val="0"/>
          <w:i w:val="0"/>
          <w:iCs w:val="0"/>
          <w:noProof w:val="0"/>
          <w:color w:val="auto"/>
          <w:sz w:val="24"/>
          <w:szCs w:val="24"/>
          <w:u w:val="single"/>
          <w:lang w:val="en-US"/>
        </w:rPr>
      </w:pPr>
      <w:bookmarkStart w:name="_Toc1133420765" w:id="1841195317"/>
      <w:r w:rsidRPr="4144CB8A" w:rsidR="0D9005EB">
        <w:rPr>
          <w:noProof w:val="0"/>
          <w:color w:val="auto"/>
          <w:u w:val="single"/>
          <w:lang w:val="en-US"/>
        </w:rPr>
        <w:t>Culture and the External Environment</w:t>
      </w:r>
      <w:bookmarkEnd w:id="1841195317"/>
    </w:p>
    <w:p xmlns:wp14="http://schemas.microsoft.com/office/word/2010/wordml" w:rsidP="4144CB8A" wp14:paraId="0FF185C1" wp14:textId="6B44015C"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Toyota’s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 plays a crucial role in helping the company adapt to external factors such as competition, regulations, and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globalisation</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The company’s culture of continuous improvement allows it to remain resilient in the face of challenges and dynamic market conditions. Denison’s Traits Theory (Denison, 1990) can be applied to illustrate this adaptability through four key cultural traits: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involvement, consistency, adaptability, and mission</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w:t>
      </w:r>
    </w:p>
    <w:p xmlns:wp14="http://schemas.microsoft.com/office/word/2010/wordml" w:rsidP="4144CB8A" wp14:paraId="20C1E323" wp14:textId="4253EBD8"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Toyota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demonstrates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high levels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of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involvement</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as employees are engaged in decision-making and problem-solving. This participative approach enhances innovation and responsiveness to market changes. The company’s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consistency</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is reflected in its adherence to the Toyota Way across global operations, ensuring that all subsidiaries align with core principles of quality and efficiency.</w:t>
      </w:r>
    </w:p>
    <w:p xmlns:wp14="http://schemas.microsoft.com/office/word/2010/wordml" w:rsidP="4144CB8A" wp14:paraId="2AF3A197" wp14:noSpellErr="1" wp14:textId="627CC0A2">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The trait of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adaptability</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is especially significant for Toyota. The company continuously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modifies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its strategies to align with shifting consumer preferences, technological advancements, and environmental regulations. For instance, Toyota’s early investment in hybrid technology with the Prius </w:t>
      </w:r>
      <w:r w:rsidRPr="4144CB8A" w:rsidR="3302B5BD">
        <w:rPr>
          <w:rFonts w:ascii="Arial Nova" w:hAnsi="Arial Nova" w:eastAsia="Arial Nova" w:cs="Arial Nova"/>
          <w:b w:val="0"/>
          <w:bCs w:val="0"/>
          <w:i w:val="0"/>
          <w:iCs w:val="0"/>
          <w:noProof w:val="0"/>
          <w:color w:val="000000" w:themeColor="text1" w:themeTint="FF" w:themeShade="FF"/>
          <w:sz w:val="24"/>
          <w:szCs w:val="24"/>
          <w:lang w:val="en-US"/>
        </w:rPr>
        <w:t>highlighted</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its forward-thinking culture and responsiveness to environmental concerns. The company’s emphasis on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learning</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enables it to absorb lessons from crises, such as the 2010 recall issues, leading to stronger safety protocols and transparency measures (Cusumano, 2011).</w:t>
      </w:r>
    </w:p>
    <w:p xmlns:wp14="http://schemas.microsoft.com/office/word/2010/wordml" w:rsidP="4144CB8A" wp14:paraId="6E40A07E" wp14:textId="076B02E5"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Toyota’s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mission trait</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focuses on long-term sustainability rather than short-term gains. The corporate philosophy, “contributing to society through the manufacture of automobiles,” underscores Toyota’s commitment to social responsibility. This mission-driven culture has guided its adaptation to global environmental regulations by advancing electric and hydrogen fuel cell vehicle technologies. The integration of cultural values with external demands ensures Toyota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maintains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competitive advantage while adhering to ethical and environmental standards.</w:t>
      </w:r>
    </w:p>
    <w:p xmlns:wp14="http://schemas.microsoft.com/office/word/2010/wordml" w:rsidP="4144CB8A" wp14:paraId="78929F99" wp14:textId="7EBD7B02" wp14:noSpellErr="1">
      <w:pPr>
        <w:rPr>
          <w:rFonts w:ascii="Arial Nova" w:hAnsi="Arial Nova" w:eastAsia="Arial Nova" w:cs="Arial Nova"/>
          <w:b w:val="0"/>
          <w:bCs w:val="0"/>
          <w:i w:val="0"/>
          <w:iCs w:val="0"/>
          <w:color w:val="000000" w:themeColor="text1" w:themeTint="FF" w:themeShade="FF"/>
          <w:sz w:val="24"/>
          <w:szCs w:val="24"/>
        </w:rPr>
      </w:pPr>
    </w:p>
    <w:p w:rsidR="4144CB8A" w:rsidP="4144CB8A" w:rsidRDefault="4144CB8A" w14:paraId="4FEBE26F" w14:textId="730F75E4">
      <w:pPr>
        <w:rPr>
          <w:rFonts w:ascii="Arial Nova" w:hAnsi="Arial Nova" w:eastAsia="Arial Nova" w:cs="Arial Nova"/>
          <w:b w:val="0"/>
          <w:bCs w:val="0"/>
          <w:i w:val="0"/>
          <w:iCs w:val="0"/>
          <w:color w:val="000000" w:themeColor="text1" w:themeTint="FF" w:themeShade="FF"/>
          <w:sz w:val="24"/>
          <w:szCs w:val="24"/>
        </w:rPr>
      </w:pPr>
    </w:p>
    <w:p xmlns:wp14="http://schemas.microsoft.com/office/word/2010/wordml" w:rsidP="4144CB8A" wp14:paraId="76101ED5" wp14:noSpellErr="1" wp14:textId="3C210899">
      <w:pPr>
        <w:pStyle w:val="Heading1"/>
        <w:rPr>
          <w:rFonts w:ascii="Arial Nova" w:hAnsi="Arial Nova" w:eastAsia="Arial Nova" w:cs="Arial Nova"/>
          <w:b w:val="0"/>
          <w:bCs w:val="0"/>
          <w:i w:val="0"/>
          <w:iCs w:val="0"/>
          <w:noProof w:val="0"/>
          <w:color w:val="auto"/>
          <w:sz w:val="24"/>
          <w:szCs w:val="24"/>
          <w:u w:val="single"/>
          <w:lang w:val="en-US"/>
        </w:rPr>
      </w:pPr>
      <w:bookmarkStart w:name="_Toc698939919" w:id="56745871"/>
      <w:r w:rsidRPr="4144CB8A" w:rsidR="0D9005EB">
        <w:rPr>
          <w:noProof w:val="0"/>
          <w:color w:val="auto"/>
          <w:u w:val="single"/>
          <w:lang w:val="en-US"/>
        </w:rPr>
        <w:t>Organisational</w:t>
      </w:r>
      <w:r w:rsidRPr="4144CB8A" w:rsidR="0D9005EB">
        <w:rPr>
          <w:noProof w:val="0"/>
          <w:color w:val="auto"/>
          <w:u w:val="single"/>
          <w:lang w:val="en-US"/>
        </w:rPr>
        <w:t xml:space="preserve"> Culture </w:t>
      </w:r>
      <w:r w:rsidRPr="4144CB8A" w:rsidR="3BF5EB62">
        <w:rPr>
          <w:noProof w:val="0"/>
          <w:color w:val="auto"/>
          <w:u w:val="single"/>
          <w:lang w:val="en-US"/>
        </w:rPr>
        <w:t>Barriers</w:t>
      </w:r>
      <w:bookmarkEnd w:id="56745871"/>
    </w:p>
    <w:p xmlns:wp14="http://schemas.microsoft.com/office/word/2010/wordml" w:rsidP="4144CB8A" wp14:paraId="6118B4A9" wp14:textId="41A85DEC"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While Toyota’s culture has been instrumental in its global success, it has occasionally acted as a barrier to effective functioning. The same features that promote stability and cohesion can also impede agility and innovation. The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strong adherence to consensus-building</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Nemawashi</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can delay decision-making in situations requiring rapid responses. In the fast-paced automotive industry, where competitors such as Tesla and BYD are rapidly innovating, Toyota’s deliberate approach may hinder its ability to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capitalise</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on emerging opportunities.</w:t>
      </w:r>
    </w:p>
    <w:p xmlns:wp14="http://schemas.microsoft.com/office/word/2010/wordml" w:rsidP="4144CB8A" wp14:paraId="7E8176C1" wp14:textId="0E8C94E2"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Additionally, Toyota’s culture of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risk aversion</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may limit bold innovation. The company tends to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favour</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incremental improvement over radical change, which, while ensuring reliability, can slow adaptation to disruptive technologies. Critics have suggested that this conservative culture contributed to Toyota’s slower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initial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response to the electric vehicle revolution (Johnson, 2021).</w:t>
      </w:r>
    </w:p>
    <w:p xmlns:wp14="http://schemas.microsoft.com/office/word/2010/wordml" w:rsidP="4144CB8A" wp14:paraId="51964129" wp14:textId="1C8BCDA4"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Cultural uniformity across its global operations, although fostering consistency, can sometimes suppress local creativity. For example, Western subsidiaries may struggle to align with Toyota’s Japanese work practices, such as long-term employment expectations and collective decision-making. These cultural mismatches can create friction and reduce operational efficiency.</w:t>
      </w:r>
    </w:p>
    <w:p xmlns:wp14="http://schemas.microsoft.com/office/word/2010/wordml" w:rsidP="4144CB8A" wp14:paraId="3BD8A144" wp14:textId="2D2D29AC"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However, Toyota has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recognised</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these limitations and taken steps to address them. The company has introduced initiatives to encourage innovation and diversity in its global teams, promoting more agile practices while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retaining</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core values. Thus, while aspects of Toyota’s culture can act as barriers, the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awareness and adaptive strategies mitigate their negative impact.</w:t>
      </w:r>
    </w:p>
    <w:p xmlns:wp14="http://schemas.microsoft.com/office/word/2010/wordml" w:rsidP="4144CB8A" wp14:paraId="6CC6C344" wp14:textId="42850507" wp14:noSpellErr="1">
      <w:pPr>
        <w:rPr>
          <w:rFonts w:ascii="Arial Nova" w:hAnsi="Arial Nova" w:eastAsia="Arial Nova" w:cs="Arial Nova"/>
          <w:b w:val="0"/>
          <w:bCs w:val="0"/>
          <w:i w:val="0"/>
          <w:iCs w:val="0"/>
          <w:color w:val="000000" w:themeColor="text1" w:themeTint="FF" w:themeShade="FF"/>
          <w:sz w:val="24"/>
          <w:szCs w:val="24"/>
        </w:rPr>
      </w:pPr>
    </w:p>
    <w:p w:rsidR="4144CB8A" w:rsidP="4144CB8A" w:rsidRDefault="4144CB8A" w14:paraId="25D8A5C2" w14:textId="59E3E8BE">
      <w:pPr>
        <w:rPr>
          <w:rFonts w:ascii="Arial Nova" w:hAnsi="Arial Nova" w:eastAsia="Arial Nova" w:cs="Arial Nova"/>
          <w:b w:val="0"/>
          <w:bCs w:val="0"/>
          <w:i w:val="0"/>
          <w:iCs w:val="0"/>
          <w:color w:val="000000" w:themeColor="text1" w:themeTint="FF" w:themeShade="FF"/>
          <w:sz w:val="24"/>
          <w:szCs w:val="24"/>
        </w:rPr>
      </w:pPr>
    </w:p>
    <w:p xmlns:wp14="http://schemas.microsoft.com/office/word/2010/wordml" w:rsidP="4144CB8A" wp14:paraId="59E60B5B" wp14:noSpellErr="1" wp14:textId="118E3CB9">
      <w:pPr>
        <w:pStyle w:val="Heading1"/>
        <w:rPr>
          <w:rFonts w:ascii="Arial Nova" w:hAnsi="Arial Nova" w:eastAsia="Arial Nova" w:cs="Arial Nova"/>
          <w:b w:val="0"/>
          <w:bCs w:val="0"/>
          <w:i w:val="0"/>
          <w:iCs w:val="0"/>
          <w:noProof w:val="0"/>
          <w:color w:val="auto"/>
          <w:sz w:val="24"/>
          <w:szCs w:val="24"/>
          <w:u w:val="single"/>
          <w:lang w:val="en-US"/>
        </w:rPr>
      </w:pPr>
      <w:bookmarkStart w:name="_Toc991713316" w:id="1680454072"/>
      <w:r w:rsidRPr="4144CB8A" w:rsidR="4A6B3B82">
        <w:rPr>
          <w:noProof w:val="0"/>
          <w:color w:val="auto"/>
          <w:u w:val="single"/>
          <w:lang w:val="en-US"/>
        </w:rPr>
        <w:t>Culture Impacts</w:t>
      </w:r>
      <w:r w:rsidRPr="4144CB8A" w:rsidR="0D9005EB">
        <w:rPr>
          <w:noProof w:val="0"/>
          <w:color w:val="auto"/>
          <w:u w:val="single"/>
          <w:lang w:val="en-US"/>
        </w:rPr>
        <w:t xml:space="preserve"> on </w:t>
      </w:r>
      <w:r w:rsidRPr="4144CB8A" w:rsidR="0D9005EB">
        <w:rPr>
          <w:noProof w:val="0"/>
          <w:color w:val="auto"/>
          <w:u w:val="single"/>
          <w:lang w:val="en-US"/>
        </w:rPr>
        <w:t>Organisational</w:t>
      </w:r>
      <w:r w:rsidRPr="4144CB8A" w:rsidR="0D9005EB">
        <w:rPr>
          <w:noProof w:val="0"/>
          <w:color w:val="auto"/>
          <w:u w:val="single"/>
          <w:lang w:val="en-US"/>
        </w:rPr>
        <w:t xml:space="preserve"> Performance</w:t>
      </w:r>
      <w:bookmarkEnd w:id="1680454072"/>
    </w:p>
    <w:p xmlns:wp14="http://schemas.microsoft.com/office/word/2010/wordml" w:rsidP="4144CB8A" wp14:paraId="0C1DE17B" wp14:textId="4EE82825"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Toyota’s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 has had a profound and positive impact on its overall performance. The Toyota Way has become synonymous with operational excellence, setting the global standard for efficiency and quality. Through its cultural principles, Toyota has achieved exceptional productivity, customer satisfaction, and profitability.</w:t>
      </w:r>
    </w:p>
    <w:p xmlns:wp14="http://schemas.microsoft.com/office/word/2010/wordml" w:rsidP="4144CB8A" wp14:paraId="1E702609" wp14:textId="3CE8BE5A"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The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Kaizen philosophy</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encourages continuous performance improvement at every level. Employees are motivated to contribute ideas that enhance quality and reduce waste, leading to cost efficiency and innovation. Studies have shown that companies adopting similar lean production methods experience significant improvements in operational outcomes (Liker and Meier, 2007). Toyota’s culture thus directly contributes to its superior manufacturing performance and product reliability.</w:t>
      </w:r>
    </w:p>
    <w:p xmlns:wp14="http://schemas.microsoft.com/office/word/2010/wordml" w:rsidP="4144CB8A" wp14:paraId="788CF70B" wp14:noSpellErr="1" wp14:textId="7D3F36DC">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Furthermore, the emphasis on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employee involvement and respect</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enhances motivation and retention. Toyota’s commitment to long-term employment fosters loyalty and a deep understanding of corporate goals. This internal stability translates into consistent product quality and </w:t>
      </w:r>
      <w:r w:rsidRPr="4144CB8A" w:rsidR="1F4F4C5B">
        <w:rPr>
          <w:rFonts w:ascii="Arial Nova" w:hAnsi="Arial Nova" w:eastAsia="Arial Nova" w:cs="Arial Nova"/>
          <w:b w:val="0"/>
          <w:bCs w:val="0"/>
          <w:i w:val="0"/>
          <w:iCs w:val="0"/>
          <w:noProof w:val="0"/>
          <w:color w:val="000000" w:themeColor="text1" w:themeTint="FF" w:themeShade="FF"/>
          <w:sz w:val="24"/>
          <w:szCs w:val="24"/>
          <w:lang w:val="en-US"/>
        </w:rPr>
        <w:t>a strong</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brand reputation. The company’s focus on teamwork and shared success strengthens morale and reduces turnover, which in turn supports sustained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performance.</w:t>
      </w:r>
    </w:p>
    <w:p xmlns:wp14="http://schemas.microsoft.com/office/word/2010/wordml" w:rsidP="4144CB8A" wp14:paraId="322F5930" wp14:textId="3B34F26F"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Toyota’s cultural emphasis on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learning and problem-solving</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has also enhanced its crisis management capabilities. The company’s response to setbacks, such as recall scandals,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demonstrates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resilience rooted in cultural discipline and transparency. Toyota’s ability to recover and rebuild trust highlights the strength of its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 as a foundation for long-term success.</w:t>
      </w:r>
    </w:p>
    <w:p xmlns:wp14="http://schemas.microsoft.com/office/word/2010/wordml" w:rsidP="4144CB8A" wp14:paraId="45ABFE74" wp14:textId="308544E4"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However, Toyota’s conservative tendencies occasionally hinder rapid innovation, particularly in emerging technologies. To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maintain</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its leadership position, Toyota must balance its traditional strengths with greater agility and openness to experimentation. Encouraging cross-cultural collaboration and integrating more diverse leadership perspectives can further enhance performance in the evolving global market.</w:t>
      </w:r>
    </w:p>
    <w:p xmlns:wp14="http://schemas.microsoft.com/office/word/2010/wordml" w:rsidP="4144CB8A" wp14:paraId="76EB0554" wp14:textId="650D7B46" wp14:noSpellErr="1">
      <w:pPr>
        <w:rPr>
          <w:rFonts w:ascii="Arial Nova" w:hAnsi="Arial Nova" w:eastAsia="Arial Nova" w:cs="Arial Nova"/>
          <w:b w:val="0"/>
          <w:bCs w:val="0"/>
          <w:i w:val="0"/>
          <w:iCs w:val="0"/>
          <w:color w:val="000000" w:themeColor="text1" w:themeTint="FF" w:themeShade="FF"/>
          <w:sz w:val="24"/>
          <w:szCs w:val="24"/>
        </w:rPr>
      </w:pPr>
    </w:p>
    <w:p w:rsidR="4144CB8A" w:rsidP="4144CB8A" w:rsidRDefault="4144CB8A" w14:paraId="1CCC6561" w14:textId="3158094B">
      <w:pPr>
        <w:rPr>
          <w:rFonts w:ascii="Arial Nova" w:hAnsi="Arial Nova" w:eastAsia="Arial Nova" w:cs="Arial Nova"/>
          <w:b w:val="0"/>
          <w:bCs w:val="0"/>
          <w:i w:val="0"/>
          <w:iCs w:val="0"/>
          <w:color w:val="000000" w:themeColor="text1" w:themeTint="FF" w:themeShade="FF"/>
          <w:sz w:val="24"/>
          <w:szCs w:val="24"/>
        </w:rPr>
      </w:pPr>
    </w:p>
    <w:p xmlns:wp14="http://schemas.microsoft.com/office/word/2010/wordml" w:rsidP="4144CB8A" wp14:paraId="1F890B72" wp14:textId="5F0D2D8F" wp14:noSpellErr="1">
      <w:pPr>
        <w:pStyle w:val="Heading1"/>
        <w:rPr>
          <w:rFonts w:ascii="Arial Nova" w:hAnsi="Arial Nova" w:eastAsia="Arial Nova" w:cs="Arial Nova"/>
          <w:b w:val="0"/>
          <w:bCs w:val="0"/>
          <w:i w:val="0"/>
          <w:iCs w:val="0"/>
          <w:noProof w:val="0"/>
          <w:color w:val="auto"/>
          <w:sz w:val="24"/>
          <w:szCs w:val="24"/>
          <w:u w:val="single"/>
          <w:lang w:val="en-US"/>
        </w:rPr>
      </w:pPr>
      <w:bookmarkStart w:name="_Toc610235639" w:id="1475464239"/>
      <w:r w:rsidRPr="4144CB8A" w:rsidR="0D9005EB">
        <w:rPr>
          <w:noProof w:val="0"/>
          <w:color w:val="auto"/>
          <w:u w:val="single"/>
          <w:lang w:val="en-US"/>
        </w:rPr>
        <w:t>Conclusion</w:t>
      </w:r>
      <w:bookmarkEnd w:id="1475464239"/>
    </w:p>
    <w:p xmlns:wp14="http://schemas.microsoft.com/office/word/2010/wordml" w:rsidP="4144CB8A" wp14:paraId="01EEF823" wp14:textId="670EFD9C"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This report has critically examined the role of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 in shaping Toyota’s structure, decision-making, adaptability, and performance. Toyota’s culture, anchored in continuous improvement and respect for people, provides a robust foundation for its operations and global success. The company’s hybrid structure, participative decision-making, and adherence to Kaizen principles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demonstrate</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the deep integration of culture into its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design.</w:t>
      </w:r>
    </w:p>
    <w:p xmlns:wp14="http://schemas.microsoft.com/office/word/2010/wordml" w:rsidP="4144CB8A" wp14:paraId="2FC2F685" wp14:textId="2BD9363D" wp14:noSpellErr="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Through Schein’s, Hofstede’s, and Handy’s frameworks, Toyota’s culture is revealed as a complex but harmonious system that balances hierarchy, teamwork, and innovation. The application of Denison’s Traits Theory further illustrates how this culture supports adaptability in response to external challenges. While aspects of Toyota’s culture, such as consensus orientation and risk aversion, can pose barriers, the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organisation’s</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ability to self-reflect and evolve ensures sustained relevance.</w:t>
      </w:r>
    </w:p>
    <w:p xmlns:wp14="http://schemas.microsoft.com/office/word/2010/wordml" w:rsidP="4144CB8A" wp14:paraId="7213D4E9" wp14:noSpellErr="1" wp14:textId="21DE3CED">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The impact of Toyota’s </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 xml:space="preserve"> culture on performance is overwhelmingly positive, driving efficiency, quality, and employee engagement. Nonetheless, as the automotive industry undergoes rapid transformation, Toyota must cultivate a more flexible and </w:t>
      </w:r>
      <w:r w:rsidRPr="4144CB8A" w:rsidR="6E880E80">
        <w:rPr>
          <w:rFonts w:ascii="Arial Nova" w:hAnsi="Arial Nova" w:eastAsia="Arial Nova" w:cs="Arial Nova"/>
          <w:b w:val="0"/>
          <w:bCs w:val="0"/>
          <w:i w:val="0"/>
          <w:iCs w:val="0"/>
          <w:noProof w:val="0"/>
          <w:color w:val="000000" w:themeColor="text1" w:themeTint="FF" w:themeShade="FF"/>
          <w:sz w:val="24"/>
          <w:szCs w:val="24"/>
          <w:lang w:val="en-US"/>
        </w:rPr>
        <w:t>innovative</w:t>
      </w:r>
      <w:r w:rsidRPr="4144CB8A" w:rsidR="0D9005EB">
        <w:rPr>
          <w:rFonts w:ascii="Arial Nova" w:hAnsi="Arial Nova" w:eastAsia="Arial Nova" w:cs="Arial Nova"/>
          <w:b w:val="0"/>
          <w:bCs w:val="0"/>
          <w:i w:val="0"/>
          <w:iCs w:val="0"/>
          <w:noProof w:val="0"/>
          <w:color w:val="000000" w:themeColor="text1" w:themeTint="FF" w:themeShade="FF"/>
          <w:sz w:val="24"/>
          <w:szCs w:val="24"/>
          <w:lang w:val="en-US"/>
        </w:rPr>
        <w:t>-driven mindset while preserving its cultural heritage. The recommendation is for Toyota to continue nurturing diversity, digital innovation, and global collaboration to enhance agility and competitiveness in an increasingly dynamic market.</w:t>
      </w:r>
    </w:p>
    <w:p xmlns:wp14="http://schemas.microsoft.com/office/word/2010/wordml" w:rsidP="4144CB8A" wp14:paraId="5508B898" wp14:textId="779691C9" wp14:noSpellErr="1">
      <w:pPr>
        <w:rPr>
          <w:rFonts w:ascii="Arial Nova" w:hAnsi="Arial Nova" w:eastAsia="Arial Nova" w:cs="Arial Nova"/>
          <w:b w:val="0"/>
          <w:bCs w:val="0"/>
          <w:i w:val="0"/>
          <w:iCs w:val="0"/>
          <w:color w:val="000000" w:themeColor="text1" w:themeTint="FF" w:themeShade="FF"/>
          <w:sz w:val="24"/>
          <w:szCs w:val="24"/>
        </w:rPr>
      </w:pPr>
    </w:p>
    <w:p w:rsidR="4144CB8A" w:rsidP="4144CB8A" w:rsidRDefault="4144CB8A" w14:paraId="45D2462A" w14:textId="4509D07E">
      <w:pPr>
        <w:rPr>
          <w:rFonts w:ascii="Arial Nova" w:hAnsi="Arial Nova" w:eastAsia="Arial Nova" w:cs="Arial Nova"/>
          <w:b w:val="0"/>
          <w:bCs w:val="0"/>
          <w:i w:val="0"/>
          <w:iCs w:val="0"/>
          <w:color w:val="000000" w:themeColor="text1" w:themeTint="FF" w:themeShade="FF"/>
          <w:sz w:val="24"/>
          <w:szCs w:val="24"/>
        </w:rPr>
      </w:pPr>
    </w:p>
    <w:p w:rsidR="4144CB8A" w:rsidP="4144CB8A" w:rsidRDefault="4144CB8A" w14:paraId="7626CCCB" w14:textId="39F4FEB7">
      <w:pPr>
        <w:rPr>
          <w:rFonts w:ascii="Arial Nova" w:hAnsi="Arial Nova" w:eastAsia="Arial Nova" w:cs="Arial Nova"/>
          <w:b w:val="0"/>
          <w:bCs w:val="0"/>
          <w:i w:val="0"/>
          <w:iCs w:val="0"/>
          <w:color w:val="000000" w:themeColor="text1" w:themeTint="FF" w:themeShade="FF"/>
          <w:sz w:val="24"/>
          <w:szCs w:val="24"/>
        </w:rPr>
      </w:pPr>
    </w:p>
    <w:p w:rsidR="4144CB8A" w:rsidP="4144CB8A" w:rsidRDefault="4144CB8A" w14:paraId="0356749C" w14:textId="3F4073E6">
      <w:pPr>
        <w:rPr>
          <w:rFonts w:ascii="Arial Nova" w:hAnsi="Arial Nova" w:eastAsia="Arial Nova" w:cs="Arial Nova"/>
          <w:b w:val="0"/>
          <w:bCs w:val="0"/>
          <w:i w:val="0"/>
          <w:iCs w:val="0"/>
          <w:color w:val="000000" w:themeColor="text1" w:themeTint="FF" w:themeShade="FF"/>
          <w:sz w:val="24"/>
          <w:szCs w:val="24"/>
        </w:rPr>
      </w:pPr>
    </w:p>
    <w:p w:rsidR="4144CB8A" w:rsidP="4144CB8A" w:rsidRDefault="4144CB8A" w14:paraId="2FE94A78" w14:textId="76D81184">
      <w:pPr>
        <w:rPr>
          <w:rFonts w:ascii="Arial Nova" w:hAnsi="Arial Nova" w:eastAsia="Arial Nova" w:cs="Arial Nova"/>
          <w:b w:val="0"/>
          <w:bCs w:val="0"/>
          <w:i w:val="0"/>
          <w:iCs w:val="0"/>
          <w:color w:val="000000" w:themeColor="text1" w:themeTint="FF" w:themeShade="FF"/>
          <w:sz w:val="24"/>
          <w:szCs w:val="24"/>
        </w:rPr>
      </w:pPr>
    </w:p>
    <w:p w:rsidR="4144CB8A" w:rsidP="4144CB8A" w:rsidRDefault="4144CB8A" w14:paraId="1FD3823B" w14:textId="0D87F92E">
      <w:pPr>
        <w:rPr>
          <w:rFonts w:ascii="Arial Nova" w:hAnsi="Arial Nova" w:eastAsia="Arial Nova" w:cs="Arial Nova"/>
          <w:b w:val="0"/>
          <w:bCs w:val="0"/>
          <w:i w:val="0"/>
          <w:iCs w:val="0"/>
          <w:color w:val="000000" w:themeColor="text1" w:themeTint="FF" w:themeShade="FF"/>
          <w:sz w:val="24"/>
          <w:szCs w:val="24"/>
        </w:rPr>
      </w:pPr>
    </w:p>
    <w:p xmlns:wp14="http://schemas.microsoft.com/office/word/2010/wordml" w:rsidP="4144CB8A" wp14:paraId="5AF149F7" wp14:textId="331BAE02" wp14:noSpellErr="1">
      <w:pPr>
        <w:pStyle w:val="Heading1"/>
        <w:rPr>
          <w:rFonts w:ascii="Arial Nova" w:hAnsi="Arial Nova" w:eastAsia="Arial Nova" w:cs="Arial Nova"/>
          <w:b w:val="0"/>
          <w:bCs w:val="0"/>
          <w:i w:val="0"/>
          <w:iCs w:val="0"/>
          <w:noProof w:val="0"/>
          <w:color w:val="auto"/>
          <w:sz w:val="24"/>
          <w:szCs w:val="24"/>
          <w:u w:val="single"/>
          <w:lang w:val="en-US"/>
        </w:rPr>
      </w:pPr>
      <w:bookmarkStart w:name="_Toc243328507" w:id="653848575"/>
      <w:r w:rsidRPr="4144CB8A" w:rsidR="0D9005EB">
        <w:rPr>
          <w:noProof w:val="0"/>
          <w:color w:val="auto"/>
          <w:u w:val="single"/>
          <w:lang w:val="en-US"/>
        </w:rPr>
        <w:t>References</w:t>
      </w:r>
      <w:bookmarkEnd w:id="653848575"/>
    </w:p>
    <w:p w:rsidR="4250AB93" w:rsidP="4144CB8A" w:rsidRDefault="4250AB93" w14:noSpellErr="1" w14:paraId="2B0E54B2" w14:textId="103F8BF0">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4250AB93">
        <w:rPr>
          <w:rFonts w:ascii="Arial Nova" w:hAnsi="Arial Nova" w:eastAsia="Arial Nova" w:cs="Arial Nova"/>
          <w:b w:val="0"/>
          <w:bCs w:val="0"/>
          <w:i w:val="0"/>
          <w:iCs w:val="0"/>
          <w:noProof w:val="0"/>
          <w:color w:val="000000" w:themeColor="text1" w:themeTint="FF" w:themeShade="FF"/>
          <w:sz w:val="24"/>
          <w:szCs w:val="24"/>
          <w:lang w:val="en-US"/>
        </w:rPr>
        <w:t xml:space="preserve">Mullins, </w:t>
      </w:r>
      <w:r w:rsidRPr="4144CB8A" w:rsidR="4250AB93">
        <w:rPr>
          <w:rFonts w:ascii="Arial Nova" w:hAnsi="Arial Nova" w:eastAsia="Arial Nova" w:cs="Arial Nova"/>
          <w:b w:val="0"/>
          <w:bCs w:val="0"/>
          <w:i w:val="0"/>
          <w:iCs w:val="0"/>
          <w:noProof w:val="0"/>
          <w:color w:val="000000" w:themeColor="text1" w:themeTint="FF" w:themeShade="FF"/>
          <w:sz w:val="24"/>
          <w:szCs w:val="24"/>
          <w:lang w:val="en-US"/>
        </w:rPr>
        <w:t>L.</w:t>
      </w:r>
      <w:r w:rsidRPr="4144CB8A" w:rsidR="4250AB93">
        <w:rPr>
          <w:rFonts w:ascii="Arial Nova" w:hAnsi="Arial Nova" w:eastAsia="Arial Nova" w:cs="Arial Nova"/>
          <w:b w:val="0"/>
          <w:bCs w:val="0"/>
          <w:i w:val="0"/>
          <w:iCs w:val="0"/>
          <w:noProof w:val="0"/>
          <w:color w:val="000000" w:themeColor="text1" w:themeTint="FF" w:themeShade="FF"/>
          <w:sz w:val="24"/>
          <w:szCs w:val="24"/>
          <w:lang w:val="en-US"/>
        </w:rPr>
        <w:t xml:space="preserve"> and Christy, G. (2016) Management &amp; </w:t>
      </w:r>
      <w:r w:rsidRPr="4144CB8A" w:rsidR="4250AB93">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4250AB93">
        <w:rPr>
          <w:rFonts w:ascii="Arial Nova" w:hAnsi="Arial Nova" w:eastAsia="Arial Nova" w:cs="Arial Nova"/>
          <w:b w:val="0"/>
          <w:bCs w:val="0"/>
          <w:i w:val="0"/>
          <w:iCs w:val="0"/>
          <w:noProof w:val="0"/>
          <w:color w:val="000000" w:themeColor="text1" w:themeTint="FF" w:themeShade="FF"/>
          <w:sz w:val="24"/>
          <w:szCs w:val="24"/>
          <w:lang w:val="en-US"/>
        </w:rPr>
        <w:t xml:space="preserve"> </w:t>
      </w:r>
      <w:r w:rsidRPr="4144CB8A" w:rsidR="4250AB93">
        <w:rPr>
          <w:rFonts w:ascii="Arial Nova" w:hAnsi="Arial Nova" w:eastAsia="Arial Nova" w:cs="Arial Nova"/>
          <w:b w:val="0"/>
          <w:bCs w:val="0"/>
          <w:i w:val="0"/>
          <w:iCs w:val="0"/>
          <w:noProof w:val="0"/>
          <w:color w:val="000000" w:themeColor="text1" w:themeTint="FF" w:themeShade="FF"/>
          <w:sz w:val="24"/>
          <w:szCs w:val="24"/>
          <w:lang w:val="en-US"/>
        </w:rPr>
        <w:t>Behaviour</w:t>
      </w:r>
      <w:r w:rsidRPr="4144CB8A" w:rsidR="4250AB93">
        <w:rPr>
          <w:rFonts w:ascii="Arial Nova" w:hAnsi="Arial Nova" w:eastAsia="Arial Nova" w:cs="Arial Nova"/>
          <w:b w:val="0"/>
          <w:bCs w:val="0"/>
          <w:i w:val="0"/>
          <w:iCs w:val="0"/>
          <w:noProof w:val="0"/>
          <w:color w:val="000000" w:themeColor="text1" w:themeTint="FF" w:themeShade="FF"/>
          <w:sz w:val="24"/>
          <w:szCs w:val="24"/>
          <w:lang w:val="en-US"/>
        </w:rPr>
        <w:t xml:space="preserve">. 11th </w:t>
      </w:r>
      <w:r w:rsidRPr="4144CB8A" w:rsidR="4250AB93">
        <w:rPr>
          <w:rFonts w:ascii="Arial Nova" w:hAnsi="Arial Nova" w:eastAsia="Arial Nova" w:cs="Arial Nova"/>
          <w:b w:val="0"/>
          <w:bCs w:val="0"/>
          <w:i w:val="0"/>
          <w:iCs w:val="0"/>
          <w:noProof w:val="0"/>
          <w:color w:val="000000" w:themeColor="text1" w:themeTint="FF" w:themeShade="FF"/>
          <w:sz w:val="24"/>
          <w:szCs w:val="24"/>
          <w:lang w:val="en-US"/>
        </w:rPr>
        <w:t>edn</w:t>
      </w:r>
      <w:r w:rsidRPr="4144CB8A" w:rsidR="4250AB93">
        <w:rPr>
          <w:rFonts w:ascii="Arial Nova" w:hAnsi="Arial Nova" w:eastAsia="Arial Nova" w:cs="Arial Nova"/>
          <w:b w:val="0"/>
          <w:bCs w:val="0"/>
          <w:i w:val="0"/>
          <w:iCs w:val="0"/>
          <w:noProof w:val="0"/>
          <w:color w:val="000000" w:themeColor="text1" w:themeTint="FF" w:themeShade="FF"/>
          <w:sz w:val="24"/>
          <w:szCs w:val="24"/>
          <w:lang w:val="en-US"/>
        </w:rPr>
        <w:t>. Pearson, Harlow.</w:t>
      </w:r>
    </w:p>
    <w:p w:rsidR="79D31FF3" w:rsidP="4144CB8A" w:rsidRDefault="79D31FF3" w14:noSpellErr="1" w14:paraId="7FAE2FFC" w14:textId="63CB6058">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Liker, J. K. (2004)</w:t>
      </w:r>
      <w:r w:rsidRPr="4144CB8A" w:rsidR="71C6E578">
        <w:rPr>
          <w:rFonts w:ascii="Arial Nova" w:hAnsi="Arial Nova" w:eastAsia="Arial Nova" w:cs="Arial Nova"/>
          <w:b w:val="0"/>
          <w:bCs w:val="0"/>
          <w:i w:val="0"/>
          <w:iCs w:val="0"/>
          <w:noProof w:val="0"/>
          <w:color w:val="000000" w:themeColor="text1" w:themeTint="FF" w:themeShade="FF"/>
          <w:sz w:val="24"/>
          <w:szCs w:val="24"/>
          <w:lang w:val="en-US"/>
        </w:rPr>
        <w:t>. The</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 Toyota Way: 14 Management Principles from the World’s Greatest Manufacturer. </w:t>
      </w:r>
      <w:r w:rsidRPr="4144CB8A" w:rsidR="1164D2C2">
        <w:rPr>
          <w:rFonts w:ascii="Arial Nova" w:hAnsi="Arial Nova" w:eastAsia="Arial Nova" w:cs="Arial Nova"/>
          <w:b w:val="0"/>
          <w:bCs w:val="0"/>
          <w:i w:val="0"/>
          <w:iCs w:val="0"/>
          <w:noProof w:val="0"/>
          <w:color w:val="000000" w:themeColor="text1" w:themeTint="FF" w:themeShade="FF"/>
          <w:sz w:val="24"/>
          <w:szCs w:val="24"/>
          <w:lang w:val="en-US"/>
        </w:rPr>
        <w:t>McGraw Hill</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New York.</w:t>
      </w:r>
    </w:p>
    <w:p w:rsidR="79D31FF3" w:rsidP="4144CB8A" w:rsidRDefault="79D31FF3" w14:noSpellErr="1" w14:paraId="206ADBEF" w14:textId="64843BEF">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Hofstede, G. (2011) </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Dimensionalizing</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 Cultures: The Hofstede Model in Context. Online Readings in Psychology and Culture, 2(1), pp. 1–26.</w:t>
      </w:r>
    </w:p>
    <w:p w:rsidR="79D31FF3" w:rsidP="4144CB8A" w:rsidRDefault="79D31FF3" w14:noSpellErr="1" w14:paraId="780FCC78" w14:textId="77B2E373">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Toyota Motor Corporation (2023) Sustainability Report 2023. Toyota Global. Available at: </w:t>
      </w:r>
      <w:hyperlink r:id="R1e768912abd64534">
        <w:r w:rsidRPr="4144CB8A" w:rsidR="79D31FF3">
          <w:rPr>
            <w:rStyle w:val="Hyperlink"/>
            <w:rFonts w:ascii="Arial Nova" w:hAnsi="Arial Nova" w:eastAsia="Arial Nova" w:cs="Arial Nova"/>
            <w:b w:val="0"/>
            <w:bCs w:val="0"/>
            <w:i w:val="0"/>
            <w:iCs w:val="0"/>
            <w:noProof w:val="0"/>
            <w:color w:val="000000" w:themeColor="text1" w:themeTint="FF" w:themeShade="FF"/>
            <w:sz w:val="24"/>
            <w:szCs w:val="24"/>
            <w:lang w:val="en-US"/>
          </w:rPr>
          <w:t>https://global.toyota/en/sustainability/</w:t>
        </w:r>
      </w:hyperlink>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 </w:t>
      </w:r>
    </w:p>
    <w:p w:rsidR="79D31FF3" w:rsidP="4144CB8A" w:rsidRDefault="79D31FF3" w14:paraId="6D523DFA" w14:textId="29ED3B88">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Hino, S. (2006) Inside the Mind of Toyota: Management Principles for Enduring Growth. Productivity Press, New York.</w:t>
      </w:r>
    </w:p>
    <w:p w:rsidR="79D31FF3" w:rsidP="4144CB8A" w:rsidRDefault="79D31FF3" w14:noSpellErr="1" w14:paraId="5FE2E13C" w14:textId="082FCE09">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Schein, E. H. (2010) </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 Culture and Leadership. 4th </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edn</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Jossey-Bass, San Francisco.</w:t>
      </w:r>
    </w:p>
    <w:p w:rsidR="79D31FF3" w:rsidP="4144CB8A" w:rsidRDefault="79D31FF3" w14:noSpellErr="1" w14:paraId="3ACD530A" w14:textId="750EF6D2">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Handy, C. (1993) Understanding </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Organisations</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 4th </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edn</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Penguin, London.</w:t>
      </w:r>
    </w:p>
    <w:p w:rsidR="79D31FF3" w:rsidP="4144CB8A" w:rsidRDefault="79D31FF3" w14:noSpellErr="1" w14:paraId="5AE88C25" w14:textId="54F5AFAA">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Denison</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D. R. (1990)</w:t>
      </w:r>
      <w:r w:rsidRPr="4144CB8A" w:rsidR="6E5AD91D">
        <w:rPr>
          <w:rFonts w:ascii="Arial Nova" w:hAnsi="Arial Nova" w:eastAsia="Arial Nova" w:cs="Arial Nova"/>
          <w:b w:val="0"/>
          <w:bCs w:val="0"/>
          <w:i w:val="0"/>
          <w:iCs w:val="0"/>
          <w:noProof w:val="0"/>
          <w:color w:val="000000" w:themeColor="text1" w:themeTint="FF" w:themeShade="FF"/>
          <w:sz w:val="24"/>
          <w:szCs w:val="24"/>
          <w:lang w:val="en-US"/>
        </w:rPr>
        <w:t>. Corporate</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 Culture and </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Organisational</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 Effectiveness. Wiley, New York.</w:t>
      </w:r>
    </w:p>
    <w:p w:rsidR="79D31FF3" w:rsidP="4144CB8A" w:rsidRDefault="79D31FF3" w14:noSpellErr="1" w14:paraId="4EE2C4FF" w14:textId="1964A57F">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Cusumano, M. A. (2011)</w:t>
      </w:r>
      <w:r w:rsidRPr="4144CB8A" w:rsidR="474679D3">
        <w:rPr>
          <w:rFonts w:ascii="Arial Nova" w:hAnsi="Arial Nova" w:eastAsia="Arial Nova" w:cs="Arial Nova"/>
          <w:b w:val="0"/>
          <w:bCs w:val="0"/>
          <w:i w:val="0"/>
          <w:iCs w:val="0"/>
          <w:noProof w:val="0"/>
          <w:color w:val="000000" w:themeColor="text1" w:themeTint="FF" w:themeShade="FF"/>
          <w:sz w:val="24"/>
          <w:szCs w:val="24"/>
          <w:lang w:val="en-US"/>
        </w:rPr>
        <w:t>. Staying</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 Power: Six Enduring Principles for Managing Strategy and Innovation in an Uncertain World. Oxford University Press.</w:t>
      </w:r>
    </w:p>
    <w:p w:rsidR="79D31FF3" w:rsidP="4144CB8A" w:rsidRDefault="79D31FF3" w14:noSpellErr="1" w14:paraId="4CB8AA42" w14:textId="056574FB">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Johnson, K. (2021) ‘Toyota’s cautious approach to EVs: Strategic wisdom or missed opportunity?’, Automotive News Europe, 15 July.</w:t>
      </w:r>
    </w:p>
    <w:p w:rsidR="79D31FF3" w:rsidP="4144CB8A" w:rsidRDefault="79D31FF3" w14:noSpellErr="1" w14:paraId="5A673EA1" w14:textId="6C4569CD">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Liker, J. </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K.</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 and Meier, D. (2007)</w:t>
      </w:r>
      <w:r w:rsidRPr="4144CB8A" w:rsidR="087D55B6">
        <w:rPr>
          <w:rFonts w:ascii="Arial Nova" w:hAnsi="Arial Nova" w:eastAsia="Arial Nova" w:cs="Arial Nova"/>
          <w:b w:val="0"/>
          <w:bCs w:val="0"/>
          <w:i w:val="0"/>
          <w:iCs w:val="0"/>
          <w:noProof w:val="0"/>
          <w:color w:val="000000" w:themeColor="text1" w:themeTint="FF" w:themeShade="FF"/>
          <w:sz w:val="24"/>
          <w:szCs w:val="24"/>
          <w:lang w:val="en-US"/>
        </w:rPr>
        <w:t>. Toyota</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 Talent: Developing Your </w:t>
      </w:r>
      <w:r w:rsidRPr="4144CB8A" w:rsidR="19CC113D">
        <w:rPr>
          <w:rFonts w:ascii="Arial Nova" w:hAnsi="Arial Nova" w:eastAsia="Arial Nova" w:cs="Arial Nova"/>
          <w:b w:val="0"/>
          <w:bCs w:val="0"/>
          <w:i w:val="0"/>
          <w:iCs w:val="0"/>
          <w:noProof w:val="0"/>
          <w:color w:val="000000" w:themeColor="text1" w:themeTint="FF" w:themeShade="FF"/>
          <w:sz w:val="24"/>
          <w:szCs w:val="24"/>
          <w:lang w:val="en-US"/>
        </w:rPr>
        <w:t>People in</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xml:space="preserve"> the Toyota Way. </w:t>
      </w:r>
      <w:r w:rsidRPr="4144CB8A" w:rsidR="1EBB1270">
        <w:rPr>
          <w:rFonts w:ascii="Arial Nova" w:hAnsi="Arial Nova" w:eastAsia="Arial Nova" w:cs="Arial Nova"/>
          <w:b w:val="0"/>
          <w:bCs w:val="0"/>
          <w:i w:val="0"/>
          <w:iCs w:val="0"/>
          <w:noProof w:val="0"/>
          <w:color w:val="000000" w:themeColor="text1" w:themeTint="FF" w:themeShade="FF"/>
          <w:sz w:val="24"/>
          <w:szCs w:val="24"/>
          <w:lang w:val="en-US"/>
        </w:rPr>
        <w:t>McGraw Hill</w:t>
      </w:r>
      <w:r w:rsidRPr="4144CB8A" w:rsidR="79D31FF3">
        <w:rPr>
          <w:rFonts w:ascii="Arial Nova" w:hAnsi="Arial Nova" w:eastAsia="Arial Nova" w:cs="Arial Nova"/>
          <w:b w:val="0"/>
          <w:bCs w:val="0"/>
          <w:i w:val="0"/>
          <w:iCs w:val="0"/>
          <w:noProof w:val="0"/>
          <w:color w:val="000000" w:themeColor="text1" w:themeTint="FF" w:themeShade="FF"/>
          <w:sz w:val="24"/>
          <w:szCs w:val="24"/>
          <w:lang w:val="en-US"/>
        </w:rPr>
        <w:t>, New York.</w:t>
      </w:r>
    </w:p>
    <w:p w:rsidR="23699638" w:rsidP="4144CB8A" w:rsidRDefault="23699638" w14:noSpellErr="1" w14:paraId="4A166E90" w14:textId="02D179A7">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r w:rsidRPr="4144CB8A" w:rsidR="23699638">
        <w:rPr>
          <w:rFonts w:ascii="Arial Nova" w:hAnsi="Arial Nova" w:eastAsia="Arial Nova" w:cs="Arial Nova"/>
          <w:b w:val="0"/>
          <w:bCs w:val="0"/>
          <w:i w:val="0"/>
          <w:iCs w:val="0"/>
          <w:noProof w:val="0"/>
          <w:color w:val="000000" w:themeColor="text1" w:themeTint="FF" w:themeShade="FF"/>
          <w:sz w:val="24"/>
          <w:szCs w:val="24"/>
          <w:lang w:val="en-US"/>
        </w:rPr>
        <w:t>Ohno, T. (1988)</w:t>
      </w:r>
      <w:r w:rsidRPr="4144CB8A" w:rsidR="1919DF04">
        <w:rPr>
          <w:rFonts w:ascii="Arial Nova" w:hAnsi="Arial Nova" w:eastAsia="Arial Nova" w:cs="Arial Nova"/>
          <w:b w:val="0"/>
          <w:bCs w:val="0"/>
          <w:i w:val="0"/>
          <w:iCs w:val="0"/>
          <w:noProof w:val="0"/>
          <w:color w:val="000000" w:themeColor="text1" w:themeTint="FF" w:themeShade="FF"/>
          <w:sz w:val="24"/>
          <w:szCs w:val="24"/>
          <w:lang w:val="en-US"/>
        </w:rPr>
        <w:t>. Toyota</w:t>
      </w:r>
      <w:r w:rsidRPr="4144CB8A" w:rsidR="23699638">
        <w:rPr>
          <w:rFonts w:ascii="Arial Nova" w:hAnsi="Arial Nova" w:eastAsia="Arial Nova" w:cs="Arial Nova"/>
          <w:b w:val="0"/>
          <w:bCs w:val="0"/>
          <w:i w:val="0"/>
          <w:iCs w:val="0"/>
          <w:noProof w:val="0"/>
          <w:color w:val="000000" w:themeColor="text1" w:themeTint="FF" w:themeShade="FF"/>
          <w:sz w:val="24"/>
          <w:szCs w:val="24"/>
          <w:lang w:val="en-US"/>
        </w:rPr>
        <w:t xml:space="preserve"> Production System: Beyond Large-Scale Production. Productivity Press, New York.</w:t>
      </w:r>
    </w:p>
    <w:p w:rsidR="4144CB8A" w:rsidP="4144CB8A" w:rsidRDefault="4144CB8A" w14:paraId="5269825B" w14:textId="0A752FEE">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44B665AB" w14:textId="3A7BF509">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50E9F6D2" w14:textId="150BABA2">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714250AE" w14:textId="5395D4B1">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347D1726" w14:textId="743B71E0">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68E6B377" w14:textId="2393097B">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32FEF484" w14:textId="0986B0BD">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6005F03A" w14:textId="1A690B09">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792ACCCC" w14:textId="4536A56F">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16405DCE" w14:textId="4E09DD70">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163FF7A1" w14:textId="41C4A83C">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w:rsidR="4144CB8A" w:rsidP="4144CB8A" w:rsidRDefault="4144CB8A" w14:paraId="2E397753" w14:textId="46AF8B5F">
      <w:pPr>
        <w:spacing w:before="240" w:beforeAutospacing="off" w:after="240" w:afterAutospacing="off"/>
        <w:rPr>
          <w:rFonts w:ascii="Arial Nova" w:hAnsi="Arial Nova" w:eastAsia="Arial Nova" w:cs="Arial Nova"/>
          <w:b w:val="0"/>
          <w:bCs w:val="0"/>
          <w:i w:val="0"/>
          <w:iCs w:val="0"/>
          <w:noProof w:val="0"/>
          <w:color w:val="000000" w:themeColor="text1" w:themeTint="FF" w:themeShade="FF"/>
          <w:sz w:val="24"/>
          <w:szCs w:val="24"/>
          <w:lang w:val="en-US"/>
        </w:rPr>
      </w:pPr>
    </w:p>
    <w:p xmlns:wp14="http://schemas.microsoft.com/office/word/2010/wordml" w:rsidP="4144CB8A" wp14:paraId="5A5E8D3C" wp14:textId="14C81E4B" wp14:noSpellErr="1">
      <w:pPr>
        <w:rPr>
          <w:rFonts w:ascii="Arial Nova" w:hAnsi="Arial Nova" w:eastAsia="Arial Nova" w:cs="Arial Nova"/>
          <w:b w:val="0"/>
          <w:bCs w:val="0"/>
          <w:i w:val="0"/>
          <w:iCs w:val="0"/>
          <w:color w:val="000000" w:themeColor="text1" w:themeTint="FF" w:themeShade="FF"/>
          <w:sz w:val="24"/>
          <w:szCs w:val="24"/>
        </w:rPr>
      </w:pPr>
    </w:p>
    <w:p xmlns:wp14="http://schemas.microsoft.com/office/word/2010/wordml" w:rsidP="2FC039AC" wp14:paraId="2C078E63" wp14:textId="3CF34228">
      <w:pPr>
        <w:rPr>
          <w:rFonts w:ascii="Arial Nova" w:hAnsi="Arial Nova" w:eastAsia="Arial Nova" w:cs="Arial Nova"/>
        </w:rPr>
      </w:pPr>
    </w:p>
    <w:sectPr>
      <w:pgSz w:w="12240" w:h="15840" w:orient="portrait"/>
      <w:pgMar w:top="1440" w:right="1440" w:bottom="1440" w:left="1440" w:header="720" w:footer="720" w:gutter="0"/>
      <w:cols w:space="720"/>
      <w:docGrid w:linePitch="360"/>
      <w:headerReference w:type="default" r:id="R6dfa390d2a194daa"/>
      <w:footerReference w:type="default" r:id="R26a9dd450e8d4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44CB8A" w:rsidTr="4144CB8A" w14:paraId="3EBD23C6">
      <w:trPr>
        <w:trHeight w:val="300"/>
      </w:trPr>
      <w:tc>
        <w:tcPr>
          <w:tcW w:w="3120" w:type="dxa"/>
          <w:tcMar/>
        </w:tcPr>
        <w:p w:rsidR="4144CB8A" w:rsidP="4144CB8A" w:rsidRDefault="4144CB8A" w14:paraId="355F6C04" w14:textId="00EC7D17">
          <w:pPr>
            <w:pStyle w:val="Header"/>
            <w:bidi w:val="0"/>
            <w:ind w:left="-115"/>
            <w:jc w:val="left"/>
          </w:pPr>
        </w:p>
      </w:tc>
      <w:tc>
        <w:tcPr>
          <w:tcW w:w="3120" w:type="dxa"/>
          <w:tcMar/>
        </w:tcPr>
        <w:p w:rsidR="4144CB8A" w:rsidP="4144CB8A" w:rsidRDefault="4144CB8A" w14:paraId="449307FB" w14:textId="6BBD832D">
          <w:pPr>
            <w:pStyle w:val="Header"/>
            <w:bidi w:val="0"/>
            <w:jc w:val="center"/>
          </w:pPr>
        </w:p>
      </w:tc>
      <w:tc>
        <w:tcPr>
          <w:tcW w:w="3120" w:type="dxa"/>
          <w:tcMar/>
        </w:tcPr>
        <w:p w:rsidR="4144CB8A" w:rsidP="4144CB8A" w:rsidRDefault="4144CB8A" w14:paraId="4AA311F9" w14:textId="5D9197D2">
          <w:pPr>
            <w:pStyle w:val="Header"/>
            <w:bidi w:val="0"/>
            <w:ind w:right="-115"/>
            <w:jc w:val="right"/>
          </w:pPr>
          <w:r>
            <w:fldChar w:fldCharType="begin"/>
          </w:r>
          <w:r>
            <w:instrText xml:space="preserve">PAGE</w:instrText>
          </w:r>
          <w:r>
            <w:fldChar w:fldCharType="separate"/>
          </w:r>
          <w:r>
            <w:fldChar w:fldCharType="end"/>
          </w:r>
        </w:p>
      </w:tc>
    </w:tr>
  </w:tbl>
  <w:p w:rsidR="4144CB8A" w:rsidP="4144CB8A" w:rsidRDefault="4144CB8A" w14:paraId="34414618" w14:textId="588911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144CB8A" w:rsidTr="4144CB8A" w14:paraId="4F6B47DE">
      <w:trPr>
        <w:trHeight w:val="300"/>
      </w:trPr>
      <w:tc>
        <w:tcPr>
          <w:tcW w:w="3120" w:type="dxa"/>
          <w:tcMar/>
        </w:tcPr>
        <w:p w:rsidR="4144CB8A" w:rsidP="4144CB8A" w:rsidRDefault="4144CB8A" w14:paraId="4A4E820D" w14:textId="0B38681D">
          <w:pPr>
            <w:pStyle w:val="Header"/>
            <w:bidi w:val="0"/>
            <w:ind w:left="-115"/>
            <w:jc w:val="left"/>
          </w:pPr>
        </w:p>
      </w:tc>
      <w:tc>
        <w:tcPr>
          <w:tcW w:w="3120" w:type="dxa"/>
          <w:tcMar/>
        </w:tcPr>
        <w:p w:rsidR="4144CB8A" w:rsidP="4144CB8A" w:rsidRDefault="4144CB8A" w14:paraId="6EE81225" w14:textId="216E3271">
          <w:pPr>
            <w:pStyle w:val="Header"/>
            <w:bidi w:val="0"/>
            <w:jc w:val="center"/>
          </w:pPr>
        </w:p>
      </w:tc>
      <w:tc>
        <w:tcPr>
          <w:tcW w:w="3120" w:type="dxa"/>
          <w:tcMar/>
        </w:tcPr>
        <w:p w:rsidR="4144CB8A" w:rsidP="4144CB8A" w:rsidRDefault="4144CB8A" w14:paraId="0FAE8F6D" w14:textId="4F28B1B1">
          <w:pPr>
            <w:pStyle w:val="Header"/>
            <w:bidi w:val="0"/>
            <w:ind w:right="-115"/>
            <w:jc w:val="right"/>
          </w:pPr>
        </w:p>
      </w:tc>
    </w:tr>
  </w:tbl>
  <w:p w:rsidR="4144CB8A" w:rsidP="4144CB8A" w:rsidRDefault="4144CB8A" w14:paraId="37D90C7E" w14:textId="57AE2C4D">
    <w:pPr>
      <w:pStyle w:val="Header"/>
      <w:bidi w:val="0"/>
    </w:pPr>
  </w:p>
</w:hdr>
</file>

<file path=word/intelligence2.xml><?xml version="1.0" encoding="utf-8"?>
<int2:intelligence xmlns:int2="http://schemas.microsoft.com/office/intelligence/2020/intelligence">
  <int2:observations>
    <int2:textHash int2:hashCode="iV64wkc1A4QYx+" int2:id="I7mhhKD4">
      <int2:state int2:type="spell" int2:value="Rejected"/>
    </int2:textHash>
    <int2:textHash int2:hashCode="DfFG05gpKgeKun" int2:id="R1pjUr7T">
      <int2:state int2:type="spell" int2:value="Rejected"/>
    </int2:textHash>
    <int2:textHash int2:hashCode="NT12h6See3qwhk" int2:id="xdRIMeti">
      <int2:state int2:type="spell" int2:value="Rejected"/>
    </int2:textHash>
    <int2:textHash int2:hashCode="p6CkgAmaaGUo8O" int2:id="9uBlsIru">
      <int2:state int2:type="spell" int2:value="Rejected"/>
    </int2:textHash>
    <int2:textHash int2:hashCode="naXxkq3lfNt95p" int2:id="H6rupIbj">
      <int2:state int2:type="spell" int2:value="Rejected"/>
    </int2:textHash>
    <int2:textHash int2:hashCode="b/2WgtcirpaZ5P" int2:id="vdH1vRKt">
      <int2:state int2:type="spell" int2:value="Rejected"/>
    </int2:textHash>
    <int2:textHash int2:hashCode="WO76xX/UQmPrbv" int2:id="XJIoRxkv">
      <int2:state int2:type="spell" int2:value="Rejected"/>
    </int2:textHash>
    <int2:textHash int2:hashCode="m/C6mGJeQTWOW1" int2:id="9gECafkg">
      <int2:state int2:type="spell" int2:value="Rejected"/>
    </int2:textHash>
    <int2:textHash int2:hashCode="Pwxxtk1Oaaejcq" int2:id="z2Yehxd6">
      <int2:state int2:type="spell" int2:value="Rejected"/>
    </int2:textHash>
    <int2:textHash int2:hashCode="t0XkENmvWAdIei" int2:id="ojefgk0M">
      <int2:state int2:type="spell" int2:value="Rejected"/>
    </int2:textHash>
    <int2:textHash int2:hashCode="R/O2ECYOVhGQf+" int2:id="2MvKsFod">
      <int2:state int2:type="spell" int2:value="Rejected"/>
    </int2:textHash>
    <int2:textHash int2:hashCode="2eg5qO2eXbFINg" int2:id="0JRI5zIa">
      <int2:state int2:type="spell" int2:value="Rejected"/>
    </int2:textHash>
    <int2:textHash int2:hashCode="yLGa3PbIwIauAZ" int2:id="G4x3d7Mz">
      <int2:state int2:type="spell" int2:value="Rejected"/>
    </int2:textHash>
    <int2:textHash int2:hashCode="kByidkXaRxGvMx" int2:id="3S8inXEA">
      <int2:state int2:type="spell" int2:value="Rejected"/>
    </int2:textHash>
    <int2:textHash int2:hashCode="VIkFfrAZA79Wx4" int2:id="87E2rlCu">
      <int2:state int2:type="spell" int2:value="Rejected"/>
    </int2:textHash>
    <int2:textHash int2:hashCode="Y7rxyEYEGk+h8X" int2:id="So0mBrAr">
      <int2:state int2:type="spell" int2:value="Rejected"/>
    </int2:textHash>
    <int2:textHash int2:hashCode="v3jXqOAVqWKVSe" int2:id="DXWqk3hM">
      <int2:state int2:type="spell" int2:value="Rejected"/>
    </int2:textHash>
    <int2:textHash int2:hashCode="JgtY6hJIkityHB" int2:id="yp3DkTNN">
      <int2:state int2:type="spell" int2:value="Rejected"/>
    </int2:textHash>
    <int2:textHash int2:hashCode="hN6B5b8f/AaH/i" int2:id="MOKQWMIi">
      <int2:state int2:type="spell" int2:value="Rejected"/>
    </int2:textHash>
    <int2:textHash int2:hashCode="D4bdXDv9h+9s2y" int2:id="Xv5FgLAI">
      <int2:state int2:type="spell" int2:value="Rejected"/>
    </int2:textHash>
    <int2:textHash int2:hashCode="yyMwVV196JRF1q" int2:id="Ng1iWac4">
      <int2:state int2:type="spell" int2:value="Rejected"/>
    </int2:textHash>
    <int2:textHash int2:hashCode="/XpnRczSGNplqc" int2:id="Y9L9IQ9f">
      <int2:state int2:type="spell" int2:value="Rejected"/>
    </int2:textHash>
    <int2:textHash int2:hashCode="kv4UVae7TQCfC0" int2:id="JhUjnpNz">
      <int2:state int2:type="spell" int2:value="Rejected"/>
    </int2:textHash>
    <int2:textHash int2:hashCode="AaaEU1r7YMOqFp" int2:id="lduZIvsM">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F7AB05"/>
    <w:rsid w:val="0160BE65"/>
    <w:rsid w:val="0160BE65"/>
    <w:rsid w:val="0177A0B5"/>
    <w:rsid w:val="019B69D4"/>
    <w:rsid w:val="04B24511"/>
    <w:rsid w:val="04DE00C7"/>
    <w:rsid w:val="055F76E6"/>
    <w:rsid w:val="087D55B6"/>
    <w:rsid w:val="08C83FA9"/>
    <w:rsid w:val="08CBB089"/>
    <w:rsid w:val="0AC6FBBB"/>
    <w:rsid w:val="0D3643D0"/>
    <w:rsid w:val="0D9005EB"/>
    <w:rsid w:val="0E0B58AA"/>
    <w:rsid w:val="1164D2C2"/>
    <w:rsid w:val="1233B717"/>
    <w:rsid w:val="1233B717"/>
    <w:rsid w:val="133C459F"/>
    <w:rsid w:val="13F7AB05"/>
    <w:rsid w:val="13F93A79"/>
    <w:rsid w:val="14D63C88"/>
    <w:rsid w:val="16320453"/>
    <w:rsid w:val="16B3D30B"/>
    <w:rsid w:val="18185C30"/>
    <w:rsid w:val="1919DF04"/>
    <w:rsid w:val="19C3BD19"/>
    <w:rsid w:val="19CC113D"/>
    <w:rsid w:val="1A07D9A1"/>
    <w:rsid w:val="1A41A374"/>
    <w:rsid w:val="1B372237"/>
    <w:rsid w:val="1B37F8E0"/>
    <w:rsid w:val="1EBB1270"/>
    <w:rsid w:val="1EF244A5"/>
    <w:rsid w:val="1F4F4C5B"/>
    <w:rsid w:val="20A73C42"/>
    <w:rsid w:val="218F2F8C"/>
    <w:rsid w:val="21ADA918"/>
    <w:rsid w:val="23699638"/>
    <w:rsid w:val="24B159DC"/>
    <w:rsid w:val="29B004C1"/>
    <w:rsid w:val="29B004C1"/>
    <w:rsid w:val="2F484405"/>
    <w:rsid w:val="2FC039AC"/>
    <w:rsid w:val="3087B700"/>
    <w:rsid w:val="3087B700"/>
    <w:rsid w:val="31CF6F42"/>
    <w:rsid w:val="31E64A5C"/>
    <w:rsid w:val="3302B5BD"/>
    <w:rsid w:val="33D22D68"/>
    <w:rsid w:val="381324D8"/>
    <w:rsid w:val="3853CA73"/>
    <w:rsid w:val="3A02F158"/>
    <w:rsid w:val="3BF5EB62"/>
    <w:rsid w:val="3CD42988"/>
    <w:rsid w:val="3D90380E"/>
    <w:rsid w:val="3E537E20"/>
    <w:rsid w:val="3E5DC62F"/>
    <w:rsid w:val="4114F340"/>
    <w:rsid w:val="41299AA2"/>
    <w:rsid w:val="4144CB8A"/>
    <w:rsid w:val="42027319"/>
    <w:rsid w:val="4250AB93"/>
    <w:rsid w:val="4559CF42"/>
    <w:rsid w:val="4649E0CF"/>
    <w:rsid w:val="474679D3"/>
    <w:rsid w:val="4776BAED"/>
    <w:rsid w:val="47FAD773"/>
    <w:rsid w:val="491B188D"/>
    <w:rsid w:val="49394FEB"/>
    <w:rsid w:val="497CA612"/>
    <w:rsid w:val="4A6B3B82"/>
    <w:rsid w:val="4B1CCA50"/>
    <w:rsid w:val="4B1CCA50"/>
    <w:rsid w:val="4BA78052"/>
    <w:rsid w:val="4C378194"/>
    <w:rsid w:val="4DE715EB"/>
    <w:rsid w:val="526FF889"/>
    <w:rsid w:val="52C16ED2"/>
    <w:rsid w:val="53779709"/>
    <w:rsid w:val="551943D6"/>
    <w:rsid w:val="5574F673"/>
    <w:rsid w:val="57CF0AE2"/>
    <w:rsid w:val="58A456AB"/>
    <w:rsid w:val="5966F75E"/>
    <w:rsid w:val="59B70726"/>
    <w:rsid w:val="5EB0882E"/>
    <w:rsid w:val="5FE0BE49"/>
    <w:rsid w:val="60445537"/>
    <w:rsid w:val="61169C85"/>
    <w:rsid w:val="61169C85"/>
    <w:rsid w:val="621422C6"/>
    <w:rsid w:val="621422C6"/>
    <w:rsid w:val="6661B0B3"/>
    <w:rsid w:val="6AFE5F89"/>
    <w:rsid w:val="6CE1851B"/>
    <w:rsid w:val="6E5AD91D"/>
    <w:rsid w:val="6E880E80"/>
    <w:rsid w:val="6F156F82"/>
    <w:rsid w:val="7034C8C6"/>
    <w:rsid w:val="70541AAE"/>
    <w:rsid w:val="7107FCA9"/>
    <w:rsid w:val="71A12914"/>
    <w:rsid w:val="71C6E578"/>
    <w:rsid w:val="71D91E27"/>
    <w:rsid w:val="72E11249"/>
    <w:rsid w:val="72E5C420"/>
    <w:rsid w:val="72F6361E"/>
    <w:rsid w:val="72F6361E"/>
    <w:rsid w:val="7321E1A5"/>
    <w:rsid w:val="74003FA6"/>
    <w:rsid w:val="74B7F690"/>
    <w:rsid w:val="7552566F"/>
    <w:rsid w:val="771FCB30"/>
    <w:rsid w:val="772252A8"/>
    <w:rsid w:val="79579E52"/>
    <w:rsid w:val="79730D20"/>
    <w:rsid w:val="79D31FF3"/>
    <w:rsid w:val="7A896239"/>
    <w:rsid w:val="7B70AF91"/>
    <w:rsid w:val="7D5A5BFE"/>
    <w:rsid w:val="7DCAB761"/>
    <w:rsid w:val="7E994506"/>
    <w:rsid w:val="7F421385"/>
    <w:rsid w:val="7F9408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7AB05"/>
  <w15:chartTrackingRefBased/>
  <w15:docId w15:val="{AB561977-7C48-4DCE-97B2-DD040E5DC1B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2FC039A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2FC039AC"/>
    <w:rPr>
      <w:color w:val="467886"/>
      <w:u w:val="single"/>
    </w:rPr>
  </w:style>
  <w:style w:type="paragraph" w:styleId="Heading1">
    <w:uiPriority w:val="9"/>
    <w:name w:val="heading 1"/>
    <w:basedOn w:val="Normal"/>
    <w:next w:val="Normal"/>
    <w:qFormat/>
    <w:rsid w:val="4144CB8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4144CB8A"/>
    <w:pPr>
      <w:spacing w:after="100"/>
    </w:pPr>
  </w:style>
  <w:style w:type="paragraph" w:styleId="Header">
    <w:uiPriority w:val="99"/>
    <w:name w:val="header"/>
    <w:basedOn w:val="Normal"/>
    <w:unhideWhenUsed/>
    <w:rsid w:val="4144CB8A"/>
    <w:pPr>
      <w:tabs>
        <w:tab w:val="center" w:leader="none" w:pos="4680"/>
        <w:tab w:val="right" w:leader="none" w:pos="9360"/>
      </w:tabs>
      <w:spacing w:after="0" w:line="240" w:lineRule="auto"/>
    </w:pPr>
  </w:style>
  <w:style w:type="paragraph" w:styleId="Footer">
    <w:uiPriority w:val="99"/>
    <w:name w:val="footer"/>
    <w:basedOn w:val="Normal"/>
    <w:unhideWhenUsed/>
    <w:rsid w:val="4144CB8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global.toyota/en/sustainability/" TargetMode="External" Id="R1e768912abd64534" /><Relationship Type="http://schemas.openxmlformats.org/officeDocument/2006/relationships/header" Target="header.xml" Id="R6dfa390d2a194daa" /><Relationship Type="http://schemas.openxmlformats.org/officeDocument/2006/relationships/footer" Target="footer.xml" Id="R26a9dd450e8d4ce0" /><Relationship Type="http://schemas.microsoft.com/office/2020/10/relationships/intelligence" Target="intelligence2.xml" Id="R3a561c8da0134ab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2025-11-06T17:59:38.0271177Z</dcterms:created>
  <dcterms:modified xsi:type="dcterms:W3CDTF">2025-11-09T21:39:58.5214267Z</dcterms:modified>
  <dc:creator>Traian-Remus Radu (2312046)</dc:creator>
  <lastModifiedBy>Traian-Remus Radu (2312046)</lastModifiedBy>
</coreProperties>
</file>