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B4ABF" w14:textId="2FE152C5" w:rsidR="00682BCA" w:rsidRDefault="00B53816" w:rsidP="00B53816">
      <w:pPr>
        <w:spacing w:after="0"/>
        <w:rPr>
          <w:sz w:val="28"/>
          <w:szCs w:val="28"/>
        </w:rPr>
      </w:pPr>
      <w:r>
        <w:rPr>
          <w:sz w:val="28"/>
          <w:szCs w:val="28"/>
        </w:rPr>
        <w:t>Exhibition Bibliography</w:t>
      </w:r>
    </w:p>
    <w:p w14:paraId="72310BF5" w14:textId="5EA49F47" w:rsidR="00B53816" w:rsidRDefault="00B53816" w:rsidP="00B53816">
      <w:pPr>
        <w:spacing w:after="0"/>
        <w:rPr>
          <w:sz w:val="28"/>
          <w:szCs w:val="28"/>
        </w:rPr>
      </w:pPr>
    </w:p>
    <w:p w14:paraId="15F7A5E2" w14:textId="25E553A5" w:rsidR="000B33A4" w:rsidRPr="000B33A4" w:rsidRDefault="000B33A4" w:rsidP="000B33A4">
      <w:pPr>
        <w:spacing w:after="0"/>
        <w:rPr>
          <w:sz w:val="28"/>
          <w:szCs w:val="28"/>
        </w:rPr>
      </w:pPr>
      <w:r w:rsidRPr="000B33A4">
        <w:rPr>
          <w:sz w:val="24"/>
          <w:szCs w:val="24"/>
        </w:rPr>
        <w:t xml:space="preserve">Barad, K. (2007) </w:t>
      </w:r>
      <w:r w:rsidRPr="000B33A4">
        <w:rPr>
          <w:i/>
          <w:iCs/>
          <w:sz w:val="24"/>
          <w:szCs w:val="24"/>
        </w:rPr>
        <w:t>Meeting the Universe Halfway: Quantum Physics and the Entanglement of Matter and Meaning</w:t>
      </w:r>
      <w:r w:rsidRPr="000B33A4">
        <w:rPr>
          <w:sz w:val="24"/>
          <w:szCs w:val="24"/>
        </w:rPr>
        <w:t>. Durham: Duke University Press.</w:t>
      </w:r>
    </w:p>
    <w:p w14:paraId="1395FC49" w14:textId="77777777" w:rsidR="000B33A4" w:rsidRDefault="000B33A4" w:rsidP="000B33A4">
      <w:pPr>
        <w:spacing w:after="0"/>
        <w:rPr>
          <w:sz w:val="24"/>
          <w:szCs w:val="24"/>
        </w:rPr>
      </w:pPr>
    </w:p>
    <w:p w14:paraId="630C24D6" w14:textId="31B279A2" w:rsidR="009D171B" w:rsidRPr="000B33A4" w:rsidRDefault="009D171B" w:rsidP="000B33A4">
      <w:pPr>
        <w:spacing w:after="0"/>
        <w:rPr>
          <w:sz w:val="24"/>
          <w:szCs w:val="24"/>
        </w:rPr>
      </w:pPr>
      <w:r>
        <w:rPr>
          <w:sz w:val="24"/>
          <w:szCs w:val="24"/>
        </w:rPr>
        <w:t>Barrett, M. J. (201</w:t>
      </w:r>
      <w:r w:rsidR="000B33A4">
        <w:rPr>
          <w:sz w:val="24"/>
          <w:szCs w:val="24"/>
        </w:rPr>
        <w:t>3</w:t>
      </w:r>
      <w:r>
        <w:rPr>
          <w:sz w:val="24"/>
          <w:szCs w:val="24"/>
        </w:rPr>
        <w:t xml:space="preserve">) </w:t>
      </w:r>
      <w:r w:rsidR="000B33A4">
        <w:rPr>
          <w:sz w:val="24"/>
          <w:szCs w:val="24"/>
        </w:rPr>
        <w:t xml:space="preserve">‘Researching Through </w:t>
      </w:r>
      <w:r>
        <w:rPr>
          <w:sz w:val="24"/>
          <w:szCs w:val="24"/>
        </w:rPr>
        <w:t>Porosity</w:t>
      </w:r>
      <w:r w:rsidR="000B33A4">
        <w:rPr>
          <w:sz w:val="24"/>
          <w:szCs w:val="24"/>
        </w:rPr>
        <w:t xml:space="preserve">’ in Harvey, G. (eds) </w:t>
      </w:r>
      <w:r w:rsidR="000B33A4">
        <w:rPr>
          <w:i/>
          <w:iCs/>
          <w:sz w:val="24"/>
          <w:szCs w:val="24"/>
        </w:rPr>
        <w:t xml:space="preserve">The Handbook of Contemporary Animism. </w:t>
      </w:r>
      <w:r w:rsidR="000B33A4">
        <w:rPr>
          <w:sz w:val="24"/>
          <w:szCs w:val="24"/>
        </w:rPr>
        <w:t xml:space="preserve">London: Routledge. </w:t>
      </w:r>
    </w:p>
    <w:p w14:paraId="41237BE5" w14:textId="33DF010D" w:rsidR="009D171B" w:rsidRDefault="009D171B" w:rsidP="000B33A4">
      <w:pPr>
        <w:spacing w:after="0"/>
        <w:rPr>
          <w:sz w:val="24"/>
          <w:szCs w:val="24"/>
        </w:rPr>
      </w:pPr>
    </w:p>
    <w:p w14:paraId="0D3827EB" w14:textId="25FCEE12" w:rsidR="009D171B" w:rsidRPr="000B33A4" w:rsidRDefault="009D171B" w:rsidP="000B33A4">
      <w:pPr>
        <w:spacing w:after="0"/>
        <w:rPr>
          <w:sz w:val="24"/>
          <w:szCs w:val="24"/>
        </w:rPr>
      </w:pPr>
      <w:r>
        <w:rPr>
          <w:sz w:val="24"/>
          <w:szCs w:val="24"/>
        </w:rPr>
        <w:t>Cohen</w:t>
      </w:r>
      <w:r w:rsidR="000B33A4">
        <w:rPr>
          <w:sz w:val="24"/>
          <w:szCs w:val="24"/>
        </w:rPr>
        <w:t>, J. J. (2014)</w:t>
      </w:r>
      <w:r>
        <w:rPr>
          <w:sz w:val="24"/>
          <w:szCs w:val="24"/>
        </w:rPr>
        <w:t xml:space="preserve"> </w:t>
      </w:r>
      <w:r w:rsidR="000B33A4">
        <w:rPr>
          <w:sz w:val="24"/>
          <w:szCs w:val="24"/>
        </w:rPr>
        <w:t>‘</w:t>
      </w:r>
      <w:r>
        <w:rPr>
          <w:sz w:val="24"/>
          <w:szCs w:val="24"/>
        </w:rPr>
        <w:t>Elemental Relations</w:t>
      </w:r>
      <w:r w:rsidR="000B33A4">
        <w:rPr>
          <w:sz w:val="24"/>
          <w:szCs w:val="24"/>
        </w:rPr>
        <w:t xml:space="preserve">’ </w:t>
      </w:r>
      <w:r w:rsidR="000B33A4">
        <w:rPr>
          <w:i/>
          <w:iCs/>
          <w:sz w:val="24"/>
          <w:szCs w:val="24"/>
        </w:rPr>
        <w:t xml:space="preserve">O-Zone: A Journal of Object-Orientated Studies </w:t>
      </w:r>
      <w:r w:rsidR="000B33A4">
        <w:rPr>
          <w:sz w:val="24"/>
          <w:szCs w:val="24"/>
        </w:rPr>
        <w:t>(Issue 1). ISSN: 2326-8344.</w:t>
      </w:r>
    </w:p>
    <w:p w14:paraId="06C1EA4D" w14:textId="58462FB6" w:rsidR="000B33A4" w:rsidRDefault="000B33A4" w:rsidP="000B33A4">
      <w:pPr>
        <w:spacing w:after="0"/>
        <w:rPr>
          <w:sz w:val="24"/>
          <w:szCs w:val="24"/>
        </w:rPr>
      </w:pPr>
    </w:p>
    <w:p w14:paraId="17A14B9C" w14:textId="40C2E4EE" w:rsidR="000B33A4" w:rsidRDefault="000B33A4" w:rsidP="000B33A4">
      <w:pPr>
        <w:spacing w:after="0"/>
        <w:rPr>
          <w:sz w:val="24"/>
          <w:szCs w:val="24"/>
        </w:rPr>
      </w:pPr>
      <w:proofErr w:type="spellStart"/>
      <w:r w:rsidRPr="000B33A4">
        <w:rPr>
          <w:sz w:val="24"/>
          <w:szCs w:val="24"/>
        </w:rPr>
        <w:t>Gell</w:t>
      </w:r>
      <w:proofErr w:type="spellEnd"/>
      <w:r w:rsidRPr="000B33A4">
        <w:rPr>
          <w:sz w:val="24"/>
          <w:szCs w:val="24"/>
        </w:rPr>
        <w:t xml:space="preserve">, A. (1992) “The Technology of Enchantment and the Enchantment of Technology” in </w:t>
      </w:r>
      <w:proofErr w:type="spellStart"/>
      <w:r w:rsidRPr="000B33A4">
        <w:rPr>
          <w:sz w:val="24"/>
          <w:szCs w:val="24"/>
        </w:rPr>
        <w:t>Coote</w:t>
      </w:r>
      <w:proofErr w:type="spellEnd"/>
      <w:r w:rsidRPr="000B33A4">
        <w:rPr>
          <w:sz w:val="24"/>
          <w:szCs w:val="24"/>
        </w:rPr>
        <w:t>, J. and Shelton, A. (ed</w:t>
      </w:r>
      <w:r w:rsidRPr="000B33A4">
        <w:rPr>
          <w:sz w:val="24"/>
          <w:szCs w:val="24"/>
        </w:rPr>
        <w:t>s</w:t>
      </w:r>
      <w:r w:rsidRPr="000B33A4">
        <w:rPr>
          <w:sz w:val="24"/>
          <w:szCs w:val="24"/>
        </w:rPr>
        <w:t>)</w:t>
      </w:r>
      <w:r w:rsidRPr="000B33A4">
        <w:rPr>
          <w:i/>
          <w:iCs/>
          <w:sz w:val="24"/>
          <w:szCs w:val="24"/>
        </w:rPr>
        <w:t xml:space="preserve"> Anthropology, Art and Aesthetics</w:t>
      </w:r>
      <w:r w:rsidRPr="000B33A4">
        <w:rPr>
          <w:sz w:val="24"/>
          <w:szCs w:val="24"/>
        </w:rPr>
        <w:t>. Oxford: Clarendon Press.</w:t>
      </w:r>
    </w:p>
    <w:p w14:paraId="0FD54FB0" w14:textId="055EC285" w:rsidR="000B33A4" w:rsidRDefault="000B33A4" w:rsidP="000B33A4">
      <w:pPr>
        <w:spacing w:after="0"/>
        <w:rPr>
          <w:sz w:val="24"/>
          <w:szCs w:val="24"/>
        </w:rPr>
      </w:pPr>
    </w:p>
    <w:p w14:paraId="1F5928E8" w14:textId="3BE56F53" w:rsidR="000B33A4" w:rsidRPr="000B33A4" w:rsidRDefault="000B33A4" w:rsidP="000B33A4">
      <w:pPr>
        <w:spacing w:after="0"/>
        <w:rPr>
          <w:sz w:val="28"/>
          <w:szCs w:val="28"/>
        </w:rPr>
      </w:pPr>
      <w:proofErr w:type="spellStart"/>
      <w:r>
        <w:rPr>
          <w:sz w:val="24"/>
          <w:szCs w:val="24"/>
        </w:rPr>
        <w:t>Gell</w:t>
      </w:r>
      <w:proofErr w:type="spellEnd"/>
      <w:r>
        <w:rPr>
          <w:sz w:val="24"/>
          <w:szCs w:val="24"/>
        </w:rPr>
        <w:t xml:space="preserve">, A. (1998) </w:t>
      </w:r>
      <w:r>
        <w:rPr>
          <w:i/>
          <w:iCs/>
          <w:sz w:val="24"/>
          <w:szCs w:val="24"/>
        </w:rPr>
        <w:t xml:space="preserve">Art and Agency. </w:t>
      </w:r>
      <w:r>
        <w:rPr>
          <w:sz w:val="24"/>
          <w:szCs w:val="24"/>
        </w:rPr>
        <w:t xml:space="preserve">Oxford: Clarendon Press. </w:t>
      </w:r>
    </w:p>
    <w:p w14:paraId="52242922" w14:textId="504AE859" w:rsidR="000B33A4" w:rsidRDefault="000B33A4" w:rsidP="000B33A4">
      <w:pPr>
        <w:spacing w:after="0"/>
        <w:rPr>
          <w:sz w:val="24"/>
          <w:szCs w:val="24"/>
        </w:rPr>
      </w:pPr>
    </w:p>
    <w:p w14:paraId="5CA813AE" w14:textId="66CEA117" w:rsidR="000B33A4" w:rsidRDefault="000B33A4" w:rsidP="000B33A4">
      <w:pPr>
        <w:spacing w:after="0"/>
        <w:rPr>
          <w:sz w:val="24"/>
        </w:rPr>
      </w:pPr>
      <w:r>
        <w:rPr>
          <w:sz w:val="24"/>
        </w:rPr>
        <w:t xml:space="preserve">Ingold, T. (2010) </w:t>
      </w:r>
      <w:r>
        <w:rPr>
          <w:i/>
          <w:sz w:val="24"/>
        </w:rPr>
        <w:t xml:space="preserve">Bringing Things to Life: Creative Entanglements in a World of Materials. </w:t>
      </w:r>
      <w:r>
        <w:rPr>
          <w:sz w:val="24"/>
        </w:rPr>
        <w:t>Southampton: National Centre for Research Methods</w:t>
      </w:r>
    </w:p>
    <w:p w14:paraId="2006D26A" w14:textId="77777777" w:rsidR="000B33A4" w:rsidRPr="000B33A4" w:rsidRDefault="000B33A4" w:rsidP="000B33A4">
      <w:pPr>
        <w:spacing w:after="0"/>
        <w:rPr>
          <w:sz w:val="24"/>
        </w:rPr>
      </w:pPr>
    </w:p>
    <w:p w14:paraId="6C7F4892" w14:textId="3C18C0DF" w:rsidR="00B53816" w:rsidRPr="000B33A4" w:rsidRDefault="00B53816" w:rsidP="000B33A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Ingold, T. (2012) </w:t>
      </w:r>
      <w:r>
        <w:rPr>
          <w:i/>
          <w:iCs/>
          <w:sz w:val="24"/>
          <w:szCs w:val="24"/>
        </w:rPr>
        <w:t xml:space="preserve">Making: Anthropology, Archaeology, Art and Architecture. </w:t>
      </w:r>
      <w:r w:rsidR="000B33A4">
        <w:rPr>
          <w:sz w:val="24"/>
          <w:szCs w:val="24"/>
        </w:rPr>
        <w:t>London: Routledge.</w:t>
      </w:r>
    </w:p>
    <w:p w14:paraId="3B74770B" w14:textId="7E07C612" w:rsidR="009D171B" w:rsidRDefault="009D171B" w:rsidP="000B33A4">
      <w:pPr>
        <w:spacing w:after="0"/>
        <w:rPr>
          <w:i/>
          <w:iCs/>
          <w:sz w:val="24"/>
          <w:szCs w:val="24"/>
        </w:rPr>
      </w:pPr>
    </w:p>
    <w:p w14:paraId="28763BE7" w14:textId="77777777" w:rsidR="000B33A4" w:rsidRPr="003A3ACF" w:rsidRDefault="000B33A4" w:rsidP="000B33A4">
      <w:pPr>
        <w:spacing w:after="0"/>
        <w:rPr>
          <w:sz w:val="24"/>
          <w:szCs w:val="24"/>
        </w:rPr>
      </w:pPr>
      <w:r w:rsidRPr="003A3ACF">
        <w:rPr>
          <w:sz w:val="24"/>
          <w:szCs w:val="24"/>
        </w:rPr>
        <w:t xml:space="preserve">Malafouris, L. (2008) ‘Is it “me” or is it “mine”? The Mycenaean sword as a body-part’. In Robb, J. and Boric, D. (eds) </w:t>
      </w:r>
      <w:r w:rsidRPr="003A3ACF">
        <w:rPr>
          <w:i/>
          <w:sz w:val="24"/>
          <w:szCs w:val="24"/>
        </w:rPr>
        <w:t xml:space="preserve">Past Bodies. </w:t>
      </w:r>
      <w:r w:rsidRPr="003A3ACF">
        <w:rPr>
          <w:sz w:val="24"/>
          <w:szCs w:val="24"/>
        </w:rPr>
        <w:t xml:space="preserve">Oxford: Oxbow Books. </w:t>
      </w:r>
    </w:p>
    <w:p w14:paraId="349A8488" w14:textId="77777777" w:rsidR="009D171B" w:rsidRDefault="009D171B" w:rsidP="000B33A4">
      <w:pPr>
        <w:spacing w:after="0"/>
        <w:rPr>
          <w:sz w:val="24"/>
          <w:szCs w:val="24"/>
        </w:rPr>
      </w:pPr>
    </w:p>
    <w:p w14:paraId="0B46A205" w14:textId="635F8A46" w:rsidR="009D171B" w:rsidRPr="000B33A4" w:rsidRDefault="009D171B" w:rsidP="000B33A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Tylor, E. </w:t>
      </w:r>
      <w:r w:rsidR="000B33A4">
        <w:rPr>
          <w:sz w:val="24"/>
          <w:szCs w:val="24"/>
        </w:rPr>
        <w:t>B</w:t>
      </w:r>
      <w:r>
        <w:rPr>
          <w:sz w:val="24"/>
          <w:szCs w:val="24"/>
        </w:rPr>
        <w:t>. (</w:t>
      </w:r>
      <w:r w:rsidR="000B33A4">
        <w:rPr>
          <w:sz w:val="24"/>
          <w:szCs w:val="24"/>
        </w:rPr>
        <w:t>1958</w:t>
      </w:r>
      <w:r>
        <w:rPr>
          <w:sz w:val="24"/>
          <w:szCs w:val="24"/>
        </w:rPr>
        <w:t xml:space="preserve">) </w:t>
      </w:r>
      <w:r w:rsidR="000B33A4">
        <w:rPr>
          <w:i/>
          <w:iCs/>
          <w:sz w:val="24"/>
          <w:szCs w:val="24"/>
        </w:rPr>
        <w:t xml:space="preserve">Primitive Culture </w:t>
      </w:r>
      <w:r w:rsidR="000B33A4">
        <w:rPr>
          <w:sz w:val="24"/>
          <w:szCs w:val="24"/>
        </w:rPr>
        <w:t>(7</w:t>
      </w:r>
      <w:r w:rsidR="000B33A4" w:rsidRPr="000B33A4">
        <w:rPr>
          <w:sz w:val="24"/>
          <w:szCs w:val="24"/>
          <w:vertAlign w:val="superscript"/>
        </w:rPr>
        <w:t>th</w:t>
      </w:r>
      <w:r w:rsidR="000B33A4">
        <w:rPr>
          <w:sz w:val="24"/>
          <w:szCs w:val="24"/>
        </w:rPr>
        <w:t xml:space="preserve"> Ed). New York: Harper.</w:t>
      </w:r>
      <w:bookmarkStart w:id="0" w:name="_GoBack"/>
      <w:bookmarkEnd w:id="0"/>
    </w:p>
    <w:p w14:paraId="188CDBEF" w14:textId="77777777" w:rsidR="009D171B" w:rsidRPr="009D171B" w:rsidRDefault="009D171B" w:rsidP="00B53816">
      <w:pPr>
        <w:spacing w:after="0"/>
        <w:rPr>
          <w:sz w:val="24"/>
          <w:szCs w:val="24"/>
        </w:rPr>
      </w:pPr>
    </w:p>
    <w:p w14:paraId="644D8175" w14:textId="0C6C4710" w:rsidR="009D171B" w:rsidRDefault="009D171B" w:rsidP="00B53816">
      <w:pPr>
        <w:spacing w:after="0"/>
        <w:rPr>
          <w:sz w:val="24"/>
          <w:szCs w:val="24"/>
        </w:rPr>
      </w:pPr>
    </w:p>
    <w:p w14:paraId="30EEF752" w14:textId="4F037D34" w:rsidR="009D171B" w:rsidRPr="009D171B" w:rsidRDefault="009D171B" w:rsidP="00B53816">
      <w:pPr>
        <w:spacing w:after="0"/>
        <w:rPr>
          <w:sz w:val="24"/>
          <w:szCs w:val="24"/>
        </w:rPr>
      </w:pPr>
    </w:p>
    <w:sectPr w:rsidR="009D171B" w:rsidRPr="009D1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53816"/>
    <w:rsid w:val="000B33A4"/>
    <w:rsid w:val="002B0C11"/>
    <w:rsid w:val="00533EB0"/>
    <w:rsid w:val="00682BCA"/>
    <w:rsid w:val="009D171B"/>
    <w:rsid w:val="00B5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29BB900"/>
  <w15:chartTrackingRefBased/>
  <w15:docId w15:val="{E478B5B3-2A85-4BFE-91E6-CEDCCA23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Jewson</dc:creator>
  <cp:keywords/>
  <dc:description/>
  <cp:lastModifiedBy>Cathy Jewson</cp:lastModifiedBy>
  <cp:revision>1</cp:revision>
  <dcterms:created xsi:type="dcterms:W3CDTF">2020-01-24T21:26:00Z</dcterms:created>
  <dcterms:modified xsi:type="dcterms:W3CDTF">2020-01-30T19:28:00Z</dcterms:modified>
</cp:coreProperties>
</file>