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4D26" w:rsidRDefault="00224D26" w:rsidP="00224D26">
      <w:pPr>
        <w:pStyle w:val="NormalWeb"/>
        <w:spacing w:before="0" w:beforeAutospacing="0" w:after="0" w:afterAutospacing="0"/>
        <w:ind w:left="-180" w:right="-334"/>
      </w:pPr>
      <w:r w:rsidRPr="00923C45">
        <w:rPr>
          <w:noProof/>
          <w:lang w:eastAsia="en-GB"/>
        </w:rPr>
        <w:drawing>
          <wp:inline distT="0" distB="0" distL="0" distR="0" wp14:anchorId="07BC3AB0" wp14:editId="5B24209E">
            <wp:extent cx="2057400" cy="850900"/>
            <wp:effectExtent l="0" t="0" r="0" b="0"/>
            <wp:docPr id="1" name="Picture 1" descr="C:\Users\ablettm\AppData\Local\Microsoft\Windows\Temporary Internet Files\Content.Outlook\R41HOZLM\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0900"/>
                    </a:xfrm>
                    <a:prstGeom prst="rect">
                      <a:avLst/>
                    </a:prstGeom>
                    <a:noFill/>
                    <a:ln>
                      <a:noFill/>
                    </a:ln>
                  </pic:spPr>
                </pic:pic>
              </a:graphicData>
            </a:graphic>
          </wp:inline>
        </w:drawing>
      </w:r>
    </w:p>
    <w:p w:rsidR="00224D26" w:rsidRDefault="00224D26" w:rsidP="00224D26">
      <w:pPr>
        <w:pStyle w:val="NormalWeb"/>
        <w:spacing w:before="0" w:beforeAutospacing="0" w:after="0" w:afterAutospacing="0"/>
        <w:ind w:left="-180" w:right="-334"/>
      </w:pPr>
    </w:p>
    <w:p w:rsidR="00224D26" w:rsidRDefault="00224D26" w:rsidP="00224D26">
      <w:pPr>
        <w:pStyle w:val="NormalWeb"/>
        <w:spacing w:before="0" w:beforeAutospacing="0" w:after="0" w:afterAutospacing="0"/>
        <w:ind w:left="-180" w:right="-334"/>
      </w:pPr>
    </w:p>
    <w:p w:rsidR="00224D26" w:rsidRDefault="00224D26" w:rsidP="00224D2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224D26" w:rsidRPr="00230F35" w:rsidRDefault="00224D26" w:rsidP="00224D2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224D26" w:rsidRPr="00230F35" w:rsidRDefault="00224D26" w:rsidP="00224D26">
      <w:pPr>
        <w:rPr>
          <w:rFonts w:ascii="Arial" w:hAnsi="Arial" w:cs="Arial"/>
          <w:sz w:val="28"/>
          <w:szCs w:val="28"/>
          <w:lang w:val="cy-GB"/>
        </w:rPr>
      </w:pPr>
    </w:p>
    <w:p w:rsidR="00224D26" w:rsidRDefault="00224D26" w:rsidP="00224D26">
      <w:pPr>
        <w:pStyle w:val="Heading3"/>
        <w:jc w:val="center"/>
        <w:rPr>
          <w:lang w:val="cy-GB"/>
        </w:rPr>
      </w:pPr>
      <w:r>
        <w:rPr>
          <w:lang w:val="cy-GB"/>
        </w:rPr>
        <w:t>THIS SHEET MUST BE THE FIRST PAGE OF THE ASSIGNMENT YOU ARE SUBMITTING  (DO NOT SEND AS A SEPARATE FILE)</w:t>
      </w:r>
    </w:p>
    <w:p w:rsidR="00224D26" w:rsidRDefault="00224D26" w:rsidP="00224D26">
      <w:pPr>
        <w:pStyle w:val="Heading3"/>
        <w:jc w:val="center"/>
        <w:rPr>
          <w:rFonts w:ascii="Trebuchet MS" w:hAnsi="Trebuchet MS"/>
        </w:rPr>
      </w:pPr>
    </w:p>
    <w:tbl>
      <w:tblPr>
        <w:tblW w:w="0" w:type="auto"/>
        <w:tblInd w:w="-4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
        <w:gridCol w:w="387"/>
        <w:gridCol w:w="4822"/>
        <w:gridCol w:w="666"/>
        <w:gridCol w:w="59"/>
        <w:gridCol w:w="119"/>
        <w:gridCol w:w="1422"/>
        <w:gridCol w:w="1395"/>
        <w:gridCol w:w="407"/>
      </w:tblGrid>
      <w:tr w:rsidR="00224D26" w:rsidRPr="00230F35" w:rsidTr="00006C0D">
        <w:trPr>
          <w:gridBefore w:val="2"/>
          <w:wBefore w:w="400" w:type="dxa"/>
          <w:trHeight w:val="614"/>
        </w:trPr>
        <w:tc>
          <w:tcPr>
            <w:tcW w:w="8890" w:type="dxa"/>
            <w:gridSpan w:val="7"/>
          </w:tcPr>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24D26" w:rsidRPr="00230F35" w:rsidTr="00006C0D">
        <w:trPr>
          <w:gridBefore w:val="2"/>
          <w:wBefore w:w="400" w:type="dxa"/>
          <w:trHeight w:val="489"/>
        </w:trPr>
        <w:tc>
          <w:tcPr>
            <w:tcW w:w="8890" w:type="dxa"/>
            <w:gridSpan w:val="7"/>
          </w:tcPr>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Ian Matthews</w:t>
            </w:r>
          </w:p>
        </w:tc>
      </w:tr>
      <w:tr w:rsidR="00224D26" w:rsidRPr="00230F35" w:rsidTr="00006C0D">
        <w:trPr>
          <w:gridBefore w:val="2"/>
          <w:wBefore w:w="400" w:type="dxa"/>
          <w:trHeight w:val="849"/>
        </w:trPr>
        <w:tc>
          <w:tcPr>
            <w:tcW w:w="4822" w:type="dxa"/>
          </w:tcPr>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006C0D">
              <w:rPr>
                <w:rFonts w:ascii="Arial" w:hAnsi="Arial" w:cs="Arial"/>
                <w:sz w:val="22"/>
                <w:szCs w:val="22"/>
              </w:rPr>
              <w:t xml:space="preserve"> </w:t>
            </w:r>
            <w:r>
              <w:rPr>
                <w:rFonts w:ascii="Arial" w:hAnsi="Arial" w:cs="Arial"/>
                <w:sz w:val="22"/>
                <w:szCs w:val="22"/>
              </w:rPr>
              <w:t>CSEN7021</w:t>
            </w:r>
          </w:p>
          <w:p w:rsidR="00224D26" w:rsidRPr="00230F35" w:rsidRDefault="00224D26" w:rsidP="00006C0D">
            <w:pPr>
              <w:pStyle w:val="NormalWe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006C0D">
              <w:rPr>
                <w:rFonts w:ascii="Arial" w:hAnsi="Arial" w:cs="Arial"/>
                <w:sz w:val="22"/>
                <w:szCs w:val="22"/>
              </w:rPr>
              <w:t xml:space="preserve">   </w:t>
            </w:r>
            <w:r>
              <w:rPr>
                <w:rFonts w:ascii="Arial" w:hAnsi="Arial" w:cs="Arial"/>
                <w:sz w:val="22"/>
                <w:szCs w:val="22"/>
              </w:rPr>
              <w:t>The Shock of the New</w:t>
            </w:r>
          </w:p>
        </w:tc>
        <w:tc>
          <w:tcPr>
            <w:tcW w:w="2266" w:type="dxa"/>
            <w:gridSpan w:val="4"/>
          </w:tcPr>
          <w:p w:rsidR="00224D26"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224D26" w:rsidRDefault="00224D26" w:rsidP="00D60738">
            <w:pPr>
              <w:pStyle w:val="NormalWeb"/>
              <w:spacing w:before="0" w:beforeAutospacing="0" w:after="0" w:afterAutospacing="0"/>
              <w:ind w:right="34"/>
              <w:rPr>
                <w:rFonts w:ascii="Arial" w:hAnsi="Arial" w:cs="Arial"/>
                <w:sz w:val="22"/>
                <w:szCs w:val="22"/>
              </w:rPr>
            </w:pPr>
          </w:p>
          <w:p w:rsidR="00224D26" w:rsidRPr="00230F35" w:rsidRDefault="00224D26" w:rsidP="00D60738">
            <w:pPr>
              <w:pStyle w:val="NormalWeb"/>
              <w:spacing w:before="0" w:beforeAutospacing="0" w:after="0" w:afterAutospacing="0"/>
              <w:ind w:right="34"/>
              <w:rPr>
                <w:rFonts w:ascii="Arial" w:hAnsi="Arial" w:cs="Arial"/>
                <w:sz w:val="22"/>
                <w:szCs w:val="22"/>
              </w:rPr>
            </w:pPr>
            <w:r>
              <w:rPr>
                <w:rFonts w:ascii="Arial" w:hAnsi="Arial" w:cs="Arial"/>
                <w:sz w:val="22"/>
                <w:szCs w:val="22"/>
              </w:rPr>
              <w:t>1602111</w:t>
            </w:r>
          </w:p>
        </w:tc>
        <w:tc>
          <w:tcPr>
            <w:tcW w:w="1802" w:type="dxa"/>
            <w:gridSpan w:val="2"/>
          </w:tcPr>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224D26" w:rsidRPr="00230F35" w:rsidRDefault="00224D26" w:rsidP="00D60738">
            <w:pPr>
              <w:pStyle w:val="NormalWeb"/>
              <w:spacing w:before="0" w:beforeAutospacing="0" w:after="0" w:afterAutospacing="0"/>
              <w:ind w:right="34"/>
              <w:rPr>
                <w:rFonts w:ascii="Arial" w:hAnsi="Arial" w:cs="Arial"/>
                <w:sz w:val="22"/>
                <w:szCs w:val="22"/>
              </w:rPr>
            </w:pPr>
            <w:r w:rsidRPr="0089733B">
              <w:rPr>
                <w:rFonts w:ascii="Arial" w:hAnsi="Arial" w:cs="Arial"/>
                <w:strike/>
                <w:sz w:val="22"/>
                <w:szCs w:val="22"/>
              </w:rPr>
              <w:t>Yes</w:t>
            </w:r>
            <w:r w:rsidRPr="00230F35">
              <w:rPr>
                <w:rFonts w:ascii="Arial" w:hAnsi="Arial" w:cs="Arial"/>
                <w:sz w:val="22"/>
                <w:szCs w:val="22"/>
              </w:rPr>
              <w:t>/No</w:t>
            </w:r>
          </w:p>
        </w:tc>
      </w:tr>
      <w:tr w:rsidR="00224D26" w:rsidRPr="00230F35" w:rsidTr="00006C0D">
        <w:trPr>
          <w:gridBefore w:val="2"/>
          <w:wBefore w:w="400" w:type="dxa"/>
          <w:trHeight w:val="1139"/>
        </w:trPr>
        <w:tc>
          <w:tcPr>
            <w:tcW w:w="8890" w:type="dxa"/>
            <w:gridSpan w:val="7"/>
          </w:tcPr>
          <w:p w:rsidR="00224D26" w:rsidRPr="00230F35" w:rsidRDefault="00224D26" w:rsidP="00D6073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006C0D">
              <w:rPr>
                <w:rFonts w:ascii="Arial" w:hAnsi="Arial" w:cs="Arial"/>
                <w:sz w:val="22"/>
                <w:szCs w:val="22"/>
              </w:rPr>
              <w:t xml:space="preserve"> </w:t>
            </w:r>
            <w:r>
              <w:rPr>
                <w:rFonts w:ascii="Arial" w:hAnsi="Arial" w:cs="Arial"/>
                <w:sz w:val="22"/>
                <w:szCs w:val="22"/>
              </w:rPr>
              <w:t xml:space="preserve"> Jeni Williams</w:t>
            </w:r>
          </w:p>
          <w:p w:rsidR="00224D26" w:rsidRDefault="00224D26" w:rsidP="00D60738">
            <w:pPr>
              <w:pStyle w:val="NormalWeb"/>
              <w:spacing w:before="0" w:beforeAutospacing="0" w:after="0" w:afterAutospacing="0"/>
              <w:ind w:right="34"/>
              <w:rPr>
                <w:rFonts w:ascii="Arial" w:hAnsi="Arial" w:cs="Arial"/>
                <w:sz w:val="22"/>
                <w:szCs w:val="22"/>
              </w:rPr>
            </w:pPr>
          </w:p>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2-4-2018</w:t>
            </w:r>
          </w:p>
        </w:tc>
      </w:tr>
      <w:tr w:rsidR="00224D26" w:rsidRPr="00230F35" w:rsidTr="00006C0D">
        <w:trPr>
          <w:gridBefore w:val="2"/>
          <w:wBefore w:w="400" w:type="dxa"/>
          <w:trHeight w:val="978"/>
        </w:trPr>
        <w:tc>
          <w:tcPr>
            <w:tcW w:w="8890" w:type="dxa"/>
            <w:gridSpan w:val="7"/>
            <w:tcBorders>
              <w:bottom w:val="single" w:sz="4" w:space="0" w:color="000000"/>
            </w:tcBorders>
          </w:tcPr>
          <w:p w:rsidR="00224D26" w:rsidRDefault="00224D26" w:rsidP="00D60738">
            <w:pPr>
              <w:rPr>
                <w:rFonts w:ascii="Arial" w:hAnsi="Arial" w:cs="Arial"/>
                <w:sz w:val="22"/>
                <w:szCs w:val="22"/>
              </w:rPr>
            </w:pPr>
            <w:r>
              <w:rPr>
                <w:rFonts w:ascii="Arial" w:hAnsi="Arial" w:cs="Arial"/>
                <w:sz w:val="22"/>
                <w:szCs w:val="22"/>
              </w:rPr>
              <w:t>If your module has multiple submissions please indicate which piece of work this is.</w:t>
            </w:r>
          </w:p>
          <w:p w:rsidR="00224D26" w:rsidRDefault="00224D26" w:rsidP="00D60738">
            <w:pPr>
              <w:rPr>
                <w:rFonts w:ascii="Arial" w:hAnsi="Arial" w:cs="Arial"/>
                <w:sz w:val="22"/>
                <w:szCs w:val="22"/>
              </w:rPr>
            </w:pPr>
          </w:p>
          <w:p w:rsidR="00224D26" w:rsidRPr="00230F35" w:rsidRDefault="00224D26" w:rsidP="00D60738">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750B65">
              <w:rPr>
                <w:rFonts w:ascii="Arial" w:hAnsi="Arial" w:cs="Arial"/>
                <w:sz w:val="22"/>
                <w:szCs w:val="22"/>
              </w:rPr>
            </w:r>
            <w:r w:rsidR="00750B6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750B65">
              <w:rPr>
                <w:rFonts w:ascii="Arial" w:hAnsi="Arial" w:cs="Arial"/>
                <w:sz w:val="22"/>
                <w:szCs w:val="22"/>
              </w:rPr>
            </w:r>
            <w:r w:rsidR="00750B6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750B65">
              <w:rPr>
                <w:rFonts w:ascii="Arial" w:hAnsi="Arial" w:cs="Arial"/>
                <w:sz w:val="22"/>
                <w:szCs w:val="22"/>
              </w:rPr>
            </w:r>
            <w:r w:rsidR="00750B6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750B65">
              <w:rPr>
                <w:rFonts w:ascii="Arial" w:hAnsi="Arial" w:cs="Arial"/>
                <w:sz w:val="22"/>
                <w:szCs w:val="22"/>
              </w:rPr>
            </w:r>
            <w:r w:rsidR="00750B6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750B65">
              <w:rPr>
                <w:rFonts w:ascii="Arial" w:hAnsi="Arial" w:cs="Arial"/>
                <w:sz w:val="22"/>
                <w:szCs w:val="22"/>
              </w:rPr>
            </w:r>
            <w:r w:rsidR="00750B65">
              <w:rPr>
                <w:rFonts w:ascii="Arial" w:hAnsi="Arial" w:cs="Arial"/>
                <w:sz w:val="22"/>
                <w:szCs w:val="22"/>
              </w:rPr>
              <w:fldChar w:fldCharType="separate"/>
            </w:r>
            <w:r w:rsidRPr="00230F35">
              <w:rPr>
                <w:rFonts w:ascii="Arial" w:hAnsi="Arial" w:cs="Arial"/>
                <w:sz w:val="22"/>
                <w:szCs w:val="22"/>
              </w:rPr>
              <w:fldChar w:fldCharType="end"/>
            </w:r>
            <w:bookmarkEnd w:id="4"/>
          </w:p>
        </w:tc>
      </w:tr>
      <w:tr w:rsidR="00224D26" w:rsidRPr="00230F35" w:rsidTr="00006C0D">
        <w:trPr>
          <w:gridBefore w:val="2"/>
          <w:wBefore w:w="400" w:type="dxa"/>
          <w:trHeight w:val="978"/>
        </w:trPr>
        <w:tc>
          <w:tcPr>
            <w:tcW w:w="8890" w:type="dxa"/>
            <w:gridSpan w:val="7"/>
            <w:shd w:val="clear" w:color="auto" w:fill="D9D9D9"/>
          </w:tcPr>
          <w:p w:rsidR="00224D26" w:rsidRPr="00230F35"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224D26" w:rsidRDefault="00224D26" w:rsidP="00D6073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006C0D">
              <w:rPr>
                <w:rFonts w:ascii="Arial" w:hAnsi="Arial" w:cs="Arial"/>
                <w:sz w:val="22"/>
                <w:szCs w:val="22"/>
              </w:rPr>
              <w:t xml:space="preserve"> Ian Matthews</w:t>
            </w:r>
            <w:r w:rsidR="00006C0D" w:rsidRPr="00230F35">
              <w:rPr>
                <w:rFonts w:ascii="Arial" w:hAnsi="Arial" w:cs="Arial"/>
                <w:sz w:val="22"/>
                <w:szCs w:val="22"/>
              </w:rPr>
              <w:t xml:space="preserve"> </w:t>
            </w:r>
            <w:r w:rsidRPr="00230F35">
              <w:rPr>
                <w:rFonts w:ascii="Arial" w:hAnsi="Arial" w:cs="Arial"/>
                <w:sz w:val="22"/>
                <w:szCs w:val="22"/>
              </w:rPr>
              <w:t>……………………</w:t>
            </w:r>
          </w:p>
          <w:p w:rsidR="00224D26" w:rsidRDefault="00224D26" w:rsidP="00D6073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rsidR="00224D26" w:rsidRPr="00230F35" w:rsidRDefault="00224D26" w:rsidP="00D6073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After w:val="1"/>
          <w:wAfter w:w="407" w:type="dxa"/>
          <w:trHeight w:val="650"/>
          <w:jc w:val="center"/>
        </w:trPr>
        <w:tc>
          <w:tcPr>
            <w:tcW w:w="8883" w:type="dxa"/>
            <w:gridSpan w:val="8"/>
            <w:tcBorders>
              <w:top w:val="single" w:sz="4" w:space="0" w:color="000000"/>
              <w:left w:val="single" w:sz="4" w:space="0" w:color="000000"/>
              <w:bottom w:val="single" w:sz="4" w:space="0" w:color="auto"/>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b/>
                <w:bCs/>
                <w:sz w:val="24"/>
                <w:szCs w:val="24"/>
              </w:rPr>
            </w:pPr>
          </w:p>
          <w:p w:rsidR="00006C0D" w:rsidRDefault="00006C0D" w:rsidP="009663BF">
            <w:pPr>
              <w:pStyle w:val="BodyA"/>
              <w:rPr>
                <w:rFonts w:hint="eastAsia"/>
              </w:rPr>
            </w:pPr>
            <w:r>
              <w:rPr>
                <w:rFonts w:ascii="Arial" w:hAnsi="Arial"/>
                <w:b/>
                <w:bCs/>
                <w:sz w:val="24"/>
                <w:szCs w:val="24"/>
              </w:rPr>
              <w:t>Assignment Mark</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417"/>
          <w:jc w:val="center"/>
        </w:trPr>
        <w:tc>
          <w:tcPr>
            <w:tcW w:w="6053" w:type="dxa"/>
            <w:gridSpan w:val="5"/>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sz w:val="20"/>
                <w:szCs w:val="20"/>
              </w:rPr>
            </w:pPr>
          </w:p>
          <w:p w:rsidR="00006C0D" w:rsidRDefault="00006C0D" w:rsidP="009663BF">
            <w:pPr>
              <w:pStyle w:val="BodyA"/>
              <w:rPr>
                <w:rFonts w:ascii="Arial" w:eastAsia="Arial" w:hAnsi="Arial" w:cs="Arial"/>
                <w:b/>
                <w:bCs/>
                <w:sz w:val="24"/>
                <w:szCs w:val="24"/>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r>
              <w:rPr>
                <w:rFonts w:ascii="Arial" w:hAnsi="Arial"/>
                <w:sz w:val="20"/>
                <w:szCs w:val="20"/>
              </w:rPr>
              <w:tab/>
            </w:r>
          </w:p>
        </w:tc>
        <w:tc>
          <w:tcPr>
            <w:tcW w:w="2817" w:type="dxa"/>
            <w:gridSpan w:val="2"/>
            <w:tcBorders>
              <w:top w:val="single" w:sz="4" w:space="0" w:color="auto"/>
              <w:left w:val="single" w:sz="4" w:space="0" w:color="auto"/>
              <w:bottom w:val="single" w:sz="4" w:space="0" w:color="auto"/>
              <w:right w:val="single" w:sz="4" w:space="0" w:color="000000"/>
            </w:tcBorders>
            <w:shd w:val="clear" w:color="auto" w:fill="auto"/>
          </w:tcPr>
          <w:p w:rsidR="00006C0D" w:rsidRPr="00280E4C" w:rsidRDefault="00006C0D" w:rsidP="00006C0D">
            <w:pPr>
              <w:pStyle w:val="Body"/>
              <w:spacing w:before="100" w:after="100"/>
              <w:jc w:val="center"/>
              <w:rPr>
                <w:rFonts w:ascii="Palatino Linotype" w:hAnsi="Palatino Linotype"/>
              </w:rPr>
            </w:pPr>
            <w:r w:rsidRPr="00280E4C">
              <w:rPr>
                <w:rFonts w:ascii="Palatino Linotype" w:hAnsi="Palatino Linotype"/>
              </w:rPr>
              <w:t>6</w:t>
            </w:r>
            <w:r>
              <w:rPr>
                <w:rFonts w:ascii="Palatino Linotype" w:hAnsi="Palatino Linotype"/>
              </w:rPr>
              <w:t>5</w:t>
            </w:r>
          </w:p>
        </w:tc>
      </w:tr>
      <w:tr w:rsidR="00006C0D" w:rsidTr="00F55C66">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447"/>
          <w:jc w:val="center"/>
        </w:trPr>
        <w:tc>
          <w:tcPr>
            <w:tcW w:w="6053" w:type="dxa"/>
            <w:gridSpan w:val="5"/>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b/>
                <w:bCs/>
                <w:sz w:val="24"/>
                <w:szCs w:val="24"/>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2817" w:type="dxa"/>
            <w:gridSpan w:val="2"/>
            <w:tcBorders>
              <w:top w:val="single" w:sz="4" w:space="0" w:color="auto"/>
              <w:left w:val="single" w:sz="4" w:space="0" w:color="auto"/>
              <w:bottom w:val="single" w:sz="4" w:space="0" w:color="auto"/>
              <w:right w:val="single" w:sz="4" w:space="0" w:color="000000"/>
            </w:tcBorders>
            <w:shd w:val="clear" w:color="auto" w:fill="auto"/>
          </w:tcPr>
          <w:p w:rsidR="00006C0D" w:rsidRDefault="00006C0D" w:rsidP="009663BF">
            <w:pPr>
              <w:pStyle w:val="Body"/>
              <w:spacing w:before="100" w:after="100"/>
            </w:pP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373"/>
          <w:jc w:val="center"/>
        </w:trPr>
        <w:tc>
          <w:tcPr>
            <w:tcW w:w="6053" w:type="dxa"/>
            <w:gridSpan w:val="5"/>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sz w:val="20"/>
                <w:szCs w:val="20"/>
              </w:rPr>
            </w:pPr>
            <w:r>
              <w:rPr>
                <w:rFonts w:ascii="Arial" w:hAnsi="Arial"/>
                <w:sz w:val="20"/>
                <w:szCs w:val="20"/>
              </w:rPr>
              <w:t xml:space="preserve">Agreed Internal Mark: </w:t>
            </w:r>
          </w:p>
        </w:tc>
        <w:tc>
          <w:tcPr>
            <w:tcW w:w="2817" w:type="dxa"/>
            <w:gridSpan w:val="2"/>
            <w:tcBorders>
              <w:top w:val="single" w:sz="4" w:space="0" w:color="auto"/>
              <w:left w:val="single" w:sz="4" w:space="0" w:color="auto"/>
              <w:bottom w:val="single" w:sz="4" w:space="0" w:color="auto"/>
              <w:right w:val="single" w:sz="4" w:space="0" w:color="000000"/>
            </w:tcBorders>
            <w:shd w:val="clear" w:color="auto" w:fill="auto"/>
          </w:tcPr>
          <w:p w:rsidR="00006C0D" w:rsidRDefault="00006C0D" w:rsidP="009663BF">
            <w:pPr>
              <w:pStyle w:val="Body"/>
              <w:spacing w:before="100" w:after="100"/>
            </w:pP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901"/>
          <w:jc w:val="center"/>
        </w:trPr>
        <w:tc>
          <w:tcPr>
            <w:tcW w:w="6053" w:type="dxa"/>
            <w:gridSpan w:val="5"/>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sz w:val="20"/>
                <w:szCs w:val="20"/>
              </w:rPr>
            </w:pPr>
            <w:r>
              <w:rPr>
                <w:rFonts w:ascii="Arial" w:hAnsi="Arial"/>
                <w:sz w:val="20"/>
                <w:szCs w:val="20"/>
              </w:rPr>
              <w:t>External Examiner’s mark (if relevant)</w:t>
            </w:r>
            <w:r>
              <w:rPr>
                <w:rFonts w:ascii="Arial" w:hAnsi="Arial"/>
                <w:sz w:val="20"/>
                <w:szCs w:val="20"/>
              </w:rPr>
              <w:tab/>
            </w:r>
          </w:p>
          <w:p w:rsidR="00006C0D" w:rsidRDefault="00006C0D" w:rsidP="009663BF">
            <w:pPr>
              <w:pStyle w:val="BodyA"/>
              <w:rPr>
                <w:rFonts w:ascii="Arial" w:eastAsia="Arial" w:hAnsi="Arial" w:cs="Arial"/>
                <w:sz w:val="20"/>
                <w:szCs w:val="20"/>
              </w:rPr>
            </w:pPr>
          </w:p>
          <w:p w:rsidR="00006C0D" w:rsidRDefault="00006C0D" w:rsidP="009663BF">
            <w:pPr>
              <w:pStyle w:val="BodyA"/>
              <w:rPr>
                <w:rFonts w:ascii="Arial" w:eastAsia="Arial" w:hAnsi="Arial" w:cs="Arial"/>
                <w:sz w:val="20"/>
                <w:szCs w:val="20"/>
              </w:rPr>
            </w:pPr>
            <w:r>
              <w:rPr>
                <w:rFonts w:ascii="Arial" w:hAnsi="Arial"/>
                <w:b/>
                <w:bCs/>
                <w:sz w:val="20"/>
                <w:szCs w:val="20"/>
              </w:rPr>
              <w:t>Final Mark</w:t>
            </w:r>
          </w:p>
        </w:tc>
        <w:tc>
          <w:tcPr>
            <w:tcW w:w="2817" w:type="dxa"/>
            <w:gridSpan w:val="2"/>
            <w:tcBorders>
              <w:top w:val="single" w:sz="4" w:space="0" w:color="auto"/>
              <w:left w:val="single" w:sz="4" w:space="0" w:color="auto"/>
              <w:bottom w:val="single" w:sz="4" w:space="0" w:color="auto"/>
              <w:right w:val="single" w:sz="4" w:space="0" w:color="000000"/>
            </w:tcBorders>
            <w:shd w:val="clear" w:color="auto" w:fill="auto"/>
          </w:tcPr>
          <w:p w:rsidR="00006C0D" w:rsidRDefault="00006C0D" w:rsidP="009663BF">
            <w:pPr>
              <w:rPr>
                <w:rFonts w:eastAsia="Times New Roman"/>
                <w:color w:val="000000"/>
                <w:u w:color="000000"/>
                <w:lang w:eastAsia="en-GB"/>
              </w:rPr>
            </w:pP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522"/>
          <w:jc w:val="center"/>
        </w:trPr>
        <w:tc>
          <w:tcPr>
            <w:tcW w:w="8870" w:type="dxa"/>
            <w:gridSpan w:val="7"/>
            <w:tcBorders>
              <w:top w:val="single" w:sz="4" w:space="0" w:color="auto"/>
              <w:left w:val="single" w:sz="4" w:space="0" w:color="000000"/>
              <w:bottom w:val="single" w:sz="4" w:space="0" w:color="auto"/>
              <w:right w:val="single" w:sz="4" w:space="0" w:color="000000"/>
            </w:tcBorders>
            <w:shd w:val="clear" w:color="auto" w:fill="auto"/>
            <w:tcMar>
              <w:top w:w="80" w:type="dxa"/>
              <w:left w:w="80" w:type="dxa"/>
              <w:bottom w:w="80" w:type="dxa"/>
              <w:right w:w="80" w:type="dxa"/>
            </w:tcMar>
          </w:tcPr>
          <w:p w:rsidR="00006C0D" w:rsidRPr="00280E4C" w:rsidRDefault="00006C0D" w:rsidP="009663BF">
            <w:pPr>
              <w:pStyle w:val="Body"/>
              <w:ind w:left="142" w:right="34"/>
              <w:rPr>
                <w:rFonts w:ascii="Arial" w:eastAsia="Arial" w:hAnsi="Arial" w:cs="Arial"/>
                <w:sz w:val="22"/>
                <w:szCs w:val="22"/>
              </w:rPr>
            </w:pPr>
            <w:r>
              <w:rPr>
                <w:rFonts w:ascii="Arial" w:hAnsi="Arial"/>
                <w:b/>
                <w:bCs/>
                <w:sz w:val="22"/>
                <w:szCs w:val="22"/>
                <w:lang w:val="en-US"/>
              </w:rPr>
              <w:t>NB.</w:t>
            </w:r>
            <w:r>
              <w:rPr>
                <w:rFonts w:ascii="Arial" w:hAnsi="Arial"/>
                <w:sz w:val="22"/>
                <w:szCs w:val="22"/>
                <w:lang w:val="en-US"/>
              </w:rPr>
              <w:t xml:space="preserve">  All marks are provisional until confirmed by the Final Examination Board.</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6443"/>
          <w:jc w:val="center"/>
        </w:trPr>
        <w:tc>
          <w:tcPr>
            <w:tcW w:w="8870" w:type="dxa"/>
            <w:gridSpan w:val="7"/>
            <w:tcBorders>
              <w:top w:val="single" w:sz="4" w:space="0" w:color="auto"/>
              <w:left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
              <w:rPr>
                <w:rFonts w:ascii="Arial" w:eastAsia="Arial" w:hAnsi="Arial" w:cs="Arial"/>
                <w:b/>
                <w:bCs/>
                <w:sz w:val="22"/>
                <w:szCs w:val="22"/>
                <w:lang w:val="en-US"/>
              </w:rPr>
            </w:pPr>
          </w:p>
          <w:p w:rsidR="00006C0D" w:rsidRDefault="00006C0D" w:rsidP="009663BF">
            <w:pPr>
              <w:pStyle w:val="Body"/>
              <w:rPr>
                <w:rFonts w:ascii="Arial" w:eastAsia="Arial" w:hAnsi="Arial" w:cs="Arial"/>
                <w:b/>
                <w:bCs/>
                <w:sz w:val="22"/>
                <w:szCs w:val="22"/>
              </w:rPr>
            </w:pPr>
            <w:r>
              <w:rPr>
                <w:rFonts w:ascii="Arial" w:hAnsi="Arial"/>
                <w:b/>
                <w:bCs/>
                <w:sz w:val="22"/>
                <w:szCs w:val="22"/>
                <w:lang w:val="en-US"/>
              </w:rPr>
              <w:t>For completion by Marker 1 :</w:t>
            </w:r>
          </w:p>
          <w:p w:rsidR="00006C0D" w:rsidRDefault="00006C0D" w:rsidP="009663BF">
            <w:pPr>
              <w:pStyle w:val="Body"/>
              <w:spacing w:before="100" w:after="100"/>
              <w:rPr>
                <w:rFonts w:ascii="Arial" w:hAnsi="Arial"/>
                <w:sz w:val="22"/>
                <w:szCs w:val="22"/>
                <w:lang w:val="en-US"/>
              </w:rPr>
            </w:pPr>
            <w:r>
              <w:rPr>
                <w:rFonts w:ascii="Arial" w:hAnsi="Arial"/>
                <w:sz w:val="22"/>
                <w:szCs w:val="22"/>
                <w:lang w:val="en-US"/>
              </w:rPr>
              <w:t>Comments:</w:t>
            </w:r>
          </w:p>
          <w:p w:rsidR="00006C0D" w:rsidRPr="00280E4C" w:rsidRDefault="00006C0D" w:rsidP="009663BF">
            <w:pPr>
              <w:pStyle w:val="Body"/>
              <w:rPr>
                <w:rFonts w:ascii="Palatino Linotype" w:hAnsi="Palatino Linotype"/>
                <w:sz w:val="22"/>
                <w:szCs w:val="22"/>
                <w:lang w:val="en-US"/>
              </w:rPr>
            </w:pPr>
            <w:r>
              <w:rPr>
                <w:rFonts w:ascii="Palatino Linotype" w:hAnsi="Palatino Linotype"/>
                <w:sz w:val="22"/>
                <w:szCs w:val="22"/>
                <w:lang w:val="en-US"/>
              </w:rPr>
              <w:t xml:space="preserve">A solid and well supported argument delivered with clarity. Some nerves in evidence </w:t>
            </w:r>
            <w:r w:rsidR="00F55C66">
              <w:rPr>
                <w:rFonts w:ascii="Palatino Linotype" w:hAnsi="Palatino Linotype"/>
                <w:sz w:val="22"/>
                <w:szCs w:val="22"/>
                <w:lang w:val="en-US"/>
              </w:rPr>
              <w:t xml:space="preserve">that affect the online presence </w:t>
            </w:r>
            <w:r>
              <w:rPr>
                <w:rFonts w:ascii="Palatino Linotype" w:hAnsi="Palatino Linotype"/>
                <w:sz w:val="22"/>
                <w:szCs w:val="22"/>
                <w:lang w:val="en-US"/>
              </w:rPr>
              <w:t xml:space="preserve">but </w:t>
            </w:r>
            <w:r w:rsidR="00F55C66">
              <w:rPr>
                <w:rFonts w:ascii="Palatino Linotype" w:hAnsi="Palatino Linotype"/>
                <w:sz w:val="22"/>
                <w:szCs w:val="22"/>
                <w:lang w:val="en-US"/>
              </w:rPr>
              <w:t>well-paced and supported.</w:t>
            </w:r>
          </w:p>
          <w:p w:rsidR="00006C0D" w:rsidRPr="00280E4C" w:rsidRDefault="00006C0D" w:rsidP="009663BF">
            <w:pPr>
              <w:pStyle w:val="Body"/>
              <w:rPr>
                <w:rFonts w:ascii="Palatino Linotype" w:hAnsi="Palatino Linotype"/>
                <w:sz w:val="22"/>
                <w:szCs w:val="22"/>
                <w:lang w:val="en-US"/>
              </w:rPr>
            </w:pPr>
          </w:p>
          <w:p w:rsidR="00006C0D" w:rsidRDefault="00F55C66" w:rsidP="009663BF">
            <w:pPr>
              <w:pStyle w:val="Body"/>
              <w:rPr>
                <w:rFonts w:ascii="Palatino Linotype" w:hAnsi="Palatino Linotype"/>
                <w:sz w:val="22"/>
                <w:szCs w:val="22"/>
                <w:lang w:val="en-US"/>
              </w:rPr>
            </w:pPr>
            <w:r>
              <w:rPr>
                <w:rFonts w:ascii="Palatino Linotype" w:hAnsi="Palatino Linotype"/>
                <w:sz w:val="22"/>
                <w:szCs w:val="22"/>
                <w:lang w:val="en-US"/>
              </w:rPr>
              <w:t xml:space="preserve">Your written piece demonstrates a detailed knowledge of your selected </w:t>
            </w:r>
            <w:r w:rsidRPr="00F55C66">
              <w:rPr>
                <w:rFonts w:ascii="Palatino Linotype" w:hAnsi="Palatino Linotype"/>
                <w:sz w:val="22"/>
                <w:szCs w:val="22"/>
                <w:lang w:val="en-US"/>
              </w:rPr>
              <w:t>Modernist</w:t>
            </w:r>
            <w:r>
              <w:rPr>
                <w:rFonts w:ascii="Palatino Linotype" w:hAnsi="Palatino Linotype"/>
                <w:sz w:val="22"/>
                <w:szCs w:val="22"/>
                <w:lang w:val="en-US"/>
              </w:rPr>
              <w:t xml:space="preserve"> </w:t>
            </w:r>
            <w:proofErr w:type="gramStart"/>
            <w:r>
              <w:rPr>
                <w:rFonts w:ascii="Palatino Linotype" w:hAnsi="Palatino Linotype"/>
                <w:sz w:val="22"/>
                <w:szCs w:val="22"/>
                <w:lang w:val="en-US"/>
              </w:rPr>
              <w:t xml:space="preserve">texts </w:t>
            </w:r>
            <w:r w:rsidRPr="00F55C66">
              <w:rPr>
                <w:rFonts w:ascii="Palatino Linotype" w:hAnsi="Palatino Linotype"/>
                <w:sz w:val="22"/>
                <w:szCs w:val="22"/>
                <w:lang w:val="en-US"/>
              </w:rPr>
              <w:t xml:space="preserve"> </w:t>
            </w:r>
            <w:r>
              <w:rPr>
                <w:rFonts w:ascii="Palatino Linotype" w:hAnsi="Palatino Linotype"/>
                <w:sz w:val="22"/>
                <w:szCs w:val="22"/>
                <w:lang w:val="en-US"/>
              </w:rPr>
              <w:t>and</w:t>
            </w:r>
            <w:proofErr w:type="gramEnd"/>
            <w:r>
              <w:rPr>
                <w:rFonts w:ascii="Palatino Linotype" w:hAnsi="Palatino Linotype"/>
                <w:sz w:val="22"/>
                <w:szCs w:val="22"/>
                <w:lang w:val="en-US"/>
              </w:rPr>
              <w:t xml:space="preserve"> an </w:t>
            </w:r>
            <w:r w:rsidRPr="00F55C66">
              <w:rPr>
                <w:rFonts w:ascii="Palatino Linotype" w:hAnsi="Palatino Linotype"/>
                <w:sz w:val="22"/>
                <w:szCs w:val="22"/>
                <w:lang w:val="en-US"/>
              </w:rPr>
              <w:t xml:space="preserve">understanding of the characteristic formal and thematic features associated with </w:t>
            </w:r>
            <w:r>
              <w:rPr>
                <w:rFonts w:ascii="Palatino Linotype" w:hAnsi="Palatino Linotype"/>
                <w:sz w:val="22"/>
                <w:szCs w:val="22"/>
                <w:lang w:val="en-US"/>
              </w:rPr>
              <w:t xml:space="preserve">the mode of </w:t>
            </w:r>
            <w:r w:rsidRPr="00F55C66">
              <w:rPr>
                <w:rFonts w:ascii="Palatino Linotype" w:hAnsi="Palatino Linotype"/>
                <w:sz w:val="22"/>
                <w:szCs w:val="22"/>
                <w:lang w:val="en-US"/>
              </w:rPr>
              <w:t>modernism</w:t>
            </w:r>
            <w:r>
              <w:rPr>
                <w:rFonts w:ascii="Palatino Linotype" w:hAnsi="Palatino Linotype"/>
                <w:sz w:val="22"/>
                <w:szCs w:val="22"/>
                <w:lang w:val="en-US"/>
              </w:rPr>
              <w:t xml:space="preserve">. </w:t>
            </w:r>
            <w:r w:rsidRPr="00F55C66">
              <w:rPr>
                <w:rFonts w:ascii="Palatino Linotype" w:hAnsi="Palatino Linotype"/>
                <w:sz w:val="22"/>
                <w:szCs w:val="22"/>
                <w:lang w:val="en-US"/>
              </w:rPr>
              <w:t xml:space="preserve"> </w:t>
            </w:r>
            <w:r>
              <w:rPr>
                <w:rFonts w:ascii="Palatino Linotype" w:hAnsi="Palatino Linotype"/>
                <w:sz w:val="22"/>
                <w:szCs w:val="22"/>
                <w:lang w:val="en-US"/>
              </w:rPr>
              <w:t xml:space="preserve">You also demonstrate understanding of </w:t>
            </w:r>
            <w:r w:rsidRPr="00F55C66">
              <w:rPr>
                <w:rFonts w:ascii="Palatino Linotype" w:hAnsi="Palatino Linotype"/>
                <w:sz w:val="22"/>
                <w:szCs w:val="22"/>
                <w:lang w:val="en-US"/>
              </w:rPr>
              <w:t xml:space="preserve">key concepts and philosophical assumptions </w:t>
            </w:r>
            <w:r>
              <w:rPr>
                <w:rFonts w:ascii="Palatino Linotype" w:hAnsi="Palatino Linotype"/>
                <w:sz w:val="22"/>
                <w:szCs w:val="22"/>
                <w:lang w:val="en-US"/>
              </w:rPr>
              <w:t>that underpin</w:t>
            </w:r>
            <w:r w:rsidRPr="00F55C66">
              <w:rPr>
                <w:rFonts w:ascii="Palatino Linotype" w:hAnsi="Palatino Linotype"/>
                <w:sz w:val="22"/>
                <w:szCs w:val="22"/>
                <w:lang w:val="en-US"/>
              </w:rPr>
              <w:t xml:space="preserve"> literary Modernism</w:t>
            </w:r>
            <w:r w:rsidRPr="00F55C66">
              <w:rPr>
                <w:rFonts w:ascii="Palatino Linotype" w:hAnsi="Palatino Linotype"/>
                <w:sz w:val="22"/>
                <w:szCs w:val="22"/>
                <w:lang w:val="en-US"/>
              </w:rPr>
              <w:t xml:space="preserve"> (particularly High Modernism)</w:t>
            </w:r>
            <w:r>
              <w:rPr>
                <w:rFonts w:ascii="Palatino Linotype" w:hAnsi="Palatino Linotype"/>
                <w:sz w:val="22"/>
                <w:szCs w:val="22"/>
                <w:lang w:val="en-US"/>
              </w:rPr>
              <w:t xml:space="preserve"> and frame this discussion in relation to critical debate about both text and mode. </w:t>
            </w:r>
          </w:p>
          <w:p w:rsidR="00F55C66" w:rsidRDefault="00F55C66" w:rsidP="009663BF">
            <w:pPr>
              <w:pStyle w:val="Body"/>
              <w:rPr>
                <w:rFonts w:ascii="Palatino Linotype" w:hAnsi="Palatino Linotype"/>
                <w:sz w:val="22"/>
                <w:szCs w:val="22"/>
                <w:lang w:val="en-US"/>
              </w:rPr>
            </w:pPr>
          </w:p>
          <w:p w:rsidR="00F55C66" w:rsidRPr="00280E4C" w:rsidRDefault="00F55C66" w:rsidP="009663BF">
            <w:pPr>
              <w:pStyle w:val="Body"/>
              <w:rPr>
                <w:rFonts w:ascii="Palatino Linotype" w:hAnsi="Palatino Linotype"/>
                <w:sz w:val="22"/>
                <w:szCs w:val="22"/>
                <w:lang w:val="en-US"/>
              </w:rPr>
            </w:pPr>
            <w:r>
              <w:rPr>
                <w:rFonts w:ascii="Palatino Linotype" w:hAnsi="Palatino Linotype"/>
                <w:sz w:val="22"/>
                <w:szCs w:val="22"/>
                <w:lang w:val="en-US"/>
              </w:rPr>
              <w:t>Please see additional marginal comments.</w:t>
            </w:r>
            <w:bookmarkStart w:id="5" w:name="_GoBack"/>
            <w:bookmarkEnd w:id="5"/>
          </w:p>
          <w:p w:rsidR="00006C0D" w:rsidRPr="00F55C66" w:rsidRDefault="00006C0D" w:rsidP="00F55C66">
            <w:pPr>
              <w:pStyle w:val="ListParagraph"/>
              <w:rPr>
                <w:rFonts w:ascii="Palatino Linotype" w:eastAsia="Times New Roman" w:hAnsi="Palatino Linotype" w:cs="Times New Roman"/>
                <w:color w:val="000000"/>
                <w:u w:color="000000"/>
                <w:bdr w:val="nil"/>
                <w:lang w:val="en-US" w:eastAsia="en-GB"/>
              </w:rPr>
            </w:pPr>
          </w:p>
          <w:p w:rsidR="00F55C66" w:rsidRDefault="00F55C66" w:rsidP="00F55C66">
            <w:pPr>
              <w:pStyle w:val="ListParagraph"/>
              <w:ind w:left="0"/>
              <w:rPr>
                <w:rFonts w:ascii="Arial" w:hAnsi="Arial"/>
                <w:b/>
                <w:bCs/>
                <w:lang w:val="en-US"/>
              </w:rPr>
            </w:pPr>
            <w:r w:rsidRPr="00F55C66">
              <w:rPr>
                <w:rFonts w:ascii="Palatino Linotype" w:eastAsia="Times New Roman" w:hAnsi="Palatino Linotype" w:cs="Times New Roman"/>
                <w:color w:val="000000"/>
                <w:u w:color="000000"/>
                <w:bdr w:val="nil"/>
                <w:lang w:val="en-US" w:eastAsia="en-GB"/>
              </w:rPr>
              <w:t>Pleasing work</w:t>
            </w:r>
            <w:r>
              <w:rPr>
                <w:rFonts w:ascii="Palatino Linotype" w:eastAsia="Times New Roman" w:hAnsi="Palatino Linotype" w:cs="Times New Roman"/>
                <w:color w:val="000000"/>
                <w:u w:color="000000"/>
                <w:bdr w:val="nil"/>
                <w:lang w:val="en-US" w:eastAsia="en-GB"/>
              </w:rPr>
              <w:t>.</w:t>
            </w:r>
          </w:p>
        </w:tc>
      </w:tr>
      <w:tr w:rsidR="00006C0D" w:rsidTr="00F55C66">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25"/>
          <w:jc w:val="center"/>
        </w:trPr>
        <w:tc>
          <w:tcPr>
            <w:tcW w:w="8870" w:type="dxa"/>
            <w:gridSpan w:val="7"/>
            <w:tcBorders>
              <w:top w:val="single" w:sz="4" w:space="0" w:color="auto"/>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b/>
                <w:bCs/>
                <w:sz w:val="24"/>
                <w:szCs w:val="24"/>
              </w:rPr>
            </w:pPr>
          </w:p>
        </w:tc>
      </w:tr>
      <w:tr w:rsidR="00006C0D" w:rsidTr="00F55C66">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342"/>
          <w:jc w:val="center"/>
        </w:trPr>
        <w:tc>
          <w:tcPr>
            <w:tcW w:w="5934"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006C0D" w:rsidRDefault="00006C0D" w:rsidP="009663BF">
            <w:pPr>
              <w:pStyle w:val="Body"/>
            </w:pPr>
            <w:r>
              <w:rPr>
                <w:rFonts w:ascii="Arial" w:hAnsi="Arial"/>
                <w:sz w:val="22"/>
                <w:szCs w:val="22"/>
                <w:lang w:val="en-US"/>
              </w:rPr>
              <w:t>Marker’s signature:</w:t>
            </w:r>
            <w:r>
              <w:rPr>
                <w:rFonts w:ascii="Palatino Linotype" w:hAnsi="Palatino Linotype"/>
                <w:sz w:val="22"/>
                <w:szCs w:val="22"/>
                <w:lang w:val="en-US"/>
              </w:rPr>
              <w:t xml:space="preserve"> Jeni Williams </w:t>
            </w:r>
          </w:p>
        </w:tc>
        <w:tc>
          <w:tcPr>
            <w:tcW w:w="293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006C0D" w:rsidRDefault="00006C0D" w:rsidP="009663BF">
            <w:pPr>
              <w:pStyle w:val="Body"/>
              <w:spacing w:before="100" w:after="100"/>
              <w:ind w:left="-79" w:right="34"/>
            </w:pPr>
            <w:r>
              <w:rPr>
                <w:rFonts w:ascii="Arial" w:hAnsi="Arial"/>
                <w:sz w:val="22"/>
                <w:szCs w:val="22"/>
                <w:lang w:val="en-US"/>
              </w:rPr>
              <w:t>Date:</w:t>
            </w:r>
            <w:r>
              <w:rPr>
                <w:rFonts w:ascii="Palatino Linotype" w:hAnsi="Palatino Linotype"/>
                <w:sz w:val="22"/>
                <w:szCs w:val="22"/>
                <w:lang w:val="en-US"/>
              </w:rPr>
              <w:t xml:space="preserve"> 30 April 2018</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1693"/>
          <w:jc w:val="center"/>
        </w:trPr>
        <w:tc>
          <w:tcPr>
            <w:tcW w:w="8870"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
              <w:rPr>
                <w:rFonts w:ascii="Arial" w:eastAsia="Arial" w:hAnsi="Arial" w:cs="Arial"/>
                <w:b/>
                <w:bCs/>
                <w:sz w:val="22"/>
                <w:szCs w:val="22"/>
              </w:rPr>
            </w:pPr>
            <w:r>
              <w:rPr>
                <w:rFonts w:ascii="Arial" w:hAnsi="Arial"/>
                <w:b/>
                <w:bCs/>
                <w:sz w:val="22"/>
                <w:szCs w:val="22"/>
                <w:lang w:val="en-US"/>
              </w:rPr>
              <w:t>For completion by Marker 2/Moderator:</w:t>
            </w:r>
          </w:p>
          <w:p w:rsidR="00006C0D" w:rsidRDefault="00006C0D" w:rsidP="009663BF">
            <w:pPr>
              <w:pStyle w:val="Body"/>
              <w:rPr>
                <w:rFonts w:ascii="Arial" w:eastAsia="Arial" w:hAnsi="Arial" w:cs="Arial"/>
                <w:b/>
                <w:bCs/>
                <w:sz w:val="22"/>
                <w:szCs w:val="22"/>
                <w:lang w:val="en-US"/>
              </w:rPr>
            </w:pPr>
          </w:p>
          <w:p w:rsidR="00006C0D" w:rsidRDefault="00006C0D" w:rsidP="009663BF">
            <w:pPr>
              <w:pStyle w:val="Body"/>
              <w:rPr>
                <w:rFonts w:ascii="Arial" w:eastAsia="Arial" w:hAnsi="Arial" w:cs="Arial"/>
                <w:sz w:val="22"/>
                <w:szCs w:val="22"/>
              </w:rPr>
            </w:pPr>
            <w:r>
              <w:rPr>
                <w:rFonts w:ascii="Arial" w:hAnsi="Arial"/>
                <w:sz w:val="22"/>
                <w:szCs w:val="22"/>
                <w:lang w:val="en-US"/>
              </w:rPr>
              <w:t>Comments:</w:t>
            </w:r>
          </w:p>
          <w:p w:rsidR="00006C0D" w:rsidRDefault="00006C0D" w:rsidP="009663BF">
            <w:pPr>
              <w:pStyle w:val="Body"/>
            </w:pPr>
          </w:p>
        </w:tc>
      </w:tr>
      <w:tr w:rsidR="00006C0D" w:rsidTr="00F55C66">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570"/>
          <w:jc w:val="center"/>
        </w:trPr>
        <w:tc>
          <w:tcPr>
            <w:tcW w:w="5934"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
            </w:pPr>
            <w:r>
              <w:rPr>
                <w:rFonts w:ascii="Arial" w:hAnsi="Arial"/>
                <w:sz w:val="22"/>
                <w:szCs w:val="22"/>
                <w:lang w:val="en-US"/>
              </w:rPr>
              <w:t>Marker’s Signature:</w:t>
            </w:r>
          </w:p>
        </w:tc>
        <w:tc>
          <w:tcPr>
            <w:tcW w:w="293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
            </w:pPr>
            <w:r>
              <w:rPr>
                <w:rFonts w:ascii="Arial" w:hAnsi="Arial"/>
                <w:sz w:val="22"/>
                <w:szCs w:val="22"/>
                <w:lang w:val="en-US"/>
              </w:rPr>
              <w:t>Date:</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382"/>
          <w:jc w:val="center"/>
        </w:trPr>
        <w:tc>
          <w:tcPr>
            <w:tcW w:w="5875" w:type="dxa"/>
            <w:gridSpan w:val="3"/>
            <w:tcBorders>
              <w:top w:val="single" w:sz="4" w:space="0" w:color="000000"/>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b/>
                <w:bCs/>
              </w:rPr>
            </w:pPr>
            <w:r>
              <w:rPr>
                <w:rFonts w:ascii="Arial" w:hAnsi="Arial"/>
                <w:b/>
                <w:bCs/>
              </w:rPr>
              <w:t>AGREED INTERNAL MARK (where necessary):</w:t>
            </w:r>
          </w:p>
          <w:p w:rsidR="00006C0D" w:rsidRDefault="00006C0D" w:rsidP="009663BF">
            <w:pPr>
              <w:pStyle w:val="BodyA"/>
              <w:rPr>
                <w:rFonts w:hint="eastAsia"/>
              </w:rPr>
            </w:pPr>
          </w:p>
        </w:tc>
        <w:tc>
          <w:tcPr>
            <w:tcW w:w="2995" w:type="dxa"/>
            <w:gridSpan w:val="4"/>
            <w:tcBorders>
              <w:top w:val="single" w:sz="4" w:space="0" w:color="000000"/>
              <w:left w:val="single" w:sz="4" w:space="0" w:color="auto"/>
              <w:bottom w:val="single" w:sz="4" w:space="0" w:color="auto"/>
              <w:right w:val="single" w:sz="4" w:space="0" w:color="000000"/>
            </w:tcBorders>
            <w:shd w:val="clear" w:color="auto" w:fill="auto"/>
          </w:tcPr>
          <w:p w:rsidR="00006C0D" w:rsidRDefault="00006C0D" w:rsidP="009663BF">
            <w:pPr>
              <w:rPr>
                <w:rFonts w:ascii="Helvetica Neue" w:hAnsi="Helvetica Neue" w:cs="Arial Unicode MS"/>
                <w:color w:val="000000"/>
                <w:sz w:val="22"/>
                <w:szCs w:val="22"/>
                <w:u w:color="000000"/>
                <w:lang w:eastAsia="en-GB"/>
              </w:rPr>
            </w:pPr>
          </w:p>
          <w:p w:rsidR="00006C0D" w:rsidRDefault="00006C0D" w:rsidP="009663BF">
            <w:pPr>
              <w:pStyle w:val="BodyA"/>
              <w:rPr>
                <w:rFonts w:hint="eastAsia"/>
              </w:rPr>
            </w:pP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994"/>
          <w:jc w:val="center"/>
        </w:trPr>
        <w:tc>
          <w:tcPr>
            <w:tcW w:w="8870" w:type="dxa"/>
            <w:gridSpan w:val="7"/>
            <w:tcBorders>
              <w:top w:val="single" w:sz="4" w:space="0" w:color="auto"/>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ascii="Arial" w:hAnsi="Arial"/>
                <w:b/>
                <w:bCs/>
              </w:rPr>
            </w:pPr>
            <w:r>
              <w:rPr>
                <w:rFonts w:ascii="Arial" w:hAnsi="Arial"/>
                <w:b/>
                <w:bCs/>
              </w:rPr>
              <w:t>Comment on process on arriving at agreed mark:</w:t>
            </w: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973"/>
          <w:jc w:val="center"/>
        </w:trPr>
        <w:tc>
          <w:tcPr>
            <w:tcW w:w="8870"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ascii="Arial" w:eastAsia="Arial" w:hAnsi="Arial" w:cs="Arial"/>
                <w:b/>
                <w:bCs/>
              </w:rPr>
            </w:pPr>
            <w:r>
              <w:rPr>
                <w:rFonts w:ascii="Arial" w:hAnsi="Arial"/>
                <w:b/>
                <w:bCs/>
              </w:rPr>
              <w:t>External Examiner’s comments (if relevant)</w:t>
            </w:r>
          </w:p>
          <w:p w:rsidR="00006C0D" w:rsidRDefault="00006C0D" w:rsidP="009663BF">
            <w:pPr>
              <w:pStyle w:val="Body"/>
            </w:pPr>
          </w:p>
        </w:tc>
      </w:tr>
      <w:tr w:rsidR="00006C0D" w:rsidTr="00006C0D">
        <w:tblPrEx>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PrEx>
        <w:trPr>
          <w:gridBefore w:val="1"/>
          <w:gridAfter w:val="1"/>
          <w:wBefore w:w="13" w:type="dxa"/>
          <w:wAfter w:w="407" w:type="dxa"/>
          <w:trHeight w:val="570"/>
          <w:jc w:val="center"/>
        </w:trPr>
        <w:tc>
          <w:tcPr>
            <w:tcW w:w="587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hint="eastAsia"/>
              </w:rPr>
            </w:pPr>
            <w:r>
              <w:rPr>
                <w:rFonts w:ascii="Arial" w:hAnsi="Arial"/>
              </w:rPr>
              <w:lastRenderedPageBreak/>
              <w:t>External Examiner’s Signature:</w:t>
            </w:r>
          </w:p>
        </w:tc>
        <w:tc>
          <w:tcPr>
            <w:tcW w:w="2995"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6C0D" w:rsidRDefault="00006C0D" w:rsidP="009663BF">
            <w:pPr>
              <w:pStyle w:val="BodyA"/>
              <w:rPr>
                <w:rFonts w:hint="eastAsia"/>
              </w:rPr>
            </w:pPr>
            <w:r>
              <w:rPr>
                <w:rFonts w:ascii="Arial" w:hAnsi="Arial"/>
              </w:rPr>
              <w:t>Date:</w:t>
            </w:r>
          </w:p>
        </w:tc>
      </w:tr>
    </w:tbl>
    <w:p w:rsidR="00006C0D" w:rsidRDefault="00006C0D" w:rsidP="00006C0D">
      <w:pPr>
        <w:pStyle w:val="Body"/>
        <w:widowControl w:val="0"/>
        <w:ind w:left="108" w:hanging="108"/>
        <w:jc w:val="center"/>
        <w:rPr>
          <w:rFonts w:ascii="Arial" w:eastAsia="Arial" w:hAnsi="Arial" w:cs="Arial"/>
          <w:b/>
          <w:bCs/>
          <w:sz w:val="28"/>
          <w:szCs w:val="28"/>
        </w:rPr>
      </w:pPr>
    </w:p>
    <w:p w:rsidR="00006C0D" w:rsidRDefault="00006C0D" w:rsidP="00006C0D">
      <w:pPr>
        <w:pStyle w:val="Body"/>
        <w:jc w:val="center"/>
        <w:rPr>
          <w:rFonts w:ascii="Trebuchet MS" w:eastAsia="Trebuchet MS" w:hAnsi="Trebuchet MS" w:cs="Trebuchet MS"/>
          <w:sz w:val="21"/>
          <w:szCs w:val="21"/>
        </w:rPr>
      </w:pPr>
      <w:r>
        <w:rPr>
          <w:rFonts w:ascii="Georgia" w:hAnsi="Georgia"/>
          <w:b/>
          <w:bCs/>
          <w:sz w:val="21"/>
          <w:szCs w:val="21"/>
          <w:lang w:val="en-US"/>
        </w:rPr>
        <w:t xml:space="preserve">THIS SHEET MUST BE THE FIRST PAGE OF THE ASSIGNMENT YOU ARE </w:t>
      </w:r>
      <w:proofErr w:type="gramStart"/>
      <w:r>
        <w:rPr>
          <w:rFonts w:ascii="Georgia" w:hAnsi="Georgia"/>
          <w:b/>
          <w:bCs/>
          <w:sz w:val="21"/>
          <w:szCs w:val="21"/>
          <w:lang w:val="en-US"/>
        </w:rPr>
        <w:t>SUBMITTING  (</w:t>
      </w:r>
      <w:proofErr w:type="gramEnd"/>
      <w:r>
        <w:rPr>
          <w:rFonts w:ascii="Georgia" w:hAnsi="Georgia"/>
          <w:b/>
          <w:bCs/>
          <w:sz w:val="21"/>
          <w:szCs w:val="21"/>
          <w:lang w:val="en-US"/>
        </w:rPr>
        <w:t>DO NOT SEND AS A SEPARATE FORM</w:t>
      </w:r>
    </w:p>
    <w:p w:rsidR="00006C0D" w:rsidRDefault="00006C0D" w:rsidP="00006C0D">
      <w:pPr>
        <w:pStyle w:val="Heading3"/>
        <w:widowControl w:val="0"/>
        <w:pBdr>
          <w:top w:val="nil"/>
        </w:pBdr>
        <w:jc w:val="center"/>
        <w:rPr>
          <w:rFonts w:ascii="Trebuchet MS" w:eastAsia="Trebuchet MS" w:hAnsi="Trebuchet MS" w:cs="Trebuchet MS"/>
          <w:b w:val="0"/>
          <w:bCs w:val="0"/>
          <w:lang w:val="en-US"/>
        </w:rPr>
      </w:pPr>
    </w:p>
    <w:p w:rsidR="00006C0D" w:rsidRDefault="00006C0D"/>
    <w:p w:rsidR="005001A1" w:rsidRPr="000E1B30" w:rsidRDefault="005001A1">
      <w:pPr>
        <w:rPr>
          <w:b/>
        </w:rPr>
      </w:pPr>
    </w:p>
    <w:p w:rsidR="00224D26" w:rsidRDefault="00224D26">
      <w:pPr>
        <w:rPr>
          <w:b/>
        </w:rPr>
      </w:pPr>
      <w:r>
        <w:rPr>
          <w:b/>
        </w:rPr>
        <w:br w:type="page"/>
      </w:r>
    </w:p>
    <w:p w:rsidR="005001A1" w:rsidRPr="000E1B30" w:rsidRDefault="000E1B30">
      <w:pPr>
        <w:rPr>
          <w:b/>
          <w:i/>
        </w:rPr>
      </w:pPr>
      <w:r w:rsidRPr="000E1B30">
        <w:rPr>
          <w:b/>
        </w:rPr>
        <w:lastRenderedPageBreak/>
        <w:t xml:space="preserve">Tradition and contemporary voices in </w:t>
      </w:r>
      <w:r w:rsidRPr="000E1B30">
        <w:rPr>
          <w:b/>
          <w:i/>
        </w:rPr>
        <w:t>The Waste Land</w:t>
      </w:r>
    </w:p>
    <w:p w:rsidR="00570F96" w:rsidRDefault="00570F96"/>
    <w:p w:rsidR="000E1B30" w:rsidRDefault="000E1B30"/>
    <w:p w:rsidR="00570F96" w:rsidRDefault="00570F96"/>
    <w:p w:rsidR="00992C55" w:rsidRPr="00194A51" w:rsidRDefault="009443AC" w:rsidP="00570F96">
      <w:pPr>
        <w:spacing w:line="480" w:lineRule="auto"/>
      </w:pPr>
      <w:r>
        <w:t xml:space="preserve">T S Eliot, in his essay </w:t>
      </w:r>
      <w:commentRangeStart w:id="6"/>
      <w:r w:rsidR="00992C55">
        <w:rPr>
          <w:i/>
        </w:rPr>
        <w:t>Tradition and the Individual Talent</w:t>
      </w:r>
      <w:commentRangeEnd w:id="6"/>
      <w:r w:rsidR="007B0D00">
        <w:rPr>
          <w:rStyle w:val="CommentReference"/>
        </w:rPr>
        <w:commentReference w:id="6"/>
      </w:r>
      <w:r w:rsidR="00992C55">
        <w:t>, wrote that, ‘no poet, no artist of any kind, has complete meaning alone. His significance, his appreciation is the significance of his relation to the dead poets and artists.’</w:t>
      </w:r>
      <w:r w:rsidR="00570F96">
        <w:rPr>
          <w:rStyle w:val="FootnoteReference"/>
        </w:rPr>
        <w:footnoteReference w:id="1"/>
      </w:r>
      <w:r w:rsidR="005001A1">
        <w:t xml:space="preserve"> </w:t>
      </w:r>
      <w:r w:rsidR="00992C55">
        <w:t xml:space="preserve"> Using </w:t>
      </w:r>
      <w:commentRangeStart w:id="7"/>
      <w:r w:rsidR="00992C55">
        <w:rPr>
          <w:i/>
        </w:rPr>
        <w:t>The Waste Land</w:t>
      </w:r>
      <w:r w:rsidR="00992C55">
        <w:t xml:space="preserve"> </w:t>
      </w:r>
      <w:commentRangeEnd w:id="7"/>
      <w:r w:rsidR="007B0D00">
        <w:rPr>
          <w:rStyle w:val="CommentReference"/>
        </w:rPr>
        <w:commentReference w:id="7"/>
      </w:r>
      <w:r w:rsidR="00992C55">
        <w:t xml:space="preserve">I will </w:t>
      </w:r>
      <w:r w:rsidR="00154D8C">
        <w:t>discuss how</w:t>
      </w:r>
      <w:r w:rsidR="00992C55">
        <w:t xml:space="preserve"> </w:t>
      </w:r>
      <w:r w:rsidR="00194A51">
        <w:t xml:space="preserve">Eliot considered the role of tradition in the composition of his poetry, and how the theoretical concerns – as he expressed in </w:t>
      </w:r>
      <w:r w:rsidR="00194A51" w:rsidRPr="007B0D00">
        <w:rPr>
          <w:i/>
          <w:u w:val="single"/>
        </w:rPr>
        <w:t xml:space="preserve">Tradition and the Individual </w:t>
      </w:r>
      <w:r w:rsidR="00194A51" w:rsidRPr="007B0D00">
        <w:rPr>
          <w:u w:val="single"/>
        </w:rPr>
        <w:t>Talent</w:t>
      </w:r>
      <w:r w:rsidR="00194A51">
        <w:t xml:space="preserve"> - </w:t>
      </w:r>
      <w:r w:rsidR="00194A51" w:rsidRPr="00194A51">
        <w:t>and</w:t>
      </w:r>
      <w:r w:rsidR="00194A51">
        <w:t xml:space="preserve"> practical demonstration seen </w:t>
      </w:r>
      <w:r w:rsidR="00194A51">
        <w:rPr>
          <w:i/>
        </w:rPr>
        <w:t>The Waste Land</w:t>
      </w:r>
      <w:r w:rsidR="00194A51">
        <w:t xml:space="preserve"> informs and was informed by the wider post-war Modernist movement.</w:t>
      </w:r>
      <w:r w:rsidR="005001A1">
        <w:t xml:space="preserve"> I will examine how Eliot’s insistence that contemporary poetry only has value when placed within a tradition of literature informs his own writing and </w:t>
      </w:r>
      <w:commentRangeStart w:id="8"/>
      <w:r w:rsidR="005001A1">
        <w:t xml:space="preserve">the criticism of Modernism </w:t>
      </w:r>
      <w:r w:rsidR="005001A1" w:rsidRPr="007B0D00">
        <w:rPr>
          <w:u w:val="single"/>
        </w:rPr>
        <w:t>as a literary movement</w:t>
      </w:r>
      <w:r w:rsidR="005001A1">
        <w:t>.</w:t>
      </w:r>
      <w:commentRangeEnd w:id="8"/>
      <w:r w:rsidR="007B0D00">
        <w:rPr>
          <w:rStyle w:val="CommentReference"/>
        </w:rPr>
        <w:commentReference w:id="8"/>
      </w:r>
    </w:p>
    <w:p w:rsidR="009443AC" w:rsidRDefault="009443AC" w:rsidP="00570F96">
      <w:pPr>
        <w:spacing w:line="480" w:lineRule="auto"/>
      </w:pPr>
    </w:p>
    <w:p w:rsidR="00486AAE" w:rsidRPr="00254869" w:rsidRDefault="008B6C6C" w:rsidP="00570F96">
      <w:pPr>
        <w:spacing w:line="480" w:lineRule="auto"/>
      </w:pPr>
      <w:r>
        <w:t>From the very opening of the poem</w:t>
      </w:r>
      <w:r w:rsidR="00194A51">
        <w:t>,</w:t>
      </w:r>
      <w:r>
        <w:t xml:space="preserve"> </w:t>
      </w:r>
      <w:r w:rsidR="00154D8C">
        <w:t xml:space="preserve">Ezra </w:t>
      </w:r>
      <w:r>
        <w:t>Pound’s insistence</w:t>
      </w:r>
      <w:r w:rsidR="00154D8C">
        <w:t xml:space="preserve"> that</w:t>
      </w:r>
      <w:r>
        <w:t xml:space="preserve"> the epigraph be changed from a Joseph Conrad quotation to a passage from </w:t>
      </w:r>
      <w:proofErr w:type="spellStart"/>
      <w:r>
        <w:rPr>
          <w:i/>
        </w:rPr>
        <w:t>Satyricon</w:t>
      </w:r>
      <w:proofErr w:type="spellEnd"/>
      <w:r>
        <w:t xml:space="preserve"> by Petronius reflects the tension between the contemporary and the connection to a wider literary and cultural tradition, </w:t>
      </w:r>
      <w:r w:rsidR="008D17BC">
        <w:t>as well as foreshadowing the</w:t>
      </w:r>
      <w:r w:rsidR="00194A51">
        <w:t xml:space="preserve"> complex</w:t>
      </w:r>
      <w:r w:rsidR="008D17BC">
        <w:t xml:space="preserve"> </w:t>
      </w:r>
      <w:r w:rsidR="00194A51">
        <w:t xml:space="preserve">relationship between </w:t>
      </w:r>
      <w:r w:rsidR="00254869">
        <w:t xml:space="preserve">the </w:t>
      </w:r>
      <w:r w:rsidR="008D17BC">
        <w:t xml:space="preserve">fragmentation and </w:t>
      </w:r>
      <w:r w:rsidR="00254869">
        <w:t>unity</w:t>
      </w:r>
      <w:r w:rsidR="00194A51">
        <w:t xml:space="preserve"> of </w:t>
      </w:r>
      <w:commentRangeStart w:id="9"/>
      <w:r w:rsidR="00194A51">
        <w:t>High Modernism</w:t>
      </w:r>
      <w:r w:rsidR="00254869">
        <w:t xml:space="preserve"> </w:t>
      </w:r>
      <w:commentRangeEnd w:id="9"/>
      <w:r w:rsidR="007B0D00">
        <w:rPr>
          <w:rStyle w:val="CommentReference"/>
        </w:rPr>
        <w:commentReference w:id="9"/>
      </w:r>
      <w:r w:rsidR="00254869">
        <w:t xml:space="preserve">seen throughout </w:t>
      </w:r>
      <w:r w:rsidR="00254869">
        <w:rPr>
          <w:i/>
        </w:rPr>
        <w:t>The Waste Land</w:t>
      </w:r>
      <w:r w:rsidR="00194A51">
        <w:t>.</w:t>
      </w:r>
      <w:r w:rsidR="00486AAE">
        <w:t xml:space="preserve"> Pound felt </w:t>
      </w:r>
      <w:r w:rsidR="00154D8C">
        <w:t xml:space="preserve">that </w:t>
      </w:r>
      <w:r w:rsidR="00486AAE">
        <w:t xml:space="preserve">the Conrad quote wasn’t sufficiently weighty for the poem, whilst Eliot argued that it was the most ‘elucidative’. Harriet Davidson, in considering this debate, suggests that the quotation from </w:t>
      </w:r>
      <w:proofErr w:type="spellStart"/>
      <w:r w:rsidR="00486AAE">
        <w:rPr>
          <w:i/>
        </w:rPr>
        <w:t>Satyricon</w:t>
      </w:r>
      <w:proofErr w:type="spellEnd"/>
      <w:r w:rsidR="00254869">
        <w:t>, ‘whilst appropriate to the poem in its reference to imprisonment and desire for death</w:t>
      </w:r>
      <w:r w:rsidR="00311FA3">
        <w:t xml:space="preserve"> … only </w:t>
      </w:r>
      <w:r w:rsidR="0049242C">
        <w:t>ambiguously</w:t>
      </w:r>
      <w:r w:rsidR="00311FA3">
        <w:t xml:space="preserve"> relates to the contemporary situation Eliot evokes in the poem.’</w:t>
      </w:r>
      <w:r w:rsidR="002C648B">
        <w:rPr>
          <w:rStyle w:val="FootnoteReference"/>
        </w:rPr>
        <w:footnoteReference w:id="2"/>
      </w:r>
      <w:r w:rsidR="00311FA3">
        <w:t xml:space="preserve"> It may be that it is this apparently deliberate obscuring of elucidation, and the debate </w:t>
      </w:r>
      <w:r w:rsidR="00311FA3">
        <w:lastRenderedPageBreak/>
        <w:t xml:space="preserve">between a contemporary and a classical allusion, which sets the tone for the rest of the poem, </w:t>
      </w:r>
      <w:commentRangeStart w:id="10"/>
      <w:r w:rsidR="00311FA3">
        <w:t>preventing the reader from drawing any direct or obvious interpretations</w:t>
      </w:r>
      <w:commentRangeEnd w:id="10"/>
      <w:r w:rsidR="007B0D00">
        <w:rPr>
          <w:rStyle w:val="CommentReference"/>
        </w:rPr>
        <w:commentReference w:id="10"/>
      </w:r>
      <w:r w:rsidR="00311FA3">
        <w:t xml:space="preserve">.  </w:t>
      </w:r>
    </w:p>
    <w:p w:rsidR="00486AAE" w:rsidRDefault="00486AAE" w:rsidP="00570F96">
      <w:pPr>
        <w:spacing w:line="480" w:lineRule="auto"/>
      </w:pPr>
    </w:p>
    <w:p w:rsidR="008B6C6C" w:rsidRDefault="00194A51" w:rsidP="00570F96">
      <w:pPr>
        <w:spacing w:line="480" w:lineRule="auto"/>
      </w:pPr>
      <w:r>
        <w:t>This</w:t>
      </w:r>
      <w:r w:rsidR="00311FA3">
        <w:t xml:space="preserve"> conflict between tradition and </w:t>
      </w:r>
      <w:r w:rsidR="004D26B3">
        <w:t xml:space="preserve">the </w:t>
      </w:r>
      <w:r w:rsidR="00311FA3">
        <w:t xml:space="preserve">contemporary reflects </w:t>
      </w:r>
      <w:r w:rsidR="008D17BC">
        <w:t xml:space="preserve">what </w:t>
      </w:r>
      <w:r w:rsidR="008B6C6C">
        <w:t xml:space="preserve">Davidson </w:t>
      </w:r>
      <w:r w:rsidR="008D17BC">
        <w:t xml:space="preserve">describes as the debate within </w:t>
      </w:r>
      <w:r w:rsidR="008D17BC">
        <w:rPr>
          <w:i/>
        </w:rPr>
        <w:t xml:space="preserve">The </w:t>
      </w:r>
      <w:r w:rsidR="008D17BC" w:rsidRPr="004D26B3">
        <w:rPr>
          <w:i/>
        </w:rPr>
        <w:t>Waste</w:t>
      </w:r>
      <w:r w:rsidR="004D26B3">
        <w:rPr>
          <w:i/>
        </w:rPr>
        <w:t xml:space="preserve"> L</w:t>
      </w:r>
      <w:r w:rsidR="008D17BC" w:rsidRPr="004D26B3">
        <w:rPr>
          <w:i/>
        </w:rPr>
        <w:t>and</w:t>
      </w:r>
      <w:r w:rsidR="008D17BC">
        <w:t xml:space="preserve"> between the ‘proper’ and the ‘improper’ when she </w:t>
      </w:r>
      <w:r w:rsidR="008B6C6C" w:rsidRPr="008D17BC">
        <w:t>points</w:t>
      </w:r>
      <w:r w:rsidR="008B6C6C">
        <w:t xml:space="preserve"> out, ‘the passage is hardly elucidative … and … the story of the Sybil only ambiguously relates to the contemporary situa</w:t>
      </w:r>
      <w:r w:rsidR="002C648B">
        <w:t>tion Eliot evokes in the poem’.</w:t>
      </w:r>
      <w:r w:rsidR="002C648B">
        <w:rPr>
          <w:rStyle w:val="FootnoteReference"/>
        </w:rPr>
        <w:footnoteReference w:id="3"/>
      </w:r>
    </w:p>
    <w:p w:rsidR="008D17BC" w:rsidRDefault="008D17BC" w:rsidP="00570F96">
      <w:pPr>
        <w:spacing w:line="480" w:lineRule="auto"/>
      </w:pPr>
    </w:p>
    <w:p w:rsidR="008D17BC" w:rsidRDefault="009443AC" w:rsidP="00570F96">
      <w:pPr>
        <w:spacing w:line="480" w:lineRule="auto"/>
      </w:pPr>
      <w:r>
        <w:t>Davidson’s definition of ‘proper’, the ‘scholarly apparatus [and] respect for tradition,’ and ‘improper’, the ‘fascination with mutation, degradation, and fragmentation,’ reflect the discussio</w:t>
      </w:r>
      <w:r w:rsidR="00992C55">
        <w:t xml:space="preserve">n of Eliot himself in </w:t>
      </w:r>
      <w:commentRangeStart w:id="11"/>
      <w:r>
        <w:rPr>
          <w:i/>
        </w:rPr>
        <w:t>Tradition and the Individual</w:t>
      </w:r>
      <w:r w:rsidR="00154D8C">
        <w:rPr>
          <w:i/>
        </w:rPr>
        <w:t xml:space="preserve"> Talent </w:t>
      </w:r>
      <w:r w:rsidR="00992C55">
        <w:t xml:space="preserve"> </w:t>
      </w:r>
      <w:commentRangeEnd w:id="11"/>
      <w:r w:rsidR="007B0D00">
        <w:rPr>
          <w:rStyle w:val="CommentReference"/>
        </w:rPr>
        <w:commentReference w:id="11"/>
      </w:r>
      <w:r w:rsidR="001C16AD">
        <w:t>in which</w:t>
      </w:r>
      <w:r w:rsidR="0088138E">
        <w:t>, after rejecting the idea that it is the ‘</w:t>
      </w:r>
      <w:r w:rsidR="004B4195">
        <w:t>aspects of [the poet’s]</w:t>
      </w:r>
      <w:r w:rsidR="0088138E">
        <w:t xml:space="preserve"> work in which</w:t>
      </w:r>
      <w:r w:rsidR="004B4195">
        <w:t xml:space="preserve"> he least resembles anyone else</w:t>
      </w:r>
      <w:r w:rsidR="0088138E">
        <w:t>’</w:t>
      </w:r>
      <w:r w:rsidR="004B4195">
        <w:t xml:space="preserve"> that Is deserving of praise,</w:t>
      </w:r>
      <w:r w:rsidR="0088138E">
        <w:t xml:space="preserve"> he argues that, ‘the most individual parts of [the poet’s] work may those in which the dead poets, his ancestors, assert their immortality most vigorously.’</w:t>
      </w:r>
      <w:r w:rsidR="002C648B">
        <w:rPr>
          <w:rStyle w:val="FootnoteReference"/>
        </w:rPr>
        <w:footnoteReference w:id="4"/>
      </w:r>
      <w:r w:rsidR="00446A00">
        <w:t xml:space="preserve"> </w:t>
      </w:r>
      <w:r w:rsidR="00194A51">
        <w:t>Eliot’s</w:t>
      </w:r>
      <w:r w:rsidR="004B4195">
        <w:t xml:space="preserve"> essay contains within it the same conflict and contradiction found in </w:t>
      </w:r>
      <w:r w:rsidR="004B4195">
        <w:rPr>
          <w:i/>
        </w:rPr>
        <w:t>The Waste Land</w:t>
      </w:r>
      <w:r w:rsidR="004B4195">
        <w:t xml:space="preserve"> with </w:t>
      </w:r>
      <w:r w:rsidR="001A7F7E">
        <w:t>Eliot simultaneously endorsing</w:t>
      </w:r>
      <w:r w:rsidR="004B4195">
        <w:t xml:space="preserve"> art with an ‘historical sense’, whilst also emphasising that ‘novelty is better than repetition’. </w:t>
      </w:r>
      <w:r w:rsidR="004D26B3">
        <w:t xml:space="preserve">However, Eliot’s ‘historical sense’ is more complex than just the references to Classical myth, Wagner, Shakespeare and the Bible. It also embraces the rhythms and language of rag-time jazz and </w:t>
      </w:r>
      <w:r w:rsidR="00A67955">
        <w:t>the music hall tradition.</w:t>
      </w:r>
    </w:p>
    <w:p w:rsidR="004B4195" w:rsidRDefault="004B4195" w:rsidP="00570F96">
      <w:pPr>
        <w:spacing w:line="480" w:lineRule="auto"/>
      </w:pPr>
    </w:p>
    <w:p w:rsidR="009443AC" w:rsidRPr="007C5136" w:rsidRDefault="004B4195" w:rsidP="00570F96">
      <w:pPr>
        <w:spacing w:line="480" w:lineRule="auto"/>
      </w:pPr>
      <w:r>
        <w:t xml:space="preserve">The distinctive characteristics that later became identified with modernism, and especially the post-war High Modernism – fragmentation, juxtaposition, ambiguity – are seen in the </w:t>
      </w:r>
      <w:proofErr w:type="spellStart"/>
      <w:r w:rsidR="004C5EFD">
        <w:rPr>
          <w:i/>
        </w:rPr>
        <w:lastRenderedPageBreak/>
        <w:t>The</w:t>
      </w:r>
      <w:proofErr w:type="spellEnd"/>
      <w:r w:rsidR="004C5EFD">
        <w:rPr>
          <w:i/>
        </w:rPr>
        <w:t xml:space="preserve"> Waste Land</w:t>
      </w:r>
      <w:r w:rsidR="004C5EFD">
        <w:t>, with what Christopher Butler, when considering the use of myth in modernist works, describes as ‘an amal</w:t>
      </w:r>
      <w:r w:rsidR="002C648B">
        <w:t>gam of conflicting discourses.’</w:t>
      </w:r>
      <w:r w:rsidR="002C648B">
        <w:rPr>
          <w:rStyle w:val="FootnoteReference"/>
        </w:rPr>
        <w:footnoteReference w:id="5"/>
      </w:r>
      <w:r w:rsidR="002C648B">
        <w:t xml:space="preserve"> </w:t>
      </w:r>
      <w:r w:rsidR="00F3168F">
        <w:t xml:space="preserve">Terry Eagleton, </w:t>
      </w:r>
      <w:r w:rsidR="00194A51">
        <w:t xml:space="preserve">in a critique of </w:t>
      </w:r>
      <w:r w:rsidR="00F3168F">
        <w:t xml:space="preserve">the conservative </w:t>
      </w:r>
      <w:r w:rsidR="000329C2">
        <w:t xml:space="preserve">politics of many in </w:t>
      </w:r>
      <w:commentRangeStart w:id="12"/>
      <w:r w:rsidR="000329C2" w:rsidRPr="007B0D00">
        <w:rPr>
          <w:u w:val="single"/>
        </w:rPr>
        <w:t>the post-war Modernist movement</w:t>
      </w:r>
      <w:r w:rsidR="000329C2">
        <w:t xml:space="preserve"> </w:t>
      </w:r>
      <w:commentRangeEnd w:id="12"/>
      <w:r w:rsidR="007B0D00">
        <w:rPr>
          <w:rStyle w:val="CommentReference"/>
        </w:rPr>
        <w:commentReference w:id="12"/>
      </w:r>
      <w:r w:rsidR="000329C2">
        <w:t xml:space="preserve">recognised the complexity of the Eliot’s approach to tradition and myth, albeit reducing this complexity down to a binary choice between seeing the past </w:t>
      </w:r>
      <w:r w:rsidR="00194A51">
        <w:t xml:space="preserve">either </w:t>
      </w:r>
      <w:r w:rsidR="000329C2">
        <w:t>as a golden age or as equally corrupt to the present when he wrote that, ‘</w:t>
      </w:r>
      <w:r w:rsidR="007C5136">
        <w:rPr>
          <w:i/>
        </w:rPr>
        <w:t>The Waste Land</w:t>
      </w:r>
      <w:r w:rsidR="007C5136">
        <w:t xml:space="preserve"> can be read as holding both beliefs simultaneously.’</w:t>
      </w:r>
      <w:r w:rsidR="002C648B">
        <w:rPr>
          <w:rStyle w:val="FootnoteReference"/>
        </w:rPr>
        <w:footnoteReference w:id="6"/>
      </w:r>
      <w:r w:rsidR="007C5136">
        <w:t xml:space="preserve"> </w:t>
      </w:r>
      <w:r w:rsidR="004D26B3">
        <w:t>As stated elsewhere in this presentation, Eliot described the use of myth and tradition in the contemporary writer as informing not only the interpretation of the newer work but offering a fresh interpretation of the ‘</w:t>
      </w:r>
      <w:r w:rsidR="001A7F7E">
        <w:t>ancestors’ of the poet. However</w:t>
      </w:r>
      <w:r w:rsidR="004D26B3">
        <w:t xml:space="preserve">, as </w:t>
      </w:r>
      <w:r w:rsidR="001A7F7E">
        <w:t xml:space="preserve">Pericles </w:t>
      </w:r>
      <w:r w:rsidR="004D26B3">
        <w:t>Lewis points out, the use of myth in Modernist writing, was ‘ironic and multifarious’ and, in recognition of the danger of creating a too-demarcated line in literary movements that, in this complex use of myth ‘the seeds of postmodernism are present in the hi</w:t>
      </w:r>
      <w:r w:rsidR="002C648B">
        <w:t>ghest of high modernist works.’</w:t>
      </w:r>
      <w:r w:rsidR="002C648B">
        <w:rPr>
          <w:rStyle w:val="FootnoteReference"/>
        </w:rPr>
        <w:footnoteReference w:id="7"/>
      </w:r>
    </w:p>
    <w:p w:rsidR="008905EC" w:rsidRDefault="008905EC" w:rsidP="00570F96">
      <w:pPr>
        <w:spacing w:line="480" w:lineRule="auto"/>
      </w:pPr>
    </w:p>
    <w:p w:rsidR="00B3269B" w:rsidRDefault="008905EC" w:rsidP="00570F96">
      <w:pPr>
        <w:spacing w:line="480" w:lineRule="auto"/>
      </w:pPr>
      <w:r>
        <w:t xml:space="preserve">However, </w:t>
      </w:r>
      <w:r w:rsidR="0025306E">
        <w:t xml:space="preserve">James </w:t>
      </w:r>
      <w:proofErr w:type="spellStart"/>
      <w:r w:rsidR="0025306E">
        <w:t>Longenbach</w:t>
      </w:r>
      <w:proofErr w:type="spellEnd"/>
      <w:r w:rsidR="0025306E">
        <w:t xml:space="preserve"> argues that the cacophonous voices within </w:t>
      </w:r>
      <w:r w:rsidR="0025306E">
        <w:rPr>
          <w:i/>
        </w:rPr>
        <w:t xml:space="preserve">The Waste Land </w:t>
      </w:r>
      <w:r w:rsidR="0025306E" w:rsidRPr="00B4053E">
        <w:t>should be understood as an attempt to ‘unify the world through the unifications of individuals,</w:t>
      </w:r>
      <w:r w:rsidR="00B4053E">
        <w:t>’</w:t>
      </w:r>
      <w:r w:rsidR="002C648B">
        <w:rPr>
          <w:rStyle w:val="FootnoteReference"/>
        </w:rPr>
        <w:footnoteReference w:id="8"/>
      </w:r>
      <w:r w:rsidR="00B4053E">
        <w:t xml:space="preserve"> </w:t>
      </w:r>
      <w:r w:rsidR="00194A51">
        <w:t xml:space="preserve">an attempt which </w:t>
      </w:r>
      <w:r w:rsidR="0025306E">
        <w:t xml:space="preserve">has been described as the poem’s </w:t>
      </w:r>
      <w:r w:rsidR="00194A51">
        <w:t>c</w:t>
      </w:r>
      <w:r w:rsidR="0025306E">
        <w:t>entripetal, as opposed to</w:t>
      </w:r>
      <w:r w:rsidR="00570F96">
        <w:t xml:space="preserve"> </w:t>
      </w:r>
      <w:r w:rsidR="0025306E">
        <w:lastRenderedPageBreak/>
        <w:t>centrifugal, force.</w:t>
      </w:r>
      <w:r w:rsidR="002C648B">
        <w:rPr>
          <w:rStyle w:val="FootnoteReference"/>
        </w:rPr>
        <w:footnoteReference w:id="9"/>
      </w:r>
      <w:r w:rsidR="0025306E">
        <w:t xml:space="preserve"> </w:t>
      </w:r>
      <w:r w:rsidR="003A39C5">
        <w:t>However</w:t>
      </w:r>
      <w:commentRangeStart w:id="13"/>
      <w:r w:rsidR="003A39C5">
        <w:t>, in drawing the various voices together, the cacophonous structure and instability of the narrative voice suggests an inherent conflict.</w:t>
      </w:r>
      <w:commentRangeEnd w:id="13"/>
      <w:r w:rsidR="009F42A7">
        <w:rPr>
          <w:rStyle w:val="CommentReference"/>
        </w:rPr>
        <w:commentReference w:id="13"/>
      </w:r>
      <w:r w:rsidR="003A39C5">
        <w:t xml:space="preserve"> </w:t>
      </w:r>
    </w:p>
    <w:p w:rsidR="00B3269B" w:rsidRDefault="00B3269B" w:rsidP="00570F96">
      <w:pPr>
        <w:spacing w:line="480" w:lineRule="auto"/>
      </w:pPr>
    </w:p>
    <w:p w:rsidR="003A39C5" w:rsidRPr="000A7AC6" w:rsidRDefault="003A39C5" w:rsidP="00570F96">
      <w:pPr>
        <w:spacing w:line="480" w:lineRule="auto"/>
      </w:pPr>
      <w:r>
        <w:t xml:space="preserve">For example, the ‘The Burial of the Dead’ </w:t>
      </w:r>
      <w:r w:rsidR="00B3269B">
        <w:t xml:space="preserve">opens with a </w:t>
      </w:r>
      <w:r w:rsidR="001A7F7E">
        <w:t>non-</w:t>
      </w:r>
      <w:r>
        <w:t>gend</w:t>
      </w:r>
      <w:r w:rsidR="00B3269B">
        <w:t>e</w:t>
      </w:r>
      <w:r>
        <w:t>red voice expressing anxiety about what Harriet Davidson describes as ‘a desire for stasis and anxiety about the change, growth, and sexuality symbolized by April and the spring rain</w:t>
      </w:r>
      <w:r w:rsidR="000A7AC6">
        <w:t>,’</w:t>
      </w:r>
      <w:r w:rsidR="003F2FA4">
        <w:rPr>
          <w:rStyle w:val="FootnoteReference"/>
        </w:rPr>
        <w:footnoteReference w:id="10"/>
      </w:r>
      <w:r w:rsidR="000A7AC6">
        <w:t xml:space="preserve"> before shifting tone and rhythms into a more conversational first-person who could be</w:t>
      </w:r>
      <w:r w:rsidR="001A7F7E">
        <w:t xml:space="preserve"> the</w:t>
      </w:r>
      <w:r w:rsidR="000A7AC6">
        <w:t xml:space="preserve"> gendered voice of Marie from line thirteen. Line eighteen brings an abrupt end with a sense of loneliness and isolation, ‘I read much of the night and go south in the winter,’</w:t>
      </w:r>
      <w:r w:rsidR="003F2FA4">
        <w:rPr>
          <w:rStyle w:val="FootnoteReference"/>
        </w:rPr>
        <w:footnoteReference w:id="11"/>
      </w:r>
      <w:r w:rsidR="000A7AC6">
        <w:t xml:space="preserve"> before moving to various other voices every few lines: the disturbing ‘red rocks’ passage</w:t>
      </w:r>
      <w:r w:rsidR="00B3269B">
        <w:t xml:space="preserve">, bringing to mind biblical references of deserted and rocky places, and tying this passage to the opening section which also uses imager from the bible – this time in reference to dead or dying vegetation. This is abruptly </w:t>
      </w:r>
      <w:r w:rsidR="000A7AC6">
        <w:t xml:space="preserve">interrupted by a passage from </w:t>
      </w:r>
      <w:r w:rsidR="000A7AC6">
        <w:rPr>
          <w:i/>
        </w:rPr>
        <w:t>Tristan und Isolde</w:t>
      </w:r>
      <w:r w:rsidR="00B3269B">
        <w:t xml:space="preserve"> – which Lewis notes introduces the theme of misdirected or frustrated sexuality</w:t>
      </w:r>
      <w:r w:rsidR="000A7AC6">
        <w:t xml:space="preserve">; the mildly comic account of Madam Sosostris, the clairvoyant, and </w:t>
      </w:r>
      <w:r w:rsidR="001A7F7E">
        <w:t xml:space="preserve">a </w:t>
      </w:r>
      <w:r w:rsidR="000A7AC6">
        <w:t xml:space="preserve">‘symbolic, static vision of </w:t>
      </w:r>
      <w:r w:rsidR="003F2FA4">
        <w:t>London as a suffocating hell.’</w:t>
      </w:r>
      <w:r w:rsidR="003F2FA4" w:rsidRPr="003F2FA4">
        <w:rPr>
          <w:rStyle w:val="FootnoteReference"/>
        </w:rPr>
        <w:t xml:space="preserve"> </w:t>
      </w:r>
      <w:commentRangeStart w:id="14"/>
      <w:r w:rsidR="003F2FA4">
        <w:rPr>
          <w:rStyle w:val="FootnoteReference"/>
        </w:rPr>
        <w:footnoteReference w:id="12"/>
      </w:r>
      <w:commentRangeEnd w:id="14"/>
      <w:r w:rsidR="00FE4D6E">
        <w:rPr>
          <w:rStyle w:val="CommentReference"/>
        </w:rPr>
        <w:commentReference w:id="14"/>
      </w:r>
    </w:p>
    <w:p w:rsidR="003A39C5" w:rsidRDefault="003A39C5" w:rsidP="00570F96">
      <w:pPr>
        <w:spacing w:line="480" w:lineRule="auto"/>
      </w:pPr>
    </w:p>
    <w:p w:rsidR="003A5FCC" w:rsidRDefault="00B4053E" w:rsidP="00570F96">
      <w:pPr>
        <w:spacing w:line="480" w:lineRule="auto"/>
      </w:pPr>
      <w:r>
        <w:t>Eliot’</w:t>
      </w:r>
      <w:r w:rsidR="00FD3921">
        <w:t xml:space="preserve">s own note on the introduction of Tiresias in ‘The Fire Sermon’ describes him as </w:t>
      </w:r>
      <w:r w:rsidR="007C5136">
        <w:t>bringing</w:t>
      </w:r>
      <w:r w:rsidR="00FD3921">
        <w:t xml:space="preserve"> together the various character</w:t>
      </w:r>
      <w:r w:rsidR="00194A51">
        <w:t>s and that even</w:t>
      </w:r>
      <w:r w:rsidR="00FD3921">
        <w:t xml:space="preserve"> ‘the two sexes meet’</w:t>
      </w:r>
      <w:r w:rsidR="003F2FA4">
        <w:rPr>
          <w:rStyle w:val="FootnoteReference"/>
        </w:rPr>
        <w:footnoteReference w:id="13"/>
      </w:r>
      <w:r w:rsidR="00FD3921">
        <w:t xml:space="preserve">  in the ’Old </w:t>
      </w:r>
      <w:r w:rsidR="00FD3921">
        <w:lastRenderedPageBreak/>
        <w:t>man with wrinkled breasts’.</w:t>
      </w:r>
      <w:r w:rsidR="003F2FA4">
        <w:rPr>
          <w:rStyle w:val="FootnoteReference"/>
        </w:rPr>
        <w:footnoteReference w:id="14"/>
      </w:r>
      <w:r w:rsidR="00FD3921" w:rsidRPr="00FD3921">
        <w:t xml:space="preserve"> </w:t>
      </w:r>
      <w:r w:rsidR="00FD3921">
        <w:t>He emphasise that Tir</w:t>
      </w:r>
      <w:r w:rsidR="001A7F7E">
        <w:t>esia</w:t>
      </w:r>
      <w:r w:rsidR="00FD3921">
        <w:t>s is ‘the most important person in the</w:t>
      </w:r>
      <w:r w:rsidR="003F2FA4">
        <w:t xml:space="preserve"> poem, unifying all the rest.’</w:t>
      </w:r>
      <w:r w:rsidR="003F2FA4">
        <w:rPr>
          <w:rStyle w:val="FootnoteReference"/>
        </w:rPr>
        <w:footnoteReference w:id="15"/>
      </w:r>
      <w:r w:rsidR="003F2FA4">
        <w:t xml:space="preserve"> </w:t>
      </w:r>
      <w:proofErr w:type="spellStart"/>
      <w:r w:rsidR="003A5FCC">
        <w:t>Longenbach</w:t>
      </w:r>
      <w:proofErr w:type="spellEnd"/>
      <w:r w:rsidR="003A5FCC">
        <w:t xml:space="preserve"> identifies this as an </w:t>
      </w:r>
      <w:r w:rsidR="008F029D">
        <w:t xml:space="preserve">example of what Eliot describes in his essay </w:t>
      </w:r>
      <w:r w:rsidR="008F029D" w:rsidRPr="00FE4D6E">
        <w:rPr>
          <w:i/>
          <w:u w:val="single"/>
        </w:rPr>
        <w:t>The Metaphysical Poets</w:t>
      </w:r>
      <w:r w:rsidR="008F029D">
        <w:rPr>
          <w:i/>
        </w:rPr>
        <w:t xml:space="preserve"> </w:t>
      </w:r>
      <w:r w:rsidR="00486AAE">
        <w:t xml:space="preserve">an </w:t>
      </w:r>
      <w:r w:rsidR="003A5FCC">
        <w:t>attempt to ‘form new wholes’ throughout the poem, bringing a unifying reading to the cacophonous structure and fractured voices.</w:t>
      </w:r>
      <w:r w:rsidR="003F2FA4">
        <w:rPr>
          <w:rStyle w:val="FootnoteReference"/>
        </w:rPr>
        <w:footnoteReference w:id="16"/>
      </w:r>
      <w:r w:rsidR="003A5FCC">
        <w:t xml:space="preserve"> </w:t>
      </w:r>
    </w:p>
    <w:p w:rsidR="003A5FCC" w:rsidRDefault="003A5FCC" w:rsidP="00570F96">
      <w:pPr>
        <w:spacing w:line="480" w:lineRule="auto"/>
      </w:pPr>
    </w:p>
    <w:p w:rsidR="000E4BD2" w:rsidRDefault="003A5FCC" w:rsidP="00570F96">
      <w:pPr>
        <w:spacing w:line="480" w:lineRule="auto"/>
      </w:pPr>
      <w:r>
        <w:t>However, Tiresias is, in Eliot’s own description, merely a spectator and not a participant in the poem and ultimately doesn’t provide any structural or poetic unity. The voices remain alienated and fractured, breaking in on each other and disrupting any cohesive narrative flow. For example,</w:t>
      </w:r>
      <w:r w:rsidR="001A7F7E">
        <w:t xml:space="preserve"> as stated</w:t>
      </w:r>
      <w:r>
        <w:t xml:space="preserve"> ‘The Burial of the Dead’</w:t>
      </w:r>
      <w:r w:rsidR="001A7F7E">
        <w:t xml:space="preserve"> </w:t>
      </w:r>
      <w:r w:rsidR="007C5136">
        <w:t>provides a multiplicity of voices switching between times, locations, genders and even languages. It moves between colloquial voices</w:t>
      </w:r>
      <w:r w:rsidR="001D3A7D">
        <w:t xml:space="preserve"> such as</w:t>
      </w:r>
      <w:r w:rsidR="007C5136">
        <w:t xml:space="preserve"> the ‘</w:t>
      </w:r>
      <w:proofErr w:type="spellStart"/>
      <w:r w:rsidR="007C5136">
        <w:t>clairvoyante</w:t>
      </w:r>
      <w:proofErr w:type="spellEnd"/>
      <w:r w:rsidR="007C5136">
        <w:t>’</w:t>
      </w:r>
      <w:r w:rsidR="001D3A7D">
        <w:t xml:space="preserve"> and</w:t>
      </w:r>
      <w:r w:rsidR="007C5136">
        <w:t xml:space="preserve"> the weary </w:t>
      </w:r>
      <w:r w:rsidR="001D3A7D">
        <w:t xml:space="preserve">narrator of contemporary London, </w:t>
      </w:r>
      <w:r w:rsidR="007C5136">
        <w:t xml:space="preserve">impressions from aristocratic Europe, and literary quotations including Wagner and Baudelaire – with </w:t>
      </w:r>
      <w:commentRangeStart w:id="15"/>
      <w:r w:rsidR="007C5136">
        <w:t>no narrative attempt to assist the reader in find</w:t>
      </w:r>
      <w:r w:rsidR="001D3A7D">
        <w:t>ing unity</w:t>
      </w:r>
      <w:commentRangeEnd w:id="15"/>
      <w:r w:rsidR="00FE4D6E">
        <w:rPr>
          <w:rStyle w:val="CommentReference"/>
        </w:rPr>
        <w:commentReference w:id="15"/>
      </w:r>
      <w:r w:rsidR="001D3A7D">
        <w:t xml:space="preserve">. </w:t>
      </w:r>
    </w:p>
    <w:p w:rsidR="000E4BD2" w:rsidRDefault="000E4BD2" w:rsidP="00570F96">
      <w:pPr>
        <w:spacing w:line="480" w:lineRule="auto"/>
      </w:pPr>
    </w:p>
    <w:p w:rsidR="003A5FCC" w:rsidRDefault="001D3A7D" w:rsidP="00570F96">
      <w:pPr>
        <w:spacing w:line="480" w:lineRule="auto"/>
      </w:pPr>
      <w:r>
        <w:t xml:space="preserve">By allowing the fragmentation to stand in place of the traditional structure found in the poetry of Modernism’s most recent poetic forebears, Eliot places the demotic alongside the mythic and the literary tradition and, it could be argued, refuses to facilitate meta-textual hermeneutics, </w:t>
      </w:r>
      <w:r w:rsidR="00491E76">
        <w:t xml:space="preserve">leaving only fractured interpretations </w:t>
      </w:r>
      <w:r>
        <w:t xml:space="preserve">reflecting the </w:t>
      </w:r>
      <w:r w:rsidR="00491E76">
        <w:t xml:space="preserve">discordant </w:t>
      </w:r>
      <w:commentRangeStart w:id="16"/>
      <w:r>
        <w:t>structure</w:t>
      </w:r>
      <w:commentRangeEnd w:id="16"/>
      <w:r w:rsidR="00FE4D6E">
        <w:rPr>
          <w:rStyle w:val="CommentReference"/>
        </w:rPr>
        <w:commentReference w:id="16"/>
      </w:r>
      <w:r>
        <w:t>.</w:t>
      </w:r>
      <w:r w:rsidR="000E4BD2">
        <w:t xml:space="preserve"> It also reinforces the reflective nature of Modernist poetry – especially in the Anglo-American </w:t>
      </w:r>
      <w:commentRangeStart w:id="17"/>
      <w:r w:rsidR="000E4BD2">
        <w:t>tradition</w:t>
      </w:r>
      <w:commentRangeEnd w:id="17"/>
      <w:r w:rsidR="00FE4D6E">
        <w:rPr>
          <w:rStyle w:val="CommentReference"/>
        </w:rPr>
        <w:commentReference w:id="17"/>
      </w:r>
      <w:r w:rsidR="000E4BD2">
        <w:t xml:space="preserve"> – where the nature of the relationship of literature across time </w:t>
      </w:r>
      <w:r w:rsidR="008F029D">
        <w:t>and the meeting of tradition, with an</w:t>
      </w:r>
      <w:r w:rsidR="000E4BD2">
        <w:t xml:space="preserve"> ironic contrast to those traditions provide a link between the interpretation of the older works and how both they and the mo</w:t>
      </w:r>
      <w:r w:rsidR="008F029D">
        <w:t xml:space="preserve">dern work of art are </w:t>
      </w:r>
      <w:r w:rsidR="000E4BD2">
        <w:t xml:space="preserve">now </w:t>
      </w:r>
      <w:r w:rsidR="000E4BD2">
        <w:lastRenderedPageBreak/>
        <w:t>perceived. As Stravinsky wrote, ‘A tradition is carried forward to provide something new. Tradition then asserts the continuity of creation’</w:t>
      </w:r>
      <w:r w:rsidR="003F2FA4">
        <w:rPr>
          <w:rStyle w:val="FootnoteReference"/>
        </w:rPr>
        <w:footnoteReference w:id="17"/>
      </w:r>
      <w:r w:rsidR="000E4BD2">
        <w:t xml:space="preserve"> </w:t>
      </w:r>
    </w:p>
    <w:p w:rsidR="001D3A7D" w:rsidRDefault="001D3A7D" w:rsidP="00570F96">
      <w:pPr>
        <w:spacing w:line="480" w:lineRule="auto"/>
      </w:pPr>
    </w:p>
    <w:p w:rsidR="00491E76" w:rsidRDefault="00491E76" w:rsidP="00570F96">
      <w:pPr>
        <w:spacing w:line="480" w:lineRule="auto"/>
      </w:pPr>
      <w:r>
        <w:t xml:space="preserve">Much criticism </w:t>
      </w:r>
      <w:r w:rsidR="000E4BD2">
        <w:t xml:space="preserve">written </w:t>
      </w:r>
      <w:r>
        <w:t xml:space="preserve">close to the publication of </w:t>
      </w:r>
      <w:r>
        <w:rPr>
          <w:i/>
        </w:rPr>
        <w:t>The Waste Land</w:t>
      </w:r>
      <w:r>
        <w:t xml:space="preserve"> focussed on the number of literary allusions </w:t>
      </w:r>
      <w:r w:rsidR="00347A15">
        <w:t>within</w:t>
      </w:r>
      <w:r>
        <w:t xml:space="preserve"> the poem</w:t>
      </w:r>
      <w:r w:rsidR="000E4BD2">
        <w:t>, many times with an emphasis on the interpretive difficulties</w:t>
      </w:r>
      <w:r>
        <w:t>. Pericles Lewis calculates an allusion every two lines and Eliot’s own notes, which were not originally published with the poem, provide apparent illumination to some of these</w:t>
      </w:r>
      <w:r w:rsidR="003A39C5">
        <w:t xml:space="preserve"> although there is some suggestion of ironic or humorous intent on Eliot’s part in the publication of the notes</w:t>
      </w:r>
      <w:r>
        <w:t>.</w:t>
      </w:r>
      <w:r w:rsidR="003F2FA4">
        <w:rPr>
          <w:rStyle w:val="FootnoteReference"/>
        </w:rPr>
        <w:footnoteReference w:id="18"/>
      </w:r>
      <w:r w:rsidR="003F2FA4">
        <w:t xml:space="preserve"> </w:t>
      </w:r>
      <w:r>
        <w:t xml:space="preserve">The use of these allusions conforms to Eliot’s own insistence in </w:t>
      </w:r>
      <w:r w:rsidRPr="00006C0D">
        <w:rPr>
          <w:i/>
          <w:u w:val="single"/>
        </w:rPr>
        <w:t>Tradition and the Individual Talent</w:t>
      </w:r>
      <w:r>
        <w:t xml:space="preserve"> that the modern poet needs to enter into a dialogue with tradition, thus simultaneously providing </w:t>
      </w:r>
      <w:r w:rsidR="000E4BD2">
        <w:t>perspective</w:t>
      </w:r>
      <w:r>
        <w:t xml:space="preserve"> from which to understand the new poem and forcing the reader to ‘understand all </w:t>
      </w:r>
      <w:r w:rsidR="000E4BD2">
        <w:t>earlier</w:t>
      </w:r>
      <w:r>
        <w:t xml:space="preserve"> poetry of the same tradition in a new light’</w:t>
      </w:r>
      <w:r w:rsidR="00570F96">
        <w:rPr>
          <w:rStyle w:val="FootnoteReference"/>
        </w:rPr>
        <w:footnoteReference w:id="19"/>
      </w:r>
    </w:p>
    <w:p w:rsidR="00491E76" w:rsidRDefault="00491E76"/>
    <w:p w:rsidR="0049242C" w:rsidRDefault="0049242C"/>
    <w:p w:rsidR="00486AAE" w:rsidRDefault="00486AAE"/>
    <w:p w:rsidR="000E4BD2" w:rsidRDefault="000E4BD2"/>
    <w:p w:rsidR="00491E76" w:rsidRPr="00491E76" w:rsidRDefault="00491E76"/>
    <w:p w:rsidR="00570F96" w:rsidRDefault="00570F96">
      <w:r>
        <w:br w:type="page"/>
      </w:r>
    </w:p>
    <w:p w:rsidR="003A5FCC" w:rsidRDefault="003A5FCC"/>
    <w:p w:rsidR="008D17BC" w:rsidRDefault="00A67955">
      <w:pPr>
        <w:rPr>
          <w:b/>
        </w:rPr>
      </w:pPr>
      <w:r>
        <w:rPr>
          <w:b/>
        </w:rPr>
        <w:t>Bibliography</w:t>
      </w:r>
    </w:p>
    <w:p w:rsidR="00A67955" w:rsidRDefault="00A67955">
      <w:pPr>
        <w:rPr>
          <w:b/>
        </w:rPr>
      </w:pPr>
    </w:p>
    <w:p w:rsidR="00A67955" w:rsidRDefault="00A67955" w:rsidP="005001A1">
      <w:pPr>
        <w:ind w:left="567" w:hanging="567"/>
      </w:pPr>
      <w:r w:rsidRPr="00A67955">
        <w:t xml:space="preserve">Butler, Christopher, </w:t>
      </w:r>
      <w:proofErr w:type="gramStart"/>
      <w:r w:rsidRPr="00A67955">
        <w:rPr>
          <w:i/>
          <w:iCs/>
        </w:rPr>
        <w:t>Modernism :</w:t>
      </w:r>
      <w:proofErr w:type="gramEnd"/>
      <w:r w:rsidRPr="00A67955">
        <w:rPr>
          <w:i/>
          <w:iCs/>
        </w:rPr>
        <w:t xml:space="preserve"> A very Short Introduction</w:t>
      </w:r>
      <w:r w:rsidRPr="00A67955">
        <w:t xml:space="preserve"> (Oxford; New York: Oxford University Press, 2010) </w:t>
      </w:r>
    </w:p>
    <w:p w:rsidR="005001A1" w:rsidRPr="00A67955" w:rsidRDefault="005001A1" w:rsidP="005001A1">
      <w:pPr>
        <w:ind w:left="567" w:hanging="567"/>
      </w:pPr>
    </w:p>
    <w:p w:rsidR="00A67955" w:rsidRPr="00A67955" w:rsidRDefault="00A67955" w:rsidP="00A67955">
      <w:r w:rsidRPr="00A67955">
        <w:t xml:space="preserve">Eagleton, Terry, </w:t>
      </w:r>
      <w:r w:rsidRPr="00A67955">
        <w:rPr>
          <w:i/>
          <w:iCs/>
        </w:rPr>
        <w:t>After Theory</w:t>
      </w:r>
      <w:r w:rsidRPr="00A67955">
        <w:t xml:space="preserve"> (London: </w:t>
      </w:r>
      <w:proofErr w:type="gramStart"/>
      <w:r w:rsidRPr="00A67955">
        <w:t>London :</w:t>
      </w:r>
      <w:proofErr w:type="gramEnd"/>
      <w:r w:rsidRPr="00A67955">
        <w:t xml:space="preserve"> Penguin, 2004) </w:t>
      </w:r>
    </w:p>
    <w:p w:rsidR="005001A1" w:rsidRDefault="005001A1" w:rsidP="00A67955"/>
    <w:p w:rsidR="00A67955" w:rsidRPr="00A67955" w:rsidRDefault="00A67955" w:rsidP="00A67955">
      <w:r w:rsidRPr="00A67955">
        <w:t xml:space="preserve">Eliot, T. S., 'Tradition and the Individual Talent', </w:t>
      </w:r>
      <w:proofErr w:type="spellStart"/>
      <w:r w:rsidRPr="00A67955">
        <w:rPr>
          <w:i/>
          <w:iCs/>
        </w:rPr>
        <w:t>Perspecta</w:t>
      </w:r>
      <w:proofErr w:type="spellEnd"/>
      <w:r w:rsidRPr="00A67955">
        <w:rPr>
          <w:i/>
          <w:iCs/>
        </w:rPr>
        <w:t xml:space="preserve">, </w:t>
      </w:r>
      <w:r w:rsidRPr="00A67955">
        <w:t xml:space="preserve">19 (1982), 36-42 </w:t>
      </w:r>
    </w:p>
    <w:p w:rsidR="005001A1" w:rsidRDefault="005001A1" w:rsidP="00A67955"/>
    <w:p w:rsidR="00A67955" w:rsidRPr="00A67955" w:rsidRDefault="00A67955" w:rsidP="00A67955">
      <w:r w:rsidRPr="00A67955">
        <w:t xml:space="preserve">Eliot, T. S., </w:t>
      </w:r>
      <w:r w:rsidRPr="00A67955">
        <w:rPr>
          <w:i/>
          <w:iCs/>
        </w:rPr>
        <w:t>Collected Poems, 1909-1962</w:t>
      </w:r>
      <w:r w:rsidRPr="00A67955">
        <w:t xml:space="preserve"> (London: Faber and Faber, 1974) </w:t>
      </w:r>
    </w:p>
    <w:p w:rsidR="005001A1" w:rsidRDefault="005001A1" w:rsidP="00A67955"/>
    <w:p w:rsidR="00A67955" w:rsidRPr="00A67955" w:rsidRDefault="00A67955" w:rsidP="005001A1">
      <w:pPr>
        <w:ind w:left="567" w:hanging="567"/>
      </w:pPr>
      <w:r w:rsidRPr="00A67955">
        <w:t xml:space="preserve">Eliot, T.S., </w:t>
      </w:r>
      <w:r w:rsidRPr="00A67955">
        <w:rPr>
          <w:i/>
          <w:iCs/>
        </w:rPr>
        <w:t xml:space="preserve">The Sacred </w:t>
      </w:r>
      <w:proofErr w:type="gramStart"/>
      <w:r w:rsidRPr="00A67955">
        <w:rPr>
          <w:i/>
          <w:iCs/>
        </w:rPr>
        <w:t>Wood :</w:t>
      </w:r>
      <w:proofErr w:type="gramEnd"/>
      <w:r w:rsidRPr="00A67955">
        <w:rPr>
          <w:i/>
          <w:iCs/>
        </w:rPr>
        <w:t xml:space="preserve"> Essays on Poetry and Criticism</w:t>
      </w:r>
      <w:r w:rsidRPr="00A67955">
        <w:t xml:space="preserve">, (London: Methuen and Co, 1960) </w:t>
      </w:r>
    </w:p>
    <w:p w:rsidR="005001A1" w:rsidRDefault="005001A1" w:rsidP="00A67955"/>
    <w:p w:rsidR="00A67955" w:rsidRPr="00A67955" w:rsidRDefault="00A67955" w:rsidP="005001A1">
      <w:pPr>
        <w:ind w:left="567" w:hanging="567"/>
      </w:pPr>
      <w:proofErr w:type="spellStart"/>
      <w:r w:rsidRPr="00A67955">
        <w:t>Lamos</w:t>
      </w:r>
      <w:proofErr w:type="spellEnd"/>
      <w:r w:rsidRPr="00A67955">
        <w:t xml:space="preserve">, Colleen, </w:t>
      </w:r>
      <w:r w:rsidRPr="00A67955">
        <w:rPr>
          <w:i/>
          <w:iCs/>
        </w:rPr>
        <w:t xml:space="preserve">Deviant Modernism: Sexual and textual </w:t>
      </w:r>
      <w:proofErr w:type="spellStart"/>
      <w:r w:rsidRPr="00A67955">
        <w:rPr>
          <w:i/>
          <w:iCs/>
        </w:rPr>
        <w:t>errancy</w:t>
      </w:r>
      <w:proofErr w:type="spellEnd"/>
      <w:r w:rsidRPr="00A67955">
        <w:rPr>
          <w:i/>
          <w:iCs/>
        </w:rPr>
        <w:t xml:space="preserve"> in T. S. Eliot, James Joyce and Marcel Proust, </w:t>
      </w:r>
      <w:r w:rsidRPr="00A67955">
        <w:t>(Cambridge: Cambridge University Press, 1998)</w:t>
      </w:r>
    </w:p>
    <w:p w:rsidR="005001A1" w:rsidRDefault="005001A1" w:rsidP="00A67955"/>
    <w:p w:rsidR="00A67955" w:rsidRPr="00A67955" w:rsidRDefault="00A67955" w:rsidP="005001A1">
      <w:pPr>
        <w:ind w:left="567" w:hanging="567"/>
      </w:pPr>
      <w:proofErr w:type="spellStart"/>
      <w:r w:rsidRPr="00A67955">
        <w:t>Levenson</w:t>
      </w:r>
      <w:proofErr w:type="spellEnd"/>
      <w:r w:rsidRPr="00A67955">
        <w:t xml:space="preserve">, Michael H., </w:t>
      </w:r>
      <w:proofErr w:type="gramStart"/>
      <w:r w:rsidRPr="00A67955">
        <w:rPr>
          <w:i/>
          <w:iCs/>
        </w:rPr>
        <w:t>The</w:t>
      </w:r>
      <w:proofErr w:type="gramEnd"/>
      <w:r w:rsidRPr="00A67955">
        <w:rPr>
          <w:i/>
          <w:iCs/>
        </w:rPr>
        <w:t xml:space="preserve"> Cambridge Companion to Modernism</w:t>
      </w:r>
      <w:r w:rsidRPr="00A67955">
        <w:t xml:space="preserve"> (Cambridge: Cambridge University Press, 1999) </w:t>
      </w:r>
    </w:p>
    <w:p w:rsidR="005001A1" w:rsidRDefault="005001A1" w:rsidP="00A67955"/>
    <w:p w:rsidR="00A67955" w:rsidRPr="00A67955" w:rsidRDefault="00A67955" w:rsidP="005001A1">
      <w:pPr>
        <w:ind w:left="567" w:hanging="567"/>
      </w:pPr>
      <w:r w:rsidRPr="00A67955">
        <w:t xml:space="preserve">Lewis, Pericles, </w:t>
      </w:r>
      <w:r w:rsidRPr="00A67955">
        <w:rPr>
          <w:i/>
          <w:iCs/>
        </w:rPr>
        <w:t>The Cambridge Introduction to Modernism</w:t>
      </w:r>
      <w:r w:rsidRPr="00A67955">
        <w:t xml:space="preserve"> (Cambridge: </w:t>
      </w:r>
      <w:proofErr w:type="gramStart"/>
      <w:r w:rsidRPr="00A67955">
        <w:t>Cambridge :</w:t>
      </w:r>
      <w:proofErr w:type="gramEnd"/>
      <w:r w:rsidRPr="00A67955">
        <w:t xml:space="preserve"> Cambridge University Press, 2007) </w:t>
      </w:r>
    </w:p>
    <w:p w:rsidR="005001A1" w:rsidRDefault="005001A1" w:rsidP="00A67955"/>
    <w:p w:rsidR="00A67955" w:rsidRPr="00A67955" w:rsidRDefault="00A67955" w:rsidP="005001A1">
      <w:pPr>
        <w:ind w:left="567" w:hanging="567"/>
      </w:pPr>
      <w:r w:rsidRPr="00A67955">
        <w:t xml:space="preserve">Moody, A. D., </w:t>
      </w:r>
      <w:r w:rsidRPr="00A67955">
        <w:rPr>
          <w:i/>
          <w:iCs/>
        </w:rPr>
        <w:t>The Cambridge Companion to T.S. Eliot</w:t>
      </w:r>
      <w:r w:rsidRPr="00A67955">
        <w:t xml:space="preserve"> (Cambridge: </w:t>
      </w:r>
      <w:proofErr w:type="gramStart"/>
      <w:r w:rsidRPr="00A67955">
        <w:t>Cambridge :</w:t>
      </w:r>
      <w:proofErr w:type="gramEnd"/>
      <w:r w:rsidRPr="00A67955">
        <w:t xml:space="preserve"> Cambridge University Press, 1994)</w:t>
      </w:r>
    </w:p>
    <w:sectPr w:rsidR="00A67955" w:rsidRPr="00A67955" w:rsidSect="0098310D">
      <w:headerReference w:type="default" r:id="rId10"/>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6" w:author="Administrator" w:date="2018-05-03T09:12:00Z" w:initials="A">
    <w:p w:rsidR="007B0D00" w:rsidRDefault="007B0D00">
      <w:pPr>
        <w:pStyle w:val="CommentText"/>
      </w:pPr>
      <w:r>
        <w:rPr>
          <w:rStyle w:val="CommentReference"/>
        </w:rPr>
        <w:annotationRef/>
      </w:r>
      <w:r>
        <w:t xml:space="preserve">Essay therefore in inverted commas not italics. (Retain italics for </w:t>
      </w:r>
      <w:proofErr w:type="spellStart"/>
      <w:r>
        <w:t>stand alone</w:t>
      </w:r>
      <w:proofErr w:type="spellEnd"/>
      <w:r>
        <w:t xml:space="preserve"> book titles)</w:t>
      </w:r>
    </w:p>
  </w:comment>
  <w:comment w:id="7" w:author="Administrator" w:date="2018-05-03T09:45:00Z" w:initials="A">
    <w:p w:rsidR="007B0D00" w:rsidRDefault="007B0D00">
      <w:pPr>
        <w:pStyle w:val="CommentText"/>
      </w:pPr>
      <w:r>
        <w:rPr>
          <w:rStyle w:val="CommentReference"/>
        </w:rPr>
        <w:annotationRef/>
      </w:r>
      <w:r>
        <w:t xml:space="preserve">This is fine in </w:t>
      </w:r>
      <w:proofErr w:type="gramStart"/>
      <w:r>
        <w:t>italics .</w:t>
      </w:r>
      <w:proofErr w:type="gramEnd"/>
      <w:r>
        <w:t xml:space="preserve"> </w:t>
      </w:r>
      <w:proofErr w:type="gramStart"/>
      <w:r>
        <w:t>articles</w:t>
      </w:r>
      <w:proofErr w:type="gramEnd"/>
      <w:r>
        <w:t xml:space="preserve"> inside published collections – see footnote below</w:t>
      </w:r>
      <w:r w:rsidR="00FE4D6E">
        <w:t xml:space="preserve"> – in inverted commas</w:t>
      </w:r>
    </w:p>
  </w:comment>
  <w:comment w:id="8" w:author="Administrator" w:date="2018-05-03T09:50:00Z" w:initials="A">
    <w:p w:rsidR="007B0D00" w:rsidRDefault="007B0D00">
      <w:pPr>
        <w:pStyle w:val="CommentText"/>
      </w:pPr>
      <w:r>
        <w:rPr>
          <w:rStyle w:val="CommentReference"/>
        </w:rPr>
        <w:annotationRef/>
      </w:r>
      <w:r>
        <w:t xml:space="preserve">Hmm. Bit vague. </w:t>
      </w:r>
      <w:r w:rsidRPr="007B0D00">
        <w:rPr>
          <w:i/>
        </w:rPr>
        <w:t>Which</w:t>
      </w:r>
      <w:r>
        <w:t xml:space="preserve"> criticism? Much of the – also, of course, </w:t>
      </w:r>
      <w:r w:rsidRPr="007B0D00">
        <w:rPr>
          <w:i/>
        </w:rPr>
        <w:t>which</w:t>
      </w:r>
      <w:r>
        <w:t xml:space="preserve"> modernism? (</w:t>
      </w:r>
      <w:proofErr w:type="gramStart"/>
      <w:r>
        <w:t>not</w:t>
      </w:r>
      <w:proofErr w:type="gramEnd"/>
      <w:r>
        <w:t xml:space="preserve"> Kafka</w:t>
      </w:r>
      <w:r w:rsidR="00FE4D6E">
        <w:t xml:space="preserve"> or Gertrude Stein</w:t>
      </w:r>
      <w:r>
        <w:t xml:space="preserve"> for example)</w:t>
      </w:r>
    </w:p>
  </w:comment>
  <w:comment w:id="9" w:author="Administrator" w:date="2018-05-03T09:14:00Z" w:initials="A">
    <w:p w:rsidR="007B0D00" w:rsidRDefault="007B0D00">
      <w:pPr>
        <w:pStyle w:val="CommentText"/>
      </w:pPr>
      <w:r>
        <w:rPr>
          <w:rStyle w:val="CommentReference"/>
        </w:rPr>
        <w:annotationRef/>
      </w:r>
      <w:r>
        <w:t>Yes good</w:t>
      </w:r>
    </w:p>
  </w:comment>
  <w:comment w:id="10" w:author="Administrator" w:date="2018-05-03T09:17:00Z" w:initials="A">
    <w:p w:rsidR="007B0D00" w:rsidRDefault="007B0D00">
      <w:pPr>
        <w:pStyle w:val="CommentText"/>
      </w:pPr>
      <w:r>
        <w:rPr>
          <w:rStyle w:val="CommentReference"/>
        </w:rPr>
        <w:annotationRef/>
      </w:r>
      <w:r>
        <w:t xml:space="preserve">Driving readers to seek meaning rather than being given it </w:t>
      </w:r>
      <w:proofErr w:type="spellStart"/>
      <w:r>
        <w:t>predigested</w:t>
      </w:r>
      <w:proofErr w:type="spellEnd"/>
    </w:p>
  </w:comment>
  <w:comment w:id="11" w:author="Administrator" w:date="2018-05-03T09:18:00Z" w:initials="A">
    <w:p w:rsidR="007B0D00" w:rsidRDefault="007B0D00">
      <w:pPr>
        <w:pStyle w:val="CommentText"/>
      </w:pPr>
      <w:r>
        <w:rPr>
          <w:rStyle w:val="CommentReference"/>
        </w:rPr>
        <w:annotationRef/>
      </w:r>
      <w:r>
        <w:t>Essay not book – no italics</w:t>
      </w:r>
    </w:p>
  </w:comment>
  <w:comment w:id="12" w:author="Administrator" w:date="2018-05-03T09:27:00Z" w:initials="A">
    <w:p w:rsidR="007B0D00" w:rsidRDefault="007B0D00">
      <w:pPr>
        <w:pStyle w:val="CommentText"/>
      </w:pPr>
      <w:r>
        <w:rPr>
          <w:rStyle w:val="CommentReference"/>
        </w:rPr>
        <w:annotationRef/>
      </w:r>
      <w:r>
        <w:t>Are these his words?</w:t>
      </w:r>
    </w:p>
  </w:comment>
  <w:comment w:id="13" w:author="Administrator" w:date="2018-05-03T09:40:00Z" w:initials="A">
    <w:p w:rsidR="009F42A7" w:rsidRDefault="009F42A7">
      <w:pPr>
        <w:pStyle w:val="CommentText"/>
      </w:pPr>
      <w:r>
        <w:rPr>
          <w:rStyle w:val="CommentReference"/>
        </w:rPr>
        <w:annotationRef/>
      </w:r>
      <w:r>
        <w:t xml:space="preserve">This doesn’t necessarily negate the idea of unification through </w:t>
      </w:r>
      <w:r w:rsidRPr="009F42A7">
        <w:t>centripetal</w:t>
      </w:r>
      <w:r>
        <w:t xml:space="preserve"> rather than centrifugal force. They could all be travelling in a curve around a point (rather than converging on it) and unified in disunity.</w:t>
      </w:r>
    </w:p>
  </w:comment>
  <w:comment w:id="14" w:author="Administrator" w:date="2018-05-03T09:44:00Z" w:initials="A">
    <w:p w:rsidR="00FE4D6E" w:rsidRDefault="00FE4D6E">
      <w:pPr>
        <w:pStyle w:val="CommentText"/>
      </w:pPr>
      <w:r>
        <w:rPr>
          <w:rStyle w:val="CommentReference"/>
        </w:rPr>
        <w:annotationRef/>
      </w:r>
      <w:r>
        <w:t xml:space="preserve">Nevertheless the voices are all (except perhaps the lost moments of </w:t>
      </w:r>
      <w:proofErr w:type="spellStart"/>
      <w:r>
        <w:t>prewar</w:t>
      </w:r>
      <w:proofErr w:type="spellEnd"/>
      <w:r>
        <w:t xml:space="preserve"> leisure) characterised by a desire for understanding – even Mme Sosostris who caters to a desperate desire to understand the future</w:t>
      </w:r>
    </w:p>
  </w:comment>
  <w:comment w:id="15" w:author="Administrator" w:date="2018-05-03T09:49:00Z" w:initials="A">
    <w:p w:rsidR="00FE4D6E" w:rsidRDefault="00FE4D6E">
      <w:pPr>
        <w:pStyle w:val="CommentText"/>
      </w:pPr>
      <w:r>
        <w:rPr>
          <w:rStyle w:val="CommentReference"/>
        </w:rPr>
        <w:annotationRef/>
      </w:r>
      <w:r>
        <w:t>But this isn’t really the role of the modernist writer</w:t>
      </w:r>
    </w:p>
  </w:comment>
  <w:comment w:id="16" w:author="Administrator" w:date="2018-05-03T09:51:00Z" w:initials="A">
    <w:p w:rsidR="00FE4D6E" w:rsidRDefault="00FE4D6E">
      <w:pPr>
        <w:pStyle w:val="CommentText"/>
      </w:pPr>
      <w:r>
        <w:rPr>
          <w:rStyle w:val="CommentReference"/>
        </w:rPr>
        <w:annotationRef/>
      </w:r>
      <w:r w:rsidR="00006C0D">
        <w:t>O</w:t>
      </w:r>
      <w:r>
        <w:t>k</w:t>
      </w:r>
      <w:r w:rsidR="00006C0D">
        <w:t xml:space="preserve"> – relation to ‘tradition’?</w:t>
      </w:r>
    </w:p>
  </w:comment>
  <w:comment w:id="17" w:author="Administrator" w:date="2018-05-03T09:49:00Z" w:initials="A">
    <w:p w:rsidR="00FE4D6E" w:rsidRDefault="00FE4D6E">
      <w:pPr>
        <w:pStyle w:val="CommentText"/>
      </w:pPr>
      <w:r>
        <w:rPr>
          <w:rStyle w:val="CommentReference"/>
        </w:rPr>
        <w:annotationRef/>
      </w:r>
      <w:proofErr w:type="gramStart"/>
      <w:r>
        <w:t>good</w:t>
      </w:r>
      <w:proofErr w:type="gramEnd"/>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0B65" w:rsidRDefault="00750B65" w:rsidP="002C648B">
      <w:r>
        <w:separator/>
      </w:r>
    </w:p>
  </w:endnote>
  <w:endnote w:type="continuationSeparator" w:id="0">
    <w:p w:rsidR="00750B65" w:rsidRDefault="00750B65" w:rsidP="002C6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altName w:val="Times New Roman"/>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20002A87" w:usb1="00000000" w:usb2="00000000" w:usb3="00000000" w:csb0="000001FF" w:csb1="00000000"/>
  </w:font>
  <w:font w:name="Trebuchet MS">
    <w:panose1 w:val="020B0603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0B65" w:rsidRDefault="00750B65" w:rsidP="002C648B">
      <w:r>
        <w:separator/>
      </w:r>
    </w:p>
  </w:footnote>
  <w:footnote w:type="continuationSeparator" w:id="0">
    <w:p w:rsidR="00750B65" w:rsidRDefault="00750B65" w:rsidP="002C648B">
      <w:r>
        <w:continuationSeparator/>
      </w:r>
    </w:p>
  </w:footnote>
  <w:footnote w:id="1">
    <w:p w:rsidR="00570F96" w:rsidRDefault="00570F96">
      <w:pPr>
        <w:pStyle w:val="FootnoteText"/>
      </w:pPr>
      <w:r>
        <w:rPr>
          <w:rStyle w:val="FootnoteReference"/>
        </w:rPr>
        <w:footnoteRef/>
      </w:r>
      <w:r>
        <w:t xml:space="preserve"> </w:t>
      </w:r>
      <w:r>
        <w:rPr>
          <w:rFonts w:ascii="Verdana" w:hAnsi="Verdana" w:cs="Verdana"/>
          <w:sz w:val="18"/>
          <w:szCs w:val="18"/>
        </w:rPr>
        <w:t xml:space="preserve">Eliot, T. S., 'Tradition and the Individual Talent', </w:t>
      </w:r>
      <w:proofErr w:type="spellStart"/>
      <w:r>
        <w:rPr>
          <w:rFonts w:ascii="Verdana" w:hAnsi="Verdana" w:cs="Verdana"/>
          <w:i/>
          <w:iCs/>
          <w:sz w:val="18"/>
          <w:szCs w:val="18"/>
        </w:rPr>
        <w:t>Perspecta</w:t>
      </w:r>
      <w:proofErr w:type="spellEnd"/>
      <w:r>
        <w:rPr>
          <w:rFonts w:ascii="Verdana" w:hAnsi="Verdana" w:cs="Verdana"/>
          <w:i/>
          <w:iCs/>
          <w:sz w:val="18"/>
          <w:szCs w:val="18"/>
        </w:rPr>
        <w:t xml:space="preserve">, </w:t>
      </w:r>
      <w:r>
        <w:rPr>
          <w:rFonts w:ascii="Verdana" w:hAnsi="Verdana" w:cs="Verdana"/>
          <w:sz w:val="18"/>
          <w:szCs w:val="18"/>
        </w:rPr>
        <w:t>19 (1982), 36-42</w:t>
      </w:r>
    </w:p>
  </w:footnote>
  <w:footnote w:id="2">
    <w:p w:rsidR="002C648B" w:rsidRPr="002C648B" w:rsidRDefault="002C648B" w:rsidP="002C648B">
      <w:pPr>
        <w:autoSpaceDE w:val="0"/>
        <w:autoSpaceDN w:val="0"/>
        <w:adjustRightInd w:val="0"/>
        <w:spacing w:before="100" w:after="100"/>
        <w:ind w:left="448" w:right="-720" w:hanging="448"/>
        <w:rPr>
          <w:rFonts w:ascii="Verdana" w:hAnsi="Verdana" w:cs="Verdana"/>
          <w:sz w:val="18"/>
          <w:szCs w:val="18"/>
        </w:rPr>
      </w:pPr>
      <w:r>
        <w:rPr>
          <w:rStyle w:val="FootnoteReference"/>
        </w:rPr>
        <w:footnoteRef/>
      </w:r>
      <w:r>
        <w:t xml:space="preserve"> </w:t>
      </w:r>
      <w:r w:rsidRPr="002C648B">
        <w:rPr>
          <w:rFonts w:ascii="Verdana" w:hAnsi="Verdana"/>
          <w:sz w:val="18"/>
          <w:szCs w:val="18"/>
        </w:rPr>
        <w:t xml:space="preserve">Davidson, Harriet, </w:t>
      </w:r>
      <w:r w:rsidRPr="007B0D00">
        <w:rPr>
          <w:rFonts w:ascii="Verdana" w:hAnsi="Verdana"/>
          <w:i/>
          <w:sz w:val="18"/>
          <w:szCs w:val="18"/>
          <w:u w:val="single"/>
        </w:rPr>
        <w:t>Improper Desire: reading The Waste Land</w:t>
      </w:r>
      <w:r w:rsidRPr="002C648B">
        <w:rPr>
          <w:rFonts w:ascii="Verdana" w:hAnsi="Verdana"/>
          <w:i/>
          <w:sz w:val="18"/>
          <w:szCs w:val="18"/>
        </w:rPr>
        <w:t xml:space="preserve"> </w:t>
      </w:r>
      <w:r w:rsidRPr="002C648B">
        <w:rPr>
          <w:rFonts w:ascii="Verdana" w:hAnsi="Verdana"/>
          <w:sz w:val="18"/>
          <w:szCs w:val="18"/>
        </w:rPr>
        <w:t>IN</w:t>
      </w:r>
      <w:r>
        <w:t xml:space="preserve"> </w:t>
      </w:r>
      <w:r>
        <w:rPr>
          <w:rFonts w:ascii="Verdana" w:hAnsi="Verdana" w:cs="Verdana"/>
          <w:sz w:val="18"/>
          <w:szCs w:val="18"/>
        </w:rPr>
        <w:t xml:space="preserve">Moody, A. D., </w:t>
      </w:r>
      <w:r>
        <w:rPr>
          <w:rFonts w:ascii="Verdana" w:hAnsi="Verdana" w:cs="Verdana"/>
          <w:i/>
          <w:iCs/>
          <w:sz w:val="18"/>
          <w:szCs w:val="18"/>
        </w:rPr>
        <w:t>The Cambridge Companion to T.S. Eliot</w:t>
      </w:r>
      <w:r>
        <w:rPr>
          <w:rFonts w:ascii="Verdana" w:hAnsi="Verdana" w:cs="Verdana"/>
          <w:sz w:val="18"/>
          <w:szCs w:val="18"/>
        </w:rPr>
        <w:t xml:space="preserve"> (Cambridge: Cambridge : Cambridge University Press, 1994), p. 121 </w:t>
      </w:r>
    </w:p>
  </w:footnote>
  <w:footnote w:id="3">
    <w:p w:rsidR="002C648B" w:rsidRDefault="002C648B">
      <w:pPr>
        <w:pStyle w:val="FootnoteText"/>
      </w:pPr>
      <w:r>
        <w:rPr>
          <w:rStyle w:val="FootnoteReference"/>
        </w:rPr>
        <w:footnoteRef/>
      </w:r>
      <w:r w:rsidR="00570F96">
        <w:t xml:space="preserve"> </w:t>
      </w:r>
      <w:r w:rsidR="00570F96" w:rsidRPr="002C648B">
        <w:rPr>
          <w:rFonts w:ascii="Verdana" w:hAnsi="Verdana"/>
          <w:sz w:val="18"/>
          <w:szCs w:val="18"/>
        </w:rPr>
        <w:t xml:space="preserve">Davidson, Harriet, </w:t>
      </w:r>
      <w:r w:rsidR="00570F96" w:rsidRPr="002C648B">
        <w:rPr>
          <w:rFonts w:ascii="Verdana" w:hAnsi="Verdana"/>
          <w:i/>
          <w:sz w:val="18"/>
          <w:szCs w:val="18"/>
        </w:rPr>
        <w:t xml:space="preserve">Improper Desire: reading The Waste Land </w:t>
      </w:r>
      <w:r w:rsidR="00570F96" w:rsidRPr="002C648B">
        <w:rPr>
          <w:rFonts w:ascii="Verdana" w:hAnsi="Verdana"/>
          <w:sz w:val="18"/>
          <w:szCs w:val="18"/>
        </w:rPr>
        <w:t>IN</w:t>
      </w:r>
      <w:r w:rsidR="00570F96">
        <w:t xml:space="preserve"> </w:t>
      </w:r>
      <w:r w:rsidR="00570F96">
        <w:rPr>
          <w:rFonts w:ascii="Verdana" w:hAnsi="Verdana" w:cs="Verdana"/>
          <w:sz w:val="18"/>
          <w:szCs w:val="18"/>
        </w:rPr>
        <w:t xml:space="preserve">Moody, A. D., </w:t>
      </w:r>
      <w:r w:rsidR="00570F96">
        <w:rPr>
          <w:rFonts w:ascii="Verdana" w:hAnsi="Verdana" w:cs="Verdana"/>
          <w:i/>
          <w:iCs/>
          <w:sz w:val="18"/>
          <w:szCs w:val="18"/>
        </w:rPr>
        <w:t>The Cambridge Companion to T.S. Eliot</w:t>
      </w:r>
      <w:r w:rsidR="00570F96">
        <w:rPr>
          <w:rFonts w:ascii="Verdana" w:hAnsi="Verdana" w:cs="Verdana"/>
          <w:sz w:val="18"/>
          <w:szCs w:val="18"/>
        </w:rPr>
        <w:t xml:space="preserve"> (Cambridge: </w:t>
      </w:r>
      <w:proofErr w:type="gramStart"/>
      <w:r w:rsidR="00570F96">
        <w:rPr>
          <w:rFonts w:ascii="Verdana" w:hAnsi="Verdana" w:cs="Verdana"/>
          <w:sz w:val="18"/>
          <w:szCs w:val="18"/>
        </w:rPr>
        <w:t>Cambridge :</w:t>
      </w:r>
      <w:proofErr w:type="gramEnd"/>
      <w:r w:rsidR="00570F96">
        <w:rPr>
          <w:rFonts w:ascii="Verdana" w:hAnsi="Verdana" w:cs="Verdana"/>
          <w:sz w:val="18"/>
          <w:szCs w:val="18"/>
        </w:rPr>
        <w:t xml:space="preserve"> Cambridge University Press, 1994), </w:t>
      </w:r>
      <w:r>
        <w:t>p. 122.</w:t>
      </w:r>
    </w:p>
  </w:footnote>
  <w:footnote w:id="4">
    <w:p w:rsidR="002C648B" w:rsidRDefault="002C648B">
      <w:pPr>
        <w:pStyle w:val="FootnoteText"/>
      </w:pPr>
      <w:r>
        <w:rPr>
          <w:rStyle w:val="FootnoteReference"/>
        </w:rPr>
        <w:footnoteRef/>
      </w:r>
      <w:r>
        <w:t xml:space="preserve"> </w:t>
      </w:r>
      <w:proofErr w:type="gramStart"/>
      <w:r>
        <w:t>Ibid. p. 122.</w:t>
      </w:r>
      <w:proofErr w:type="gramEnd"/>
    </w:p>
  </w:footnote>
  <w:footnote w:id="5">
    <w:p w:rsidR="002C648B" w:rsidRPr="002C648B" w:rsidRDefault="002C648B" w:rsidP="002C648B">
      <w:pPr>
        <w:autoSpaceDE w:val="0"/>
        <w:autoSpaceDN w:val="0"/>
        <w:adjustRightInd w:val="0"/>
        <w:spacing w:before="100" w:after="100"/>
        <w:ind w:left="448" w:right="-720" w:hanging="448"/>
        <w:rPr>
          <w:rFonts w:ascii="Verdana" w:hAnsi="Verdana" w:cs="Verdana"/>
          <w:sz w:val="18"/>
          <w:szCs w:val="18"/>
        </w:rPr>
      </w:pPr>
      <w:r>
        <w:rPr>
          <w:rStyle w:val="FootnoteReference"/>
        </w:rPr>
        <w:footnoteRef/>
      </w:r>
      <w:r>
        <w:t xml:space="preserve"> </w:t>
      </w:r>
      <w:r>
        <w:rPr>
          <w:rFonts w:ascii="Verdana" w:hAnsi="Verdana" w:cs="Verdana"/>
          <w:sz w:val="18"/>
          <w:szCs w:val="18"/>
        </w:rPr>
        <w:t xml:space="preserve">Butler, Christopher, </w:t>
      </w:r>
      <w:r>
        <w:rPr>
          <w:rFonts w:ascii="Verdana" w:hAnsi="Verdana" w:cs="Verdana"/>
          <w:i/>
          <w:iCs/>
          <w:sz w:val="18"/>
          <w:szCs w:val="18"/>
        </w:rPr>
        <w:t>Modernism : A very Short Introduction</w:t>
      </w:r>
      <w:r>
        <w:rPr>
          <w:rFonts w:ascii="Verdana" w:hAnsi="Verdana" w:cs="Verdana"/>
          <w:sz w:val="18"/>
          <w:szCs w:val="18"/>
        </w:rPr>
        <w:t xml:space="preserve"> (Oxford; New York: Oxford University Press, 2010) </w:t>
      </w:r>
    </w:p>
  </w:footnote>
  <w:footnote w:id="6">
    <w:p w:rsidR="002C648B" w:rsidRDefault="002C648B">
      <w:pPr>
        <w:pStyle w:val="FootnoteText"/>
      </w:pPr>
      <w:r>
        <w:rPr>
          <w:rStyle w:val="FootnoteReference"/>
        </w:rPr>
        <w:footnoteRef/>
      </w:r>
      <w:r>
        <w:t xml:space="preserve"> </w:t>
      </w:r>
      <w:r>
        <w:rPr>
          <w:rFonts w:ascii="Verdana" w:hAnsi="Verdana" w:cs="Verdana"/>
          <w:sz w:val="18"/>
          <w:szCs w:val="18"/>
        </w:rPr>
        <w:t xml:space="preserve">Eagleton, Terry, </w:t>
      </w:r>
      <w:r>
        <w:rPr>
          <w:rFonts w:ascii="Verdana" w:hAnsi="Verdana" w:cs="Verdana"/>
          <w:i/>
          <w:iCs/>
          <w:sz w:val="18"/>
          <w:szCs w:val="18"/>
        </w:rPr>
        <w:t>After Theory</w:t>
      </w:r>
      <w:r>
        <w:rPr>
          <w:rFonts w:ascii="Verdana" w:hAnsi="Verdana" w:cs="Verdana"/>
          <w:sz w:val="18"/>
          <w:szCs w:val="18"/>
        </w:rPr>
        <w:t xml:space="preserve"> (London: London : Penguin, 2004), p. 179</w:t>
      </w:r>
    </w:p>
  </w:footnote>
  <w:footnote w:id="7">
    <w:p w:rsidR="002C648B" w:rsidRPr="002C648B" w:rsidRDefault="002C648B" w:rsidP="002C648B">
      <w:pPr>
        <w:autoSpaceDE w:val="0"/>
        <w:autoSpaceDN w:val="0"/>
        <w:adjustRightInd w:val="0"/>
        <w:spacing w:before="100" w:after="100"/>
        <w:ind w:left="448" w:right="-720" w:hanging="448"/>
        <w:rPr>
          <w:rFonts w:ascii="Verdana" w:hAnsi="Verdana" w:cs="Verdana"/>
          <w:sz w:val="18"/>
          <w:szCs w:val="18"/>
        </w:rPr>
      </w:pPr>
      <w:r>
        <w:rPr>
          <w:rStyle w:val="FootnoteReference"/>
        </w:rPr>
        <w:footnoteRef/>
      </w:r>
      <w:r>
        <w:t xml:space="preserve"> </w:t>
      </w:r>
      <w:r>
        <w:rPr>
          <w:rFonts w:ascii="Verdana" w:hAnsi="Verdana" w:cs="Verdana"/>
          <w:sz w:val="18"/>
          <w:szCs w:val="18"/>
        </w:rPr>
        <w:t xml:space="preserve">Lewis, Pericles, </w:t>
      </w:r>
      <w:r>
        <w:rPr>
          <w:rFonts w:ascii="Verdana" w:hAnsi="Verdana" w:cs="Verdana"/>
          <w:i/>
          <w:iCs/>
          <w:sz w:val="18"/>
          <w:szCs w:val="18"/>
        </w:rPr>
        <w:t>The Cambridge Introduction to Modernism</w:t>
      </w:r>
      <w:r>
        <w:rPr>
          <w:rFonts w:ascii="Verdana" w:hAnsi="Verdana" w:cs="Verdana"/>
          <w:sz w:val="18"/>
          <w:szCs w:val="18"/>
        </w:rPr>
        <w:t xml:space="preserve"> (Cambridge: Cambridge : Cambridge University Press, 2007), p. 156 </w:t>
      </w:r>
    </w:p>
  </w:footnote>
  <w:footnote w:id="8">
    <w:p w:rsidR="002C648B" w:rsidRPr="003F2FA4" w:rsidRDefault="002C648B">
      <w:pPr>
        <w:pStyle w:val="FootnoteText"/>
        <w:rPr>
          <w:rFonts w:ascii="Verdana" w:hAnsi="Verdana" w:cs="Verdana"/>
          <w:sz w:val="18"/>
          <w:szCs w:val="18"/>
        </w:rPr>
      </w:pPr>
      <w:r>
        <w:rPr>
          <w:rStyle w:val="FootnoteReference"/>
        </w:rPr>
        <w:footnoteRef/>
      </w:r>
      <w:r>
        <w:t xml:space="preserve"> </w:t>
      </w:r>
      <w:proofErr w:type="spellStart"/>
      <w:r>
        <w:t>Longenbach</w:t>
      </w:r>
      <w:proofErr w:type="spellEnd"/>
      <w:r>
        <w:t xml:space="preserve">, James, </w:t>
      </w:r>
      <w:r w:rsidRPr="009F42A7">
        <w:rPr>
          <w:i/>
          <w:u w:val="single"/>
        </w:rPr>
        <w:t xml:space="preserve">Modern </w:t>
      </w:r>
      <w:r w:rsidRPr="009F42A7">
        <w:rPr>
          <w:u w:val="single"/>
        </w:rPr>
        <w:t>Poetry</w:t>
      </w:r>
      <w:r>
        <w:t xml:space="preserve"> IN </w:t>
      </w:r>
      <w:proofErr w:type="spellStart"/>
      <w:r w:rsidRPr="002C648B">
        <w:rPr>
          <w:rFonts w:ascii="Verdana" w:hAnsi="Verdana" w:cs="Verdana"/>
          <w:sz w:val="18"/>
          <w:szCs w:val="18"/>
        </w:rPr>
        <w:t>Levenson</w:t>
      </w:r>
      <w:proofErr w:type="spellEnd"/>
      <w:r>
        <w:rPr>
          <w:rFonts w:ascii="Verdana" w:hAnsi="Verdana" w:cs="Verdana"/>
          <w:sz w:val="18"/>
          <w:szCs w:val="18"/>
        </w:rPr>
        <w:t xml:space="preserve">, Michael H., </w:t>
      </w:r>
      <w:r>
        <w:rPr>
          <w:rFonts w:ascii="Verdana" w:hAnsi="Verdana" w:cs="Verdana"/>
          <w:i/>
          <w:iCs/>
          <w:sz w:val="18"/>
          <w:szCs w:val="18"/>
        </w:rPr>
        <w:t>The Cambridge Companion to Modernism</w:t>
      </w:r>
      <w:r>
        <w:rPr>
          <w:rFonts w:ascii="Verdana" w:hAnsi="Verdana" w:cs="Verdana"/>
          <w:sz w:val="18"/>
          <w:szCs w:val="18"/>
        </w:rPr>
        <w:t xml:space="preserve"> (Cambridge: Cambridge University Press, 1999), p. 120</w:t>
      </w:r>
    </w:p>
  </w:footnote>
  <w:footnote w:id="9">
    <w:p w:rsidR="003F2FA4" w:rsidRPr="003F2FA4" w:rsidRDefault="002C648B">
      <w:pPr>
        <w:pStyle w:val="FootnoteText"/>
        <w:rPr>
          <w:rFonts w:ascii="Verdana" w:hAnsi="Verdana" w:cs="Verdana"/>
          <w:sz w:val="18"/>
          <w:szCs w:val="18"/>
        </w:rPr>
      </w:pPr>
      <w:r>
        <w:rPr>
          <w:rStyle w:val="FootnoteReference"/>
        </w:rPr>
        <w:footnoteRef/>
      </w:r>
      <w:r>
        <w:t xml:space="preserve"> </w:t>
      </w:r>
      <w:proofErr w:type="spellStart"/>
      <w:r>
        <w:rPr>
          <w:rFonts w:ascii="Verdana" w:hAnsi="Verdana" w:cs="Verdana"/>
          <w:sz w:val="18"/>
          <w:szCs w:val="18"/>
        </w:rPr>
        <w:t>Lamos</w:t>
      </w:r>
      <w:proofErr w:type="spellEnd"/>
      <w:r>
        <w:rPr>
          <w:rFonts w:ascii="Verdana" w:hAnsi="Verdana" w:cs="Verdana"/>
          <w:sz w:val="18"/>
          <w:szCs w:val="18"/>
        </w:rPr>
        <w:t xml:space="preserve">, Colleen, </w:t>
      </w:r>
      <w:r>
        <w:rPr>
          <w:rFonts w:ascii="Verdana" w:hAnsi="Verdana" w:cs="Verdana"/>
          <w:i/>
          <w:iCs/>
          <w:sz w:val="18"/>
          <w:szCs w:val="18"/>
        </w:rPr>
        <w:t xml:space="preserve">Deviant Modernism: Sexual and textual </w:t>
      </w:r>
      <w:proofErr w:type="spellStart"/>
      <w:r>
        <w:rPr>
          <w:rFonts w:ascii="Verdana" w:hAnsi="Verdana" w:cs="Verdana"/>
          <w:i/>
          <w:iCs/>
          <w:sz w:val="18"/>
          <w:szCs w:val="18"/>
        </w:rPr>
        <w:t>errancy</w:t>
      </w:r>
      <w:proofErr w:type="spellEnd"/>
      <w:r>
        <w:rPr>
          <w:rFonts w:ascii="Verdana" w:hAnsi="Verdana" w:cs="Verdana"/>
          <w:i/>
          <w:iCs/>
          <w:sz w:val="18"/>
          <w:szCs w:val="18"/>
        </w:rPr>
        <w:t xml:space="preserve"> in T. S. Eliot, James Joyce and Marcel Proust, </w:t>
      </w:r>
      <w:r>
        <w:rPr>
          <w:rFonts w:ascii="Verdana" w:hAnsi="Verdana" w:cs="Verdana"/>
          <w:sz w:val="18"/>
          <w:szCs w:val="18"/>
        </w:rPr>
        <w:t>(Cambridge: Cambridge University Press, 1998)</w:t>
      </w:r>
    </w:p>
  </w:footnote>
  <w:footnote w:id="10">
    <w:p w:rsidR="003F2FA4" w:rsidRPr="003F2FA4" w:rsidRDefault="003F2FA4">
      <w:pPr>
        <w:pStyle w:val="FootnoteText"/>
        <w:rPr>
          <w:rFonts w:ascii="Verdana" w:hAnsi="Verdana" w:cs="Verdana"/>
          <w:sz w:val="18"/>
          <w:szCs w:val="18"/>
        </w:rPr>
      </w:pPr>
      <w:r>
        <w:rPr>
          <w:rStyle w:val="FootnoteReference"/>
        </w:rPr>
        <w:footnoteRef/>
      </w:r>
      <w:r>
        <w:t xml:space="preserve"> </w:t>
      </w:r>
      <w:r w:rsidRPr="002C648B">
        <w:rPr>
          <w:rFonts w:ascii="Verdana" w:hAnsi="Verdana"/>
          <w:sz w:val="18"/>
          <w:szCs w:val="18"/>
        </w:rPr>
        <w:t xml:space="preserve">Davidson, Harriet, </w:t>
      </w:r>
      <w:r w:rsidRPr="002C648B">
        <w:rPr>
          <w:rFonts w:ascii="Verdana" w:hAnsi="Verdana"/>
          <w:i/>
          <w:sz w:val="18"/>
          <w:szCs w:val="18"/>
        </w:rPr>
        <w:t xml:space="preserve">Improper Desire: reading The Waste Land </w:t>
      </w:r>
      <w:r w:rsidRPr="002C648B">
        <w:rPr>
          <w:rFonts w:ascii="Verdana" w:hAnsi="Verdana"/>
          <w:sz w:val="18"/>
          <w:szCs w:val="18"/>
        </w:rPr>
        <w:t>IN</w:t>
      </w:r>
      <w:r>
        <w:t xml:space="preserve"> </w:t>
      </w:r>
      <w:r>
        <w:rPr>
          <w:rFonts w:ascii="Verdana" w:hAnsi="Verdana" w:cs="Verdana"/>
          <w:sz w:val="18"/>
          <w:szCs w:val="18"/>
        </w:rPr>
        <w:t xml:space="preserve">Moody, A. D., </w:t>
      </w:r>
      <w:r>
        <w:rPr>
          <w:rFonts w:ascii="Verdana" w:hAnsi="Verdana" w:cs="Verdana"/>
          <w:i/>
          <w:iCs/>
          <w:sz w:val="18"/>
          <w:szCs w:val="18"/>
        </w:rPr>
        <w:t>The Cambridge Companion to T.S. Eliot</w:t>
      </w:r>
      <w:r>
        <w:rPr>
          <w:rFonts w:ascii="Verdana" w:hAnsi="Verdana" w:cs="Verdana"/>
          <w:sz w:val="18"/>
          <w:szCs w:val="18"/>
        </w:rPr>
        <w:t xml:space="preserve"> (Cambridge: Cambridge : Cambridge University Press, 1994), p. 123</w:t>
      </w:r>
    </w:p>
  </w:footnote>
  <w:footnote w:id="11">
    <w:p w:rsidR="003F2FA4" w:rsidRDefault="003F2FA4">
      <w:pPr>
        <w:pStyle w:val="FootnoteText"/>
      </w:pPr>
      <w:r>
        <w:rPr>
          <w:rStyle w:val="FootnoteReference"/>
        </w:rPr>
        <w:footnoteRef/>
      </w:r>
      <w:r>
        <w:t xml:space="preserve"> </w:t>
      </w:r>
      <w:r>
        <w:rPr>
          <w:rFonts w:ascii="Verdana" w:hAnsi="Verdana" w:cs="Verdana"/>
          <w:sz w:val="18"/>
          <w:szCs w:val="18"/>
        </w:rPr>
        <w:t xml:space="preserve">Eliot, T. S., </w:t>
      </w:r>
      <w:r>
        <w:rPr>
          <w:rFonts w:ascii="Verdana" w:hAnsi="Verdana" w:cs="Verdana"/>
          <w:i/>
          <w:iCs/>
          <w:sz w:val="18"/>
          <w:szCs w:val="18"/>
        </w:rPr>
        <w:t>Collected Poems, 1909-1962</w:t>
      </w:r>
      <w:r>
        <w:rPr>
          <w:rFonts w:ascii="Verdana" w:hAnsi="Verdana" w:cs="Verdana"/>
          <w:sz w:val="18"/>
          <w:szCs w:val="18"/>
        </w:rPr>
        <w:t xml:space="preserve"> (London: Faber and Faber, 1974)</w:t>
      </w:r>
    </w:p>
  </w:footnote>
  <w:footnote w:id="12">
    <w:p w:rsidR="003F2FA4" w:rsidRPr="003F2FA4" w:rsidRDefault="003F2FA4" w:rsidP="003F2FA4">
      <w:pPr>
        <w:pStyle w:val="FootnoteText"/>
        <w:rPr>
          <w:rFonts w:ascii="Verdana" w:hAnsi="Verdana" w:cs="Verdana"/>
          <w:sz w:val="18"/>
          <w:szCs w:val="18"/>
        </w:rPr>
      </w:pPr>
      <w:r>
        <w:rPr>
          <w:rStyle w:val="FootnoteReference"/>
        </w:rPr>
        <w:footnoteRef/>
      </w:r>
      <w:r>
        <w:t xml:space="preserve"> </w:t>
      </w:r>
      <w:r>
        <w:rPr>
          <w:rFonts w:ascii="Verdana" w:hAnsi="Verdana" w:cs="Verdana"/>
          <w:sz w:val="18"/>
          <w:szCs w:val="18"/>
        </w:rPr>
        <w:t xml:space="preserve">Lewis, Pericles, </w:t>
      </w:r>
      <w:r>
        <w:rPr>
          <w:rFonts w:ascii="Verdana" w:hAnsi="Verdana" w:cs="Verdana"/>
          <w:i/>
          <w:iCs/>
          <w:sz w:val="18"/>
          <w:szCs w:val="18"/>
        </w:rPr>
        <w:t>The Cambridge Introduction to Modernism</w:t>
      </w:r>
      <w:r>
        <w:rPr>
          <w:rFonts w:ascii="Verdana" w:hAnsi="Verdana" w:cs="Verdana"/>
          <w:sz w:val="18"/>
          <w:szCs w:val="18"/>
        </w:rPr>
        <w:t xml:space="preserve"> (Cambridge: Cambridge : Cambridge University Press, 2007), p. 133</w:t>
      </w:r>
    </w:p>
  </w:footnote>
  <w:footnote w:id="13">
    <w:p w:rsidR="003F2FA4" w:rsidRDefault="003F2FA4">
      <w:pPr>
        <w:pStyle w:val="FootnoteText"/>
      </w:pPr>
      <w:r>
        <w:rPr>
          <w:rStyle w:val="FootnoteReference"/>
        </w:rPr>
        <w:footnoteRef/>
      </w:r>
      <w:r>
        <w:t xml:space="preserve"> </w:t>
      </w:r>
      <w:r>
        <w:rPr>
          <w:rFonts w:ascii="Verdana" w:hAnsi="Verdana" w:cs="Verdana"/>
          <w:sz w:val="18"/>
          <w:szCs w:val="18"/>
        </w:rPr>
        <w:t xml:space="preserve">Eliot, T. S., </w:t>
      </w:r>
      <w:r>
        <w:rPr>
          <w:rFonts w:ascii="Verdana" w:hAnsi="Verdana" w:cs="Verdana"/>
          <w:i/>
          <w:iCs/>
          <w:sz w:val="18"/>
          <w:szCs w:val="18"/>
        </w:rPr>
        <w:t>Collected Poems, 1909-1962</w:t>
      </w:r>
      <w:r>
        <w:rPr>
          <w:rFonts w:ascii="Verdana" w:hAnsi="Verdana" w:cs="Verdana"/>
          <w:sz w:val="18"/>
          <w:szCs w:val="18"/>
        </w:rPr>
        <w:t xml:space="preserve"> (London: Faber and Faber, 1974), p. 82</w:t>
      </w:r>
    </w:p>
  </w:footnote>
  <w:footnote w:id="14">
    <w:p w:rsidR="003F2FA4" w:rsidRDefault="003F2FA4">
      <w:pPr>
        <w:pStyle w:val="FootnoteText"/>
      </w:pPr>
      <w:r>
        <w:rPr>
          <w:rStyle w:val="FootnoteReference"/>
        </w:rPr>
        <w:footnoteRef/>
      </w:r>
      <w:r>
        <w:t xml:space="preserve"> </w:t>
      </w:r>
      <w:proofErr w:type="gramStart"/>
      <w:r>
        <w:t>Ibid, p. 71.</w:t>
      </w:r>
      <w:proofErr w:type="gramEnd"/>
    </w:p>
  </w:footnote>
  <w:footnote w:id="15">
    <w:p w:rsidR="003F2FA4" w:rsidRDefault="003F2FA4">
      <w:pPr>
        <w:pStyle w:val="FootnoteText"/>
      </w:pPr>
      <w:r>
        <w:rPr>
          <w:rStyle w:val="FootnoteReference"/>
        </w:rPr>
        <w:footnoteRef/>
      </w:r>
      <w:r>
        <w:t xml:space="preserve"> </w:t>
      </w:r>
      <w:proofErr w:type="gramStart"/>
      <w:r>
        <w:t>Ibid, p. 82.</w:t>
      </w:r>
      <w:proofErr w:type="gramEnd"/>
    </w:p>
  </w:footnote>
  <w:footnote w:id="16">
    <w:p w:rsidR="003F2FA4" w:rsidRPr="003F2FA4" w:rsidRDefault="003F2FA4">
      <w:pPr>
        <w:pStyle w:val="FootnoteText"/>
        <w:rPr>
          <w:rFonts w:ascii="Verdana" w:hAnsi="Verdana" w:cs="Verdana"/>
          <w:sz w:val="18"/>
          <w:szCs w:val="18"/>
        </w:rPr>
      </w:pPr>
      <w:r>
        <w:rPr>
          <w:rStyle w:val="FootnoteReference"/>
        </w:rPr>
        <w:footnoteRef/>
      </w:r>
      <w:r>
        <w:t xml:space="preserve"> </w:t>
      </w:r>
      <w:proofErr w:type="spellStart"/>
      <w:r>
        <w:t>Longenbach</w:t>
      </w:r>
      <w:proofErr w:type="spellEnd"/>
      <w:r>
        <w:t xml:space="preserve">, James, </w:t>
      </w:r>
      <w:r>
        <w:rPr>
          <w:i/>
        </w:rPr>
        <w:t xml:space="preserve">Modern </w:t>
      </w:r>
      <w:r w:rsidRPr="002C648B">
        <w:t>Poetry</w:t>
      </w:r>
      <w:r>
        <w:t xml:space="preserve"> IN </w:t>
      </w:r>
      <w:proofErr w:type="spellStart"/>
      <w:r w:rsidRPr="002C648B">
        <w:rPr>
          <w:rFonts w:ascii="Verdana" w:hAnsi="Verdana" w:cs="Verdana"/>
          <w:sz w:val="18"/>
          <w:szCs w:val="18"/>
        </w:rPr>
        <w:t>Levenson</w:t>
      </w:r>
      <w:proofErr w:type="spellEnd"/>
      <w:r>
        <w:rPr>
          <w:rFonts w:ascii="Verdana" w:hAnsi="Verdana" w:cs="Verdana"/>
          <w:sz w:val="18"/>
          <w:szCs w:val="18"/>
        </w:rPr>
        <w:t xml:space="preserve">, Michael H., </w:t>
      </w:r>
      <w:r>
        <w:rPr>
          <w:rFonts w:ascii="Verdana" w:hAnsi="Verdana" w:cs="Verdana"/>
          <w:i/>
          <w:iCs/>
          <w:sz w:val="18"/>
          <w:szCs w:val="18"/>
        </w:rPr>
        <w:t>The Cambridge Companion to Modernism</w:t>
      </w:r>
      <w:r>
        <w:rPr>
          <w:rFonts w:ascii="Verdana" w:hAnsi="Verdana" w:cs="Verdana"/>
          <w:sz w:val="18"/>
          <w:szCs w:val="18"/>
        </w:rPr>
        <w:t xml:space="preserve"> (Cambridge: Cambridge University Press, 1999), p. 121</w:t>
      </w:r>
    </w:p>
  </w:footnote>
  <w:footnote w:id="17">
    <w:p w:rsidR="003F2FA4" w:rsidRDefault="003F2FA4">
      <w:pPr>
        <w:pStyle w:val="FootnoteText"/>
      </w:pPr>
      <w:r>
        <w:rPr>
          <w:rStyle w:val="FootnoteReference"/>
        </w:rPr>
        <w:footnoteRef/>
      </w:r>
      <w:r>
        <w:t xml:space="preserve"> </w:t>
      </w:r>
      <w:r>
        <w:rPr>
          <w:rFonts w:ascii="Verdana" w:hAnsi="Verdana" w:cs="Verdana"/>
          <w:sz w:val="18"/>
          <w:szCs w:val="18"/>
        </w:rPr>
        <w:t xml:space="preserve">Butler, Christopher, </w:t>
      </w:r>
      <w:r>
        <w:rPr>
          <w:rFonts w:ascii="Verdana" w:hAnsi="Verdana" w:cs="Verdana"/>
          <w:i/>
          <w:iCs/>
          <w:sz w:val="18"/>
          <w:szCs w:val="18"/>
        </w:rPr>
        <w:t>Modernism : A very Short Introduction</w:t>
      </w:r>
      <w:r>
        <w:rPr>
          <w:rFonts w:ascii="Verdana" w:hAnsi="Verdana" w:cs="Verdana"/>
          <w:sz w:val="18"/>
          <w:szCs w:val="18"/>
        </w:rPr>
        <w:t xml:space="preserve"> (Oxford; New York: Oxford University Press, 2010)</w:t>
      </w:r>
    </w:p>
  </w:footnote>
  <w:footnote w:id="18">
    <w:p w:rsidR="003F2FA4" w:rsidRDefault="003F2FA4">
      <w:pPr>
        <w:pStyle w:val="FootnoteText"/>
      </w:pPr>
      <w:r>
        <w:rPr>
          <w:rStyle w:val="FootnoteReference"/>
        </w:rPr>
        <w:footnoteRef/>
      </w:r>
      <w:r>
        <w:t xml:space="preserve"> </w:t>
      </w:r>
      <w:r w:rsidRPr="002C648B">
        <w:rPr>
          <w:rFonts w:ascii="Verdana" w:hAnsi="Verdana"/>
          <w:sz w:val="18"/>
          <w:szCs w:val="18"/>
        </w:rPr>
        <w:t xml:space="preserve">Davidson, Harriet, </w:t>
      </w:r>
      <w:r w:rsidRPr="002C648B">
        <w:rPr>
          <w:rFonts w:ascii="Verdana" w:hAnsi="Verdana"/>
          <w:i/>
          <w:sz w:val="18"/>
          <w:szCs w:val="18"/>
        </w:rPr>
        <w:t xml:space="preserve">Improper Desire: reading The Waste Land </w:t>
      </w:r>
      <w:r w:rsidRPr="002C648B">
        <w:rPr>
          <w:rFonts w:ascii="Verdana" w:hAnsi="Verdana"/>
          <w:sz w:val="18"/>
          <w:szCs w:val="18"/>
        </w:rPr>
        <w:t>IN</w:t>
      </w:r>
      <w:r>
        <w:t xml:space="preserve"> </w:t>
      </w:r>
      <w:r>
        <w:rPr>
          <w:rFonts w:ascii="Verdana" w:hAnsi="Verdana" w:cs="Verdana"/>
          <w:sz w:val="18"/>
          <w:szCs w:val="18"/>
        </w:rPr>
        <w:t xml:space="preserve">Moody, A. D., </w:t>
      </w:r>
      <w:r>
        <w:rPr>
          <w:rFonts w:ascii="Verdana" w:hAnsi="Verdana" w:cs="Verdana"/>
          <w:i/>
          <w:iCs/>
          <w:sz w:val="18"/>
          <w:szCs w:val="18"/>
        </w:rPr>
        <w:t>The Cambridge Companion to T.S. Eliot</w:t>
      </w:r>
      <w:r>
        <w:rPr>
          <w:rFonts w:ascii="Verdana" w:hAnsi="Verdana" w:cs="Verdana"/>
          <w:sz w:val="18"/>
          <w:szCs w:val="18"/>
        </w:rPr>
        <w:t xml:space="preserve"> (Cambridge: Cambridge : Cambridge University Press, 1994)</w:t>
      </w:r>
    </w:p>
  </w:footnote>
  <w:footnote w:id="19">
    <w:p w:rsidR="00570F96" w:rsidRDefault="00570F96">
      <w:pPr>
        <w:pStyle w:val="FootnoteText"/>
      </w:pPr>
      <w:r>
        <w:rPr>
          <w:rStyle w:val="FootnoteReference"/>
        </w:rPr>
        <w:footnoteRef/>
      </w:r>
      <w:r>
        <w:t xml:space="preserve"> </w:t>
      </w:r>
      <w:r>
        <w:rPr>
          <w:rFonts w:ascii="Verdana" w:hAnsi="Verdana" w:cs="Verdana"/>
          <w:sz w:val="18"/>
          <w:szCs w:val="18"/>
        </w:rPr>
        <w:t xml:space="preserve">Eliot, T. S., 'Tradition and the Individual Talent', </w:t>
      </w:r>
      <w:proofErr w:type="spellStart"/>
      <w:r>
        <w:rPr>
          <w:rFonts w:ascii="Verdana" w:hAnsi="Verdana" w:cs="Verdana"/>
          <w:i/>
          <w:iCs/>
          <w:sz w:val="18"/>
          <w:szCs w:val="18"/>
        </w:rPr>
        <w:t>Perspecta</w:t>
      </w:r>
      <w:proofErr w:type="spellEnd"/>
      <w:r>
        <w:rPr>
          <w:rFonts w:ascii="Verdana" w:hAnsi="Verdana" w:cs="Verdana"/>
          <w:i/>
          <w:iCs/>
          <w:sz w:val="18"/>
          <w:szCs w:val="18"/>
        </w:rPr>
        <w:t xml:space="preserve">, </w:t>
      </w:r>
      <w:r>
        <w:rPr>
          <w:rFonts w:ascii="Verdana" w:hAnsi="Verdana" w:cs="Verdana"/>
          <w:sz w:val="18"/>
          <w:szCs w:val="18"/>
        </w:rPr>
        <w:t>19 (1982), 36-42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24D26" w:rsidRDefault="00224D26" w:rsidP="00224D26">
    <w:pPr>
      <w:pStyle w:val="Header"/>
      <w:jc w:val="right"/>
    </w:pPr>
    <w:r>
      <w:t>CSEN7012-1-2-1602111-Matthews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142DF7"/>
    <w:multiLevelType w:val="hybridMultilevel"/>
    <w:tmpl w:val="AB5ED212"/>
    <w:lvl w:ilvl="0" w:tplc="08090001">
      <w:start w:val="1"/>
      <w:numFmt w:val="bullet"/>
      <w:lvlText w:val=""/>
      <w:lvlJc w:val="left"/>
      <w:pPr>
        <w:ind w:left="720" w:hanging="360"/>
      </w:pPr>
      <w:rPr>
        <w:rFonts w:ascii="Symbol" w:hAnsi="Symbol" w:hint="default"/>
      </w:rPr>
    </w:lvl>
    <w:lvl w:ilvl="1" w:tplc="6B88A50E">
      <w:numFmt w:val="bullet"/>
      <w:lvlText w:val="·"/>
      <w:lvlJc w:val="left"/>
      <w:pPr>
        <w:ind w:left="1440" w:hanging="360"/>
      </w:pPr>
      <w:rPr>
        <w:rFonts w:ascii="Palatino Linotype" w:eastAsiaTheme="minorHAnsi" w:hAnsi="Palatino Linotype"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6C6C"/>
    <w:rsid w:val="00006C0D"/>
    <w:rsid w:val="00023C00"/>
    <w:rsid w:val="000329C2"/>
    <w:rsid w:val="00045F19"/>
    <w:rsid w:val="00047F4F"/>
    <w:rsid w:val="000A7AC6"/>
    <w:rsid w:val="000E1B30"/>
    <w:rsid w:val="000E4BD2"/>
    <w:rsid w:val="00154D8C"/>
    <w:rsid w:val="00155989"/>
    <w:rsid w:val="00194A51"/>
    <w:rsid w:val="001A7F7E"/>
    <w:rsid w:val="001B5776"/>
    <w:rsid w:val="001C16AD"/>
    <w:rsid w:val="001D3A7D"/>
    <w:rsid w:val="00224D26"/>
    <w:rsid w:val="0025306E"/>
    <w:rsid w:val="00254869"/>
    <w:rsid w:val="002C648B"/>
    <w:rsid w:val="00311FA3"/>
    <w:rsid w:val="003408D0"/>
    <w:rsid w:val="00347A15"/>
    <w:rsid w:val="003A39C5"/>
    <w:rsid w:val="003A5FCC"/>
    <w:rsid w:val="003B5344"/>
    <w:rsid w:val="003F2FA4"/>
    <w:rsid w:val="00446A00"/>
    <w:rsid w:val="00457EF1"/>
    <w:rsid w:val="00486AAE"/>
    <w:rsid w:val="00491E76"/>
    <w:rsid w:val="0049242C"/>
    <w:rsid w:val="004B4195"/>
    <w:rsid w:val="004C5EFD"/>
    <w:rsid w:val="004D26B3"/>
    <w:rsid w:val="005001A1"/>
    <w:rsid w:val="00570F96"/>
    <w:rsid w:val="00750B65"/>
    <w:rsid w:val="007B0D00"/>
    <w:rsid w:val="007C5136"/>
    <w:rsid w:val="007D67AF"/>
    <w:rsid w:val="00820AB0"/>
    <w:rsid w:val="0083058A"/>
    <w:rsid w:val="0088138E"/>
    <w:rsid w:val="008905EC"/>
    <w:rsid w:val="008B6C6C"/>
    <w:rsid w:val="008D17BC"/>
    <w:rsid w:val="008F029D"/>
    <w:rsid w:val="009443AC"/>
    <w:rsid w:val="0098310D"/>
    <w:rsid w:val="00992C55"/>
    <w:rsid w:val="009F42A7"/>
    <w:rsid w:val="00A67955"/>
    <w:rsid w:val="00B167C2"/>
    <w:rsid w:val="00B3269B"/>
    <w:rsid w:val="00B4053E"/>
    <w:rsid w:val="00BB157C"/>
    <w:rsid w:val="00F3168F"/>
    <w:rsid w:val="00F55C66"/>
    <w:rsid w:val="00F61E57"/>
    <w:rsid w:val="00FD3921"/>
    <w:rsid w:val="00FE4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648B"/>
  </w:style>
  <w:style w:type="paragraph" w:styleId="Heading3">
    <w:name w:val="heading 3"/>
    <w:basedOn w:val="Normal"/>
    <w:link w:val="Heading3Char"/>
    <w:qFormat/>
    <w:rsid w:val="00224D2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648B"/>
    <w:rPr>
      <w:sz w:val="20"/>
      <w:szCs w:val="20"/>
    </w:rPr>
  </w:style>
  <w:style w:type="character" w:customStyle="1" w:styleId="FootnoteTextChar">
    <w:name w:val="Footnote Text Char"/>
    <w:basedOn w:val="DefaultParagraphFont"/>
    <w:link w:val="FootnoteText"/>
    <w:uiPriority w:val="99"/>
    <w:semiHidden/>
    <w:rsid w:val="002C648B"/>
    <w:rPr>
      <w:sz w:val="20"/>
      <w:szCs w:val="20"/>
    </w:rPr>
  </w:style>
  <w:style w:type="character" w:styleId="FootnoteReference">
    <w:name w:val="footnote reference"/>
    <w:basedOn w:val="DefaultParagraphFont"/>
    <w:uiPriority w:val="99"/>
    <w:semiHidden/>
    <w:unhideWhenUsed/>
    <w:rsid w:val="002C648B"/>
    <w:rPr>
      <w:vertAlign w:val="superscript"/>
    </w:rPr>
  </w:style>
  <w:style w:type="character" w:customStyle="1" w:styleId="Heading3Char">
    <w:name w:val="Heading 3 Char"/>
    <w:basedOn w:val="DefaultParagraphFont"/>
    <w:link w:val="Heading3"/>
    <w:rsid w:val="00224D26"/>
    <w:rPr>
      <w:rFonts w:ascii="Tahoma" w:eastAsia="SimSun" w:hAnsi="Tahoma" w:cs="Tahoma"/>
      <w:b/>
      <w:bCs/>
      <w:sz w:val="20"/>
      <w:szCs w:val="20"/>
      <w:lang w:eastAsia="zh-CN"/>
    </w:rPr>
  </w:style>
  <w:style w:type="paragraph" w:styleId="NormalWeb">
    <w:name w:val="Normal (Web)"/>
    <w:basedOn w:val="Normal"/>
    <w:rsid w:val="00224D26"/>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224D26"/>
    <w:pPr>
      <w:tabs>
        <w:tab w:val="center" w:pos="4513"/>
        <w:tab w:val="right" w:pos="9026"/>
      </w:tabs>
    </w:pPr>
  </w:style>
  <w:style w:type="character" w:customStyle="1" w:styleId="HeaderChar">
    <w:name w:val="Header Char"/>
    <w:basedOn w:val="DefaultParagraphFont"/>
    <w:link w:val="Header"/>
    <w:uiPriority w:val="99"/>
    <w:rsid w:val="00224D26"/>
  </w:style>
  <w:style w:type="paragraph" w:styleId="Footer">
    <w:name w:val="footer"/>
    <w:basedOn w:val="Normal"/>
    <w:link w:val="FooterChar"/>
    <w:uiPriority w:val="99"/>
    <w:unhideWhenUsed/>
    <w:rsid w:val="00224D26"/>
    <w:pPr>
      <w:tabs>
        <w:tab w:val="center" w:pos="4513"/>
        <w:tab w:val="right" w:pos="9026"/>
      </w:tabs>
    </w:pPr>
  </w:style>
  <w:style w:type="character" w:customStyle="1" w:styleId="FooterChar">
    <w:name w:val="Footer Char"/>
    <w:basedOn w:val="DefaultParagraphFont"/>
    <w:link w:val="Footer"/>
    <w:uiPriority w:val="99"/>
    <w:rsid w:val="00224D26"/>
  </w:style>
  <w:style w:type="paragraph" w:styleId="BalloonText">
    <w:name w:val="Balloon Text"/>
    <w:basedOn w:val="Normal"/>
    <w:link w:val="BalloonTextChar"/>
    <w:uiPriority w:val="99"/>
    <w:semiHidden/>
    <w:unhideWhenUsed/>
    <w:rsid w:val="007B0D00"/>
    <w:rPr>
      <w:rFonts w:ascii="Tahoma" w:hAnsi="Tahoma" w:cs="Tahoma"/>
      <w:sz w:val="16"/>
      <w:szCs w:val="16"/>
    </w:rPr>
  </w:style>
  <w:style w:type="character" w:customStyle="1" w:styleId="BalloonTextChar">
    <w:name w:val="Balloon Text Char"/>
    <w:basedOn w:val="DefaultParagraphFont"/>
    <w:link w:val="BalloonText"/>
    <w:uiPriority w:val="99"/>
    <w:semiHidden/>
    <w:rsid w:val="007B0D00"/>
    <w:rPr>
      <w:rFonts w:ascii="Tahoma" w:hAnsi="Tahoma" w:cs="Tahoma"/>
      <w:sz w:val="16"/>
      <w:szCs w:val="16"/>
    </w:rPr>
  </w:style>
  <w:style w:type="character" w:styleId="CommentReference">
    <w:name w:val="annotation reference"/>
    <w:basedOn w:val="DefaultParagraphFont"/>
    <w:uiPriority w:val="99"/>
    <w:semiHidden/>
    <w:unhideWhenUsed/>
    <w:rsid w:val="007B0D00"/>
    <w:rPr>
      <w:sz w:val="16"/>
      <w:szCs w:val="16"/>
    </w:rPr>
  </w:style>
  <w:style w:type="paragraph" w:styleId="CommentText">
    <w:name w:val="annotation text"/>
    <w:basedOn w:val="Normal"/>
    <w:link w:val="CommentTextChar"/>
    <w:uiPriority w:val="99"/>
    <w:semiHidden/>
    <w:unhideWhenUsed/>
    <w:rsid w:val="007B0D00"/>
    <w:rPr>
      <w:sz w:val="20"/>
      <w:szCs w:val="20"/>
    </w:rPr>
  </w:style>
  <w:style w:type="character" w:customStyle="1" w:styleId="CommentTextChar">
    <w:name w:val="Comment Text Char"/>
    <w:basedOn w:val="DefaultParagraphFont"/>
    <w:link w:val="CommentText"/>
    <w:uiPriority w:val="99"/>
    <w:semiHidden/>
    <w:rsid w:val="007B0D00"/>
    <w:rPr>
      <w:sz w:val="20"/>
      <w:szCs w:val="20"/>
    </w:rPr>
  </w:style>
  <w:style w:type="paragraph" w:styleId="CommentSubject">
    <w:name w:val="annotation subject"/>
    <w:basedOn w:val="CommentText"/>
    <w:next w:val="CommentText"/>
    <w:link w:val="CommentSubjectChar"/>
    <w:uiPriority w:val="99"/>
    <w:semiHidden/>
    <w:unhideWhenUsed/>
    <w:rsid w:val="007B0D00"/>
    <w:rPr>
      <w:b/>
      <w:bCs/>
    </w:rPr>
  </w:style>
  <w:style w:type="character" w:customStyle="1" w:styleId="CommentSubjectChar">
    <w:name w:val="Comment Subject Char"/>
    <w:basedOn w:val="CommentTextChar"/>
    <w:link w:val="CommentSubject"/>
    <w:uiPriority w:val="99"/>
    <w:semiHidden/>
    <w:rsid w:val="007B0D00"/>
    <w:rPr>
      <w:b/>
      <w:bCs/>
      <w:sz w:val="20"/>
      <w:szCs w:val="20"/>
    </w:rPr>
  </w:style>
  <w:style w:type="paragraph" w:styleId="ListParagraph">
    <w:name w:val="List Paragraph"/>
    <w:basedOn w:val="Normal"/>
    <w:uiPriority w:val="34"/>
    <w:qFormat/>
    <w:rsid w:val="00006C0D"/>
    <w:pPr>
      <w:spacing w:after="200" w:line="276" w:lineRule="auto"/>
      <w:ind w:left="720"/>
      <w:contextualSpacing/>
    </w:pPr>
    <w:rPr>
      <w:sz w:val="22"/>
      <w:szCs w:val="22"/>
    </w:rPr>
  </w:style>
  <w:style w:type="paragraph" w:customStyle="1" w:styleId="Default">
    <w:name w:val="Default"/>
    <w:rsid w:val="00006C0D"/>
    <w:pPr>
      <w:pBdr>
        <w:top w:val="nil"/>
        <w:left w:val="nil"/>
        <w:bottom w:val="nil"/>
        <w:right w:val="nil"/>
        <w:between w:val="nil"/>
        <w:bar w:val="nil"/>
      </w:pBdr>
    </w:pPr>
    <w:rPr>
      <w:rFonts w:ascii="Helvetica Neue" w:eastAsia="Helvetica Neue" w:hAnsi="Helvetica Neue" w:cs="Helvetica Neue"/>
      <w:color w:val="000000"/>
      <w:sz w:val="22"/>
      <w:szCs w:val="22"/>
      <w:u w:color="000000"/>
      <w:bdr w:val="nil"/>
      <w:lang w:eastAsia="en-GB"/>
    </w:rPr>
  </w:style>
  <w:style w:type="paragraph" w:customStyle="1" w:styleId="Body">
    <w:name w:val="Body"/>
    <w:rsid w:val="00006C0D"/>
    <w:pPr>
      <w:pBdr>
        <w:top w:val="nil"/>
        <w:left w:val="nil"/>
        <w:bottom w:val="nil"/>
        <w:right w:val="nil"/>
        <w:between w:val="nil"/>
        <w:bar w:val="nil"/>
      </w:pBdr>
    </w:pPr>
    <w:rPr>
      <w:rFonts w:ascii="Times New Roman" w:eastAsia="Times New Roman" w:hAnsi="Times New Roman" w:cs="Times New Roman"/>
      <w:color w:val="000000"/>
      <w:u w:color="000000"/>
      <w:bdr w:val="nil"/>
      <w:lang w:eastAsia="en-GB"/>
    </w:rPr>
  </w:style>
  <w:style w:type="paragraph" w:customStyle="1" w:styleId="BodyA">
    <w:name w:val="Body A"/>
    <w:rsid w:val="00006C0D"/>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648B"/>
  </w:style>
  <w:style w:type="paragraph" w:styleId="Heading3">
    <w:name w:val="heading 3"/>
    <w:basedOn w:val="Normal"/>
    <w:link w:val="Heading3Char"/>
    <w:qFormat/>
    <w:rsid w:val="00224D2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648B"/>
    <w:rPr>
      <w:sz w:val="20"/>
      <w:szCs w:val="20"/>
    </w:rPr>
  </w:style>
  <w:style w:type="character" w:customStyle="1" w:styleId="FootnoteTextChar">
    <w:name w:val="Footnote Text Char"/>
    <w:basedOn w:val="DefaultParagraphFont"/>
    <w:link w:val="FootnoteText"/>
    <w:uiPriority w:val="99"/>
    <w:semiHidden/>
    <w:rsid w:val="002C648B"/>
    <w:rPr>
      <w:sz w:val="20"/>
      <w:szCs w:val="20"/>
    </w:rPr>
  </w:style>
  <w:style w:type="character" w:styleId="FootnoteReference">
    <w:name w:val="footnote reference"/>
    <w:basedOn w:val="DefaultParagraphFont"/>
    <w:uiPriority w:val="99"/>
    <w:semiHidden/>
    <w:unhideWhenUsed/>
    <w:rsid w:val="002C648B"/>
    <w:rPr>
      <w:vertAlign w:val="superscript"/>
    </w:rPr>
  </w:style>
  <w:style w:type="character" w:customStyle="1" w:styleId="Heading3Char">
    <w:name w:val="Heading 3 Char"/>
    <w:basedOn w:val="DefaultParagraphFont"/>
    <w:link w:val="Heading3"/>
    <w:rsid w:val="00224D26"/>
    <w:rPr>
      <w:rFonts w:ascii="Tahoma" w:eastAsia="SimSun" w:hAnsi="Tahoma" w:cs="Tahoma"/>
      <w:b/>
      <w:bCs/>
      <w:sz w:val="20"/>
      <w:szCs w:val="20"/>
      <w:lang w:eastAsia="zh-CN"/>
    </w:rPr>
  </w:style>
  <w:style w:type="paragraph" w:styleId="NormalWeb">
    <w:name w:val="Normal (Web)"/>
    <w:basedOn w:val="Normal"/>
    <w:rsid w:val="00224D26"/>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224D26"/>
    <w:pPr>
      <w:tabs>
        <w:tab w:val="center" w:pos="4513"/>
        <w:tab w:val="right" w:pos="9026"/>
      </w:tabs>
    </w:pPr>
  </w:style>
  <w:style w:type="character" w:customStyle="1" w:styleId="HeaderChar">
    <w:name w:val="Header Char"/>
    <w:basedOn w:val="DefaultParagraphFont"/>
    <w:link w:val="Header"/>
    <w:uiPriority w:val="99"/>
    <w:rsid w:val="00224D26"/>
  </w:style>
  <w:style w:type="paragraph" w:styleId="Footer">
    <w:name w:val="footer"/>
    <w:basedOn w:val="Normal"/>
    <w:link w:val="FooterChar"/>
    <w:uiPriority w:val="99"/>
    <w:unhideWhenUsed/>
    <w:rsid w:val="00224D26"/>
    <w:pPr>
      <w:tabs>
        <w:tab w:val="center" w:pos="4513"/>
        <w:tab w:val="right" w:pos="9026"/>
      </w:tabs>
    </w:pPr>
  </w:style>
  <w:style w:type="character" w:customStyle="1" w:styleId="FooterChar">
    <w:name w:val="Footer Char"/>
    <w:basedOn w:val="DefaultParagraphFont"/>
    <w:link w:val="Footer"/>
    <w:uiPriority w:val="99"/>
    <w:rsid w:val="00224D26"/>
  </w:style>
  <w:style w:type="paragraph" w:styleId="BalloonText">
    <w:name w:val="Balloon Text"/>
    <w:basedOn w:val="Normal"/>
    <w:link w:val="BalloonTextChar"/>
    <w:uiPriority w:val="99"/>
    <w:semiHidden/>
    <w:unhideWhenUsed/>
    <w:rsid w:val="007B0D00"/>
    <w:rPr>
      <w:rFonts w:ascii="Tahoma" w:hAnsi="Tahoma" w:cs="Tahoma"/>
      <w:sz w:val="16"/>
      <w:szCs w:val="16"/>
    </w:rPr>
  </w:style>
  <w:style w:type="character" w:customStyle="1" w:styleId="BalloonTextChar">
    <w:name w:val="Balloon Text Char"/>
    <w:basedOn w:val="DefaultParagraphFont"/>
    <w:link w:val="BalloonText"/>
    <w:uiPriority w:val="99"/>
    <w:semiHidden/>
    <w:rsid w:val="007B0D00"/>
    <w:rPr>
      <w:rFonts w:ascii="Tahoma" w:hAnsi="Tahoma" w:cs="Tahoma"/>
      <w:sz w:val="16"/>
      <w:szCs w:val="16"/>
    </w:rPr>
  </w:style>
  <w:style w:type="character" w:styleId="CommentReference">
    <w:name w:val="annotation reference"/>
    <w:basedOn w:val="DefaultParagraphFont"/>
    <w:uiPriority w:val="99"/>
    <w:semiHidden/>
    <w:unhideWhenUsed/>
    <w:rsid w:val="007B0D00"/>
    <w:rPr>
      <w:sz w:val="16"/>
      <w:szCs w:val="16"/>
    </w:rPr>
  </w:style>
  <w:style w:type="paragraph" w:styleId="CommentText">
    <w:name w:val="annotation text"/>
    <w:basedOn w:val="Normal"/>
    <w:link w:val="CommentTextChar"/>
    <w:uiPriority w:val="99"/>
    <w:semiHidden/>
    <w:unhideWhenUsed/>
    <w:rsid w:val="007B0D00"/>
    <w:rPr>
      <w:sz w:val="20"/>
      <w:szCs w:val="20"/>
    </w:rPr>
  </w:style>
  <w:style w:type="character" w:customStyle="1" w:styleId="CommentTextChar">
    <w:name w:val="Comment Text Char"/>
    <w:basedOn w:val="DefaultParagraphFont"/>
    <w:link w:val="CommentText"/>
    <w:uiPriority w:val="99"/>
    <w:semiHidden/>
    <w:rsid w:val="007B0D00"/>
    <w:rPr>
      <w:sz w:val="20"/>
      <w:szCs w:val="20"/>
    </w:rPr>
  </w:style>
  <w:style w:type="paragraph" w:styleId="CommentSubject">
    <w:name w:val="annotation subject"/>
    <w:basedOn w:val="CommentText"/>
    <w:next w:val="CommentText"/>
    <w:link w:val="CommentSubjectChar"/>
    <w:uiPriority w:val="99"/>
    <w:semiHidden/>
    <w:unhideWhenUsed/>
    <w:rsid w:val="007B0D00"/>
    <w:rPr>
      <w:b/>
      <w:bCs/>
    </w:rPr>
  </w:style>
  <w:style w:type="character" w:customStyle="1" w:styleId="CommentSubjectChar">
    <w:name w:val="Comment Subject Char"/>
    <w:basedOn w:val="CommentTextChar"/>
    <w:link w:val="CommentSubject"/>
    <w:uiPriority w:val="99"/>
    <w:semiHidden/>
    <w:rsid w:val="007B0D00"/>
    <w:rPr>
      <w:b/>
      <w:bCs/>
      <w:sz w:val="20"/>
      <w:szCs w:val="20"/>
    </w:rPr>
  </w:style>
  <w:style w:type="paragraph" w:styleId="ListParagraph">
    <w:name w:val="List Paragraph"/>
    <w:basedOn w:val="Normal"/>
    <w:uiPriority w:val="34"/>
    <w:qFormat/>
    <w:rsid w:val="00006C0D"/>
    <w:pPr>
      <w:spacing w:after="200" w:line="276" w:lineRule="auto"/>
      <w:ind w:left="720"/>
      <w:contextualSpacing/>
    </w:pPr>
    <w:rPr>
      <w:sz w:val="22"/>
      <w:szCs w:val="22"/>
    </w:rPr>
  </w:style>
  <w:style w:type="paragraph" w:customStyle="1" w:styleId="Default">
    <w:name w:val="Default"/>
    <w:rsid w:val="00006C0D"/>
    <w:pPr>
      <w:pBdr>
        <w:top w:val="nil"/>
        <w:left w:val="nil"/>
        <w:bottom w:val="nil"/>
        <w:right w:val="nil"/>
        <w:between w:val="nil"/>
        <w:bar w:val="nil"/>
      </w:pBdr>
    </w:pPr>
    <w:rPr>
      <w:rFonts w:ascii="Helvetica Neue" w:eastAsia="Helvetica Neue" w:hAnsi="Helvetica Neue" w:cs="Helvetica Neue"/>
      <w:color w:val="000000"/>
      <w:sz w:val="22"/>
      <w:szCs w:val="22"/>
      <w:u w:color="000000"/>
      <w:bdr w:val="nil"/>
      <w:lang w:eastAsia="en-GB"/>
    </w:rPr>
  </w:style>
  <w:style w:type="paragraph" w:customStyle="1" w:styleId="Body">
    <w:name w:val="Body"/>
    <w:rsid w:val="00006C0D"/>
    <w:pPr>
      <w:pBdr>
        <w:top w:val="nil"/>
        <w:left w:val="nil"/>
        <w:bottom w:val="nil"/>
        <w:right w:val="nil"/>
        <w:between w:val="nil"/>
        <w:bar w:val="nil"/>
      </w:pBdr>
    </w:pPr>
    <w:rPr>
      <w:rFonts w:ascii="Times New Roman" w:eastAsia="Times New Roman" w:hAnsi="Times New Roman" w:cs="Times New Roman"/>
      <w:color w:val="000000"/>
      <w:u w:color="000000"/>
      <w:bdr w:val="nil"/>
      <w:lang w:eastAsia="en-GB"/>
    </w:rPr>
  </w:style>
  <w:style w:type="paragraph" w:customStyle="1" w:styleId="BodyA">
    <w:name w:val="Body A"/>
    <w:rsid w:val="00006C0D"/>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1824</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Ian Matthews</dc:creator>
  <cp:lastModifiedBy>Administrator</cp:lastModifiedBy>
  <cp:revision>2</cp:revision>
  <dcterms:created xsi:type="dcterms:W3CDTF">2018-05-08T10:48:00Z</dcterms:created>
  <dcterms:modified xsi:type="dcterms:W3CDTF">2018-05-08T10:48:00Z</dcterms:modified>
</cp:coreProperties>
</file>