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64976524"/>
        <w:docPartObj>
          <w:docPartGallery w:val="Cover Pages"/>
          <w:docPartUnique/>
        </w:docPartObj>
      </w:sdtPr>
      <w:sdtEndPr>
        <w:rPr>
          <w:rFonts w:eastAsiaTheme="minorHAnsi"/>
          <w:lang w:val="en-GB"/>
        </w:rPr>
      </w:sdtEndPr>
      <w:sdtContent>
        <w:p w14:paraId="01B69532" w14:textId="1DB37040" w:rsidR="00224AB2" w:rsidRDefault="00224AB2">
          <w:pPr>
            <w:pStyle w:val="NoSpacing"/>
          </w:pPr>
          <w:r>
            <w:rPr>
              <w:noProof/>
            </w:rPr>
            <mc:AlternateContent>
              <mc:Choice Requires="wpg">
                <w:drawing>
                  <wp:anchor distT="0" distB="0" distL="114300" distR="114300" simplePos="0" relativeHeight="251659264" behindDoc="1" locked="0" layoutInCell="1" allowOverlap="1" wp14:anchorId="5486448D" wp14:editId="3E00C79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B679177" w14:textId="77777777" w:rsidR="00224AB2" w:rsidRDefault="00224AB2">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486448D"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B679177" w14:textId="77777777" w:rsidR="00224AB2" w:rsidRDefault="00224AB2">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EF4D733" wp14:editId="51F08AF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8170BA" w14:textId="6A8B677F" w:rsidR="00224AB2" w:rsidRDefault="00224AB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Irina Popescu-Serban (1908279)</w:t>
                                    </w:r>
                                  </w:sdtContent>
                                </w:sdt>
                              </w:p>
                              <w:p w14:paraId="6CCE7971" w14:textId="65A17CF7" w:rsidR="00224AB2" w:rsidRDefault="00224AB2">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EF4D733"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C8170BA" w14:textId="6A8B677F" w:rsidR="00224AB2" w:rsidRDefault="00224AB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Irina Popescu-Serban (1908279)</w:t>
                              </w:r>
                            </w:sdtContent>
                          </w:sdt>
                        </w:p>
                        <w:p w14:paraId="6CCE7971" w14:textId="65A17CF7" w:rsidR="00224AB2" w:rsidRDefault="00224AB2">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41095A7" wp14:editId="5B49F2A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EB59EC" w14:textId="7FDD4F15" w:rsidR="00224AB2" w:rsidRPr="00224AB2" w:rsidRDefault="00224AB2" w:rsidP="00224AB2">
                                <w:pPr>
                                  <w:rPr>
                                    <w:rFonts w:eastAsiaTheme="majorEastAsia"/>
                                    <w:color w:val="262626" w:themeColor="text1" w:themeTint="D9"/>
                                    <w:sz w:val="28"/>
                                    <w:szCs w:val="28"/>
                                  </w:rPr>
                                </w:pPr>
                                <w:sdt>
                                  <w:sdtPr>
                                    <w:rPr>
                                      <w:sz w:val="28"/>
                                      <w:szCs w:val="28"/>
                                      <w:lang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24AB2">
                                      <w:rPr>
                                        <w:sz w:val="28"/>
                                        <w:szCs w:val="28"/>
                                        <w:lang w:eastAsia="en-GB"/>
                                      </w:rPr>
                                      <w:t>It may be argued that the principle of statutory interpretation diminishes the status of legislation as the primary source of law in the UK.</w:t>
                                    </w:r>
                                  </w:sdtContent>
                                </w:sdt>
                              </w:p>
                              <w:p w14:paraId="47E55E0B" w14:textId="25E2CF38" w:rsidR="00224AB2" w:rsidRPr="00224AB2" w:rsidRDefault="00224AB2" w:rsidP="00224AB2">
                                <w:pPr>
                                  <w:rPr>
                                    <w:color w:val="404040" w:themeColor="text1" w:themeTint="BF"/>
                                    <w:sz w:val="28"/>
                                    <w:szCs w:val="28"/>
                                  </w:rPr>
                                </w:pPr>
                                <w:sdt>
                                  <w:sdtPr>
                                    <w:rPr>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224AB2">
                                      <w:rPr>
                                        <w:sz w:val="28"/>
                                        <w:szCs w:val="28"/>
                                      </w:rPr>
                                      <w:t>BMLW4003</w:t>
                                    </w:r>
                                    <w:r w:rsidRPr="00224AB2">
                                      <w:rPr>
                                        <w:sz w:val="28"/>
                                        <w:szCs w:val="28"/>
                                      </w:rPr>
                                      <w:t>-Legal Process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41095A7"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08EB59EC" w14:textId="7FDD4F15" w:rsidR="00224AB2" w:rsidRPr="00224AB2" w:rsidRDefault="00224AB2" w:rsidP="00224AB2">
                          <w:pPr>
                            <w:rPr>
                              <w:rFonts w:eastAsiaTheme="majorEastAsia"/>
                              <w:color w:val="262626" w:themeColor="text1" w:themeTint="D9"/>
                              <w:sz w:val="28"/>
                              <w:szCs w:val="28"/>
                            </w:rPr>
                          </w:pPr>
                          <w:sdt>
                            <w:sdtPr>
                              <w:rPr>
                                <w:sz w:val="28"/>
                                <w:szCs w:val="28"/>
                                <w:lang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24AB2">
                                <w:rPr>
                                  <w:sz w:val="28"/>
                                  <w:szCs w:val="28"/>
                                  <w:lang w:eastAsia="en-GB"/>
                                </w:rPr>
                                <w:t>It may be argued that the principle of statutory interpretation diminishes the status of legislation as the primary source of law in the UK.</w:t>
                              </w:r>
                            </w:sdtContent>
                          </w:sdt>
                        </w:p>
                        <w:p w14:paraId="47E55E0B" w14:textId="25E2CF38" w:rsidR="00224AB2" w:rsidRPr="00224AB2" w:rsidRDefault="00224AB2" w:rsidP="00224AB2">
                          <w:pPr>
                            <w:rPr>
                              <w:color w:val="404040" w:themeColor="text1" w:themeTint="BF"/>
                              <w:sz w:val="28"/>
                              <w:szCs w:val="28"/>
                            </w:rPr>
                          </w:pPr>
                          <w:sdt>
                            <w:sdtPr>
                              <w:rPr>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224AB2">
                                <w:rPr>
                                  <w:sz w:val="28"/>
                                  <w:szCs w:val="28"/>
                                </w:rPr>
                                <w:t>BMLW4003</w:t>
                              </w:r>
                              <w:r w:rsidRPr="00224AB2">
                                <w:rPr>
                                  <w:sz w:val="28"/>
                                  <w:szCs w:val="28"/>
                                </w:rPr>
                                <w:t>-Legal Process</w:t>
                              </w:r>
                            </w:sdtContent>
                          </w:sdt>
                        </w:p>
                      </w:txbxContent>
                    </v:textbox>
                    <w10:wrap anchorx="page" anchory="page"/>
                  </v:shape>
                </w:pict>
              </mc:Fallback>
            </mc:AlternateContent>
          </w:r>
        </w:p>
        <w:p w14:paraId="2362E5FD" w14:textId="3EEF8381" w:rsidR="00224AB2" w:rsidRDefault="00224AB2">
          <w:r>
            <w:br w:type="page"/>
          </w:r>
        </w:p>
      </w:sdtContent>
    </w:sdt>
    <w:p w14:paraId="7F56FA86" w14:textId="25DB6FE0" w:rsidR="00224AB2" w:rsidRPr="00FD647B" w:rsidRDefault="00224AB2" w:rsidP="00520297">
      <w:pPr>
        <w:rPr>
          <w:rFonts w:ascii="Arial" w:hAnsi="Arial" w:cs="Arial"/>
          <w:sz w:val="24"/>
          <w:szCs w:val="24"/>
        </w:rPr>
      </w:pPr>
      <w:r w:rsidRPr="00520297">
        <w:rPr>
          <w:rFonts w:ascii="Arial" w:hAnsi="Arial" w:cs="Arial"/>
          <w:sz w:val="24"/>
          <w:szCs w:val="24"/>
        </w:rPr>
        <w:lastRenderedPageBreak/>
        <w:t>Statutory interpretation refers to the methods used to interpret the law in different ways to achieve the desired outcome in cases. This essay aims to explain the different rules that are applied regarding the statutory interpretation and analyze relevant case law in which these rules were applied and discuss how the interpretation of the law influenced the outcomes of the cases. The history of interpreting statute will be discussed, and reasons for the need for statutory interpretation will be examined, as well as the disadvantages that it may lead to in certain cases. Throughout the essay, expert opinions that were obtained from scholarly sources will be referenced to back up any claims or evidence provided. Finally, the essay will conclude that statutory interpretation rules are necessary for certain circumstances to prevent the misuse of the law, but that the literal golden rules of interpretation should apply, and the purposive rule should not be used as it violates the doctrines of separation of powers and parliamentary sovereignty.</w:t>
      </w:r>
    </w:p>
    <w:p w14:paraId="55C6D01C" w14:textId="48BE032C" w:rsidR="00063483" w:rsidRPr="00520297" w:rsidRDefault="00224AB2" w:rsidP="00520297">
      <w:pPr>
        <w:rPr>
          <w:rFonts w:ascii="Arial" w:hAnsi="Arial" w:cs="Arial"/>
          <w:sz w:val="24"/>
          <w:szCs w:val="24"/>
        </w:rPr>
      </w:pPr>
      <w:r w:rsidRPr="00520297">
        <w:rPr>
          <w:rFonts w:ascii="Arial" w:hAnsi="Arial" w:cs="Arial"/>
          <w:sz w:val="24"/>
          <w:szCs w:val="24"/>
        </w:rPr>
        <w:tab/>
        <w:t>Initially, judges used to be members of the council of the King. Therefore, interpretation was not required, as the judges themselves were creating the law and then applying it with the same intention that they had made it. As the years went by, eventually, the King became the sole legislator in conjunction with the Parliament, which led to several changes. One of these changes was that judges did not always understand the intention with which Parliament and the King had written certain laws and therefore had to seek guidance as to what the King’s intention at the time of writing the provision was before applying the law.</w:t>
      </w:r>
    </w:p>
    <w:p w14:paraId="21EDBA11" w14:textId="1A6284A6" w:rsidR="00224AB2" w:rsidRPr="00FD647B" w:rsidRDefault="00224AB2" w:rsidP="00520297">
      <w:pPr>
        <w:rPr>
          <w:rFonts w:ascii="Arial" w:hAnsi="Arial" w:cs="Arial"/>
          <w:sz w:val="24"/>
          <w:szCs w:val="24"/>
        </w:rPr>
      </w:pPr>
      <w:r w:rsidRPr="00520297">
        <w:rPr>
          <w:rFonts w:ascii="Arial" w:hAnsi="Arial" w:cs="Arial"/>
          <w:sz w:val="24"/>
          <w:szCs w:val="24"/>
        </w:rPr>
        <w:t xml:space="preserve">During the revolution, the King’s rule was abolished, and there was a separation of powers between the judiciary, the executive, and the legislature. Due to the doctrine of separation of powers, it became the judges’ duty solely to interpret the law as was required </w:t>
      </w:r>
      <w:r w:rsidRPr="00520297">
        <w:rPr>
          <w:rFonts w:ascii="Arial" w:hAnsi="Arial" w:cs="Arial"/>
          <w:sz w:val="24"/>
          <w:szCs w:val="24"/>
        </w:rPr>
        <w:fldChar w:fldCharType="begin"/>
      </w:r>
      <w:r w:rsidRPr="00520297">
        <w:rPr>
          <w:rFonts w:ascii="Arial" w:hAnsi="Arial" w:cs="Arial"/>
          <w:sz w:val="24"/>
          <w:szCs w:val="24"/>
        </w:rPr>
        <w:instrText xml:space="preserve"> ADDIN ZOTERO_ITEM CSL_CITATION {"citationID":"7ImQePqy","properties":{"formattedCitation":"(Palsikar, 2020)","plainCitation":"(Palsikar, 2020)","noteIndex":0},"citationItems":[{"id":105,"uris":["http://zotero.org/users/5751666/items/TC93YKIE"],"itemData":{"id":105,"type":"article-journal","container-title":"Available at SSRN 3720368","title":"Critical Analysis of Literal Rule of Interpretation","author":[{"family":"Palsikar","given":"Abhinav"}],"issued":{"date-parts":[["2020"]]}}}],"schema":"https://github.com/citation-style-language/schema/raw/master/csl-citation.json"} </w:instrText>
      </w:r>
      <w:r w:rsidRPr="00520297">
        <w:rPr>
          <w:rFonts w:ascii="Arial" w:hAnsi="Arial" w:cs="Arial"/>
          <w:sz w:val="24"/>
          <w:szCs w:val="24"/>
        </w:rPr>
        <w:fldChar w:fldCharType="separate"/>
      </w:r>
      <w:r w:rsidRPr="00520297">
        <w:rPr>
          <w:rFonts w:ascii="Arial" w:hAnsi="Arial" w:cs="Arial"/>
          <w:noProof/>
          <w:sz w:val="24"/>
          <w:szCs w:val="24"/>
        </w:rPr>
        <w:t>(Palsikar, 2020)</w:t>
      </w:r>
      <w:r w:rsidRPr="00520297">
        <w:rPr>
          <w:rFonts w:ascii="Arial" w:hAnsi="Arial" w:cs="Arial"/>
          <w:sz w:val="24"/>
          <w:szCs w:val="24"/>
        </w:rPr>
        <w:fldChar w:fldCharType="end"/>
      </w:r>
      <w:r w:rsidRPr="00520297">
        <w:rPr>
          <w:rFonts w:ascii="Arial" w:hAnsi="Arial" w:cs="Arial"/>
          <w:sz w:val="24"/>
          <w:szCs w:val="24"/>
        </w:rPr>
        <w:t xml:space="preserve">. However, it is important that in the case of Pepper v Hart, it was decided that the rule that Parliamentary debates could not be considered by the judiciary when they sought guidance as to what a specific provision meant should be removed </w:t>
      </w:r>
      <w:r w:rsidRPr="00520297">
        <w:rPr>
          <w:rFonts w:ascii="Arial" w:hAnsi="Arial" w:cs="Arial"/>
          <w:sz w:val="24"/>
          <w:szCs w:val="24"/>
        </w:rPr>
        <w:fldChar w:fldCharType="begin"/>
      </w:r>
      <w:r w:rsidRPr="00520297">
        <w:rPr>
          <w:rFonts w:ascii="Arial" w:hAnsi="Arial" w:cs="Arial"/>
          <w:sz w:val="24"/>
          <w:szCs w:val="24"/>
        </w:rPr>
        <w:instrText xml:space="preserve"> ADDIN ZOTERO_ITEM CSL_CITATION {"citationID":"0kV7seKk","properties":{"formattedCitation":"(Styles, 1994)","plainCitation":"(Styles, 1994)","noteIndex":0},"citationItems":[{"id":115,"uris":["http://zotero.org/users/5751666/items/4GWA9NWP"],"itemData":{"id":115,"type":"article-journal","container-title":"Oxford J. Legal Stud.","note":"publisher: HeinOnline","page":"151","title":"The Rule of Parliament: Statutory Interpretation After Pepper v Hart","volume":"14","author":[{"family":"Styles","given":"Scott C."}],"issued":{"date-parts":[["1994"]]}}}],"schema":"https://github.com/citation-style-language/schema/raw/master/csl-citation.json"} </w:instrText>
      </w:r>
      <w:r w:rsidRPr="00520297">
        <w:rPr>
          <w:rFonts w:ascii="Arial" w:hAnsi="Arial" w:cs="Arial"/>
          <w:sz w:val="24"/>
          <w:szCs w:val="24"/>
        </w:rPr>
        <w:fldChar w:fldCharType="separate"/>
      </w:r>
      <w:r w:rsidRPr="00520297">
        <w:rPr>
          <w:rFonts w:ascii="Arial" w:hAnsi="Arial" w:cs="Arial"/>
          <w:noProof/>
          <w:sz w:val="24"/>
          <w:szCs w:val="24"/>
        </w:rPr>
        <w:t>(Styles, 1994)</w:t>
      </w:r>
      <w:r w:rsidRPr="00520297">
        <w:rPr>
          <w:rFonts w:ascii="Arial" w:hAnsi="Arial" w:cs="Arial"/>
          <w:sz w:val="24"/>
          <w:szCs w:val="24"/>
        </w:rPr>
        <w:fldChar w:fldCharType="end"/>
      </w:r>
      <w:r w:rsidRPr="00520297">
        <w:rPr>
          <w:rFonts w:ascii="Arial" w:hAnsi="Arial" w:cs="Arial"/>
          <w:sz w:val="24"/>
          <w:szCs w:val="24"/>
        </w:rPr>
        <w:t>. Therefore, in this way, the separation of powers in the aspect of statutory interpretation is not absolute.</w:t>
      </w:r>
    </w:p>
    <w:p w14:paraId="03791CBB" w14:textId="024F78CC" w:rsidR="00224AB2" w:rsidRPr="00FD647B" w:rsidRDefault="00FD647B" w:rsidP="00520297">
      <w:pPr>
        <w:rPr>
          <w:rFonts w:ascii="Arial" w:hAnsi="Arial" w:cs="Arial"/>
          <w:sz w:val="24"/>
          <w:szCs w:val="24"/>
        </w:rPr>
      </w:pPr>
      <w:r>
        <w:rPr>
          <w:rFonts w:ascii="Arial" w:hAnsi="Arial" w:cs="Arial"/>
          <w:sz w:val="24"/>
          <w:szCs w:val="24"/>
        </w:rPr>
        <w:t xml:space="preserve">    </w:t>
      </w:r>
      <w:r w:rsidR="00224AB2" w:rsidRPr="00520297">
        <w:rPr>
          <w:rFonts w:ascii="Arial" w:hAnsi="Arial" w:cs="Arial"/>
          <w:sz w:val="24"/>
          <w:szCs w:val="24"/>
        </w:rPr>
        <w:t xml:space="preserve">The need for statutory interpretation mainly arises when the wording of a provision of the legislation is unclear, contradicts the intention of the statute, or could have a multitude of different meanings. Such ambiguities often arise because the provisions are written in a generalised way to cover an array of different issues. Therefore, interpreting the statute allows the judges to deconstruct and understand such provisions, and apply them in a manner that is in line with the object of the statute. Due to the implementation of separation of powers, judges are the only ones who have the power to interpret statutes in such a manner, and due to the high amount of responsibility this carries, certain rules have been established regarding the statutory interpretation, i.e., the literal, golden, and purposive rules. </w:t>
      </w:r>
      <w:r w:rsidR="00224AB2" w:rsidRPr="00520297">
        <w:rPr>
          <w:rFonts w:ascii="Arial" w:hAnsi="Arial" w:cs="Arial"/>
          <w:sz w:val="24"/>
          <w:szCs w:val="24"/>
        </w:rPr>
        <w:fldChar w:fldCharType="begin"/>
      </w:r>
      <w:r w:rsidR="00224AB2" w:rsidRPr="00520297">
        <w:rPr>
          <w:rFonts w:ascii="Arial" w:hAnsi="Arial" w:cs="Arial"/>
          <w:sz w:val="24"/>
          <w:szCs w:val="24"/>
        </w:rPr>
        <w:instrText xml:space="preserve"> ADDIN ZOTERO_ITEM CSL_CITATION {"citationID":"a2RNXdkx","properties":{"formattedCitation":"(Palsikar, 2020)","plainCitation":"(Palsikar, 2020)","noteIndex":0},"citationItems":[{"id":105,"uris":["http://zotero.org/users/5751666/items/TC93YKIE"],"itemData":{"id":105,"type":"article-journal","container-title":"Available at SSRN 3720368","title":"Critical Analysis of Literal Rule of Interpretation","author":[{"family":"Palsikar","given":"Abhinav"}],"issued":{"date-parts":[["2020"]]}}}],"schema":"https://github.com/citation-style-language/schema/raw/master/csl-citation.json"} </w:instrText>
      </w:r>
      <w:r w:rsidR="00224AB2" w:rsidRPr="00520297">
        <w:rPr>
          <w:rFonts w:ascii="Arial" w:hAnsi="Arial" w:cs="Arial"/>
          <w:sz w:val="24"/>
          <w:szCs w:val="24"/>
        </w:rPr>
        <w:fldChar w:fldCharType="separate"/>
      </w:r>
      <w:r w:rsidR="00224AB2" w:rsidRPr="00520297">
        <w:rPr>
          <w:rFonts w:ascii="Arial" w:hAnsi="Arial" w:cs="Arial"/>
          <w:noProof/>
          <w:sz w:val="24"/>
          <w:szCs w:val="24"/>
        </w:rPr>
        <w:t>(Palsikar, 2020)</w:t>
      </w:r>
      <w:r w:rsidR="00224AB2" w:rsidRPr="00520297">
        <w:rPr>
          <w:rFonts w:ascii="Arial" w:hAnsi="Arial" w:cs="Arial"/>
          <w:sz w:val="24"/>
          <w:szCs w:val="24"/>
        </w:rPr>
        <w:fldChar w:fldCharType="end"/>
      </w:r>
      <w:r w:rsidR="00224AB2" w:rsidRPr="00520297">
        <w:rPr>
          <w:rFonts w:ascii="Arial" w:hAnsi="Arial" w:cs="Arial"/>
          <w:sz w:val="24"/>
          <w:szCs w:val="24"/>
        </w:rPr>
        <w:t>.</w:t>
      </w:r>
    </w:p>
    <w:p w14:paraId="584FF6CB" w14:textId="77777777" w:rsidR="00224AB2" w:rsidRPr="00520297" w:rsidRDefault="00224AB2" w:rsidP="00520297">
      <w:pPr>
        <w:rPr>
          <w:rFonts w:ascii="Arial" w:hAnsi="Arial" w:cs="Arial"/>
          <w:i/>
          <w:iCs/>
          <w:sz w:val="24"/>
          <w:szCs w:val="24"/>
        </w:rPr>
      </w:pPr>
      <w:r w:rsidRPr="00520297">
        <w:rPr>
          <w:rFonts w:ascii="Arial" w:hAnsi="Arial" w:cs="Arial"/>
          <w:sz w:val="24"/>
          <w:szCs w:val="24"/>
        </w:rPr>
        <w:tab/>
        <w:t>The most well-known method of statutory interpretation is the literal rule, which has been followed by judges all over the world for years. As the name suggests, this rule aims to follow the wording of the legislation as literally as possible. Lord Diplock defined the literal rule in a judgment in which he stated:</w:t>
      </w:r>
    </w:p>
    <w:p w14:paraId="6AF9AA63" w14:textId="77777777" w:rsidR="00224AB2" w:rsidRPr="004B01A4" w:rsidRDefault="00224AB2" w:rsidP="004B01A4">
      <w:pPr>
        <w:rPr>
          <w:rStyle w:val="Emphasis"/>
          <w:rFonts w:ascii="Arial" w:hAnsi="Arial" w:cs="Arial"/>
          <w:i w:val="0"/>
          <w:iCs w:val="0"/>
          <w:color w:val="000000" w:themeColor="text1"/>
          <w:sz w:val="24"/>
          <w:szCs w:val="24"/>
          <w:shd w:val="clear" w:color="auto" w:fill="FFFFFF"/>
        </w:rPr>
      </w:pPr>
      <w:r w:rsidRPr="004B01A4">
        <w:rPr>
          <w:rStyle w:val="Emphasis"/>
          <w:rFonts w:ascii="Arial" w:hAnsi="Arial" w:cs="Arial"/>
          <w:i w:val="0"/>
          <w:iCs w:val="0"/>
          <w:color w:val="000000" w:themeColor="text1"/>
          <w:sz w:val="24"/>
          <w:szCs w:val="24"/>
          <w:shd w:val="clear" w:color="auto" w:fill="FFFFFF"/>
        </w:rPr>
        <w:lastRenderedPageBreak/>
        <w:t xml:space="preserve">Where the meaning of the statutory words is plain and unambiguous, it is not then for the judges to invent fancied ambiguities as an excuse for failing to give effect to its plain meaning because they consider the consequences for doing so would be inexpedient, or even unjust or immoral. </w:t>
      </w:r>
      <w:r w:rsidRPr="004B01A4">
        <w:rPr>
          <w:rStyle w:val="Emphasis"/>
          <w:rFonts w:ascii="Arial" w:hAnsi="Arial" w:cs="Arial"/>
          <w:i w:val="0"/>
          <w:iCs w:val="0"/>
          <w:color w:val="000000" w:themeColor="text1"/>
          <w:sz w:val="24"/>
          <w:szCs w:val="24"/>
          <w:shd w:val="clear" w:color="auto" w:fill="FFFFFF"/>
        </w:rPr>
        <w:fldChar w:fldCharType="begin"/>
      </w:r>
      <w:r w:rsidRPr="004B01A4">
        <w:rPr>
          <w:rStyle w:val="Emphasis"/>
          <w:rFonts w:ascii="Arial" w:hAnsi="Arial" w:cs="Arial"/>
          <w:i w:val="0"/>
          <w:iCs w:val="0"/>
          <w:color w:val="000000" w:themeColor="text1"/>
          <w:sz w:val="24"/>
          <w:szCs w:val="24"/>
          <w:shd w:val="clear" w:color="auto" w:fill="FFFFFF"/>
        </w:rPr>
        <w:instrText xml:space="preserve"> ADDIN ZOTERO_ITEM CSL_CITATION {"citationID":"O5wJzcsv","properties":{"formattedCitation":"({\\i{}Duport Steels Ltd v Sirs}, 1980)","plainCitation":"(Duport Steels Ltd v Sirs, 1980)","noteIndex":0},"citationItems":[{"id":107,"uris":["http://zotero.org/users/5751666/items/TENEUMXY"],"itemData":{"id":107,"type":"legal_case","title":"Duport Steels Ltd v Sirs","issued":{"date-parts":[["1980"]]}}}],"schema":"https://github.com/citation-style-language/schema/raw/master/csl-citation.json"} </w:instrText>
      </w:r>
      <w:r w:rsidRPr="004B01A4">
        <w:rPr>
          <w:rStyle w:val="Emphasis"/>
          <w:rFonts w:ascii="Arial" w:hAnsi="Arial" w:cs="Arial"/>
          <w:i w:val="0"/>
          <w:iCs w:val="0"/>
          <w:color w:val="000000" w:themeColor="text1"/>
          <w:sz w:val="24"/>
          <w:szCs w:val="24"/>
          <w:shd w:val="clear" w:color="auto" w:fill="FFFFFF"/>
        </w:rPr>
        <w:fldChar w:fldCharType="separate"/>
      </w:r>
      <w:r w:rsidRPr="004B01A4">
        <w:rPr>
          <w:rFonts w:ascii="Arial" w:hAnsi="Arial" w:cs="Arial"/>
          <w:i/>
          <w:iCs/>
          <w:sz w:val="24"/>
          <w:szCs w:val="24"/>
        </w:rPr>
        <w:t>(Duport Steels Ltd v Sirs, 1980)</w:t>
      </w:r>
      <w:r w:rsidRPr="004B01A4">
        <w:rPr>
          <w:rStyle w:val="Emphasis"/>
          <w:rFonts w:ascii="Arial" w:hAnsi="Arial" w:cs="Arial"/>
          <w:i w:val="0"/>
          <w:iCs w:val="0"/>
          <w:color w:val="000000" w:themeColor="text1"/>
          <w:sz w:val="24"/>
          <w:szCs w:val="24"/>
          <w:shd w:val="clear" w:color="auto" w:fill="FFFFFF"/>
        </w:rPr>
        <w:fldChar w:fldCharType="end"/>
      </w:r>
    </w:p>
    <w:p w14:paraId="33EFB5CA" w14:textId="6F12C45B" w:rsidR="00224AB2" w:rsidRPr="004B01A4" w:rsidRDefault="00224AB2" w:rsidP="004B01A4">
      <w:pPr>
        <w:rPr>
          <w:rStyle w:val="Emphasis"/>
          <w:rFonts w:ascii="Arial" w:hAnsi="Arial" w:cs="Arial"/>
          <w:i w:val="0"/>
          <w:iCs w:val="0"/>
          <w:color w:val="000000" w:themeColor="text1"/>
          <w:sz w:val="24"/>
          <w:szCs w:val="24"/>
          <w:shd w:val="clear" w:color="auto" w:fill="FFFFFF"/>
        </w:rPr>
      </w:pPr>
      <w:r w:rsidRPr="004B01A4">
        <w:rPr>
          <w:rStyle w:val="Emphasis"/>
          <w:rFonts w:ascii="Arial" w:hAnsi="Arial" w:cs="Arial"/>
          <w:i w:val="0"/>
          <w:iCs w:val="0"/>
          <w:color w:val="000000" w:themeColor="text1"/>
          <w:sz w:val="24"/>
          <w:szCs w:val="24"/>
          <w:shd w:val="clear" w:color="auto" w:fill="FFFFFF"/>
        </w:rPr>
        <w:t xml:space="preserve"> In this statement, Lord Diplock was trying to say that it was not right for judges to deviate from the actual meaning of the words in a provision, no matter how unfair the result appears to be. If judges were to do so, they would be going against the intentions of the Parliament by applying the law in a manner that suits them. </w:t>
      </w:r>
    </w:p>
    <w:p w14:paraId="0E1DDD3A" w14:textId="339BF5EB" w:rsidR="00224AB2" w:rsidRPr="004B01A4" w:rsidRDefault="00FD647B" w:rsidP="004B01A4">
      <w:pPr>
        <w:rPr>
          <w:rStyle w:val="Emphasis"/>
          <w:rFonts w:ascii="Arial" w:hAnsi="Arial" w:cs="Arial"/>
          <w:i w:val="0"/>
          <w:iCs w:val="0"/>
          <w:color w:val="000000" w:themeColor="text1"/>
          <w:sz w:val="24"/>
          <w:szCs w:val="24"/>
          <w:shd w:val="clear" w:color="auto" w:fill="FFFFFF"/>
        </w:rPr>
      </w:pPr>
      <w:r>
        <w:rPr>
          <w:rStyle w:val="Emphasis"/>
          <w:rFonts w:ascii="Arial" w:hAnsi="Arial" w:cs="Arial"/>
          <w:i w:val="0"/>
          <w:iCs w:val="0"/>
          <w:color w:val="000000" w:themeColor="text1"/>
          <w:sz w:val="24"/>
          <w:szCs w:val="24"/>
          <w:shd w:val="clear" w:color="auto" w:fill="FFFFFF"/>
        </w:rPr>
        <w:t xml:space="preserve">         </w:t>
      </w:r>
      <w:r w:rsidR="00224AB2" w:rsidRPr="004B01A4">
        <w:rPr>
          <w:rStyle w:val="Emphasis"/>
          <w:rFonts w:ascii="Arial" w:hAnsi="Arial" w:cs="Arial"/>
          <w:i w:val="0"/>
          <w:iCs w:val="0"/>
          <w:color w:val="000000" w:themeColor="text1"/>
          <w:sz w:val="24"/>
          <w:szCs w:val="24"/>
          <w:shd w:val="clear" w:color="auto" w:fill="FFFFFF"/>
        </w:rPr>
        <w:t xml:space="preserve">A situation in which the literal rule applied is that of R v Harris, in which the statute describes an offense to occur in the case of stabbing or wounding someone. However, the defendant, in this case, had bitten the victim, and this was not deemed to be covered in the provision. Therefore, the defendant was not held liable </w:t>
      </w:r>
      <w:r w:rsidR="00224AB2" w:rsidRPr="004B01A4">
        <w:rPr>
          <w:rStyle w:val="Emphasis"/>
          <w:rFonts w:ascii="Arial" w:hAnsi="Arial" w:cs="Arial"/>
          <w:i w:val="0"/>
          <w:iCs w:val="0"/>
          <w:color w:val="000000" w:themeColor="text1"/>
          <w:sz w:val="24"/>
          <w:szCs w:val="24"/>
          <w:shd w:val="clear" w:color="auto" w:fill="FFFFFF"/>
        </w:rPr>
        <w:fldChar w:fldCharType="begin"/>
      </w:r>
      <w:r w:rsidR="00224AB2" w:rsidRPr="004B01A4">
        <w:rPr>
          <w:rStyle w:val="Emphasis"/>
          <w:rFonts w:ascii="Arial" w:hAnsi="Arial" w:cs="Arial"/>
          <w:i w:val="0"/>
          <w:iCs w:val="0"/>
          <w:color w:val="000000" w:themeColor="text1"/>
          <w:sz w:val="24"/>
          <w:szCs w:val="24"/>
          <w:shd w:val="clear" w:color="auto" w:fill="FFFFFF"/>
        </w:rPr>
        <w:instrText xml:space="preserve"> ADDIN ZOTERO_ITEM CSL_CITATION {"citationID":"lM2XHKgk","properties":{"formattedCitation":"({\\i{}R v Harris}, 1836)","plainCitation":"(R v Harris, 1836)","noteIndex":0},"citationItems":[{"id":108,"uris":["http://zotero.org/users/5751666/items/3G3XLNHP"],"itemData":{"id":108,"type":"legal_case","title":"R v Harris","issued":{"date-parts":[["1836"]]}}}],"schema":"https://github.com/citation-style-language/schema/raw/master/csl-citation.json"} </w:instrText>
      </w:r>
      <w:r w:rsidR="00224AB2" w:rsidRPr="004B01A4">
        <w:rPr>
          <w:rStyle w:val="Emphasis"/>
          <w:rFonts w:ascii="Arial" w:hAnsi="Arial" w:cs="Arial"/>
          <w:i w:val="0"/>
          <w:iCs w:val="0"/>
          <w:color w:val="000000" w:themeColor="text1"/>
          <w:sz w:val="24"/>
          <w:szCs w:val="24"/>
          <w:shd w:val="clear" w:color="auto" w:fill="FFFFFF"/>
        </w:rPr>
        <w:fldChar w:fldCharType="separate"/>
      </w:r>
      <w:r w:rsidR="00224AB2" w:rsidRPr="004B01A4">
        <w:rPr>
          <w:rFonts w:ascii="Arial" w:hAnsi="Arial" w:cs="Arial"/>
          <w:i/>
          <w:iCs/>
          <w:sz w:val="24"/>
          <w:szCs w:val="24"/>
        </w:rPr>
        <w:t>(R v Harris, 1836)</w:t>
      </w:r>
      <w:r w:rsidR="00224AB2" w:rsidRPr="004B01A4">
        <w:rPr>
          <w:rStyle w:val="Emphasis"/>
          <w:rFonts w:ascii="Arial" w:hAnsi="Arial" w:cs="Arial"/>
          <w:i w:val="0"/>
          <w:iCs w:val="0"/>
          <w:color w:val="000000" w:themeColor="text1"/>
          <w:sz w:val="24"/>
          <w:szCs w:val="24"/>
          <w:shd w:val="clear" w:color="auto" w:fill="FFFFFF"/>
        </w:rPr>
        <w:fldChar w:fldCharType="end"/>
      </w:r>
      <w:r w:rsidR="00224AB2" w:rsidRPr="004B01A4">
        <w:rPr>
          <w:rStyle w:val="Emphasis"/>
          <w:rFonts w:ascii="Arial" w:hAnsi="Arial" w:cs="Arial"/>
          <w:i w:val="0"/>
          <w:iCs w:val="0"/>
          <w:color w:val="000000" w:themeColor="text1"/>
          <w:sz w:val="24"/>
          <w:szCs w:val="24"/>
          <w:shd w:val="clear" w:color="auto" w:fill="FFFFFF"/>
        </w:rPr>
        <w:t xml:space="preserve">. Another instance where the literal rule can be observed is in Fisher v Bell, in which, as per the relevant statute, it was an offense to provide certain weapons for sale in shops </w:t>
      </w:r>
      <w:r w:rsidR="00224AB2" w:rsidRPr="004B01A4">
        <w:rPr>
          <w:rStyle w:val="Emphasis"/>
          <w:rFonts w:ascii="Arial" w:hAnsi="Arial" w:cs="Arial"/>
          <w:i w:val="0"/>
          <w:iCs w:val="0"/>
          <w:color w:val="000000" w:themeColor="text1"/>
          <w:sz w:val="24"/>
          <w:szCs w:val="24"/>
          <w:shd w:val="clear" w:color="auto" w:fill="FFFFFF"/>
        </w:rPr>
        <w:fldChar w:fldCharType="begin"/>
      </w:r>
      <w:r w:rsidR="00224AB2" w:rsidRPr="004B01A4">
        <w:rPr>
          <w:rStyle w:val="Emphasis"/>
          <w:rFonts w:ascii="Arial" w:hAnsi="Arial" w:cs="Arial"/>
          <w:i w:val="0"/>
          <w:iCs w:val="0"/>
          <w:color w:val="000000" w:themeColor="text1"/>
          <w:sz w:val="24"/>
          <w:szCs w:val="24"/>
          <w:shd w:val="clear" w:color="auto" w:fill="FFFFFF"/>
        </w:rPr>
        <w:instrText xml:space="preserve"> ADDIN ZOTERO_ITEM CSL_CITATION {"citationID":"4m3re1gX","properties":{"formattedCitation":"({\\i{}Fisher v Bell}, 1960)","plainCitation":"(Fisher v Bell, 1960)","noteIndex":0},"citationItems":[{"id":114,"uris":["http://zotero.org/users/5751666/items/B7U7LIAP"],"itemData":{"id":114,"type":"legal_case","title":"Fisher v Bell","issued":{"date-parts":[["1960"]]}}}],"schema":"https://github.com/citation-style-language/schema/raw/master/csl-citation.json"} </w:instrText>
      </w:r>
      <w:r w:rsidR="00224AB2" w:rsidRPr="004B01A4">
        <w:rPr>
          <w:rStyle w:val="Emphasis"/>
          <w:rFonts w:ascii="Arial" w:hAnsi="Arial" w:cs="Arial"/>
          <w:i w:val="0"/>
          <w:iCs w:val="0"/>
          <w:color w:val="000000" w:themeColor="text1"/>
          <w:sz w:val="24"/>
          <w:szCs w:val="24"/>
          <w:shd w:val="clear" w:color="auto" w:fill="FFFFFF"/>
        </w:rPr>
        <w:fldChar w:fldCharType="separate"/>
      </w:r>
      <w:r w:rsidR="00224AB2" w:rsidRPr="004B01A4">
        <w:rPr>
          <w:rFonts w:ascii="Arial" w:hAnsi="Arial" w:cs="Arial"/>
          <w:i/>
          <w:iCs/>
          <w:sz w:val="24"/>
          <w:szCs w:val="24"/>
        </w:rPr>
        <w:t>(Fisher v Bell, 1960)</w:t>
      </w:r>
      <w:r w:rsidR="00224AB2" w:rsidRPr="004B01A4">
        <w:rPr>
          <w:rStyle w:val="Emphasis"/>
          <w:rFonts w:ascii="Arial" w:hAnsi="Arial" w:cs="Arial"/>
          <w:i w:val="0"/>
          <w:iCs w:val="0"/>
          <w:color w:val="000000" w:themeColor="text1"/>
          <w:sz w:val="24"/>
          <w:szCs w:val="24"/>
          <w:shd w:val="clear" w:color="auto" w:fill="FFFFFF"/>
        </w:rPr>
        <w:fldChar w:fldCharType="end"/>
      </w:r>
      <w:r w:rsidR="00224AB2" w:rsidRPr="004B01A4">
        <w:rPr>
          <w:rStyle w:val="Emphasis"/>
          <w:rFonts w:ascii="Arial" w:hAnsi="Arial" w:cs="Arial"/>
          <w:i w:val="0"/>
          <w:iCs w:val="0"/>
          <w:color w:val="000000" w:themeColor="text1"/>
          <w:sz w:val="24"/>
          <w:szCs w:val="24"/>
          <w:shd w:val="clear" w:color="auto" w:fill="FFFFFF"/>
        </w:rPr>
        <w:t>. James Bell, who ran a shop, had displayed a pocket knife in the window of the shop. When he was brought into court, the judges ultimately ruled that, as per contract law, having an item displayed in a window at a shop does not constitute the shopkeeper’s intention to sell. Therefore, according to the literal meaning of the provision, James Bell was not held liable.</w:t>
      </w:r>
    </w:p>
    <w:p w14:paraId="3589D530" w14:textId="1D7ACDAD" w:rsidR="00520297" w:rsidRPr="00FD647B" w:rsidRDefault="00FD647B" w:rsidP="00520297">
      <w:pPr>
        <w:rPr>
          <w:rFonts w:ascii="Arial" w:hAnsi="Arial" w:cs="Arial"/>
          <w:i/>
          <w:iCs/>
          <w:sz w:val="24"/>
          <w:szCs w:val="24"/>
          <w:shd w:val="clear" w:color="auto" w:fill="FFFFFF"/>
        </w:rPr>
      </w:pPr>
      <w:r>
        <w:rPr>
          <w:rStyle w:val="Emphasis"/>
          <w:rFonts w:ascii="Arial" w:hAnsi="Arial" w:cs="Arial"/>
          <w:i w:val="0"/>
          <w:iCs w:val="0"/>
          <w:color w:val="000000" w:themeColor="text1"/>
          <w:sz w:val="24"/>
          <w:szCs w:val="24"/>
          <w:shd w:val="clear" w:color="auto" w:fill="FFFFFF"/>
        </w:rPr>
        <w:t xml:space="preserve">        </w:t>
      </w:r>
      <w:r w:rsidR="00224AB2" w:rsidRPr="004B01A4">
        <w:rPr>
          <w:rStyle w:val="Emphasis"/>
          <w:rFonts w:ascii="Arial" w:hAnsi="Arial" w:cs="Arial"/>
          <w:i w:val="0"/>
          <w:iCs w:val="0"/>
          <w:color w:val="000000" w:themeColor="text1"/>
          <w:sz w:val="24"/>
          <w:szCs w:val="24"/>
          <w:shd w:val="clear" w:color="auto" w:fill="FFFFFF"/>
        </w:rPr>
        <w:t>There are several benefits to the literal rule, such as the fact that it is highly unlikely that any personal biases of the judges could influence the application of the law, which would be in line with the concept of the rule of law, i.e., the law is above everyone. Additionally, it</w:t>
      </w:r>
      <w:r w:rsidR="00520297" w:rsidRPr="004B01A4">
        <w:rPr>
          <w:rStyle w:val="Emphasis"/>
          <w:rFonts w:ascii="Arial" w:hAnsi="Arial" w:cs="Arial"/>
          <w:i w:val="0"/>
          <w:iCs w:val="0"/>
          <w:color w:val="000000" w:themeColor="text1"/>
          <w:sz w:val="24"/>
          <w:szCs w:val="24"/>
          <w:shd w:val="clear" w:color="auto" w:fill="FFFFFF"/>
        </w:rPr>
        <w:t xml:space="preserve"> </w:t>
      </w:r>
      <w:r w:rsidR="00520297" w:rsidRPr="004B01A4">
        <w:rPr>
          <w:rStyle w:val="Emphasis"/>
          <w:rFonts w:ascii="Arial" w:hAnsi="Arial" w:cs="Arial"/>
          <w:i w:val="0"/>
          <w:iCs w:val="0"/>
          <w:color w:val="000000" w:themeColor="text1"/>
          <w:sz w:val="24"/>
          <w:szCs w:val="24"/>
          <w:shd w:val="clear" w:color="auto" w:fill="FFFFFF"/>
        </w:rPr>
        <w:t>is in line with the doctrine of separation of powers, as it respects the sovereignty of the Parliament. However, issues with this rule include the fact that it can be used to manipulate the law to one’s advantage and for those who deserve to be held liable to escape liability, such as in R v Harris. When considering this case, although it is true that “biting” does not literally fall under the definitions of “stabbing” or “wounding,” it seems like common sense that someone who bites someone should be punished in the same way that someone who wounded a person would be punished. However, the literal rule allowed the defendant to escape liability, which could be considered unjust. Therefore, the literal rule is the most</w:t>
      </w:r>
      <w:r w:rsidR="00520297" w:rsidRPr="00520297">
        <w:rPr>
          <w:rStyle w:val="Emphasis"/>
          <w:rFonts w:ascii="Arial" w:hAnsi="Arial" w:cs="Arial"/>
          <w:color w:val="000000" w:themeColor="text1"/>
          <w:sz w:val="24"/>
          <w:szCs w:val="24"/>
          <w:shd w:val="clear" w:color="auto" w:fill="FFFFFF"/>
        </w:rPr>
        <w:t xml:space="preserve"> </w:t>
      </w:r>
      <w:r w:rsidR="00520297" w:rsidRPr="004B01A4">
        <w:rPr>
          <w:rStyle w:val="Emphasis"/>
          <w:rFonts w:ascii="Arial" w:hAnsi="Arial" w:cs="Arial"/>
          <w:i w:val="0"/>
          <w:iCs w:val="0"/>
          <w:color w:val="000000" w:themeColor="text1"/>
          <w:sz w:val="24"/>
          <w:szCs w:val="24"/>
          <w:shd w:val="clear" w:color="auto" w:fill="FFFFFF"/>
        </w:rPr>
        <w:t>inflexible of the rules of statutory interpretation for the judges, as it only permits them to apply the law as per the actual meaning of the words.</w:t>
      </w:r>
    </w:p>
    <w:p w14:paraId="03C46696" w14:textId="77777777" w:rsidR="00520297" w:rsidRPr="00520297" w:rsidRDefault="00520297" w:rsidP="00520297">
      <w:pPr>
        <w:rPr>
          <w:rFonts w:ascii="Arial" w:hAnsi="Arial" w:cs="Arial"/>
          <w:sz w:val="24"/>
          <w:szCs w:val="24"/>
        </w:rPr>
      </w:pPr>
      <w:r w:rsidRPr="00520297">
        <w:rPr>
          <w:rFonts w:ascii="Arial" w:hAnsi="Arial" w:cs="Arial"/>
          <w:sz w:val="24"/>
          <w:szCs w:val="24"/>
        </w:rPr>
        <w:tab/>
        <w:t>Another rule of the interpretation of statutes is called the golden rule, which slightly deviates from the literal rule. This method is considered to have arisen from the case of Grey v Pearson. In the judgment, Lord Wensleydale stated:</w:t>
      </w:r>
    </w:p>
    <w:p w14:paraId="20A03B4C" w14:textId="77777777" w:rsidR="00520297" w:rsidRPr="00520297" w:rsidRDefault="00520297" w:rsidP="00520297">
      <w:pPr>
        <w:rPr>
          <w:rFonts w:ascii="Arial" w:hAnsi="Arial" w:cs="Arial"/>
          <w:sz w:val="24"/>
          <w:szCs w:val="24"/>
        </w:rPr>
      </w:pPr>
      <w:r w:rsidRPr="00520297">
        <w:rPr>
          <w:rFonts w:ascii="Arial" w:hAnsi="Arial" w:cs="Arial"/>
          <w:sz w:val="24"/>
          <w:szCs w:val="24"/>
          <w:shd w:val="clear" w:color="auto" w:fill="FFFFFF"/>
        </w:rPr>
        <w:t>The grammatical and ordinary sense of the words is to be adhered to unless that would lead to some absurdity or some repugnance or inconsistency with the rest of the instrument, in which case the grammatical and ordinary sense of the words may be modified to avoid the absurdity and inconsistency, but no farther.</w:t>
      </w:r>
      <w:r w:rsidRPr="00520297">
        <w:rPr>
          <w:rFonts w:ascii="Arial" w:hAnsi="Arial" w:cs="Arial"/>
          <w:sz w:val="24"/>
          <w:szCs w:val="24"/>
        </w:rPr>
        <w:t xml:space="preserve"> </w:t>
      </w:r>
    </w:p>
    <w:p w14:paraId="308CBD96" w14:textId="7882842A" w:rsidR="00520297" w:rsidRPr="00FD647B" w:rsidRDefault="00520297" w:rsidP="00520297">
      <w:pPr>
        <w:rPr>
          <w:rFonts w:ascii="Arial" w:hAnsi="Arial" w:cs="Arial"/>
          <w:sz w:val="24"/>
          <w:szCs w:val="24"/>
        </w:rPr>
      </w:pPr>
      <w:r w:rsidRPr="00520297">
        <w:rPr>
          <w:rFonts w:ascii="Arial" w:hAnsi="Arial" w:cs="Arial"/>
          <w:sz w:val="24"/>
          <w:szCs w:val="24"/>
        </w:rPr>
        <w:t xml:space="preserve">What Lord Wensleydale meant when he said this was that the literal rule would be considered the standard way of applying the law in most situations; however, if the wording of the law was very ambiguous, to the point that applying it only literally </w:t>
      </w:r>
      <w:r w:rsidRPr="00520297">
        <w:rPr>
          <w:rFonts w:ascii="Arial" w:hAnsi="Arial" w:cs="Arial"/>
          <w:sz w:val="24"/>
          <w:szCs w:val="24"/>
        </w:rPr>
        <w:lastRenderedPageBreak/>
        <w:t>would be obviously inconsistent with the intentions of Parliament, the golden rule could apply and permit a slightly wider interpretation in some cases.</w:t>
      </w:r>
    </w:p>
    <w:p w14:paraId="1740975D" w14:textId="58AA06DE" w:rsidR="00520297" w:rsidRPr="00FD647B" w:rsidRDefault="00520297" w:rsidP="00520297">
      <w:pPr>
        <w:rPr>
          <w:rFonts w:ascii="Arial" w:hAnsi="Arial" w:cs="Arial"/>
          <w:sz w:val="24"/>
          <w:szCs w:val="24"/>
          <w:shd w:val="clear" w:color="auto" w:fill="FFFFFF"/>
        </w:rPr>
      </w:pPr>
      <w:r w:rsidRPr="00520297">
        <w:rPr>
          <w:rFonts w:ascii="Arial" w:hAnsi="Arial" w:cs="Arial"/>
          <w:sz w:val="24"/>
          <w:szCs w:val="24"/>
        </w:rPr>
        <w:t xml:space="preserve"> </w:t>
      </w:r>
      <w:r w:rsidR="00FD647B">
        <w:rPr>
          <w:rFonts w:ascii="Arial" w:hAnsi="Arial" w:cs="Arial"/>
          <w:sz w:val="24"/>
          <w:szCs w:val="24"/>
        </w:rPr>
        <w:t xml:space="preserve">     </w:t>
      </w:r>
      <w:r w:rsidRPr="00520297">
        <w:rPr>
          <w:rFonts w:ascii="Arial" w:hAnsi="Arial" w:cs="Arial"/>
          <w:sz w:val="24"/>
          <w:szCs w:val="24"/>
        </w:rPr>
        <w:t xml:space="preserve">Regarding this rule, the question arises as to how widely it can be applied, which is why two separate approaches to the golden rule can be identified in the courts’ applications of it. For example, a wide approach was taken in the case of Re Sigsworth, in which a son had committed murder, killing his mother </w:t>
      </w:r>
      <w:r w:rsidRPr="00520297">
        <w:rPr>
          <w:rFonts w:ascii="Arial" w:hAnsi="Arial" w:cs="Arial"/>
          <w:sz w:val="24"/>
          <w:szCs w:val="24"/>
        </w:rPr>
        <w:fldChar w:fldCharType="begin"/>
      </w:r>
      <w:r w:rsidRPr="00520297">
        <w:rPr>
          <w:rFonts w:ascii="Arial" w:hAnsi="Arial" w:cs="Arial"/>
          <w:sz w:val="24"/>
          <w:szCs w:val="24"/>
        </w:rPr>
        <w:instrText xml:space="preserve"> ADDIN ZOTERO_ITEM CSL_CITATION {"citationID":"7WY6BsRA","properties":{"formattedCitation":"({\\i{}Re Sigsworth}, 1935)","plainCitation":"(Re Sigsworth, 1935)","noteIndex":0},"citationItems":[{"id":109,"uris":["http://zotero.org/users/5751666/items/TDYH9IS4"],"itemData":{"id":109,"type":"legal_case","title":"Re Sigsworth","issued":{"date-parts":[["1935"]]}}}],"schema":"https://github.com/citation-style-language/schema/raw/master/csl-citation.json"} </w:instrText>
      </w:r>
      <w:r w:rsidRPr="00520297">
        <w:rPr>
          <w:rFonts w:ascii="Arial" w:hAnsi="Arial" w:cs="Arial"/>
          <w:sz w:val="24"/>
          <w:szCs w:val="24"/>
        </w:rPr>
        <w:fldChar w:fldCharType="separate"/>
      </w:r>
      <w:r w:rsidRPr="00520297">
        <w:rPr>
          <w:rFonts w:ascii="Arial" w:hAnsi="Arial" w:cs="Arial"/>
          <w:sz w:val="24"/>
          <w:szCs w:val="24"/>
        </w:rPr>
        <w:t>(Re Sigsworth, 1935)</w:t>
      </w:r>
      <w:r w:rsidRPr="00520297">
        <w:rPr>
          <w:rFonts w:ascii="Arial" w:hAnsi="Arial" w:cs="Arial"/>
          <w:sz w:val="24"/>
          <w:szCs w:val="24"/>
        </w:rPr>
        <w:fldChar w:fldCharType="end"/>
      </w:r>
      <w:r w:rsidRPr="00520297">
        <w:rPr>
          <w:rFonts w:ascii="Arial" w:hAnsi="Arial" w:cs="Arial"/>
          <w:sz w:val="24"/>
          <w:szCs w:val="24"/>
        </w:rPr>
        <w:t xml:space="preserve">.  As the mother had died intestate, i.e., had not made a will, the son would inherit her estate under the Administration of Justice Act 1925, as he was the next of kin. Upon reading the provisions of the act, it is clear that the wording was not vague in any way, but the court did not think it was feasible to allow the son to let the son gain an advantage after committing the crime of murder. Therefore, the courts made use of the golden rule of statutory interpretation and held that the law did not allow the son to inherit his mother’s estate. A narrower approach to the golden rule was taken in the instance of </w:t>
      </w:r>
      <w:r w:rsidRPr="00520297">
        <w:rPr>
          <w:rFonts w:ascii="Arial" w:hAnsi="Arial" w:cs="Arial"/>
          <w:sz w:val="24"/>
          <w:szCs w:val="24"/>
          <w:shd w:val="clear" w:color="auto" w:fill="FFFFFF"/>
        </w:rPr>
        <w:t xml:space="preserve">R v Allen, in which the unclear definition of the words “shall marry” provided in the Offences against the Person Act 1861 for the offense of bigamy was considered with the aid of a restrictive view of the golden rule </w:t>
      </w:r>
      <w:r w:rsidRPr="00520297">
        <w:rPr>
          <w:rFonts w:ascii="Arial" w:hAnsi="Arial" w:cs="Arial"/>
          <w:sz w:val="24"/>
          <w:szCs w:val="24"/>
          <w:shd w:val="clear" w:color="auto" w:fill="FFFFFF"/>
        </w:rPr>
        <w:fldChar w:fldCharType="begin"/>
      </w:r>
      <w:r w:rsidRPr="00520297">
        <w:rPr>
          <w:rFonts w:ascii="Arial" w:hAnsi="Arial" w:cs="Arial"/>
          <w:sz w:val="24"/>
          <w:szCs w:val="24"/>
          <w:shd w:val="clear" w:color="auto" w:fill="FFFFFF"/>
        </w:rPr>
        <w:instrText xml:space="preserve"> ADDIN ZOTERO_ITEM CSL_CITATION {"citationID":"QgZjO88T","properties":{"formattedCitation":"({\\i{}R v Allen}, 1872)","plainCitation":"(R v Allen, 1872)","noteIndex":0},"citationItems":[{"id":110,"uris":["http://zotero.org/users/5751666/items/EUWKS6QR"],"itemData":{"id":110,"type":"legal_case","title":"R v Allen","issued":{"date-parts":[["1872"]]}}}],"schema":"https://github.com/citation-style-language/schema/raw/master/csl-citation.json"} </w:instrText>
      </w:r>
      <w:r w:rsidRPr="00520297">
        <w:rPr>
          <w:rFonts w:ascii="Arial" w:hAnsi="Arial" w:cs="Arial"/>
          <w:sz w:val="24"/>
          <w:szCs w:val="24"/>
          <w:shd w:val="clear" w:color="auto" w:fill="FFFFFF"/>
        </w:rPr>
        <w:fldChar w:fldCharType="separate"/>
      </w:r>
      <w:r w:rsidRPr="00520297">
        <w:rPr>
          <w:rFonts w:ascii="Arial" w:hAnsi="Arial" w:cs="Arial"/>
          <w:sz w:val="24"/>
          <w:szCs w:val="24"/>
        </w:rPr>
        <w:t>(R v Allen, 1872)</w:t>
      </w:r>
      <w:r w:rsidRPr="00520297">
        <w:rPr>
          <w:rFonts w:ascii="Arial" w:hAnsi="Arial" w:cs="Arial"/>
          <w:sz w:val="24"/>
          <w:szCs w:val="24"/>
          <w:shd w:val="clear" w:color="auto" w:fill="FFFFFF"/>
        </w:rPr>
        <w:fldChar w:fldCharType="end"/>
      </w:r>
      <w:r w:rsidRPr="00520297">
        <w:rPr>
          <w:rFonts w:ascii="Arial" w:hAnsi="Arial" w:cs="Arial"/>
          <w:sz w:val="24"/>
          <w:szCs w:val="24"/>
          <w:shd w:val="clear" w:color="auto" w:fill="FFFFFF"/>
        </w:rPr>
        <w:t>. The judges considered the words “shall marry” to mean to undergo the process of a marriage ceremony rather than to have a legal marriage, as the latter decision would have been considered an absurdity since it is illegal to marry twice in the UK. Therefore, using this process of interpretation, Allen was held liable for committing bigamy by undergoing a wedding ceremony.</w:t>
      </w:r>
    </w:p>
    <w:p w14:paraId="04884743" w14:textId="7250C9EF" w:rsidR="00520297" w:rsidRPr="00FD647B" w:rsidRDefault="00FD647B" w:rsidP="00520297">
      <w:pPr>
        <w:rPr>
          <w:rFonts w:ascii="Arial" w:hAnsi="Arial" w:cs="Arial"/>
          <w:sz w:val="24"/>
          <w:szCs w:val="24"/>
        </w:rPr>
      </w:pPr>
      <w:r>
        <w:rPr>
          <w:rFonts w:ascii="Arial" w:hAnsi="Arial" w:cs="Arial"/>
          <w:sz w:val="24"/>
          <w:szCs w:val="24"/>
        </w:rPr>
        <w:t xml:space="preserve">      </w:t>
      </w:r>
      <w:r w:rsidR="00520297" w:rsidRPr="00520297">
        <w:rPr>
          <w:rFonts w:ascii="Arial" w:hAnsi="Arial" w:cs="Arial"/>
          <w:sz w:val="24"/>
          <w:szCs w:val="24"/>
        </w:rPr>
        <w:t>This rule has proven to be useful, as it prevents the use of loopholes in the wording of statutes to be misused and provides a way to correct any drafting mistakes in the law. However, the issue with the golden rule is that there is no definition of what constitutes</w:t>
      </w:r>
      <w:r w:rsidR="00520297" w:rsidRPr="00520297">
        <w:rPr>
          <w:rFonts w:ascii="Arial" w:hAnsi="Arial" w:cs="Arial"/>
          <w:sz w:val="24"/>
          <w:szCs w:val="24"/>
        </w:rPr>
        <w:t xml:space="preserve"> </w:t>
      </w:r>
      <w:r w:rsidR="00520297" w:rsidRPr="00520297">
        <w:rPr>
          <w:rFonts w:ascii="Arial" w:hAnsi="Arial" w:cs="Arial"/>
          <w:sz w:val="24"/>
          <w:szCs w:val="24"/>
        </w:rPr>
        <w:t xml:space="preserve">“absurdity” as Lord Wensleydale phrased it. The approach seems to widely differ from case to case, with some judges taking a broad approach and others taking a narrow approach, failing to establish any consistency in the way this rule is applied. This view was reiterated in the 1969 Law Commission Report, in which it was stated that the fact that the definition of what is “absurd” is highly subjective makes it difficult to apply the golden rule, which is why it is significantly less commonly used in the UK as compared to other states </w:t>
      </w:r>
      <w:r w:rsidR="00520297" w:rsidRPr="00520297">
        <w:rPr>
          <w:rFonts w:ascii="Arial" w:hAnsi="Arial" w:cs="Arial"/>
          <w:sz w:val="24"/>
          <w:szCs w:val="24"/>
        </w:rPr>
        <w:fldChar w:fldCharType="begin"/>
      </w:r>
      <w:r w:rsidR="00520297" w:rsidRPr="00520297">
        <w:rPr>
          <w:rFonts w:ascii="Arial" w:hAnsi="Arial" w:cs="Arial"/>
          <w:sz w:val="24"/>
          <w:szCs w:val="24"/>
        </w:rPr>
        <w:instrText xml:space="preserve"> ADDIN ZOTERO_ITEM CSL_CITATION {"citationID":"Pe00Td1m","properties":{"formattedCitation":"(Xanthaki, 2012)","plainCitation":"(Xanthaki, 2012)","noteIndex":0},"citationItems":[{"id":119,"uris":["http://zotero.org/users/5751666/items/EV7UHJNA"],"itemData":{"id":119,"type":"article-journal","container-title":"Jura: A Pecsi Tudomanyegyetem Allam-es Jogtudomanyi Karanak tudomanyos lapja","note":"publisher: HeinOnline","page":"244","title":"The UK Human Rights Act: A True Excuse for Judicial Lawmaking by the Law Lords","author":[{"family":"Xanthaki","given":"Helen"}],"issued":{"date-parts":[["2012"]]}}}],"schema":"https://github.com/citation-style-language/schema/raw/master/csl-citation.json"} </w:instrText>
      </w:r>
      <w:r w:rsidR="00520297" w:rsidRPr="00520297">
        <w:rPr>
          <w:rFonts w:ascii="Arial" w:hAnsi="Arial" w:cs="Arial"/>
          <w:sz w:val="24"/>
          <w:szCs w:val="24"/>
        </w:rPr>
        <w:fldChar w:fldCharType="separate"/>
      </w:r>
      <w:r w:rsidR="00520297" w:rsidRPr="00520297">
        <w:rPr>
          <w:rFonts w:ascii="Arial" w:hAnsi="Arial" w:cs="Arial"/>
          <w:noProof/>
          <w:sz w:val="24"/>
          <w:szCs w:val="24"/>
        </w:rPr>
        <w:t>(Xanthaki, 2012)</w:t>
      </w:r>
      <w:r w:rsidR="00520297" w:rsidRPr="00520297">
        <w:rPr>
          <w:rFonts w:ascii="Arial" w:hAnsi="Arial" w:cs="Arial"/>
          <w:sz w:val="24"/>
          <w:szCs w:val="24"/>
        </w:rPr>
        <w:fldChar w:fldCharType="end"/>
      </w:r>
      <w:r w:rsidR="00520297" w:rsidRPr="00520297">
        <w:rPr>
          <w:rFonts w:ascii="Arial" w:hAnsi="Arial" w:cs="Arial"/>
          <w:sz w:val="24"/>
          <w:szCs w:val="24"/>
        </w:rPr>
        <w:t>.</w:t>
      </w:r>
    </w:p>
    <w:p w14:paraId="4CF319B3" w14:textId="54CAF84A" w:rsidR="00520297" w:rsidRPr="00FD647B" w:rsidRDefault="00FD647B" w:rsidP="00520297">
      <w:pPr>
        <w:rPr>
          <w:rFonts w:ascii="Arial" w:hAnsi="Arial" w:cs="Arial"/>
          <w:sz w:val="24"/>
          <w:szCs w:val="24"/>
        </w:rPr>
      </w:pPr>
      <w:r>
        <w:rPr>
          <w:rFonts w:ascii="Arial" w:hAnsi="Arial" w:cs="Arial"/>
          <w:sz w:val="24"/>
          <w:szCs w:val="24"/>
        </w:rPr>
        <w:t xml:space="preserve">      </w:t>
      </w:r>
      <w:r w:rsidR="00520297" w:rsidRPr="00520297">
        <w:rPr>
          <w:rFonts w:ascii="Arial" w:hAnsi="Arial" w:cs="Arial"/>
          <w:sz w:val="24"/>
          <w:szCs w:val="24"/>
        </w:rPr>
        <w:t xml:space="preserve">The purposive rule, which deviates even further from the literal rule, arises in situations where the judges are looking at the words in question in the context of the statute as a whole and cannot figure out the meaning with which Parliament intended the words. Lord Denning has stated that judges often do not always follow what the law literally means, or pay attention to the grammar and word choice, but they go by the intention that is behind the law </w:t>
      </w:r>
      <w:r w:rsidR="00520297" w:rsidRPr="00520297">
        <w:rPr>
          <w:rFonts w:ascii="Arial" w:hAnsi="Arial" w:cs="Arial"/>
          <w:sz w:val="24"/>
          <w:szCs w:val="24"/>
        </w:rPr>
        <w:fldChar w:fldCharType="begin"/>
      </w:r>
      <w:r w:rsidR="00520297" w:rsidRPr="00520297">
        <w:rPr>
          <w:rFonts w:ascii="Arial" w:hAnsi="Arial" w:cs="Arial"/>
          <w:sz w:val="24"/>
          <w:szCs w:val="24"/>
        </w:rPr>
        <w:instrText xml:space="preserve"> ADDIN ZOTERO_ITEM CSL_CITATION {"citationID":"vZ6hezyL","properties":{"formattedCitation":"(L\\uc0\\u252{}cke, 2005)","plainCitation":"(Lücke, 2005)","noteIndex":0},"citationItems":[{"id":120,"uris":["http://zotero.org/users/5751666/items/H5ZQ5USQ"],"itemData":{"id":120,"type":"article-journal","container-title":"International &amp; Comparative Law Quarterly","issue":"4","note":"ISBN: 1471-6895\npublisher: Cambridge University Press","page":"1023-1032","title":"Review Article*: Statutory Interpretation: New Comparative Dimensions","volume":"54","author":[{"family":"Lücke","given":"Horst Klaus"}],"issued":{"date-parts":[["2005"]]}}}],"schema":"https://github.com/citation-style-language/schema/raw/master/csl-citation.json"} </w:instrText>
      </w:r>
      <w:r w:rsidR="00520297" w:rsidRPr="00520297">
        <w:rPr>
          <w:rFonts w:ascii="Arial" w:hAnsi="Arial" w:cs="Arial"/>
          <w:sz w:val="24"/>
          <w:szCs w:val="24"/>
        </w:rPr>
        <w:fldChar w:fldCharType="separate"/>
      </w:r>
      <w:r w:rsidR="00520297" w:rsidRPr="00520297">
        <w:rPr>
          <w:rFonts w:ascii="Arial" w:hAnsi="Arial" w:cs="Arial"/>
          <w:color w:val="000000"/>
          <w:sz w:val="24"/>
          <w:szCs w:val="24"/>
        </w:rPr>
        <w:t>(Lücke, 2005)</w:t>
      </w:r>
      <w:r w:rsidR="00520297" w:rsidRPr="00520297">
        <w:rPr>
          <w:rFonts w:ascii="Arial" w:hAnsi="Arial" w:cs="Arial"/>
          <w:sz w:val="24"/>
          <w:szCs w:val="24"/>
        </w:rPr>
        <w:fldChar w:fldCharType="end"/>
      </w:r>
      <w:r w:rsidR="00520297" w:rsidRPr="00520297">
        <w:rPr>
          <w:rFonts w:ascii="Arial" w:hAnsi="Arial" w:cs="Arial"/>
          <w:sz w:val="24"/>
          <w:szCs w:val="24"/>
        </w:rPr>
        <w:t>.</w:t>
      </w:r>
    </w:p>
    <w:p w14:paraId="4DAB5CE4" w14:textId="70D419CA" w:rsidR="00520297" w:rsidRPr="00FD647B" w:rsidRDefault="00FD647B" w:rsidP="00520297">
      <w:pPr>
        <w:rPr>
          <w:rFonts w:ascii="Arial" w:hAnsi="Arial" w:cs="Arial"/>
          <w:sz w:val="24"/>
          <w:szCs w:val="24"/>
        </w:rPr>
      </w:pPr>
      <w:r>
        <w:rPr>
          <w:rFonts w:ascii="Arial" w:hAnsi="Arial" w:cs="Arial"/>
          <w:sz w:val="24"/>
          <w:szCs w:val="24"/>
        </w:rPr>
        <w:t xml:space="preserve">      </w:t>
      </w:r>
      <w:r w:rsidR="00520297" w:rsidRPr="00520297">
        <w:rPr>
          <w:rFonts w:ascii="Arial" w:hAnsi="Arial" w:cs="Arial"/>
          <w:sz w:val="24"/>
          <w:szCs w:val="24"/>
        </w:rPr>
        <w:t xml:space="preserve">An example of the use of the purposive approach can be seen in the instance of Smith vs Hughes, in which the defendants, who were prostitutes, were soliciting, which was being considered according to a provision in the Street Offences Act 1959 </w:t>
      </w:r>
      <w:r w:rsidR="00520297" w:rsidRPr="00520297">
        <w:rPr>
          <w:rFonts w:ascii="Arial" w:hAnsi="Arial" w:cs="Arial"/>
          <w:sz w:val="24"/>
          <w:szCs w:val="24"/>
        </w:rPr>
        <w:fldChar w:fldCharType="begin"/>
      </w:r>
      <w:r w:rsidR="00520297" w:rsidRPr="00520297">
        <w:rPr>
          <w:rFonts w:ascii="Arial" w:hAnsi="Arial" w:cs="Arial"/>
          <w:sz w:val="24"/>
          <w:szCs w:val="24"/>
        </w:rPr>
        <w:instrText xml:space="preserve"> ADDIN ZOTERO_ITEM CSL_CITATION {"citationID":"m9ojtf6i","properties":{"formattedCitation":"({\\i{}Smith v Hughes}, 1960)","plainCitation":"(Smith v Hughes, 1960)","noteIndex":0},"citationItems":[{"id":113,"uris":["http://zotero.org/users/5751666/items/P37NG6IG"],"itemData":{"id":113,"type":"legal_case","title":"Smith v Hughes","issued":{"date-parts":[["1960"]]}}}],"schema":"https://github.com/citation-style-language/schema/raw/master/csl-citation.json"} </w:instrText>
      </w:r>
      <w:r w:rsidR="00520297" w:rsidRPr="00520297">
        <w:rPr>
          <w:rFonts w:ascii="Arial" w:hAnsi="Arial" w:cs="Arial"/>
          <w:sz w:val="24"/>
          <w:szCs w:val="24"/>
        </w:rPr>
        <w:fldChar w:fldCharType="separate"/>
      </w:r>
      <w:r w:rsidR="00520297" w:rsidRPr="00520297">
        <w:rPr>
          <w:rFonts w:ascii="Arial" w:hAnsi="Arial" w:cs="Arial"/>
          <w:sz w:val="24"/>
          <w:szCs w:val="24"/>
        </w:rPr>
        <w:t>(Smith v Hughes, 1960)</w:t>
      </w:r>
      <w:r w:rsidR="00520297" w:rsidRPr="00520297">
        <w:rPr>
          <w:rFonts w:ascii="Arial" w:hAnsi="Arial" w:cs="Arial"/>
          <w:sz w:val="24"/>
          <w:szCs w:val="24"/>
        </w:rPr>
        <w:fldChar w:fldCharType="end"/>
      </w:r>
      <w:r w:rsidR="00520297" w:rsidRPr="00520297">
        <w:rPr>
          <w:rFonts w:ascii="Arial" w:hAnsi="Arial" w:cs="Arial"/>
          <w:sz w:val="24"/>
          <w:szCs w:val="24"/>
        </w:rPr>
        <w:t xml:space="preserve">. According to the provision, soliciting from a public place was an offence. However, the prostitutes had been soliciting from their balconies, which would have been considered to be private premises as per the literal rule. </w:t>
      </w:r>
      <w:r w:rsidR="00520297" w:rsidRPr="00520297">
        <w:rPr>
          <w:rFonts w:ascii="Arial" w:hAnsi="Arial" w:cs="Arial"/>
          <w:sz w:val="24"/>
          <w:szCs w:val="24"/>
        </w:rPr>
        <w:lastRenderedPageBreak/>
        <w:t>However, the courts took a purposive approach, stating that the intentions of the act were meant to cover such acts. Therefore, the defendants were held liable even though their actions were not literally an offence in the statute.</w:t>
      </w:r>
    </w:p>
    <w:p w14:paraId="421772FD" w14:textId="3EE7D63D" w:rsidR="00520297" w:rsidRPr="00520297" w:rsidRDefault="00520297" w:rsidP="00520297">
      <w:pPr>
        <w:rPr>
          <w:rFonts w:ascii="Arial" w:hAnsi="Arial" w:cs="Arial"/>
          <w:sz w:val="24"/>
          <w:szCs w:val="24"/>
        </w:rPr>
      </w:pPr>
      <w:r w:rsidRPr="00520297">
        <w:rPr>
          <w:rFonts w:ascii="Arial" w:hAnsi="Arial" w:cs="Arial"/>
          <w:sz w:val="24"/>
          <w:szCs w:val="24"/>
        </w:rPr>
        <w:t xml:space="preserve"> </w:t>
      </w:r>
      <w:r w:rsidR="00FD647B">
        <w:rPr>
          <w:rFonts w:ascii="Arial" w:hAnsi="Arial" w:cs="Arial"/>
          <w:sz w:val="24"/>
          <w:szCs w:val="24"/>
        </w:rPr>
        <w:t xml:space="preserve">     </w:t>
      </w:r>
      <w:r w:rsidRPr="00520297">
        <w:rPr>
          <w:rFonts w:ascii="Arial" w:hAnsi="Arial" w:cs="Arial"/>
          <w:sz w:val="24"/>
          <w:szCs w:val="24"/>
        </w:rPr>
        <w:t xml:space="preserve">The purposive rule has certain advantages, as it permits the judges to interpret the law to the extent that allows them to fill the gap in the provision that the law has missed out. The benefits of this rule includes the fact that, similar to the wide interpretation of the golden rule, it stops people from being able the misuse loopholes in the wording of the law and can allow the courts to hold liable those that they believe are required to face liability as per their presumption of the intentions of Parliament. However, it can be argued that this rule is not in line with the concept of Parliamentary Sovereignty, as the Parliament was not supreme at the time that this rule was created. Additionally, it has been argued that this approach puts too much power in the hands of the judiciary, and makes the law itself unclear </w:t>
      </w:r>
      <w:r w:rsidRPr="00520297">
        <w:rPr>
          <w:rFonts w:ascii="Arial" w:hAnsi="Arial" w:cs="Arial"/>
          <w:sz w:val="24"/>
          <w:szCs w:val="24"/>
        </w:rPr>
        <w:fldChar w:fldCharType="begin"/>
      </w:r>
      <w:r w:rsidRPr="00520297">
        <w:rPr>
          <w:rFonts w:ascii="Arial" w:hAnsi="Arial" w:cs="Arial"/>
          <w:sz w:val="24"/>
          <w:szCs w:val="24"/>
        </w:rPr>
        <w:instrText xml:space="preserve"> ADDIN ZOTERO_ITEM CSL_CITATION {"citationID":"CNfnqNbv","properties":{"formattedCitation":"(Ali, 2020)","plainCitation":"(Ali, 2020)","noteIndex":0},"citationItems":[{"id":111,"uris":["http://zotero.org/users/5751666/items/KRW8ELAP"],"itemData":{"id":111,"type":"article-journal","container-title":"Available at SSRN 3786866","title":"Implications of Literal Rule and Purposive Rule","author":[{"family":"Ali","given":"Abu Zar"}],"issued":{"date-parts":[["2020"]]}}}],"schema":"https://github.com/citation-style-language/schema/raw/master/csl-citation.json"} </w:instrText>
      </w:r>
      <w:r w:rsidRPr="00520297">
        <w:rPr>
          <w:rFonts w:ascii="Arial" w:hAnsi="Arial" w:cs="Arial"/>
          <w:sz w:val="24"/>
          <w:szCs w:val="24"/>
        </w:rPr>
        <w:fldChar w:fldCharType="separate"/>
      </w:r>
      <w:r w:rsidRPr="00520297">
        <w:rPr>
          <w:rFonts w:ascii="Arial" w:hAnsi="Arial" w:cs="Arial"/>
          <w:noProof/>
          <w:sz w:val="24"/>
          <w:szCs w:val="24"/>
        </w:rPr>
        <w:t>(Ali, 2020)</w:t>
      </w:r>
      <w:r w:rsidRPr="00520297">
        <w:rPr>
          <w:rFonts w:ascii="Arial" w:hAnsi="Arial" w:cs="Arial"/>
          <w:sz w:val="24"/>
          <w:szCs w:val="24"/>
        </w:rPr>
        <w:fldChar w:fldCharType="end"/>
      </w:r>
      <w:r w:rsidRPr="00520297">
        <w:rPr>
          <w:rFonts w:ascii="Arial" w:hAnsi="Arial" w:cs="Arial"/>
          <w:sz w:val="24"/>
          <w:szCs w:val="24"/>
        </w:rPr>
        <w:t xml:space="preserve">. Finally, as the purposive rule blurs the line between the powers of the judiciary and the legislature, it has also been argued that it does not uphold the doctrine of separation of powers. Using the purposive approach, the judges may apply the law in whatever manner they consider appropriate, even if is not necessarily what the Parliament intended when they wrote the law, allowing them to encroach into the role of Parliament to a certain extent </w:t>
      </w:r>
      <w:r w:rsidRPr="00520297">
        <w:rPr>
          <w:rFonts w:ascii="Arial" w:hAnsi="Arial" w:cs="Arial"/>
          <w:sz w:val="24"/>
          <w:szCs w:val="24"/>
        </w:rPr>
        <w:fldChar w:fldCharType="begin"/>
      </w:r>
      <w:r w:rsidRPr="00520297">
        <w:rPr>
          <w:rFonts w:ascii="Arial" w:hAnsi="Arial" w:cs="Arial"/>
          <w:sz w:val="24"/>
          <w:szCs w:val="24"/>
        </w:rPr>
        <w:instrText xml:space="preserve"> ADDIN ZOTERO_ITEM CSL_CITATION {"citationID":"xhV6byPn","properties":{"formattedCitation":"(Bulathwela, 2015)","plainCitation":"(Bulathwela, 2015)","noteIndex":0},"citationItems":[{"id":116,"uris":["http://zotero.org/users/5751666/items/9A6AIK3L"],"itemData":{"id":116,"type":"article-journal","title":"One Up for Statutory Interpretation and Two Down for Separation of Powers","author":[{"family":"Bulathwela","given":"S."}],"issued":{"date-parts":[["2015"]]}}}],"schema":"https://github.com/citation-style-language/schema/raw/master/csl-citation.json"} </w:instrText>
      </w:r>
      <w:r w:rsidRPr="00520297">
        <w:rPr>
          <w:rFonts w:ascii="Arial" w:hAnsi="Arial" w:cs="Arial"/>
          <w:sz w:val="24"/>
          <w:szCs w:val="24"/>
        </w:rPr>
        <w:fldChar w:fldCharType="separate"/>
      </w:r>
      <w:r w:rsidRPr="00520297">
        <w:rPr>
          <w:rFonts w:ascii="Arial" w:hAnsi="Arial" w:cs="Arial"/>
          <w:noProof/>
          <w:sz w:val="24"/>
          <w:szCs w:val="24"/>
        </w:rPr>
        <w:t>(Bulathwela, 2015)</w:t>
      </w:r>
      <w:r w:rsidRPr="00520297">
        <w:rPr>
          <w:rFonts w:ascii="Arial" w:hAnsi="Arial" w:cs="Arial"/>
          <w:sz w:val="24"/>
          <w:szCs w:val="24"/>
        </w:rPr>
        <w:fldChar w:fldCharType="end"/>
      </w:r>
      <w:r w:rsidRPr="00520297">
        <w:rPr>
          <w:rFonts w:ascii="Arial" w:hAnsi="Arial" w:cs="Arial"/>
          <w:sz w:val="24"/>
          <w:szCs w:val="24"/>
        </w:rPr>
        <w:t>.</w:t>
      </w:r>
    </w:p>
    <w:p w14:paraId="20ACA2E9" w14:textId="3036D538" w:rsidR="00520297" w:rsidRPr="00FD647B" w:rsidRDefault="00520297" w:rsidP="00520297">
      <w:pPr>
        <w:rPr>
          <w:rFonts w:ascii="Arial" w:hAnsi="Arial" w:cs="Arial"/>
          <w:sz w:val="24"/>
          <w:szCs w:val="24"/>
        </w:rPr>
      </w:pPr>
      <w:r w:rsidRPr="00520297">
        <w:rPr>
          <w:rFonts w:ascii="Arial" w:hAnsi="Arial" w:cs="Arial"/>
          <w:sz w:val="24"/>
          <w:szCs w:val="24"/>
        </w:rPr>
        <w:tab/>
        <w:t xml:space="preserve">Another aspect of interpreting a statute in the UK is when it must be interpreted in a way that is in line with international law obligations. According to Article 27 of the Vienna Convention </w:t>
      </w:r>
      <w:r w:rsidRPr="00520297">
        <w:rPr>
          <w:rFonts w:ascii="Arial" w:hAnsi="Arial" w:cs="Arial"/>
          <w:sz w:val="24"/>
          <w:szCs w:val="24"/>
        </w:rPr>
        <w:fldChar w:fldCharType="begin"/>
      </w:r>
      <w:r w:rsidRPr="00520297">
        <w:rPr>
          <w:rFonts w:ascii="Arial" w:hAnsi="Arial" w:cs="Arial"/>
          <w:sz w:val="24"/>
          <w:szCs w:val="24"/>
        </w:rPr>
        <w:instrText xml:space="preserve"> ADDIN ZOTERO_ITEM CSL_CITATION {"citationID":"E9dHio4r","properties":{"formattedCitation":"({\\i{}Vienna Convention on the Law of Treaties}, 1969)","plainCitation":"(Vienna Convention on the Law of Treaties, 1969)","noteIndex":0},"citationItems":[{"id":118,"uris":["http://zotero.org/users/5751666/items/BUISNTL6"],"itemData":{"id":118,"type":"legislation","section":"27","title":"Vienna Convention on the Law of Treaties","issued":{"date-parts":[["1969"]]}}}],"schema":"https://github.com/citation-style-language/schema/raw/master/csl-citation.json"} </w:instrText>
      </w:r>
      <w:r w:rsidRPr="00520297">
        <w:rPr>
          <w:rFonts w:ascii="Arial" w:hAnsi="Arial" w:cs="Arial"/>
          <w:sz w:val="24"/>
          <w:szCs w:val="24"/>
        </w:rPr>
        <w:fldChar w:fldCharType="separate"/>
      </w:r>
      <w:r w:rsidRPr="00520297">
        <w:rPr>
          <w:rFonts w:ascii="Arial" w:hAnsi="Arial" w:cs="Arial"/>
          <w:color w:val="000000"/>
          <w:sz w:val="24"/>
          <w:szCs w:val="24"/>
        </w:rPr>
        <w:t>(Vienna Convention on the Law of Treaties, 1969)</w:t>
      </w:r>
      <w:r w:rsidRPr="00520297">
        <w:rPr>
          <w:rFonts w:ascii="Arial" w:hAnsi="Arial" w:cs="Arial"/>
          <w:sz w:val="24"/>
          <w:szCs w:val="24"/>
        </w:rPr>
        <w:fldChar w:fldCharType="end"/>
      </w:r>
      <w:r w:rsidRPr="00520297">
        <w:rPr>
          <w:rFonts w:ascii="Arial" w:hAnsi="Arial" w:cs="Arial"/>
          <w:sz w:val="24"/>
          <w:szCs w:val="24"/>
        </w:rPr>
        <w:t xml:space="preserve">, the UK can not use provisions of internal statutes to disregard the requirements imposed on the UK by international treaties. Therefore, the UK is bound to interpret statutes in a way that does not violate international law. This, too, is often considered to defy the concept of parliamentary supremacy </w:t>
      </w:r>
      <w:r w:rsidRPr="00520297">
        <w:rPr>
          <w:rFonts w:ascii="Arial" w:hAnsi="Arial" w:cs="Arial"/>
          <w:sz w:val="24"/>
          <w:szCs w:val="24"/>
        </w:rPr>
        <w:fldChar w:fldCharType="begin"/>
      </w:r>
      <w:r w:rsidRPr="00520297">
        <w:rPr>
          <w:rFonts w:ascii="Arial" w:hAnsi="Arial" w:cs="Arial"/>
          <w:sz w:val="24"/>
          <w:szCs w:val="24"/>
        </w:rPr>
        <w:instrText xml:space="preserve"> ADDIN ZOTERO_ITEM CSL_CITATION {"citationID":"z9VBJPzQ","properties":{"formattedCitation":"(Butchard, 2020)","plainCitation":"(Butchard, 2020)","noteIndex":0},"citationItems":[{"id":117,"uris":["http://zotero.org/users/5751666/items/58H772BH"],"itemData":{"id":117,"type":"report","title":"Principles of internation law: a brief guide","author":[{"family":"Butchard","given":""}],"issued":{"date-parts":[["2020"]]}}}],"schema":"https://github.com/citation-style-language/schema/raw/master/csl-citation.json"} </w:instrText>
      </w:r>
      <w:r w:rsidRPr="00520297">
        <w:rPr>
          <w:rFonts w:ascii="Arial" w:hAnsi="Arial" w:cs="Arial"/>
          <w:sz w:val="24"/>
          <w:szCs w:val="24"/>
        </w:rPr>
        <w:fldChar w:fldCharType="separate"/>
      </w:r>
      <w:r w:rsidRPr="00520297">
        <w:rPr>
          <w:rFonts w:ascii="Arial" w:hAnsi="Arial" w:cs="Arial"/>
          <w:noProof/>
          <w:sz w:val="24"/>
          <w:szCs w:val="24"/>
        </w:rPr>
        <w:t>(Butchard, 2020)</w:t>
      </w:r>
      <w:r w:rsidRPr="00520297">
        <w:rPr>
          <w:rFonts w:ascii="Arial" w:hAnsi="Arial" w:cs="Arial"/>
          <w:sz w:val="24"/>
          <w:szCs w:val="24"/>
        </w:rPr>
        <w:fldChar w:fldCharType="end"/>
      </w:r>
      <w:r w:rsidRPr="00520297">
        <w:rPr>
          <w:rFonts w:ascii="Arial" w:hAnsi="Arial" w:cs="Arial"/>
          <w:sz w:val="24"/>
          <w:szCs w:val="24"/>
        </w:rPr>
        <w:t xml:space="preserve">. </w:t>
      </w:r>
    </w:p>
    <w:p w14:paraId="19F2992B" w14:textId="77777777" w:rsidR="00520297" w:rsidRPr="00520297" w:rsidRDefault="00520297" w:rsidP="00520297">
      <w:pPr>
        <w:rPr>
          <w:rFonts w:ascii="Arial" w:hAnsi="Arial" w:cs="Arial"/>
          <w:sz w:val="24"/>
          <w:szCs w:val="24"/>
        </w:rPr>
      </w:pPr>
      <w:r w:rsidRPr="00520297">
        <w:rPr>
          <w:rFonts w:ascii="Arial" w:hAnsi="Arial" w:cs="Arial"/>
          <w:sz w:val="24"/>
          <w:szCs w:val="24"/>
        </w:rPr>
        <w:tab/>
        <w:t xml:space="preserve">The interpretation of statutes is a significant aspect of the function of the judiciary in the UK. The importance of statutory interpretation is continuously increasing as time passes, particularly as more of the law becomes codified. The courts decide most cases with the use of statutory interpretation and very rarely face criticism for interpreting the law incorrectly or contrary to the intentions of the Parliament. This essay has discussed specific issues with each rule of statutory interpretation. However, there has been criticism regarding the application of statutory interpretation as a whole, particularly that excess importance is given to the literal rule, and not enough importance is given to the meaning of the statute in other contexts. Sometimes, when the court is facing a difficult case of interpretation, it may be prone to taking the easy route i.e., literal interpretation and relying on the simple meaning of the provision without considering any other aspects. Another issue regarding statutory interpretation is that the rules of interpretation are of concern not only to lawyers but also to many other sections of society. For example, taxpayers, social workers, and employees often require basic information, and sometimes even detailed information, about statutory provisions that apply to them </w:t>
      </w:r>
      <w:r w:rsidRPr="00520297">
        <w:rPr>
          <w:rFonts w:ascii="Arial" w:hAnsi="Arial" w:cs="Arial"/>
          <w:sz w:val="24"/>
          <w:szCs w:val="24"/>
        </w:rPr>
        <w:fldChar w:fldCharType="begin"/>
      </w:r>
      <w:r w:rsidRPr="00520297">
        <w:rPr>
          <w:rFonts w:ascii="Arial" w:hAnsi="Arial" w:cs="Arial"/>
          <w:sz w:val="24"/>
          <w:szCs w:val="24"/>
        </w:rPr>
        <w:instrText xml:space="preserve"> ADDIN ZOTERO_ITEM CSL_CITATION {"citationID":"HPoX4X8l","properties":{"formattedCitation":"(The Law Commission and the Scottish Law Commission, n.d.)","plainCitation":"(The Law Commission and the Scottish Law Commission, n.d.)","dontUpdate":true,"noteIndex":0},"citationItems":[{"id":106,"uris":["http://zotero.org/users/5751666/items/AR4BDI9L"],"itemData":{"id":106,"type":"report","title":"The Interpretation of Statutes","author":[{"family":"The Law Commission and the Scottish Law Commission","given":""}]}}],"schema":"https://github.com/citation-style-language/schema/raw/master/csl-citation.json"} </w:instrText>
      </w:r>
      <w:r w:rsidRPr="00520297">
        <w:rPr>
          <w:rFonts w:ascii="Arial" w:hAnsi="Arial" w:cs="Arial"/>
          <w:sz w:val="24"/>
          <w:szCs w:val="24"/>
        </w:rPr>
        <w:fldChar w:fldCharType="separate"/>
      </w:r>
      <w:r w:rsidRPr="00520297">
        <w:rPr>
          <w:rFonts w:ascii="Arial" w:hAnsi="Arial" w:cs="Arial"/>
          <w:noProof/>
          <w:sz w:val="24"/>
          <w:szCs w:val="24"/>
        </w:rPr>
        <w:t>(The Law Commission and the Scottish Law Commission, 1969)</w:t>
      </w:r>
      <w:r w:rsidRPr="00520297">
        <w:rPr>
          <w:rFonts w:ascii="Arial" w:hAnsi="Arial" w:cs="Arial"/>
          <w:sz w:val="24"/>
          <w:szCs w:val="24"/>
        </w:rPr>
        <w:fldChar w:fldCharType="end"/>
      </w:r>
      <w:r w:rsidRPr="00520297">
        <w:rPr>
          <w:rFonts w:ascii="Arial" w:hAnsi="Arial" w:cs="Arial"/>
          <w:sz w:val="24"/>
          <w:szCs w:val="24"/>
        </w:rPr>
        <w:t xml:space="preserve">. While these people may obtain expert advice when required, taking such steps would often be tedious and </w:t>
      </w:r>
      <w:r w:rsidRPr="00520297">
        <w:rPr>
          <w:rFonts w:ascii="Arial" w:hAnsi="Arial" w:cs="Arial"/>
          <w:sz w:val="24"/>
          <w:szCs w:val="24"/>
        </w:rPr>
        <w:lastRenderedPageBreak/>
        <w:t>time-consuming. Therefore, it is arguable that the statute itself should be clear enough to be understood by the public without the need for interpretation, especially as interpretation seems to vary on a case-to-case basis widely.</w:t>
      </w:r>
    </w:p>
    <w:p w14:paraId="0AEAB5E8" w14:textId="77777777" w:rsidR="00520297" w:rsidRPr="00520297" w:rsidRDefault="00520297" w:rsidP="00520297">
      <w:pPr>
        <w:rPr>
          <w:rFonts w:ascii="Arial" w:hAnsi="Arial" w:cs="Arial"/>
          <w:sz w:val="24"/>
          <w:szCs w:val="24"/>
        </w:rPr>
      </w:pPr>
    </w:p>
    <w:p w14:paraId="211781AF" w14:textId="77777777" w:rsidR="004B01A4" w:rsidRDefault="004B01A4" w:rsidP="00520297">
      <w:pPr>
        <w:rPr>
          <w:rFonts w:ascii="Arial" w:hAnsi="Arial" w:cs="Arial"/>
          <w:sz w:val="24"/>
          <w:szCs w:val="24"/>
        </w:rPr>
      </w:pPr>
      <w:r>
        <w:rPr>
          <w:rFonts w:ascii="Arial" w:hAnsi="Arial" w:cs="Arial"/>
          <w:sz w:val="24"/>
          <w:szCs w:val="24"/>
        </w:rPr>
        <w:t xml:space="preserve">  </w:t>
      </w:r>
    </w:p>
    <w:p w14:paraId="5545B88E" w14:textId="77777777" w:rsidR="004B01A4" w:rsidRDefault="004B01A4" w:rsidP="00520297">
      <w:pPr>
        <w:rPr>
          <w:rFonts w:ascii="Arial" w:hAnsi="Arial" w:cs="Arial"/>
          <w:sz w:val="24"/>
          <w:szCs w:val="24"/>
        </w:rPr>
      </w:pPr>
    </w:p>
    <w:p w14:paraId="3ED5DB8D" w14:textId="77777777" w:rsidR="004B01A4" w:rsidRDefault="004B01A4" w:rsidP="00520297">
      <w:pPr>
        <w:rPr>
          <w:rFonts w:ascii="Arial" w:hAnsi="Arial" w:cs="Arial"/>
          <w:sz w:val="24"/>
          <w:szCs w:val="24"/>
        </w:rPr>
      </w:pPr>
    </w:p>
    <w:p w14:paraId="1E2D65E7" w14:textId="77777777" w:rsidR="004B01A4" w:rsidRDefault="004B01A4" w:rsidP="00520297">
      <w:pPr>
        <w:rPr>
          <w:rFonts w:ascii="Arial" w:hAnsi="Arial" w:cs="Arial"/>
          <w:sz w:val="24"/>
          <w:szCs w:val="24"/>
        </w:rPr>
      </w:pPr>
    </w:p>
    <w:p w14:paraId="13425A73" w14:textId="77777777" w:rsidR="004B01A4" w:rsidRDefault="004B01A4" w:rsidP="00520297">
      <w:pPr>
        <w:rPr>
          <w:rFonts w:ascii="Arial" w:hAnsi="Arial" w:cs="Arial"/>
          <w:sz w:val="24"/>
          <w:szCs w:val="24"/>
        </w:rPr>
      </w:pPr>
    </w:p>
    <w:p w14:paraId="5A871D29" w14:textId="77777777" w:rsidR="00FD647B" w:rsidRDefault="00FD647B" w:rsidP="00520297">
      <w:pPr>
        <w:rPr>
          <w:rFonts w:ascii="Arial" w:hAnsi="Arial" w:cs="Arial"/>
          <w:b/>
          <w:bCs/>
          <w:i/>
          <w:iCs/>
          <w:sz w:val="24"/>
          <w:szCs w:val="24"/>
        </w:rPr>
      </w:pPr>
    </w:p>
    <w:p w14:paraId="39565393" w14:textId="77777777" w:rsidR="00FD647B" w:rsidRDefault="00FD647B" w:rsidP="00520297">
      <w:pPr>
        <w:rPr>
          <w:rFonts w:ascii="Arial" w:hAnsi="Arial" w:cs="Arial"/>
          <w:b/>
          <w:bCs/>
          <w:i/>
          <w:iCs/>
          <w:sz w:val="24"/>
          <w:szCs w:val="24"/>
        </w:rPr>
      </w:pPr>
    </w:p>
    <w:p w14:paraId="500B11A5" w14:textId="77777777" w:rsidR="00FD647B" w:rsidRDefault="00FD647B" w:rsidP="00520297">
      <w:pPr>
        <w:rPr>
          <w:rFonts w:ascii="Arial" w:hAnsi="Arial" w:cs="Arial"/>
          <w:b/>
          <w:bCs/>
          <w:i/>
          <w:iCs/>
          <w:sz w:val="24"/>
          <w:szCs w:val="24"/>
        </w:rPr>
      </w:pPr>
    </w:p>
    <w:p w14:paraId="3FCC3FB9" w14:textId="77777777" w:rsidR="00FD647B" w:rsidRDefault="00FD647B" w:rsidP="00520297">
      <w:pPr>
        <w:rPr>
          <w:rFonts w:ascii="Arial" w:hAnsi="Arial" w:cs="Arial"/>
          <w:b/>
          <w:bCs/>
          <w:i/>
          <w:iCs/>
          <w:sz w:val="24"/>
          <w:szCs w:val="24"/>
        </w:rPr>
      </w:pPr>
    </w:p>
    <w:p w14:paraId="6286F022" w14:textId="77777777" w:rsidR="00FD647B" w:rsidRDefault="00FD647B" w:rsidP="00520297">
      <w:pPr>
        <w:rPr>
          <w:rFonts w:ascii="Arial" w:hAnsi="Arial" w:cs="Arial"/>
          <w:b/>
          <w:bCs/>
          <w:i/>
          <w:iCs/>
          <w:sz w:val="24"/>
          <w:szCs w:val="24"/>
        </w:rPr>
      </w:pPr>
    </w:p>
    <w:p w14:paraId="2642BC7E" w14:textId="77777777" w:rsidR="00FD647B" w:rsidRDefault="00FD647B" w:rsidP="00520297">
      <w:pPr>
        <w:rPr>
          <w:rFonts w:ascii="Arial" w:hAnsi="Arial" w:cs="Arial"/>
          <w:b/>
          <w:bCs/>
          <w:i/>
          <w:iCs/>
          <w:sz w:val="24"/>
          <w:szCs w:val="24"/>
        </w:rPr>
      </w:pPr>
    </w:p>
    <w:p w14:paraId="39F31982" w14:textId="77777777" w:rsidR="00FD647B" w:rsidRDefault="00FD647B" w:rsidP="00520297">
      <w:pPr>
        <w:rPr>
          <w:rFonts w:ascii="Arial" w:hAnsi="Arial" w:cs="Arial"/>
          <w:b/>
          <w:bCs/>
          <w:i/>
          <w:iCs/>
          <w:sz w:val="24"/>
          <w:szCs w:val="24"/>
        </w:rPr>
      </w:pPr>
    </w:p>
    <w:p w14:paraId="60E2B550" w14:textId="77777777" w:rsidR="00FD647B" w:rsidRDefault="00FD647B" w:rsidP="00520297">
      <w:pPr>
        <w:rPr>
          <w:rFonts w:ascii="Arial" w:hAnsi="Arial" w:cs="Arial"/>
          <w:b/>
          <w:bCs/>
          <w:i/>
          <w:iCs/>
          <w:sz w:val="24"/>
          <w:szCs w:val="24"/>
        </w:rPr>
      </w:pPr>
    </w:p>
    <w:p w14:paraId="24519446" w14:textId="77777777" w:rsidR="00FD647B" w:rsidRDefault="00FD647B" w:rsidP="00520297">
      <w:pPr>
        <w:rPr>
          <w:rFonts w:ascii="Arial" w:hAnsi="Arial" w:cs="Arial"/>
          <w:b/>
          <w:bCs/>
          <w:i/>
          <w:iCs/>
          <w:sz w:val="24"/>
          <w:szCs w:val="24"/>
        </w:rPr>
      </w:pPr>
    </w:p>
    <w:p w14:paraId="13150005" w14:textId="77777777" w:rsidR="00FD647B" w:rsidRDefault="00FD647B" w:rsidP="00520297">
      <w:pPr>
        <w:rPr>
          <w:rFonts w:ascii="Arial" w:hAnsi="Arial" w:cs="Arial"/>
          <w:b/>
          <w:bCs/>
          <w:i/>
          <w:iCs/>
          <w:sz w:val="24"/>
          <w:szCs w:val="24"/>
        </w:rPr>
      </w:pPr>
    </w:p>
    <w:p w14:paraId="69C09EF8" w14:textId="77777777" w:rsidR="00FD647B" w:rsidRDefault="00FD647B" w:rsidP="00520297">
      <w:pPr>
        <w:rPr>
          <w:rFonts w:ascii="Arial" w:hAnsi="Arial" w:cs="Arial"/>
          <w:b/>
          <w:bCs/>
          <w:i/>
          <w:iCs/>
          <w:sz w:val="24"/>
          <w:szCs w:val="24"/>
        </w:rPr>
      </w:pPr>
    </w:p>
    <w:p w14:paraId="0A9B25E0" w14:textId="77777777" w:rsidR="00FD647B" w:rsidRDefault="00FD647B" w:rsidP="00520297">
      <w:pPr>
        <w:rPr>
          <w:rFonts w:ascii="Arial" w:hAnsi="Arial" w:cs="Arial"/>
          <w:b/>
          <w:bCs/>
          <w:i/>
          <w:iCs/>
          <w:sz w:val="24"/>
          <w:szCs w:val="24"/>
        </w:rPr>
      </w:pPr>
    </w:p>
    <w:p w14:paraId="528B79FD" w14:textId="77777777" w:rsidR="00FD647B" w:rsidRDefault="00FD647B" w:rsidP="00520297">
      <w:pPr>
        <w:rPr>
          <w:rFonts w:ascii="Arial" w:hAnsi="Arial" w:cs="Arial"/>
          <w:b/>
          <w:bCs/>
          <w:i/>
          <w:iCs/>
          <w:sz w:val="24"/>
          <w:szCs w:val="24"/>
        </w:rPr>
      </w:pPr>
    </w:p>
    <w:p w14:paraId="130A7EF2" w14:textId="77777777" w:rsidR="00FD647B" w:rsidRDefault="00FD647B" w:rsidP="00520297">
      <w:pPr>
        <w:rPr>
          <w:rFonts w:ascii="Arial" w:hAnsi="Arial" w:cs="Arial"/>
          <w:b/>
          <w:bCs/>
          <w:i/>
          <w:iCs/>
          <w:sz w:val="24"/>
          <w:szCs w:val="24"/>
        </w:rPr>
      </w:pPr>
    </w:p>
    <w:p w14:paraId="74203F04" w14:textId="77777777" w:rsidR="00FD647B" w:rsidRDefault="00FD647B" w:rsidP="00520297">
      <w:pPr>
        <w:rPr>
          <w:rFonts w:ascii="Arial" w:hAnsi="Arial" w:cs="Arial"/>
          <w:b/>
          <w:bCs/>
          <w:i/>
          <w:iCs/>
          <w:sz w:val="24"/>
          <w:szCs w:val="24"/>
        </w:rPr>
      </w:pPr>
    </w:p>
    <w:p w14:paraId="6E9BA20E" w14:textId="77777777" w:rsidR="00FD647B" w:rsidRDefault="00FD647B" w:rsidP="00520297">
      <w:pPr>
        <w:rPr>
          <w:rFonts w:ascii="Arial" w:hAnsi="Arial" w:cs="Arial"/>
          <w:b/>
          <w:bCs/>
          <w:i/>
          <w:iCs/>
          <w:sz w:val="24"/>
          <w:szCs w:val="24"/>
        </w:rPr>
      </w:pPr>
    </w:p>
    <w:p w14:paraId="473EF06D" w14:textId="77777777" w:rsidR="00FD647B" w:rsidRDefault="00FD647B" w:rsidP="00520297">
      <w:pPr>
        <w:rPr>
          <w:rFonts w:ascii="Arial" w:hAnsi="Arial" w:cs="Arial"/>
          <w:b/>
          <w:bCs/>
          <w:i/>
          <w:iCs/>
          <w:sz w:val="24"/>
          <w:szCs w:val="24"/>
        </w:rPr>
      </w:pPr>
    </w:p>
    <w:p w14:paraId="3E975C87" w14:textId="77777777" w:rsidR="00FD647B" w:rsidRDefault="00FD647B" w:rsidP="00520297">
      <w:pPr>
        <w:rPr>
          <w:rFonts w:ascii="Arial" w:hAnsi="Arial" w:cs="Arial"/>
          <w:b/>
          <w:bCs/>
          <w:i/>
          <w:iCs/>
          <w:sz w:val="24"/>
          <w:szCs w:val="24"/>
        </w:rPr>
      </w:pPr>
    </w:p>
    <w:p w14:paraId="663917EB" w14:textId="77777777" w:rsidR="00FD647B" w:rsidRDefault="00FD647B" w:rsidP="00520297">
      <w:pPr>
        <w:rPr>
          <w:rFonts w:ascii="Arial" w:hAnsi="Arial" w:cs="Arial"/>
          <w:b/>
          <w:bCs/>
          <w:i/>
          <w:iCs/>
          <w:sz w:val="24"/>
          <w:szCs w:val="24"/>
        </w:rPr>
      </w:pPr>
    </w:p>
    <w:p w14:paraId="3437933E" w14:textId="77777777" w:rsidR="00FD647B" w:rsidRDefault="00FD647B" w:rsidP="00520297">
      <w:pPr>
        <w:rPr>
          <w:rFonts w:ascii="Arial" w:hAnsi="Arial" w:cs="Arial"/>
          <w:b/>
          <w:bCs/>
          <w:i/>
          <w:iCs/>
          <w:sz w:val="24"/>
          <w:szCs w:val="24"/>
        </w:rPr>
      </w:pPr>
    </w:p>
    <w:p w14:paraId="6C4BC720" w14:textId="77777777" w:rsidR="00FD647B" w:rsidRDefault="00FD647B" w:rsidP="00520297">
      <w:pPr>
        <w:rPr>
          <w:rFonts w:ascii="Arial" w:hAnsi="Arial" w:cs="Arial"/>
          <w:b/>
          <w:bCs/>
          <w:i/>
          <w:iCs/>
          <w:sz w:val="24"/>
          <w:szCs w:val="24"/>
        </w:rPr>
      </w:pPr>
    </w:p>
    <w:p w14:paraId="36DA7E23" w14:textId="77777777" w:rsidR="00FD647B" w:rsidRDefault="00FD647B" w:rsidP="00520297">
      <w:pPr>
        <w:rPr>
          <w:rFonts w:ascii="Arial" w:hAnsi="Arial" w:cs="Arial"/>
          <w:b/>
          <w:bCs/>
          <w:i/>
          <w:iCs/>
          <w:sz w:val="24"/>
          <w:szCs w:val="24"/>
        </w:rPr>
      </w:pPr>
    </w:p>
    <w:p w14:paraId="695129FE" w14:textId="03217D8F" w:rsidR="00520297" w:rsidRPr="00520297" w:rsidRDefault="00520297" w:rsidP="00520297">
      <w:pPr>
        <w:rPr>
          <w:rFonts w:ascii="Arial" w:hAnsi="Arial" w:cs="Arial"/>
          <w:b/>
          <w:bCs/>
          <w:i/>
          <w:iCs/>
          <w:sz w:val="24"/>
          <w:szCs w:val="24"/>
        </w:rPr>
      </w:pPr>
      <w:r w:rsidRPr="00520297">
        <w:rPr>
          <w:rFonts w:ascii="Arial" w:hAnsi="Arial" w:cs="Arial"/>
          <w:b/>
          <w:bCs/>
          <w:i/>
          <w:iCs/>
          <w:sz w:val="24"/>
          <w:szCs w:val="24"/>
        </w:rPr>
        <w:lastRenderedPageBreak/>
        <w:t>Conclusion</w:t>
      </w:r>
    </w:p>
    <w:p w14:paraId="754ADCE5" w14:textId="77777777" w:rsidR="00520297" w:rsidRPr="00520297" w:rsidRDefault="00520297" w:rsidP="00520297">
      <w:pPr>
        <w:rPr>
          <w:rFonts w:ascii="Arial" w:hAnsi="Arial" w:cs="Arial"/>
          <w:sz w:val="24"/>
          <w:szCs w:val="24"/>
        </w:rPr>
      </w:pPr>
      <w:r w:rsidRPr="00520297">
        <w:rPr>
          <w:rFonts w:ascii="Arial" w:hAnsi="Arial" w:cs="Arial"/>
          <w:sz w:val="24"/>
          <w:szCs w:val="24"/>
        </w:rPr>
        <w:tab/>
        <w:t>In conclusion, the need for statutory interpretation arose when judges were no longer members of the King’s council, and the responsibility of making laws shifted to the King in</w:t>
      </w:r>
      <w:r w:rsidRPr="00520297">
        <w:rPr>
          <w:rFonts w:ascii="Arial" w:hAnsi="Arial" w:cs="Arial"/>
          <w:sz w:val="24"/>
          <w:szCs w:val="24"/>
        </w:rPr>
        <w:t xml:space="preserve"> </w:t>
      </w:r>
      <w:r w:rsidRPr="00520297">
        <w:rPr>
          <w:rFonts w:ascii="Arial" w:hAnsi="Arial" w:cs="Arial"/>
          <w:sz w:val="24"/>
          <w:szCs w:val="24"/>
        </w:rPr>
        <w:t>conjunction with the Parliament and then exclusively to Parliament when there was a separation of the powers in the UK. As the doctrine of separation of the powers provided the judges solely with the ability to apply the law, it became necessary to create specific rules of interpretation to allow them to apply the statute in a manner that achieved its objectives. The rules of interpretation include the literal, golden, and purposive rules, and all of these methods have been applied in various cases, all of which have their advantages and disadvantages. Additionally, there are issues with the general concept of statutory interpretation, as it creates ambiguity as to the actual meaning of the law and makes it difficult for the general public to understand. Therefore, while rules of interpreting statute are necessary for the application of the law in a way that prevents the use of loopholes to avoid liability, it seems reasonable that the literal and golden rules should be upheld, as they allow the law to be applied in a way that prevents its misuse. However, clear guidelines should be established as to the golden rule, to prevent the fluctuation between the narrow and wide approaches of the rule. Additionally, the purposive rule should be avoided, as it provides too much freedom to the judiciary to apply the law however they like, which goes against the doctrine of separation of powers and parliamentary sovereignty.</w:t>
      </w:r>
    </w:p>
    <w:p w14:paraId="54093FA4" w14:textId="77777777" w:rsidR="00520297" w:rsidRPr="00520297" w:rsidRDefault="00520297" w:rsidP="00520297">
      <w:pPr>
        <w:rPr>
          <w:rFonts w:ascii="Arial" w:hAnsi="Arial" w:cs="Arial"/>
          <w:sz w:val="24"/>
          <w:szCs w:val="24"/>
        </w:rPr>
      </w:pPr>
    </w:p>
    <w:p w14:paraId="01DB5990" w14:textId="77777777" w:rsidR="00520297" w:rsidRPr="00520297" w:rsidRDefault="00520297" w:rsidP="00520297">
      <w:pPr>
        <w:rPr>
          <w:rFonts w:ascii="Arial" w:hAnsi="Arial" w:cs="Arial"/>
          <w:sz w:val="24"/>
          <w:szCs w:val="24"/>
        </w:rPr>
      </w:pPr>
    </w:p>
    <w:p w14:paraId="57079AC4" w14:textId="77777777" w:rsidR="00520297" w:rsidRPr="00520297" w:rsidRDefault="00520297" w:rsidP="00520297">
      <w:pPr>
        <w:rPr>
          <w:rFonts w:ascii="Arial" w:hAnsi="Arial" w:cs="Arial"/>
          <w:sz w:val="24"/>
          <w:szCs w:val="24"/>
        </w:rPr>
      </w:pPr>
    </w:p>
    <w:p w14:paraId="59C9268C" w14:textId="77777777" w:rsidR="00520297" w:rsidRPr="00520297" w:rsidRDefault="00520297" w:rsidP="00520297">
      <w:pPr>
        <w:rPr>
          <w:rFonts w:ascii="Arial" w:hAnsi="Arial" w:cs="Arial"/>
          <w:sz w:val="24"/>
          <w:szCs w:val="24"/>
        </w:rPr>
      </w:pPr>
    </w:p>
    <w:p w14:paraId="14D8B56F" w14:textId="77777777" w:rsidR="00520297" w:rsidRPr="00520297" w:rsidRDefault="00520297" w:rsidP="00520297">
      <w:pPr>
        <w:rPr>
          <w:rFonts w:ascii="Arial" w:hAnsi="Arial" w:cs="Arial"/>
          <w:sz w:val="24"/>
          <w:szCs w:val="24"/>
        </w:rPr>
      </w:pPr>
    </w:p>
    <w:p w14:paraId="2A8A6ECD" w14:textId="77777777" w:rsidR="004B01A4" w:rsidRDefault="004B01A4" w:rsidP="00520297">
      <w:pPr>
        <w:rPr>
          <w:rFonts w:ascii="Arial" w:hAnsi="Arial" w:cs="Arial"/>
          <w:sz w:val="24"/>
          <w:szCs w:val="24"/>
        </w:rPr>
      </w:pPr>
    </w:p>
    <w:p w14:paraId="1A9F57D8" w14:textId="77777777" w:rsidR="004B01A4" w:rsidRDefault="004B01A4" w:rsidP="00520297">
      <w:pPr>
        <w:rPr>
          <w:rFonts w:ascii="Arial" w:hAnsi="Arial" w:cs="Arial"/>
          <w:sz w:val="24"/>
          <w:szCs w:val="24"/>
        </w:rPr>
      </w:pPr>
    </w:p>
    <w:p w14:paraId="213B3142" w14:textId="77777777" w:rsidR="004B01A4" w:rsidRDefault="004B01A4" w:rsidP="00520297">
      <w:pPr>
        <w:rPr>
          <w:rFonts w:ascii="Arial" w:hAnsi="Arial" w:cs="Arial"/>
          <w:sz w:val="24"/>
          <w:szCs w:val="24"/>
        </w:rPr>
      </w:pPr>
    </w:p>
    <w:p w14:paraId="2726FF05" w14:textId="77777777" w:rsidR="004B01A4" w:rsidRDefault="004B01A4" w:rsidP="00520297">
      <w:pPr>
        <w:rPr>
          <w:rFonts w:ascii="Arial" w:hAnsi="Arial" w:cs="Arial"/>
          <w:sz w:val="24"/>
          <w:szCs w:val="24"/>
        </w:rPr>
      </w:pPr>
    </w:p>
    <w:p w14:paraId="3AE1DF65" w14:textId="77777777" w:rsidR="004B01A4" w:rsidRDefault="004B01A4" w:rsidP="00520297">
      <w:pPr>
        <w:rPr>
          <w:rFonts w:ascii="Arial" w:hAnsi="Arial" w:cs="Arial"/>
          <w:sz w:val="24"/>
          <w:szCs w:val="24"/>
        </w:rPr>
      </w:pPr>
    </w:p>
    <w:p w14:paraId="7AB18A6F" w14:textId="77777777" w:rsidR="004B01A4" w:rsidRDefault="004B01A4" w:rsidP="00520297">
      <w:pPr>
        <w:rPr>
          <w:rFonts w:ascii="Arial" w:hAnsi="Arial" w:cs="Arial"/>
          <w:sz w:val="24"/>
          <w:szCs w:val="24"/>
        </w:rPr>
      </w:pPr>
    </w:p>
    <w:p w14:paraId="3B0FAB95" w14:textId="77777777" w:rsidR="004B01A4" w:rsidRDefault="004B01A4" w:rsidP="00520297">
      <w:pPr>
        <w:rPr>
          <w:rFonts w:ascii="Arial" w:hAnsi="Arial" w:cs="Arial"/>
          <w:sz w:val="24"/>
          <w:szCs w:val="24"/>
        </w:rPr>
      </w:pPr>
    </w:p>
    <w:p w14:paraId="32A15562" w14:textId="77777777" w:rsidR="004B01A4" w:rsidRDefault="004B01A4" w:rsidP="00520297">
      <w:pPr>
        <w:rPr>
          <w:rFonts w:ascii="Arial" w:hAnsi="Arial" w:cs="Arial"/>
          <w:sz w:val="24"/>
          <w:szCs w:val="24"/>
        </w:rPr>
      </w:pPr>
    </w:p>
    <w:p w14:paraId="4F82BE02" w14:textId="77777777" w:rsidR="004B01A4" w:rsidRDefault="004B01A4" w:rsidP="00520297">
      <w:pPr>
        <w:rPr>
          <w:rFonts w:ascii="Arial" w:hAnsi="Arial" w:cs="Arial"/>
          <w:sz w:val="24"/>
          <w:szCs w:val="24"/>
        </w:rPr>
      </w:pPr>
    </w:p>
    <w:p w14:paraId="1C405CE6" w14:textId="77777777" w:rsidR="004B01A4" w:rsidRDefault="004B01A4" w:rsidP="00520297">
      <w:pPr>
        <w:rPr>
          <w:rFonts w:ascii="Arial" w:hAnsi="Arial" w:cs="Arial"/>
          <w:sz w:val="24"/>
          <w:szCs w:val="24"/>
        </w:rPr>
      </w:pPr>
    </w:p>
    <w:p w14:paraId="516BA690" w14:textId="77777777" w:rsidR="004B01A4" w:rsidRDefault="004B01A4" w:rsidP="00520297">
      <w:pPr>
        <w:rPr>
          <w:rFonts w:ascii="Arial" w:hAnsi="Arial" w:cs="Arial"/>
          <w:sz w:val="24"/>
          <w:szCs w:val="24"/>
        </w:rPr>
      </w:pPr>
    </w:p>
    <w:p w14:paraId="58B51E5E" w14:textId="6C3892FB" w:rsidR="00520297" w:rsidRPr="00520297" w:rsidRDefault="00520297" w:rsidP="00520297">
      <w:pPr>
        <w:rPr>
          <w:rFonts w:ascii="Arial" w:hAnsi="Arial" w:cs="Arial"/>
          <w:b/>
          <w:bCs/>
          <w:i/>
          <w:iCs/>
          <w:sz w:val="24"/>
          <w:szCs w:val="24"/>
        </w:rPr>
      </w:pPr>
      <w:r w:rsidRPr="00520297">
        <w:rPr>
          <w:rFonts w:ascii="Arial" w:hAnsi="Arial" w:cs="Arial"/>
          <w:b/>
          <w:bCs/>
          <w:i/>
          <w:iCs/>
          <w:sz w:val="24"/>
          <w:szCs w:val="24"/>
        </w:rPr>
        <w:lastRenderedPageBreak/>
        <w:t>Bibliography</w:t>
      </w:r>
    </w:p>
    <w:p w14:paraId="375ADB15" w14:textId="77777777" w:rsidR="00520297" w:rsidRPr="00520297" w:rsidRDefault="00520297" w:rsidP="00520297">
      <w:pPr>
        <w:rPr>
          <w:rFonts w:ascii="Arial" w:hAnsi="Arial" w:cs="Arial"/>
          <w:color w:val="000000"/>
          <w:sz w:val="24"/>
          <w:szCs w:val="24"/>
        </w:rPr>
      </w:pPr>
      <w:r w:rsidRPr="00520297">
        <w:rPr>
          <w:rFonts w:ascii="Arial" w:hAnsi="Arial" w:cs="Arial"/>
          <w:sz w:val="24"/>
          <w:szCs w:val="24"/>
        </w:rPr>
        <w:fldChar w:fldCharType="begin"/>
      </w:r>
      <w:r w:rsidRPr="00520297">
        <w:rPr>
          <w:rFonts w:ascii="Arial" w:hAnsi="Arial" w:cs="Arial"/>
          <w:sz w:val="24"/>
          <w:szCs w:val="24"/>
        </w:rPr>
        <w:instrText xml:space="preserve"> ADDIN ZOTERO_BIBL {"uncited":[],"omitted":[],"custom":[]} CSL_BIBLIOGRAPHY </w:instrText>
      </w:r>
      <w:r w:rsidRPr="00520297">
        <w:rPr>
          <w:rFonts w:ascii="Arial" w:hAnsi="Arial" w:cs="Arial"/>
          <w:sz w:val="24"/>
          <w:szCs w:val="24"/>
        </w:rPr>
        <w:fldChar w:fldCharType="separate"/>
      </w:r>
      <w:r w:rsidRPr="00520297">
        <w:rPr>
          <w:rFonts w:ascii="Arial" w:hAnsi="Arial" w:cs="Arial"/>
          <w:color w:val="000000"/>
          <w:sz w:val="24"/>
          <w:szCs w:val="24"/>
        </w:rPr>
        <w:t>Ali, A.Z., 2020. Implications of Literal Rule and Purposive Rule. Available SSRN 3786866.</w:t>
      </w:r>
    </w:p>
    <w:p w14:paraId="339393CA" w14:textId="77777777" w:rsidR="00520297" w:rsidRPr="00520297" w:rsidRDefault="00520297" w:rsidP="00520297">
      <w:pPr>
        <w:rPr>
          <w:rFonts w:ascii="Arial" w:hAnsi="Arial" w:cs="Arial"/>
          <w:color w:val="000000"/>
          <w:sz w:val="24"/>
          <w:szCs w:val="24"/>
        </w:rPr>
      </w:pPr>
      <w:r w:rsidRPr="00520297">
        <w:rPr>
          <w:rFonts w:ascii="Arial" w:hAnsi="Arial" w:cs="Arial"/>
          <w:color w:val="000000"/>
          <w:sz w:val="24"/>
          <w:szCs w:val="24"/>
        </w:rPr>
        <w:t>Bulathwela, S., 2015. One Up for Statutory Interpretation and Two Down for Separation of Powers.</w:t>
      </w:r>
    </w:p>
    <w:p w14:paraId="3F997A15" w14:textId="77777777" w:rsidR="00520297" w:rsidRPr="00520297" w:rsidRDefault="00520297" w:rsidP="00520297">
      <w:pPr>
        <w:rPr>
          <w:rFonts w:ascii="Arial" w:hAnsi="Arial" w:cs="Arial"/>
          <w:color w:val="000000"/>
          <w:sz w:val="24"/>
          <w:szCs w:val="24"/>
        </w:rPr>
      </w:pPr>
      <w:r w:rsidRPr="00520297">
        <w:rPr>
          <w:rFonts w:ascii="Arial" w:hAnsi="Arial" w:cs="Arial"/>
          <w:color w:val="000000"/>
          <w:sz w:val="24"/>
          <w:szCs w:val="24"/>
        </w:rPr>
        <w:t>Butchard, 2020. Principles of internation law: a brief guide.</w:t>
      </w:r>
    </w:p>
    <w:p w14:paraId="7DED5F54" w14:textId="77777777" w:rsidR="00520297" w:rsidRPr="00520297" w:rsidRDefault="00520297" w:rsidP="00520297">
      <w:pPr>
        <w:rPr>
          <w:rFonts w:ascii="Arial" w:hAnsi="Arial" w:cs="Arial"/>
          <w:color w:val="000000"/>
          <w:sz w:val="24"/>
          <w:szCs w:val="24"/>
        </w:rPr>
      </w:pPr>
      <w:r w:rsidRPr="00520297">
        <w:rPr>
          <w:rFonts w:ascii="Arial" w:hAnsi="Arial" w:cs="Arial"/>
          <w:color w:val="000000"/>
          <w:sz w:val="24"/>
          <w:szCs w:val="24"/>
        </w:rPr>
        <w:t>Duport Steels Ltd v Sirs, 1980.</w:t>
      </w:r>
    </w:p>
    <w:p w14:paraId="166F0258" w14:textId="77777777" w:rsidR="00520297" w:rsidRPr="00520297" w:rsidRDefault="00520297" w:rsidP="00520297">
      <w:pPr>
        <w:rPr>
          <w:rFonts w:ascii="Arial" w:hAnsi="Arial" w:cs="Arial"/>
          <w:color w:val="000000"/>
          <w:sz w:val="24"/>
          <w:szCs w:val="24"/>
        </w:rPr>
      </w:pPr>
      <w:r w:rsidRPr="00520297">
        <w:rPr>
          <w:rFonts w:ascii="Arial" w:hAnsi="Arial" w:cs="Arial"/>
          <w:color w:val="000000"/>
          <w:sz w:val="24"/>
          <w:szCs w:val="24"/>
        </w:rPr>
        <w:t>Fisher v Bell, 1960.</w:t>
      </w:r>
    </w:p>
    <w:p w14:paraId="3BB9A1F1" w14:textId="77777777" w:rsidR="00520297" w:rsidRPr="00520297" w:rsidRDefault="00520297" w:rsidP="00520297">
      <w:pPr>
        <w:rPr>
          <w:rFonts w:ascii="Arial" w:hAnsi="Arial" w:cs="Arial"/>
          <w:color w:val="000000"/>
          <w:sz w:val="24"/>
          <w:szCs w:val="24"/>
        </w:rPr>
      </w:pPr>
      <w:r w:rsidRPr="00520297">
        <w:rPr>
          <w:rFonts w:ascii="Arial" w:hAnsi="Arial" w:cs="Arial"/>
          <w:color w:val="000000"/>
          <w:sz w:val="24"/>
          <w:szCs w:val="24"/>
        </w:rPr>
        <w:t>Lücke, H.K., 2005. Review Article*: Statutory Interpretation: New Comparative Dimensions. Int. Comp. Law Q. 54, 1023–1032.</w:t>
      </w:r>
    </w:p>
    <w:p w14:paraId="5B866853" w14:textId="77777777" w:rsidR="00520297" w:rsidRPr="00520297" w:rsidRDefault="00520297" w:rsidP="00520297">
      <w:pPr>
        <w:rPr>
          <w:rFonts w:ascii="Arial" w:hAnsi="Arial" w:cs="Arial"/>
          <w:color w:val="000000"/>
          <w:sz w:val="24"/>
          <w:szCs w:val="24"/>
        </w:rPr>
      </w:pPr>
      <w:r w:rsidRPr="00520297">
        <w:rPr>
          <w:rFonts w:ascii="Arial" w:hAnsi="Arial" w:cs="Arial"/>
          <w:color w:val="000000"/>
          <w:sz w:val="24"/>
          <w:szCs w:val="24"/>
        </w:rPr>
        <w:t>Palsikar, A., 2020. Critical Analysis of Literal Rule of Interpretation. Available SSRN 3720368.</w:t>
      </w:r>
    </w:p>
    <w:p w14:paraId="4E5D26D2" w14:textId="77777777" w:rsidR="00520297" w:rsidRPr="00520297" w:rsidRDefault="00520297" w:rsidP="00520297">
      <w:pPr>
        <w:rPr>
          <w:rFonts w:ascii="Arial" w:hAnsi="Arial" w:cs="Arial"/>
          <w:color w:val="000000"/>
          <w:sz w:val="24"/>
          <w:szCs w:val="24"/>
        </w:rPr>
      </w:pPr>
      <w:r w:rsidRPr="00520297">
        <w:rPr>
          <w:rFonts w:ascii="Arial" w:hAnsi="Arial" w:cs="Arial"/>
          <w:color w:val="000000"/>
          <w:sz w:val="24"/>
          <w:szCs w:val="24"/>
        </w:rPr>
        <w:t>R v Allen, 1872.</w:t>
      </w:r>
    </w:p>
    <w:p w14:paraId="66A72AFE" w14:textId="77777777" w:rsidR="00520297" w:rsidRPr="00520297" w:rsidRDefault="00520297" w:rsidP="00520297">
      <w:pPr>
        <w:rPr>
          <w:rFonts w:ascii="Arial" w:hAnsi="Arial" w:cs="Arial"/>
          <w:color w:val="000000"/>
          <w:sz w:val="24"/>
          <w:szCs w:val="24"/>
        </w:rPr>
      </w:pPr>
      <w:r w:rsidRPr="00520297">
        <w:rPr>
          <w:rFonts w:ascii="Arial" w:hAnsi="Arial" w:cs="Arial"/>
          <w:color w:val="000000"/>
          <w:sz w:val="24"/>
          <w:szCs w:val="24"/>
        </w:rPr>
        <w:t>R v Harris, 1836.</w:t>
      </w:r>
    </w:p>
    <w:p w14:paraId="362930E9" w14:textId="77777777" w:rsidR="00520297" w:rsidRPr="00520297" w:rsidRDefault="00520297" w:rsidP="00520297">
      <w:pPr>
        <w:rPr>
          <w:rFonts w:ascii="Arial" w:hAnsi="Arial" w:cs="Arial"/>
          <w:color w:val="000000"/>
          <w:sz w:val="24"/>
          <w:szCs w:val="24"/>
        </w:rPr>
      </w:pPr>
      <w:r w:rsidRPr="00520297">
        <w:rPr>
          <w:rFonts w:ascii="Arial" w:hAnsi="Arial" w:cs="Arial"/>
          <w:color w:val="000000"/>
          <w:sz w:val="24"/>
          <w:szCs w:val="24"/>
        </w:rPr>
        <w:t>Re Sigsworth, 1935.</w:t>
      </w:r>
    </w:p>
    <w:p w14:paraId="65461DEE" w14:textId="77777777" w:rsidR="00520297" w:rsidRPr="00520297" w:rsidRDefault="00520297" w:rsidP="00520297">
      <w:pPr>
        <w:rPr>
          <w:rFonts w:ascii="Arial" w:hAnsi="Arial" w:cs="Arial"/>
          <w:color w:val="000000"/>
          <w:sz w:val="24"/>
          <w:szCs w:val="24"/>
        </w:rPr>
      </w:pPr>
      <w:r w:rsidRPr="00520297">
        <w:rPr>
          <w:rFonts w:ascii="Arial" w:hAnsi="Arial" w:cs="Arial"/>
          <w:color w:val="000000"/>
          <w:sz w:val="24"/>
          <w:szCs w:val="24"/>
        </w:rPr>
        <w:t>Smith v Hughes, 1960.</w:t>
      </w:r>
    </w:p>
    <w:p w14:paraId="4DF711A5" w14:textId="77777777" w:rsidR="00520297" w:rsidRPr="00520297" w:rsidRDefault="00520297" w:rsidP="00520297">
      <w:pPr>
        <w:rPr>
          <w:rFonts w:ascii="Arial" w:hAnsi="Arial" w:cs="Arial"/>
          <w:color w:val="000000"/>
          <w:sz w:val="24"/>
          <w:szCs w:val="24"/>
        </w:rPr>
      </w:pPr>
      <w:r w:rsidRPr="00520297">
        <w:rPr>
          <w:rFonts w:ascii="Arial" w:hAnsi="Arial" w:cs="Arial"/>
          <w:color w:val="000000"/>
          <w:sz w:val="24"/>
          <w:szCs w:val="24"/>
        </w:rPr>
        <w:t>Styles, S.C., 1994. The Rule of Parliament: Statutory Interpretation After Pepper v Hart. Oxf. J Leg. Stud 14, 151.</w:t>
      </w:r>
    </w:p>
    <w:p w14:paraId="1A6CCD25" w14:textId="77777777" w:rsidR="00520297" w:rsidRPr="00520297" w:rsidRDefault="00520297" w:rsidP="00520297">
      <w:pPr>
        <w:rPr>
          <w:rFonts w:ascii="Arial" w:hAnsi="Arial" w:cs="Arial"/>
          <w:color w:val="000000"/>
          <w:sz w:val="24"/>
          <w:szCs w:val="24"/>
        </w:rPr>
      </w:pPr>
      <w:r w:rsidRPr="00520297">
        <w:rPr>
          <w:rFonts w:ascii="Arial" w:hAnsi="Arial" w:cs="Arial"/>
          <w:color w:val="000000"/>
          <w:sz w:val="24"/>
          <w:szCs w:val="24"/>
        </w:rPr>
        <w:t>The Law Commission and the Scottish Law Commission, n.d. The Interpretation of Statutes.</w:t>
      </w:r>
    </w:p>
    <w:p w14:paraId="5B06D4FD" w14:textId="77777777" w:rsidR="00520297" w:rsidRPr="00520297" w:rsidRDefault="00520297" w:rsidP="00520297">
      <w:pPr>
        <w:rPr>
          <w:rFonts w:ascii="Arial" w:hAnsi="Arial" w:cs="Arial"/>
          <w:color w:val="000000"/>
          <w:sz w:val="24"/>
          <w:szCs w:val="24"/>
        </w:rPr>
      </w:pPr>
      <w:r w:rsidRPr="00520297">
        <w:rPr>
          <w:rFonts w:ascii="Arial" w:hAnsi="Arial" w:cs="Arial"/>
          <w:color w:val="000000"/>
          <w:sz w:val="24"/>
          <w:szCs w:val="24"/>
        </w:rPr>
        <w:t>Vienna Convention on the Law of Treaties, 1969.</w:t>
      </w:r>
    </w:p>
    <w:p w14:paraId="3025D1DE" w14:textId="77777777" w:rsidR="00520297" w:rsidRPr="00520297" w:rsidRDefault="00520297" w:rsidP="00520297">
      <w:pPr>
        <w:rPr>
          <w:rFonts w:ascii="Arial" w:hAnsi="Arial" w:cs="Arial"/>
          <w:color w:val="000000"/>
          <w:sz w:val="24"/>
          <w:szCs w:val="24"/>
        </w:rPr>
      </w:pPr>
      <w:r w:rsidRPr="00520297">
        <w:rPr>
          <w:rFonts w:ascii="Arial" w:hAnsi="Arial" w:cs="Arial"/>
          <w:color w:val="000000"/>
          <w:sz w:val="24"/>
          <w:szCs w:val="24"/>
        </w:rPr>
        <w:t>Xanthaki, H., 2012. The UK Human Rights Act: A True Excuse for Judicial Lawmaking by the Law Lords. Jura Pecsi Tudomanyegyetem Allam-Es Jogtudomanyi Karanak Tudomanyos Lapja 244.</w:t>
      </w:r>
    </w:p>
    <w:p w14:paraId="3C8C8CA5" w14:textId="35F0F0F7" w:rsidR="00224AB2" w:rsidRPr="00520297" w:rsidRDefault="00520297" w:rsidP="00520297">
      <w:pPr>
        <w:rPr>
          <w:rFonts w:ascii="Arial" w:hAnsi="Arial" w:cs="Arial"/>
          <w:sz w:val="24"/>
          <w:szCs w:val="24"/>
        </w:rPr>
      </w:pPr>
      <w:r w:rsidRPr="00520297">
        <w:rPr>
          <w:rFonts w:ascii="Arial" w:hAnsi="Arial" w:cs="Arial"/>
          <w:sz w:val="24"/>
          <w:szCs w:val="24"/>
        </w:rPr>
        <w:fldChar w:fldCharType="end"/>
      </w:r>
    </w:p>
    <w:sectPr w:rsidR="00224AB2" w:rsidRPr="00520297" w:rsidSect="00224AB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A9F"/>
    <w:rsid w:val="00063483"/>
    <w:rsid w:val="001D2A9F"/>
    <w:rsid w:val="00224AB2"/>
    <w:rsid w:val="004B01A4"/>
    <w:rsid w:val="00520297"/>
    <w:rsid w:val="00E1133F"/>
    <w:rsid w:val="00FD64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E10EC"/>
  <w15:chartTrackingRefBased/>
  <w15:docId w15:val="{FA43B9C6-5349-4CF0-A434-699410D4B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02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24AB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24AB2"/>
    <w:rPr>
      <w:rFonts w:eastAsiaTheme="minorEastAsia"/>
      <w:lang w:val="en-US"/>
    </w:rPr>
  </w:style>
  <w:style w:type="character" w:styleId="Emphasis">
    <w:name w:val="Emphasis"/>
    <w:basedOn w:val="DefaultParagraphFont"/>
    <w:uiPriority w:val="20"/>
    <w:qFormat/>
    <w:rsid w:val="00224AB2"/>
    <w:rPr>
      <w:i/>
      <w:iCs/>
    </w:rPr>
  </w:style>
  <w:style w:type="paragraph" w:styleId="NormalWeb">
    <w:name w:val="Normal (Web)"/>
    <w:basedOn w:val="Normal"/>
    <w:uiPriority w:val="99"/>
    <w:unhideWhenUsed/>
    <w:rsid w:val="0052029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semiHidden/>
    <w:unhideWhenUsed/>
    <w:rsid w:val="00520297"/>
  </w:style>
  <w:style w:type="character" w:customStyle="1" w:styleId="Heading1Char">
    <w:name w:val="Heading 1 Char"/>
    <w:basedOn w:val="DefaultParagraphFont"/>
    <w:link w:val="Heading1"/>
    <w:uiPriority w:val="9"/>
    <w:rsid w:val="0052029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Pages>
  <Words>3884</Words>
  <Characters>22145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It may be argued that the principle of statutory interpretation diminishes the status of legislation as the primary source of law in the UK.</dc:title>
  <dc:subject>BMLW4003-Legal Process</dc:subject>
  <dc:creator>Irina Popescu-Serban (1908279)</dc:creator>
  <cp:keywords/>
  <dc:description/>
  <cp:lastModifiedBy>Irina Popescu-Serban (1908279)</cp:lastModifiedBy>
  <cp:revision>5</cp:revision>
  <dcterms:created xsi:type="dcterms:W3CDTF">2022-05-02T15:30:00Z</dcterms:created>
  <dcterms:modified xsi:type="dcterms:W3CDTF">2022-05-03T13:47:00Z</dcterms:modified>
</cp:coreProperties>
</file>