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4330D5E6"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F83C95">
              <w:rPr>
                <w:rFonts w:ascii="Times New Roman" w:hAnsi="Times New Roman" w:cs="Times New Roman"/>
                <w:b/>
                <w:color w:val="auto"/>
                <w:sz w:val="48"/>
              </w:rPr>
              <w:t>Christine Ritter-Peake</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5E85D365" w:rsidR="009C337F" w:rsidRPr="00AC0394" w:rsidRDefault="009C337F" w:rsidP="00AC0394">
            <w:pPr>
              <w:ind w:right="-957"/>
              <w:rPr>
                <w:rFonts w:ascii="Times New Roman" w:hAnsi="Times New Roman" w:cs="Times New Roman"/>
                <w:b/>
                <w:sz w:val="48"/>
              </w:rPr>
            </w:pPr>
            <w:r>
              <w:rPr>
                <w:rFonts w:ascii="Times New Roman" w:hAnsi="Times New Roman" w:cs="Times New Roman"/>
                <w:b/>
                <w:color w:val="auto"/>
                <w:sz w:val="48"/>
              </w:rPr>
              <w:t>Email address:</w:t>
            </w:r>
            <w:r w:rsidR="00AC0394">
              <w:t xml:space="preserve"> </w:t>
            </w:r>
            <w:hyperlink r:id="rId11" w:history="1">
              <w:r w:rsidR="00AC0394" w:rsidRPr="006607FD">
                <w:rPr>
                  <w:rStyle w:val="Hyperlink"/>
                  <w:rFonts w:ascii="Times New Roman" w:hAnsi="Times New Roman" w:cs="Times New Roman"/>
                  <w:b/>
                  <w:color w:val="auto"/>
                  <w:sz w:val="48"/>
                  <w:u w:val="none"/>
                </w:rPr>
                <w:t>2521892@student.uwtsd.ac.uk</w:t>
              </w:r>
            </w:hyperlink>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10F71742" w14:textId="35DCFADF" w:rsidR="00AC0394" w:rsidRPr="005D3F07" w:rsidRDefault="00AC0394"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2521892</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048C9EAF"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B037B0">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11F293C2"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w:t>
      </w:r>
      <w:r w:rsidR="6D1B720D" w:rsidRPr="00A5656A">
        <w:rPr>
          <w:i/>
          <w:iCs/>
          <w:sz w:val="24"/>
          <w:szCs w:val="24"/>
        </w:rPr>
        <w:t>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FF7EBB">
            <w:pPr>
              <w:jc w:val="both"/>
              <w:rPr>
                <w:i/>
                <w:sz w:val="24"/>
                <w:szCs w:val="24"/>
              </w:rPr>
            </w:pPr>
          </w:p>
          <w:p w14:paraId="20370495" w14:textId="79B79501" w:rsidR="00D3203C" w:rsidRDefault="00D3203C" w:rsidP="00FF7EBB">
            <w:pPr>
              <w:jc w:val="both"/>
              <w:rPr>
                <w:i/>
                <w:sz w:val="24"/>
                <w:szCs w:val="24"/>
              </w:rPr>
            </w:pPr>
          </w:p>
          <w:p w14:paraId="12DC2F24" w14:textId="24094196" w:rsidR="00D3203C" w:rsidRDefault="00D3203C" w:rsidP="00FF7EBB">
            <w:pPr>
              <w:jc w:val="both"/>
              <w:rPr>
                <w:i/>
                <w:sz w:val="24"/>
                <w:szCs w:val="24"/>
              </w:rPr>
            </w:pPr>
          </w:p>
          <w:p w14:paraId="5DB6710D" w14:textId="77777777" w:rsidR="00832B85" w:rsidRPr="00832B85" w:rsidRDefault="00832B85" w:rsidP="00832B85">
            <w:pPr>
              <w:spacing w:line="480" w:lineRule="auto"/>
              <w:rPr>
                <w:sz w:val="24"/>
                <w:szCs w:val="24"/>
              </w:rPr>
            </w:pPr>
            <w:r w:rsidRPr="00832B85">
              <w:rPr>
                <w:sz w:val="24"/>
                <w:szCs w:val="24"/>
              </w:rPr>
              <w:t xml:space="preserve">I will utilise Gibbs Reflective Cycle (1988) to reflect on this safeguarding case study. The reason behind this is that this is a good way for social workers to be able to learn from past experiences, truly examine what happened and if applicable to make changes for future practice (Maclean, 2016). Gibbs (1988) developed a six-stage reflective model and recommends users start with describing the situation, then exploring the feelings during the encounter, evaluating, analysing, concluding followed by creating an action plan. The reason I am utilising this reflective cycle is because it provides a clear structure for reflection and can support social workers with their continuous professional development, decision- making and accountability (Maclean, 2016). This essay will explore all six elements of the cycle whilst reflecting on a case study concerning the safeguarding of an adult. </w:t>
            </w:r>
          </w:p>
          <w:p w14:paraId="3B1BF2E4" w14:textId="77777777" w:rsidR="00832B85" w:rsidRDefault="00832B85" w:rsidP="00832B85">
            <w:pPr>
              <w:spacing w:line="480" w:lineRule="auto"/>
              <w:rPr>
                <w:sz w:val="24"/>
                <w:szCs w:val="24"/>
              </w:rPr>
            </w:pPr>
            <w:r w:rsidRPr="00832B85">
              <w:rPr>
                <w:sz w:val="24"/>
                <w:szCs w:val="24"/>
              </w:rPr>
              <w:lastRenderedPageBreak/>
              <w:t xml:space="preserve">Gibbs (1988) reflective cycle begins with a description of the situation: This case study in question relates to an elderly gentleman (3) who lives in a rural village in a supported living flat with his partner (4).  Both 3 and 4 are Welsh speakers and prefer to converse through the medium of Welsh rather than English. More Than Just Words (2012) is the Welsh Governments’ strategic framework for Welsh language in Health, Social Services and Social Care with its main purpose being strengthening the use of the Welsh language across services, with language needs being integrated in social care. In addition, The Active Offer (Welsh Government, 2022) is the principle that Welsh language services should be provided proactively without the individual having to ask for it.  Therefore, I was recognising that the use of Welsh in my practice was a </w:t>
            </w:r>
            <w:r w:rsidRPr="00832B85">
              <w:rPr>
                <w:i/>
                <w:iCs/>
                <w:sz w:val="24"/>
                <w:szCs w:val="24"/>
              </w:rPr>
              <w:t xml:space="preserve">need </w:t>
            </w:r>
            <w:r w:rsidRPr="00832B85">
              <w:rPr>
                <w:sz w:val="24"/>
                <w:szCs w:val="24"/>
              </w:rPr>
              <w:t xml:space="preserve">rather than just a preference. Madoc-Jones and Dubberly (2005) suggested that if social and health care is not available to an individual through the Welsh language, this could be a disadvantage to individuals receiving care. Evidence also suggests that when individuals can communicate in their language of need or preferred language it leads to better outcomes and understanding (Cano-Ibáñez et al., 2021). By conducting my assessments and conversations in Welsh, I was able to strengthen rapport, support both individuals to express their views and wishes more confidently and promote effective engagement in their care and support needs planning. </w:t>
            </w:r>
          </w:p>
          <w:p w14:paraId="38AA382F" w14:textId="77777777" w:rsidR="00FB07F2" w:rsidRPr="00832B85" w:rsidRDefault="00FB07F2" w:rsidP="00832B85">
            <w:pPr>
              <w:spacing w:line="480" w:lineRule="auto"/>
              <w:rPr>
                <w:sz w:val="24"/>
                <w:szCs w:val="24"/>
              </w:rPr>
            </w:pPr>
          </w:p>
          <w:p w14:paraId="3A41E647" w14:textId="09B661C8" w:rsidR="00832B85" w:rsidRDefault="00FB07F2" w:rsidP="00832B85">
            <w:pPr>
              <w:spacing w:line="480" w:lineRule="auto"/>
              <w:rPr>
                <w:sz w:val="24"/>
                <w:szCs w:val="24"/>
              </w:rPr>
            </w:pPr>
            <w:r>
              <w:rPr>
                <w:sz w:val="24"/>
                <w:szCs w:val="24"/>
              </w:rPr>
              <w:t>Social Services</w:t>
            </w:r>
            <w:r w:rsidR="00832B85" w:rsidRPr="00832B85">
              <w:rPr>
                <w:sz w:val="24"/>
                <w:szCs w:val="24"/>
              </w:rPr>
              <w:t xml:space="preserve"> initially received a referral from a warden in the housing regarding 3’s safety at home due to several medical conditions that he was living with. Section 19 of the Social Services and Wellbeing (Wales) Act 2014 (SSWBA) outlines that any adult who has needs for care and support is eligible for an assessment, therefore the local authority had a duty to assess 3’s needs.</w:t>
            </w:r>
            <w:r w:rsidR="00832B85" w:rsidRPr="00832B85">
              <w:rPr>
                <w:color w:val="FF0000"/>
                <w:sz w:val="24"/>
                <w:szCs w:val="24"/>
              </w:rPr>
              <w:t xml:space="preserve"> </w:t>
            </w:r>
            <w:r w:rsidR="00832B85" w:rsidRPr="00832B85">
              <w:rPr>
                <w:sz w:val="24"/>
                <w:szCs w:val="24"/>
              </w:rPr>
              <w:t xml:space="preserve">Upon meeting and assessing, I realised that 3 required assistance with all </w:t>
            </w:r>
            <w:r w:rsidR="00832B85" w:rsidRPr="00832B85">
              <w:rPr>
                <w:sz w:val="24"/>
                <w:szCs w:val="24"/>
              </w:rPr>
              <w:lastRenderedPageBreak/>
              <w:t xml:space="preserve">aspects of personal care due to his medical conditions. Upon meeting and discussing the situation with both 3 and 4, I was made aware of the fact that there were some tensions between the couple and that they did not agree on several factors relating to their living arrangements. 4 seemed quite irritated at the medical and mobility equipment required in the home for her partner, she also explained that she resented him for this. Unfortunately, 3’s health continued to decline, and he had to move into hospital, which is where it became apparent that he was now palliative and wanted to return to his home comforts for the end of his life. This is when 3 disclosed to staff that he felt particularly unsafe at home and felt he was being coercively controlled by his partner 4. Worryingly, he disclosed that in the past 4 had refused to call an ambulance for him when he was extremely poorly and that he was certain she wouldn’t call for help if he were to return home. It was at this point that the safeguarding referral was made by medical staff. Every person that is in contact with or working with adults at risk of abuse and neglect should comply with the Wales Safeguarding Procedures (WSP) which is a national framework for safeguarding and protecting children and adults at risk from abuse, harm, exploitation or neglect (Social Care Wales, 2019). Professionals should work co-operatively with the adult at risk, the carers and families and fully co-operate with all other agencies and professionals. Coercive control can be described as psychological abuse and neglect. It can also negatively affect the autonomy and decision-making ability of an individual (Preston-Shoot, 2015). 3’s report of 4 failing to call the emergency services if they were needed raises concerns about neglect. Safeguarding interventions should be proportionate to the level of risk experienced, therefore having an understanding and identifying the nature of the abuse is very important (Welsh Government, 2015; Braye, Orr and Preston-Shoot, 2015). Furthermore, coercive and controlling </w:t>
            </w:r>
            <w:r w:rsidR="00832B85" w:rsidRPr="00832B85">
              <w:rPr>
                <w:sz w:val="24"/>
                <w:szCs w:val="24"/>
              </w:rPr>
              <w:lastRenderedPageBreak/>
              <w:t>behaviour as well as neglect are a recognised feature of domestic abuse under the Violence against Women, Domestic Abuse and Sexual Violence (Wales) Act 2015 which also includes violence and abuse towards men (Welsh Government, 2015).</w:t>
            </w:r>
          </w:p>
          <w:p w14:paraId="77DB5B94" w14:textId="77777777" w:rsidR="00037EA7" w:rsidRPr="00832B85" w:rsidRDefault="00037EA7" w:rsidP="00832B85">
            <w:pPr>
              <w:spacing w:line="480" w:lineRule="auto"/>
              <w:rPr>
                <w:sz w:val="24"/>
                <w:szCs w:val="24"/>
              </w:rPr>
            </w:pPr>
          </w:p>
          <w:p w14:paraId="0D2BF648" w14:textId="77777777" w:rsidR="00832B85" w:rsidRPr="00832B85" w:rsidRDefault="00832B85" w:rsidP="00832B85">
            <w:pPr>
              <w:spacing w:line="480" w:lineRule="auto"/>
              <w:rPr>
                <w:sz w:val="24"/>
                <w:szCs w:val="24"/>
              </w:rPr>
            </w:pPr>
            <w:r w:rsidRPr="00832B85">
              <w:rPr>
                <w:sz w:val="24"/>
                <w:szCs w:val="24"/>
              </w:rPr>
              <w:t xml:space="preserve">The second stage of Gibbs reflective cycle explores the feelings involved with the situation. In line with The SSWBA in Part 2 6. (2) I ensured that the rights of the individual were paramount to the approach and worked in a person-centred way. The safeguarding team and I ensured that we had regard to 3’s views, wishes and feelings and understood the importance of promoting and respecting 3’s dignity. I felt as though this was somewhat compromised as the initial disclosure was made to a staff-member on an open ward where others could overhear what was being said. We ensured that all further discussions were completed in a private room when available to ensure the privacy and dignity of 3 was adhered. 3 became very upset when discussing his situation with myself and other staff members, which is understandable due to 3 recently find out that his condition was palliative (Miller at al, 2022). Marie Curie (2022) describes how individuals who receive news such as this feel a sense of shock, anger, distress and helplessness amongst other feelings which I believe 3 was demonstrating. Ultimately, it is good and best practice to ensure that a person-centred approach is followed when working with adults at risk to help achieve outcomes that matter to them (Trevithick, 2012) which aligns with the SSWBA principles. The overarching duties of the SSWBA and are for social workers to respect the views, wishes and feelings of the individual, respecting their dignity, supporting them to participate in their own care planning and to promote their wellbeing (Welsh Parliament, 2014). </w:t>
            </w:r>
          </w:p>
          <w:p w14:paraId="41E81D78" w14:textId="77777777" w:rsidR="00955F6B" w:rsidRDefault="00955F6B" w:rsidP="00832B85">
            <w:pPr>
              <w:spacing w:line="480" w:lineRule="auto"/>
              <w:rPr>
                <w:sz w:val="24"/>
                <w:szCs w:val="24"/>
              </w:rPr>
            </w:pPr>
          </w:p>
          <w:p w14:paraId="496E304C" w14:textId="7C80F334" w:rsidR="00955F6B" w:rsidRPr="00832B85" w:rsidRDefault="00832B85" w:rsidP="00832B85">
            <w:pPr>
              <w:spacing w:line="480" w:lineRule="auto"/>
              <w:rPr>
                <w:sz w:val="24"/>
                <w:szCs w:val="24"/>
              </w:rPr>
            </w:pPr>
            <w:r w:rsidRPr="00832B85">
              <w:rPr>
                <w:sz w:val="24"/>
                <w:szCs w:val="24"/>
              </w:rPr>
              <w:lastRenderedPageBreak/>
              <w:t xml:space="preserve">Person-Centred Theory was initially introduced by Carl Rogers (1951) and underpins much of the modern-day social care practice in the UK. His theory argued that individuals are experts on their own lives and that professionals must demonstrate empathy and respect when working with individuals. Person-Centred Practice involves placing the individual in the centre of their assessment by recognising their strengths, values, perspectives and what matters to them (Kitwood, 1997). Within a safeguarding perspective and in the case of 3 and 4, it is vital that I actively listen to 3, and ensure his voice remains central to all decision making. Similarly, Empowerment Theory (Payne, 2020) supports individuals by considering individuals as experts in their own lives and encouraging social workers to work collaboratively with the individual, emphasising autonomy and participation for the individual (Adams, 2008; Payne, 2020). Critics of Person-Centred Theory and Empowerment Theory argue that they do not take account for structural inequalities or organisational or professional constraints which limit the extent to which goals and outcomes can be achieved (Adams, 2008). From a safeguarding perspective, Braye et al. (2015) suggested that practitioners should balance the relationship between empowerment and risk management and should not prioritise one at the expense of the other, leaving safeguarding as an ongoing ethical exercise. I utilised both Person-Centred Theory and Empowerment Theory to inform my decision making when working with 3 so that he had control of his own decision making, and I was not making decisions on his behalf. As 3 had capacity, I ensured that I supported his autonomy and right to make choices with my duty to assess and manage safeguarding risks. I did this by having open and honest conversations with 3 and exploring potential outcomes of different options rather than directing him to a particular outcome. </w:t>
            </w:r>
          </w:p>
          <w:p w14:paraId="4B431EFF" w14:textId="77777777" w:rsidR="008878EC" w:rsidRDefault="008878EC" w:rsidP="00832B85">
            <w:pPr>
              <w:spacing w:line="480" w:lineRule="auto"/>
              <w:rPr>
                <w:sz w:val="24"/>
                <w:szCs w:val="24"/>
              </w:rPr>
            </w:pPr>
          </w:p>
          <w:p w14:paraId="457A663B" w14:textId="7FAB02C6" w:rsidR="00832B85" w:rsidRDefault="00832B85" w:rsidP="00832B85">
            <w:pPr>
              <w:spacing w:line="480" w:lineRule="auto"/>
              <w:rPr>
                <w:sz w:val="24"/>
                <w:szCs w:val="24"/>
              </w:rPr>
            </w:pPr>
            <w:r w:rsidRPr="00832B85">
              <w:rPr>
                <w:sz w:val="24"/>
                <w:szCs w:val="24"/>
              </w:rPr>
              <w:lastRenderedPageBreak/>
              <w:t>When the medical professional reported 3’s disclosure, they were working in line with Section 2 of the WSP which provides guidance to professionals to report safeguarding concerns after seeking consent from the individual in question. Of note in the European Union is the importance of The General Data Protection Regulation (GDPR) which gives individuals greater control over their personal data, however agencies are still within their rights to share the information regarding adults at risk which in this instance 3 was (European Union, 2016). Having established the importance of gaining consent from individuals when making safeguarding referrals, it is also paramount that practitioners take mental capacity into account also (Mental Capacity Act, 20</w:t>
            </w:r>
            <w:r w:rsidR="00EE3112">
              <w:rPr>
                <w:sz w:val="24"/>
                <w:szCs w:val="24"/>
              </w:rPr>
              <w:t>05</w:t>
            </w:r>
            <w:r w:rsidRPr="00832B85">
              <w:rPr>
                <w:sz w:val="24"/>
                <w:szCs w:val="24"/>
              </w:rPr>
              <w:t>). Mental Capacity is specific to specific decisions and time, and considerations should regard the 5 principles of the Mental Capacity Act (MCA). In this instance, 3 did have the mental capacity to consent to the safeguarding referral, however if he were not to have then the referral would have been a decision made in his “Best Interests” (Mental Capacity Act, 20</w:t>
            </w:r>
            <w:r w:rsidR="00EE3112">
              <w:rPr>
                <w:sz w:val="24"/>
                <w:szCs w:val="24"/>
              </w:rPr>
              <w:t>05</w:t>
            </w:r>
            <w:r w:rsidRPr="00832B85">
              <w:rPr>
                <w:sz w:val="24"/>
                <w:szCs w:val="24"/>
              </w:rPr>
              <w:t xml:space="preserve">). </w:t>
            </w:r>
          </w:p>
          <w:p w14:paraId="19D8A17E" w14:textId="77777777" w:rsidR="008878EC" w:rsidRPr="00832B85" w:rsidRDefault="008878EC" w:rsidP="00832B85">
            <w:pPr>
              <w:spacing w:line="480" w:lineRule="auto"/>
              <w:rPr>
                <w:sz w:val="24"/>
                <w:szCs w:val="24"/>
              </w:rPr>
            </w:pPr>
          </w:p>
          <w:p w14:paraId="03B0BBFB" w14:textId="77777777" w:rsidR="00832B85" w:rsidRPr="00832B85" w:rsidRDefault="00832B85" w:rsidP="00832B85">
            <w:pPr>
              <w:spacing w:line="480" w:lineRule="auto"/>
              <w:rPr>
                <w:sz w:val="24"/>
                <w:szCs w:val="24"/>
              </w:rPr>
            </w:pPr>
            <w:r w:rsidRPr="00832B85">
              <w:rPr>
                <w:sz w:val="24"/>
                <w:szCs w:val="24"/>
              </w:rPr>
              <w:t>Upon meeting 3, I ensured that I assessed his mental capacity regarding his care and support needs, and the decision to be discharged home from hospital. Upon assessing, it was clear that 3 did have the mental capacity regarding the decision to be discharged from hospital and was therefore able to make his own decisions regarding his return home. I made use of the MCA Code of Practice (Department for Constitutional Affairs, 2007) which goes into further depth on best practice. The five statutory principles according to the MCA and underpinning all decision-making whilst aiming to empower individuals are:</w:t>
            </w:r>
          </w:p>
          <w:p w14:paraId="2E2837CB" w14:textId="77777777" w:rsidR="00832B85" w:rsidRPr="00832B85" w:rsidRDefault="00832B85" w:rsidP="00832B85">
            <w:pPr>
              <w:pStyle w:val="ListParagraph"/>
              <w:numPr>
                <w:ilvl w:val="0"/>
                <w:numId w:val="55"/>
              </w:numPr>
              <w:spacing w:line="480" w:lineRule="auto"/>
              <w:rPr>
                <w:rFonts w:ascii="Arial" w:hAnsi="Arial" w:cs="Arial"/>
                <w:lang w:val="en-GB"/>
              </w:rPr>
            </w:pPr>
            <w:r w:rsidRPr="00832B85">
              <w:rPr>
                <w:rFonts w:ascii="Arial" w:hAnsi="Arial" w:cs="Arial"/>
                <w:lang w:val="en-GB"/>
              </w:rPr>
              <w:lastRenderedPageBreak/>
              <w:t xml:space="preserve">The presumption of Capacity, where every adult must be assumed to have capacity first and foremost regardless of any medical conditions, diagnosis, age, gender etc. All decisions must be decision-specific also. </w:t>
            </w:r>
          </w:p>
          <w:p w14:paraId="57F135A5" w14:textId="77777777" w:rsidR="00832B85" w:rsidRPr="00832B85" w:rsidRDefault="00832B85" w:rsidP="00832B85">
            <w:pPr>
              <w:pStyle w:val="ListParagraph"/>
              <w:numPr>
                <w:ilvl w:val="0"/>
                <w:numId w:val="55"/>
              </w:numPr>
              <w:spacing w:line="480" w:lineRule="auto"/>
              <w:rPr>
                <w:rFonts w:ascii="Arial" w:hAnsi="Arial" w:cs="Arial"/>
                <w:lang w:val="en-GB"/>
              </w:rPr>
            </w:pPr>
            <w:r w:rsidRPr="00832B85">
              <w:rPr>
                <w:rFonts w:ascii="Arial" w:hAnsi="Arial" w:cs="Arial"/>
                <w:lang w:val="en-GB"/>
              </w:rPr>
              <w:t xml:space="preserve">Individuals must be given the appropriate support to help make decisions. This would include ensuring that the worker utilises the appropriate tools to communicate where necessary. </w:t>
            </w:r>
          </w:p>
          <w:p w14:paraId="5BA3DF0B" w14:textId="77777777" w:rsidR="00832B85" w:rsidRPr="00832B85" w:rsidRDefault="00832B85" w:rsidP="00832B85">
            <w:pPr>
              <w:pStyle w:val="ListParagraph"/>
              <w:numPr>
                <w:ilvl w:val="0"/>
                <w:numId w:val="55"/>
              </w:numPr>
              <w:spacing w:line="480" w:lineRule="auto"/>
              <w:rPr>
                <w:rFonts w:ascii="Arial" w:hAnsi="Arial" w:cs="Arial"/>
                <w:lang w:val="en-GB"/>
              </w:rPr>
            </w:pPr>
            <w:r w:rsidRPr="00832B85">
              <w:rPr>
                <w:rFonts w:ascii="Arial" w:hAnsi="Arial" w:cs="Arial"/>
                <w:lang w:val="en-GB"/>
              </w:rPr>
              <w:t>Individuals have the right to make unwise decisions, and in doing so does not mean that they lack capacity.</w:t>
            </w:r>
          </w:p>
          <w:p w14:paraId="38B09C9C" w14:textId="77777777" w:rsidR="00832B85" w:rsidRPr="00832B85" w:rsidRDefault="00832B85" w:rsidP="00832B85">
            <w:pPr>
              <w:pStyle w:val="ListParagraph"/>
              <w:numPr>
                <w:ilvl w:val="0"/>
                <w:numId w:val="55"/>
              </w:numPr>
              <w:spacing w:line="480" w:lineRule="auto"/>
              <w:rPr>
                <w:rFonts w:ascii="Arial" w:hAnsi="Arial" w:cs="Arial"/>
                <w:lang w:val="en-GB"/>
              </w:rPr>
            </w:pPr>
            <w:r w:rsidRPr="00832B85">
              <w:rPr>
                <w:rFonts w:ascii="Arial" w:hAnsi="Arial" w:cs="Arial"/>
                <w:lang w:val="en-GB"/>
              </w:rPr>
              <w:t xml:space="preserve">Any act or decision made on behalf of someone who lacks capacity must be done in their best interests. Decisions should be made with the individuals wishes, feelings, beliefs, values and family members opinions in mind also. </w:t>
            </w:r>
          </w:p>
          <w:p w14:paraId="6A74F0EC" w14:textId="77777777" w:rsidR="00832B85" w:rsidRPr="00832B85" w:rsidRDefault="00832B85" w:rsidP="00832B85">
            <w:pPr>
              <w:pStyle w:val="ListParagraph"/>
              <w:numPr>
                <w:ilvl w:val="0"/>
                <w:numId w:val="55"/>
              </w:numPr>
              <w:spacing w:line="480" w:lineRule="auto"/>
              <w:rPr>
                <w:rFonts w:ascii="Arial" w:hAnsi="Arial" w:cs="Arial"/>
                <w:lang w:val="en-GB"/>
              </w:rPr>
            </w:pPr>
            <w:r w:rsidRPr="00832B85">
              <w:rPr>
                <w:rFonts w:ascii="Arial" w:hAnsi="Arial" w:cs="Arial"/>
                <w:lang w:val="en-GB"/>
              </w:rPr>
              <w:t xml:space="preserve">The decision being made on behalf of someone should be the least restrictive option. </w:t>
            </w:r>
          </w:p>
          <w:p w14:paraId="234B8F4A" w14:textId="539E28C8" w:rsidR="00832B85" w:rsidRDefault="00832B85" w:rsidP="00832B85">
            <w:pPr>
              <w:spacing w:line="480" w:lineRule="auto"/>
              <w:rPr>
                <w:sz w:val="24"/>
                <w:szCs w:val="24"/>
              </w:rPr>
            </w:pPr>
            <w:r w:rsidRPr="00832B85">
              <w:rPr>
                <w:sz w:val="24"/>
                <w:szCs w:val="24"/>
              </w:rPr>
              <w:t>(Mental Capacity Act, 20</w:t>
            </w:r>
            <w:r w:rsidR="00F03860">
              <w:rPr>
                <w:sz w:val="24"/>
                <w:szCs w:val="24"/>
              </w:rPr>
              <w:t>05</w:t>
            </w:r>
            <w:r w:rsidRPr="00832B85">
              <w:rPr>
                <w:sz w:val="24"/>
                <w:szCs w:val="24"/>
              </w:rPr>
              <w:t xml:space="preserve">; Department for Constitutional Affairs, 2007). </w:t>
            </w:r>
          </w:p>
          <w:p w14:paraId="0055DF45" w14:textId="77777777" w:rsidR="008878EC" w:rsidRPr="00832B85" w:rsidRDefault="008878EC" w:rsidP="00832B85">
            <w:pPr>
              <w:spacing w:line="480" w:lineRule="auto"/>
              <w:rPr>
                <w:sz w:val="24"/>
                <w:szCs w:val="24"/>
              </w:rPr>
            </w:pPr>
          </w:p>
          <w:p w14:paraId="24C4BF89" w14:textId="77777777" w:rsidR="00832B85" w:rsidRDefault="00832B85" w:rsidP="00832B85">
            <w:pPr>
              <w:spacing w:line="480" w:lineRule="auto"/>
              <w:rPr>
                <w:sz w:val="24"/>
                <w:szCs w:val="24"/>
              </w:rPr>
            </w:pPr>
            <w:r w:rsidRPr="00832B85">
              <w:rPr>
                <w:sz w:val="24"/>
                <w:szCs w:val="24"/>
              </w:rPr>
              <w:t xml:space="preserve">The third and fourth stages of Gibbs reflective cycle is to evaluate and analyse the situation, which coincides with the next stage of the safeguarding process in the WSP in Section 3 part 1 &amp; part 2: ‘Responding to a report of an adult at risk of abuse and/or neglect’ (Social Care Wales, 2019). I discussed with the referrer, social care manager and safeguarding office whether police input was required. Whilst recognising that the allegations of coercive control were potential safeguarding concerns, the information gathered at the time did not indicate any immediate risk of harm, and no evidence of criminal offence. I also took 3’s wishes into account as he did not want for us to contact the police. Again, it was important to balance the risk of harm and abuse within the safeguarding referral with the wishes of 3.  As </w:t>
            </w:r>
            <w:r w:rsidRPr="00832B85">
              <w:rPr>
                <w:sz w:val="24"/>
                <w:szCs w:val="24"/>
              </w:rPr>
              <w:lastRenderedPageBreak/>
              <w:t xml:space="preserve">I hold a position with the local authority, I had a duty to ensure that 3 was safe by gathering information by talking to both him and his partner 4. I ensured that when discussing these concerns with 3, I asked open-ended questions and communicated in a clear, calm way when gathering information. On reflection, I recognise that speaking to 4 could potentially increase the risk of harm to 3, and therefore it required careful planning and consideration and continual risk assessment throughout. Trevithick (2012) highlighted the importance of social workers communicating effectively, with open questions aiding social workers to work collaboratively and supporting relationship building. Sadly, 3 passed away in hospital before moving home, however in this instance, the plan was for the risks to be managed at home with a full, comprehensive care package from carers, district nurses, accommodation wardens and a telecare device therefore the decision was made to close the safeguarding report. This decision was reached by having a multi-agency meeting with care staff, social care managers and health staff to assess the risks posed to 3, and balancing his autonomy against the safeguarding duties. </w:t>
            </w:r>
          </w:p>
          <w:p w14:paraId="661735AC" w14:textId="77777777" w:rsidR="008878EC" w:rsidRPr="00832B85" w:rsidRDefault="008878EC" w:rsidP="00832B85">
            <w:pPr>
              <w:spacing w:line="480" w:lineRule="auto"/>
              <w:rPr>
                <w:sz w:val="24"/>
                <w:szCs w:val="24"/>
              </w:rPr>
            </w:pPr>
          </w:p>
          <w:p w14:paraId="2AF4A058" w14:textId="77777777" w:rsidR="00832B85" w:rsidRDefault="00832B85" w:rsidP="00832B85">
            <w:pPr>
              <w:spacing w:line="480" w:lineRule="auto"/>
              <w:rPr>
                <w:sz w:val="24"/>
                <w:szCs w:val="24"/>
              </w:rPr>
            </w:pPr>
            <w:r w:rsidRPr="00832B85">
              <w:rPr>
                <w:sz w:val="24"/>
                <w:szCs w:val="24"/>
              </w:rPr>
              <w:t xml:space="preserve">Doka (1989) described theories surrounding disenfranchised grief which is where grief is not always openly acknowledged or accepted, such as when professionals form meaningful working relationships with individuals and they are expected to remain professional. In this instance, the death of 3 had an emotional impact on myself as I had developed a professional relationship with 3 over time. Doka’s disenfranchised grief theory (1989) suggests that I may be feeling disenfranchised grief following the death of 3, with the grief not being openly validated or recognised due to the professional setting. This experience highlighted the importance of reflective social work practice and utilising supervision to </w:t>
            </w:r>
            <w:r w:rsidRPr="00832B85">
              <w:rPr>
                <w:sz w:val="24"/>
                <w:szCs w:val="24"/>
              </w:rPr>
              <w:lastRenderedPageBreak/>
              <w:t xml:space="preserve">support my emotional wellbeing as a social worker (Social Care Wales, 2026). Similarly, Hochschilds’ (1983) concept of Emotional Labour describes how a professional is required to manage and regulate their emotions when still working in a professional capacity. Even when experiencing sadness, grief or emotional distress, social workers are expected to demonstrate empathy, compassion and to maintain professional boundaries (Social Care Wales, 2019; Hochschils, 1983). Hochschild (1983) draws attention to the tensions that can arise from genuine feelings that may arise and the professional expectations of the role. Taking these theories into account, it helped me to recognise that effective safeguarding practice relies on thorough and effective risk assessments, and intervention but also on practitioners recognising and managing the emotional impact of the work, ensuring that their professional judgement remains balanced, person-centred and objective. </w:t>
            </w:r>
          </w:p>
          <w:p w14:paraId="098B7B35" w14:textId="77777777" w:rsidR="008878EC" w:rsidRPr="00832B85" w:rsidRDefault="008878EC" w:rsidP="00832B85">
            <w:pPr>
              <w:spacing w:line="480" w:lineRule="auto"/>
              <w:rPr>
                <w:sz w:val="24"/>
                <w:szCs w:val="24"/>
              </w:rPr>
            </w:pPr>
          </w:p>
          <w:p w14:paraId="05B824F1" w14:textId="77777777" w:rsidR="00832B85" w:rsidRPr="00832B85" w:rsidRDefault="00832B85" w:rsidP="00832B85">
            <w:pPr>
              <w:spacing w:line="480" w:lineRule="auto"/>
              <w:rPr>
                <w:sz w:val="24"/>
                <w:szCs w:val="24"/>
              </w:rPr>
            </w:pPr>
            <w:r w:rsidRPr="00832B85">
              <w:rPr>
                <w:sz w:val="24"/>
                <w:szCs w:val="24"/>
              </w:rPr>
              <w:t>As a social worker, I often come across ethical dilemmas, and in this case, I did feel there was a slight conflict between the wishes of 3 and my duty of care and personal values towards the scenario. I had concerns that 3 may be put in danger if he were to go home, although overall his wish was to return home to live. The Mental Capacity Act (2005) states that individuals have the right to make unwise decisions, and does not automatically mean that they lack the capacity to make that decision. Banks (2021, p. 50) states that:</w:t>
            </w:r>
          </w:p>
          <w:p w14:paraId="046DE448" w14:textId="77777777" w:rsidR="00832B85" w:rsidRPr="00832B85" w:rsidRDefault="00832B85" w:rsidP="00832B85">
            <w:pPr>
              <w:spacing w:line="480" w:lineRule="auto"/>
              <w:rPr>
                <w:i/>
                <w:iCs/>
                <w:sz w:val="24"/>
                <w:szCs w:val="24"/>
              </w:rPr>
            </w:pPr>
            <w:r w:rsidRPr="00832B85">
              <w:rPr>
                <w:i/>
                <w:iCs/>
                <w:sz w:val="24"/>
                <w:szCs w:val="24"/>
              </w:rPr>
              <w:t>“respect for autonomy means recognising peoples’ rights to make choices about their own lives, even when these involve risks”.</w:t>
            </w:r>
          </w:p>
          <w:p w14:paraId="06DB5083" w14:textId="7B24D4B9" w:rsidR="00832B85" w:rsidRDefault="00832B85" w:rsidP="00832B85">
            <w:pPr>
              <w:spacing w:line="480" w:lineRule="auto"/>
              <w:rPr>
                <w:sz w:val="24"/>
                <w:szCs w:val="24"/>
              </w:rPr>
            </w:pPr>
            <w:r w:rsidRPr="00832B85">
              <w:rPr>
                <w:sz w:val="24"/>
                <w:szCs w:val="24"/>
              </w:rPr>
              <w:t>Therefore, it was important for me to balance the wishes and feelings of 3 whilst ensuring his safety at home and exercising my duty to promote wellbeing under the MCA. (Welsh Parliament, 20</w:t>
            </w:r>
            <w:r w:rsidR="00F03860">
              <w:rPr>
                <w:sz w:val="24"/>
                <w:szCs w:val="24"/>
              </w:rPr>
              <w:t>05</w:t>
            </w:r>
            <w:r w:rsidRPr="00832B85">
              <w:rPr>
                <w:sz w:val="24"/>
                <w:szCs w:val="24"/>
              </w:rPr>
              <w:t xml:space="preserve">). </w:t>
            </w:r>
          </w:p>
          <w:p w14:paraId="3F363FE6" w14:textId="77777777" w:rsidR="008878EC" w:rsidRPr="00832B85" w:rsidRDefault="008878EC" w:rsidP="00832B85">
            <w:pPr>
              <w:spacing w:line="480" w:lineRule="auto"/>
              <w:rPr>
                <w:sz w:val="24"/>
                <w:szCs w:val="24"/>
              </w:rPr>
            </w:pPr>
          </w:p>
          <w:p w14:paraId="26AC6777" w14:textId="77777777" w:rsidR="00832B85" w:rsidRPr="00832B85" w:rsidRDefault="00832B85" w:rsidP="00832B85">
            <w:pPr>
              <w:spacing w:line="480" w:lineRule="auto"/>
              <w:rPr>
                <w:sz w:val="24"/>
                <w:szCs w:val="24"/>
              </w:rPr>
            </w:pPr>
            <w:r w:rsidRPr="00832B85">
              <w:rPr>
                <w:sz w:val="24"/>
                <w:szCs w:val="24"/>
              </w:rPr>
              <w:t>Following a safeguarding report, practitioners should complete further screening and investigations which would determine them to make one of several choices:</w:t>
            </w:r>
          </w:p>
          <w:p w14:paraId="3F0A0AB6" w14:textId="77777777" w:rsidR="00832B85" w:rsidRPr="00832B85" w:rsidRDefault="00832B85" w:rsidP="00832B85">
            <w:pPr>
              <w:pStyle w:val="ListParagraph"/>
              <w:numPr>
                <w:ilvl w:val="0"/>
                <w:numId w:val="54"/>
              </w:numPr>
              <w:spacing w:line="480" w:lineRule="auto"/>
              <w:rPr>
                <w:rFonts w:ascii="Arial" w:hAnsi="Arial" w:cs="Arial"/>
                <w:lang w:val="en-GB"/>
              </w:rPr>
            </w:pPr>
            <w:r w:rsidRPr="00832B85">
              <w:rPr>
                <w:rFonts w:ascii="Arial" w:hAnsi="Arial" w:cs="Arial"/>
                <w:lang w:val="en-GB"/>
              </w:rPr>
              <w:t xml:space="preserve">No further action to safeguarding. If there is no risk of abuse or neglect. </w:t>
            </w:r>
          </w:p>
          <w:p w14:paraId="7F49B0B8" w14:textId="77777777" w:rsidR="00832B85" w:rsidRPr="00832B85" w:rsidRDefault="00832B85" w:rsidP="00832B85">
            <w:pPr>
              <w:pStyle w:val="ListParagraph"/>
              <w:numPr>
                <w:ilvl w:val="0"/>
                <w:numId w:val="54"/>
              </w:numPr>
              <w:spacing w:line="480" w:lineRule="auto"/>
              <w:rPr>
                <w:rFonts w:ascii="Arial" w:hAnsi="Arial" w:cs="Arial"/>
                <w:lang w:val="en-GB"/>
              </w:rPr>
            </w:pPr>
            <w:r w:rsidRPr="00832B85">
              <w:rPr>
                <w:rFonts w:ascii="Arial" w:hAnsi="Arial" w:cs="Arial"/>
                <w:lang w:val="en-GB"/>
              </w:rPr>
              <w:t xml:space="preserve">Enquiries are required. If there is a risk that the adult is at risk, then this will trigger </w:t>
            </w:r>
            <w:r w:rsidRPr="00832B85">
              <w:rPr>
                <w:rFonts w:ascii="Arial" w:hAnsi="Arial" w:cs="Arial"/>
                <w:i/>
                <w:iCs/>
                <w:lang w:val="en-GB"/>
              </w:rPr>
              <w:t>s.126(2) of the SSWBA</w:t>
            </w:r>
          </w:p>
          <w:p w14:paraId="490D836C" w14:textId="77777777" w:rsidR="00832B85" w:rsidRPr="00832B85" w:rsidRDefault="00832B85" w:rsidP="00832B85">
            <w:pPr>
              <w:pStyle w:val="ListParagraph"/>
              <w:numPr>
                <w:ilvl w:val="0"/>
                <w:numId w:val="54"/>
              </w:numPr>
              <w:spacing w:line="480" w:lineRule="auto"/>
              <w:rPr>
                <w:rFonts w:ascii="Arial" w:hAnsi="Arial" w:cs="Arial"/>
                <w:lang w:val="en-GB"/>
              </w:rPr>
            </w:pPr>
            <w:r w:rsidRPr="00832B85">
              <w:rPr>
                <w:rFonts w:ascii="Arial" w:hAnsi="Arial" w:cs="Arial"/>
                <w:lang w:val="en-GB"/>
              </w:rPr>
              <w:t xml:space="preserve">Or the adult could have needs for care and support under Part 3 of the SSWBA. The social worker would then conduct a care and support needs assessment if the individual has capacity. In the instance of the safeguarding referral for 3, this was the outcome. </w:t>
            </w:r>
          </w:p>
          <w:p w14:paraId="26779463" w14:textId="77777777" w:rsidR="00832B85" w:rsidRDefault="00832B85" w:rsidP="00832B85">
            <w:pPr>
              <w:spacing w:line="480" w:lineRule="auto"/>
              <w:rPr>
                <w:sz w:val="24"/>
                <w:szCs w:val="24"/>
              </w:rPr>
            </w:pPr>
            <w:r w:rsidRPr="00832B85">
              <w:rPr>
                <w:sz w:val="24"/>
                <w:szCs w:val="24"/>
              </w:rPr>
              <w:t xml:space="preserve">(Social Care Wales, 2019). </w:t>
            </w:r>
          </w:p>
          <w:p w14:paraId="30C8D43A" w14:textId="77777777" w:rsidR="008878EC" w:rsidRPr="00832B85" w:rsidRDefault="008878EC" w:rsidP="00832B85">
            <w:pPr>
              <w:spacing w:line="480" w:lineRule="auto"/>
              <w:rPr>
                <w:sz w:val="24"/>
                <w:szCs w:val="24"/>
              </w:rPr>
            </w:pPr>
          </w:p>
          <w:p w14:paraId="54845EC0" w14:textId="77777777" w:rsidR="00832B85" w:rsidRPr="00832B85" w:rsidRDefault="00832B85" w:rsidP="00832B85">
            <w:pPr>
              <w:spacing w:line="480" w:lineRule="auto"/>
              <w:rPr>
                <w:sz w:val="24"/>
                <w:szCs w:val="24"/>
              </w:rPr>
            </w:pPr>
            <w:r w:rsidRPr="00832B85">
              <w:rPr>
                <w:sz w:val="24"/>
                <w:szCs w:val="24"/>
              </w:rPr>
              <w:t>Social Services have the duty to make enquiries following a safeguarding report if there is a reasonable cause to suspect that 3 is an adult at risk due to the concerns regarding his partner. (Social Care Wales, 2019). The SSWBA (2014) defines an ‘Adult at risk’ as:</w:t>
            </w:r>
          </w:p>
          <w:p w14:paraId="7533BBD8" w14:textId="77777777" w:rsidR="00832B85" w:rsidRPr="00832B85" w:rsidRDefault="00832B85" w:rsidP="00832B85">
            <w:pPr>
              <w:spacing w:line="480" w:lineRule="auto"/>
              <w:rPr>
                <w:i/>
                <w:iCs/>
                <w:sz w:val="24"/>
                <w:szCs w:val="24"/>
              </w:rPr>
            </w:pPr>
            <w:r w:rsidRPr="00832B85">
              <w:rPr>
                <w:i/>
                <w:iCs/>
                <w:sz w:val="24"/>
                <w:szCs w:val="24"/>
              </w:rPr>
              <w:t xml:space="preserve">“Anyone over 18 years of age who is experiencing or is at risk of abuse or neglect and has needs for care and support (whether or not the authority is meeting those needs), and as a result of those needs is unable to protect himself or herself against the abuse or neglect or the risk of it” </w:t>
            </w:r>
          </w:p>
          <w:p w14:paraId="5CBA5457" w14:textId="77777777" w:rsidR="00832B85" w:rsidRDefault="00832B85" w:rsidP="00832B85">
            <w:pPr>
              <w:spacing w:line="480" w:lineRule="auto"/>
              <w:rPr>
                <w:sz w:val="24"/>
                <w:szCs w:val="24"/>
              </w:rPr>
            </w:pPr>
            <w:r w:rsidRPr="00832B85">
              <w:rPr>
                <w:sz w:val="24"/>
                <w:szCs w:val="24"/>
              </w:rPr>
              <w:t xml:space="preserve">(S 126 of the Social Services and Wellbeing (Wales) Act, 2014). </w:t>
            </w:r>
          </w:p>
          <w:p w14:paraId="601C300F" w14:textId="77777777" w:rsidR="008878EC" w:rsidRPr="00832B85" w:rsidRDefault="008878EC" w:rsidP="00832B85">
            <w:pPr>
              <w:spacing w:line="480" w:lineRule="auto"/>
              <w:rPr>
                <w:sz w:val="24"/>
                <w:szCs w:val="24"/>
              </w:rPr>
            </w:pPr>
          </w:p>
          <w:p w14:paraId="734265A5" w14:textId="77777777" w:rsidR="00832B85" w:rsidRPr="00832B85" w:rsidRDefault="00832B85" w:rsidP="00832B85">
            <w:pPr>
              <w:spacing w:line="480" w:lineRule="auto"/>
              <w:rPr>
                <w:sz w:val="24"/>
                <w:szCs w:val="24"/>
              </w:rPr>
            </w:pPr>
            <w:r w:rsidRPr="00832B85">
              <w:rPr>
                <w:sz w:val="24"/>
                <w:szCs w:val="24"/>
              </w:rPr>
              <w:t xml:space="preserve">It is important to note that there is a seven working day timescale for completing the enquiry process, and that this can be completed by either social services or other relevant agencies </w:t>
            </w:r>
            <w:r w:rsidRPr="00832B85">
              <w:rPr>
                <w:sz w:val="24"/>
                <w:szCs w:val="24"/>
              </w:rPr>
              <w:lastRenderedPageBreak/>
              <w:t xml:space="preserve">such as police, health services etc. (Social Care Wales, 2019). In some cases, individuals may have lived in another country or abroad; in this case 3 and 4 both lived in Wales. If they did, then it would have been paramount to collect further information from the Foreign and Commonwealth Office, or the appropriate Embassy/ Consulate. (Social Care Wales, 2019). </w:t>
            </w:r>
          </w:p>
          <w:p w14:paraId="55425530" w14:textId="77777777" w:rsidR="00832B85" w:rsidRPr="00832B85" w:rsidRDefault="00832B85" w:rsidP="00832B85">
            <w:pPr>
              <w:spacing w:line="480" w:lineRule="auto"/>
              <w:rPr>
                <w:sz w:val="24"/>
                <w:szCs w:val="24"/>
              </w:rPr>
            </w:pPr>
            <w:r w:rsidRPr="00832B85">
              <w:rPr>
                <w:sz w:val="24"/>
                <w:szCs w:val="24"/>
              </w:rPr>
              <w:t>In the situation of 3 and 4, the outcome was to support 3 to return home with help within the community and a comprehensive package of care, however he sadly did not return home due to passing away in the hospital setting. In some instances, a strategy discussion may be required with other agencies such as health, police or housing amongst others (Social Care Wales, 2019). The purpose is to share information, assess risk, include the adults wishes and outcomes and agree a safeguarding plan (Social Care Wales, 2019).  Collaboration with other professionals and organisations is key to effective social work and safeguarding practice and making professional judgements in complex situations (Social Care Wales, 2014). Through working in a multi-disciplinary way, and multi-agency working, information can be shared between professionals and relevant organisations to develop a comprehensive understanding of the individuals’ circumstances and potential risks. In a safeguarding perspective, it is unlikely that one professional has a complete understanding and overview of all factors influencing and individuals’ life. Effective partnership working will enable risks to be identified and managed holistically in a person-centred way. Horwath and Morrison (2007, p.55) support this by stating that:</w:t>
            </w:r>
          </w:p>
          <w:p w14:paraId="6CCB0227" w14:textId="77777777" w:rsidR="00832B85" w:rsidRPr="00832B85" w:rsidRDefault="00832B85" w:rsidP="00832B85">
            <w:pPr>
              <w:spacing w:line="480" w:lineRule="auto"/>
              <w:rPr>
                <w:i/>
                <w:iCs/>
                <w:sz w:val="24"/>
                <w:szCs w:val="24"/>
              </w:rPr>
            </w:pPr>
            <w:r w:rsidRPr="00832B85">
              <w:rPr>
                <w:i/>
                <w:iCs/>
                <w:sz w:val="24"/>
                <w:szCs w:val="24"/>
              </w:rPr>
              <w:t>“Effective interagency collaboration is essential for safeguarding vulnerable individuals and promoting positive outcomes”.</w:t>
            </w:r>
          </w:p>
          <w:p w14:paraId="431E8BB4" w14:textId="77777777" w:rsidR="00832B85" w:rsidRPr="00832B85" w:rsidRDefault="00832B85" w:rsidP="00832B85">
            <w:pPr>
              <w:spacing w:line="480" w:lineRule="auto"/>
              <w:rPr>
                <w:sz w:val="24"/>
                <w:szCs w:val="24"/>
              </w:rPr>
            </w:pPr>
            <w:r w:rsidRPr="00832B85">
              <w:rPr>
                <w:sz w:val="24"/>
                <w:szCs w:val="24"/>
              </w:rPr>
              <w:t>Which highlights the importance of working collaboratively and information-sharing which is also in line with the MCA (2005).</w:t>
            </w:r>
          </w:p>
          <w:p w14:paraId="05E243D9" w14:textId="77777777" w:rsidR="00832B85" w:rsidRPr="00832B85" w:rsidRDefault="00832B85" w:rsidP="00832B85">
            <w:pPr>
              <w:spacing w:line="480" w:lineRule="auto"/>
              <w:rPr>
                <w:sz w:val="24"/>
                <w:szCs w:val="24"/>
              </w:rPr>
            </w:pPr>
            <w:r w:rsidRPr="00832B85">
              <w:rPr>
                <w:sz w:val="24"/>
                <w:szCs w:val="24"/>
              </w:rPr>
              <w:lastRenderedPageBreak/>
              <w:t>Bronfenbrenner’s Ecological Systems Theory (1979) supports this approach and understands that an individual has wider systems influencing their lives.  Bronfenbrenner’s approach proposed that individual’s behaviour, thought processes, interactions, development and wellbeing are heavily influenced by a series of interconnected ecological systems. As a social worker, it is therefore important to consider the wider social, familial, organisational and societal influences that affect peoples’ lives. Within this case study, 3 and 4 were partners, and 3 had a daughter from a previous relationship who lived in the local area. I had numerous telephone conversations with 3’s daughter who told me that 4 was not letting her see her father and it was something that they struggled with. 3 also had a brother who visited him on occasions, however he has his own health issues and could not actively support 3 as much as he wanted to. Bronfenbrenner (1979) describes the five systems:</w:t>
            </w:r>
          </w:p>
          <w:p w14:paraId="54518BEF" w14:textId="77777777" w:rsidR="00832B85" w:rsidRPr="00832B85" w:rsidRDefault="00832B85" w:rsidP="00832B85">
            <w:pPr>
              <w:spacing w:line="480" w:lineRule="auto"/>
              <w:rPr>
                <w:sz w:val="24"/>
                <w:szCs w:val="24"/>
              </w:rPr>
            </w:pPr>
            <w:r w:rsidRPr="00832B85">
              <w:rPr>
                <w:sz w:val="24"/>
                <w:szCs w:val="24"/>
              </w:rPr>
              <w:t>Microsystem: The environment with which 3 has direct contact with, such as 4, his daughter and his brother. It is the relationship between 3 and 4 that had initially caused the concern.</w:t>
            </w:r>
          </w:p>
          <w:p w14:paraId="57724131" w14:textId="77777777" w:rsidR="00832B85" w:rsidRDefault="00832B85" w:rsidP="00832B85">
            <w:pPr>
              <w:spacing w:line="480" w:lineRule="auto"/>
              <w:rPr>
                <w:sz w:val="24"/>
                <w:szCs w:val="24"/>
              </w:rPr>
            </w:pPr>
            <w:r w:rsidRPr="00832B85">
              <w:rPr>
                <w:sz w:val="24"/>
                <w:szCs w:val="24"/>
              </w:rPr>
              <w:t xml:space="preserve">Mesosystem: The interactions between different parts of the microsystem. This could be the communication between 3 and myself as a social worker, or another health professional or the housing wardens in his accommodation. </w:t>
            </w:r>
          </w:p>
          <w:p w14:paraId="46DAFF84" w14:textId="77777777" w:rsidR="008878EC" w:rsidRPr="00832B85" w:rsidRDefault="008878EC" w:rsidP="00832B85">
            <w:pPr>
              <w:spacing w:line="480" w:lineRule="auto"/>
              <w:rPr>
                <w:sz w:val="24"/>
                <w:szCs w:val="24"/>
              </w:rPr>
            </w:pPr>
          </w:p>
          <w:p w14:paraId="553BC7D2" w14:textId="77777777" w:rsidR="00832B85" w:rsidRPr="00832B85" w:rsidRDefault="00832B85" w:rsidP="00832B85">
            <w:pPr>
              <w:spacing w:line="480" w:lineRule="auto"/>
              <w:rPr>
                <w:sz w:val="24"/>
                <w:szCs w:val="24"/>
              </w:rPr>
            </w:pPr>
            <w:r w:rsidRPr="00832B85">
              <w:rPr>
                <w:sz w:val="24"/>
                <w:szCs w:val="24"/>
              </w:rPr>
              <w:t xml:space="preserve">Exosystem: External systems that directly affect or influence the individual even though they are not actively involved in them. The waiting list for care in the area that 3 lived in which affected his discharge from hospital whilst waiting for the package of care. </w:t>
            </w:r>
          </w:p>
          <w:p w14:paraId="716DA704" w14:textId="77777777" w:rsidR="00832B85" w:rsidRPr="00832B85" w:rsidRDefault="00832B85" w:rsidP="00832B85">
            <w:pPr>
              <w:spacing w:line="480" w:lineRule="auto"/>
              <w:rPr>
                <w:sz w:val="24"/>
                <w:szCs w:val="24"/>
              </w:rPr>
            </w:pPr>
            <w:r w:rsidRPr="00832B85">
              <w:rPr>
                <w:sz w:val="24"/>
                <w:szCs w:val="24"/>
              </w:rPr>
              <w:t xml:space="preserve">Macrosystem: The wider socio-political, cultural and legal context. For example, the SSWBA amongst other legislation has a direct effect on working with individuals in Wales. </w:t>
            </w:r>
          </w:p>
          <w:p w14:paraId="16AD3B98" w14:textId="77777777" w:rsidR="00832B85" w:rsidRPr="00832B85" w:rsidRDefault="00832B85" w:rsidP="00832B85">
            <w:pPr>
              <w:spacing w:line="480" w:lineRule="auto"/>
              <w:rPr>
                <w:sz w:val="24"/>
                <w:szCs w:val="24"/>
              </w:rPr>
            </w:pPr>
            <w:r w:rsidRPr="00832B85">
              <w:rPr>
                <w:sz w:val="24"/>
                <w:szCs w:val="24"/>
              </w:rPr>
              <w:lastRenderedPageBreak/>
              <w:t xml:space="preserve">Chronosystem: This describes changes and transitions over time, for example 3’s diagnosis and declining health, and the change in his care and support needs. </w:t>
            </w:r>
          </w:p>
          <w:p w14:paraId="0ED3E281" w14:textId="77777777" w:rsidR="00832B85" w:rsidRDefault="00832B85" w:rsidP="00832B85">
            <w:pPr>
              <w:spacing w:line="480" w:lineRule="auto"/>
              <w:rPr>
                <w:sz w:val="24"/>
                <w:szCs w:val="24"/>
              </w:rPr>
            </w:pPr>
            <w:r w:rsidRPr="00832B85">
              <w:rPr>
                <w:sz w:val="24"/>
                <w:szCs w:val="24"/>
              </w:rPr>
              <w:t xml:space="preserve">(Bronfenbrenner, 1979). </w:t>
            </w:r>
          </w:p>
          <w:p w14:paraId="5DAB423B" w14:textId="77777777" w:rsidR="008878EC" w:rsidRPr="00832B85" w:rsidRDefault="008878EC" w:rsidP="00832B85">
            <w:pPr>
              <w:spacing w:line="480" w:lineRule="auto"/>
              <w:rPr>
                <w:sz w:val="24"/>
                <w:szCs w:val="24"/>
              </w:rPr>
            </w:pPr>
          </w:p>
          <w:p w14:paraId="71A52FC0" w14:textId="77777777" w:rsidR="00832B85" w:rsidRDefault="00832B85" w:rsidP="00832B85">
            <w:pPr>
              <w:spacing w:line="480" w:lineRule="auto"/>
              <w:rPr>
                <w:sz w:val="24"/>
                <w:szCs w:val="24"/>
              </w:rPr>
            </w:pPr>
            <w:r w:rsidRPr="00832B85">
              <w:rPr>
                <w:sz w:val="24"/>
                <w:szCs w:val="24"/>
              </w:rPr>
              <w:t xml:space="preserve">I found the Ecological Systems Theory (Bronfenbrenner, 1979) was useful in recognising the impact of the wider community, family and further systems, on 3 and encouraged a person-centred assessment. Rosa and Tudge (2013) criticise the theory for being overly descriptive, offering little focus on power and oppression. To practice in a truly anti-oppressive way when working with safeguarding concerns, it is important to consider poverty, racism, disability etc (Tudge et al. 2009). </w:t>
            </w:r>
          </w:p>
          <w:p w14:paraId="632A7134" w14:textId="77777777" w:rsidR="008878EC" w:rsidRPr="00832B85" w:rsidRDefault="008878EC" w:rsidP="00832B85">
            <w:pPr>
              <w:spacing w:line="480" w:lineRule="auto"/>
              <w:rPr>
                <w:sz w:val="24"/>
                <w:szCs w:val="24"/>
              </w:rPr>
            </w:pPr>
          </w:p>
          <w:p w14:paraId="6925BE20" w14:textId="77777777" w:rsidR="00832B85" w:rsidRPr="00832B85" w:rsidRDefault="00832B85" w:rsidP="00832B85">
            <w:pPr>
              <w:spacing w:line="480" w:lineRule="auto"/>
              <w:rPr>
                <w:sz w:val="24"/>
                <w:szCs w:val="24"/>
              </w:rPr>
            </w:pPr>
            <w:r w:rsidRPr="00832B85">
              <w:rPr>
                <w:sz w:val="24"/>
                <w:szCs w:val="24"/>
              </w:rPr>
              <w:t xml:space="preserve">Some key legislation that practitioners are to follow when undertaking safeguarding investigations other than the previously mentioned SSWBA and the MCA could be: The Commissioner for Older People (Wales) Act 2006, with The Older People’s Commissioner for Wales (OPCW) being established in order to protect and promote the rights, interests and wellbeing of older people (Welsh Government, 2026; Older People’s Commissioner for Wales, 2026). The OPCW also hold public bodies accountable where these rights are not upheld (Older People’s Commissioner for Wales, 2026). The work of The OPCW supports social workers in following a rights-based approach to their safeguarding work, focussing on protecting older people from abuse and neglect whilst promoting their voice, choice and control which is fundamental to the SSWBA (Older People’s Commissioner for Wales, 2026). </w:t>
            </w:r>
          </w:p>
          <w:p w14:paraId="67FBC8AF" w14:textId="77777777" w:rsidR="00832B85" w:rsidRPr="00832B85" w:rsidRDefault="00832B85" w:rsidP="00832B85">
            <w:pPr>
              <w:spacing w:line="480" w:lineRule="auto"/>
              <w:rPr>
                <w:sz w:val="24"/>
                <w:szCs w:val="24"/>
              </w:rPr>
            </w:pPr>
            <w:r w:rsidRPr="00832B85">
              <w:rPr>
                <w:sz w:val="24"/>
                <w:szCs w:val="24"/>
              </w:rPr>
              <w:lastRenderedPageBreak/>
              <w:t>Human rights principles underpin all safeguarding work within social care by ensuring that individuals have a right to dignity, respect and their own voice and choice (Welsh Parliament, 2014). Article 1 of The Universal Declaration for Human Rights (UDHR) states that:</w:t>
            </w:r>
          </w:p>
          <w:p w14:paraId="414ED377" w14:textId="77777777" w:rsidR="00832B85" w:rsidRPr="00832B85" w:rsidRDefault="00832B85" w:rsidP="00832B85">
            <w:pPr>
              <w:spacing w:line="480" w:lineRule="auto"/>
              <w:jc w:val="center"/>
              <w:rPr>
                <w:sz w:val="24"/>
                <w:szCs w:val="24"/>
              </w:rPr>
            </w:pPr>
            <w:r w:rsidRPr="00832B85">
              <w:rPr>
                <w:i/>
                <w:iCs/>
                <w:sz w:val="24"/>
                <w:szCs w:val="24"/>
              </w:rPr>
              <w:t>“All human beings are born free and equal in dignity and rights”</w:t>
            </w:r>
          </w:p>
          <w:p w14:paraId="081359AB" w14:textId="77777777" w:rsidR="00832B85" w:rsidRPr="00832B85" w:rsidRDefault="00832B85" w:rsidP="00832B85">
            <w:pPr>
              <w:spacing w:line="480" w:lineRule="auto"/>
              <w:rPr>
                <w:sz w:val="24"/>
                <w:szCs w:val="24"/>
              </w:rPr>
            </w:pPr>
            <w:r w:rsidRPr="00832B85">
              <w:rPr>
                <w:sz w:val="24"/>
                <w:szCs w:val="24"/>
              </w:rPr>
              <w:t>Also, article 5 of the UDHR states that individuals should have:</w:t>
            </w:r>
          </w:p>
          <w:p w14:paraId="6963BC00" w14:textId="77777777" w:rsidR="00832B85" w:rsidRPr="00832B85" w:rsidRDefault="00832B85" w:rsidP="00832B85">
            <w:pPr>
              <w:spacing w:line="480" w:lineRule="auto"/>
              <w:jc w:val="center"/>
              <w:rPr>
                <w:i/>
                <w:iCs/>
                <w:sz w:val="24"/>
                <w:szCs w:val="24"/>
              </w:rPr>
            </w:pPr>
            <w:r w:rsidRPr="00832B85">
              <w:rPr>
                <w:i/>
                <w:iCs/>
                <w:sz w:val="24"/>
                <w:szCs w:val="24"/>
              </w:rPr>
              <w:t>“Freedom from torture or cruel, inhuman or degrading treatment”</w:t>
            </w:r>
          </w:p>
          <w:p w14:paraId="323045C2" w14:textId="77777777" w:rsidR="00832B85" w:rsidRDefault="00832B85" w:rsidP="00832B85">
            <w:pPr>
              <w:spacing w:line="480" w:lineRule="auto"/>
              <w:rPr>
                <w:sz w:val="24"/>
                <w:szCs w:val="24"/>
              </w:rPr>
            </w:pPr>
            <w:r w:rsidRPr="00832B85">
              <w:rPr>
                <w:sz w:val="24"/>
                <w:szCs w:val="24"/>
              </w:rPr>
              <w:t>(United Nations, 1948)</w:t>
            </w:r>
          </w:p>
          <w:p w14:paraId="0601BF1B" w14:textId="77777777" w:rsidR="008878EC" w:rsidRPr="00832B85" w:rsidRDefault="008878EC" w:rsidP="00832B85">
            <w:pPr>
              <w:spacing w:line="480" w:lineRule="auto"/>
              <w:rPr>
                <w:sz w:val="24"/>
                <w:szCs w:val="24"/>
              </w:rPr>
            </w:pPr>
          </w:p>
          <w:p w14:paraId="00F103B0" w14:textId="77777777" w:rsidR="00832B85" w:rsidRPr="00832B85" w:rsidRDefault="00832B85" w:rsidP="00832B85">
            <w:pPr>
              <w:spacing w:line="480" w:lineRule="auto"/>
              <w:rPr>
                <w:sz w:val="24"/>
                <w:szCs w:val="24"/>
              </w:rPr>
            </w:pPr>
            <w:r w:rsidRPr="00832B85">
              <w:rPr>
                <w:sz w:val="24"/>
                <w:szCs w:val="24"/>
              </w:rPr>
              <w:t>Other human rights laws and legislation of note are The Human Rights Act 1998, The European Convention on Human Rights (ECHR) and United Nations Convention on the Rights of Persons with Disabilities (UNCRPD) and The Equality Act 2010. All of these human rights laws therefore are in place to protect and safeguard adults in Wales and further afield (United Nations, 2006; Equality and Human Rights Commission, 2023). Together these laws and frameworks support a rights-based approach to safeguarding.</w:t>
            </w:r>
          </w:p>
          <w:p w14:paraId="3927331B" w14:textId="77777777" w:rsidR="00832B85" w:rsidRPr="00832B85" w:rsidRDefault="00832B85" w:rsidP="00832B85">
            <w:pPr>
              <w:spacing w:line="480" w:lineRule="auto"/>
              <w:rPr>
                <w:sz w:val="24"/>
                <w:szCs w:val="24"/>
              </w:rPr>
            </w:pPr>
            <w:r w:rsidRPr="00832B85">
              <w:rPr>
                <w:sz w:val="24"/>
                <w:szCs w:val="24"/>
              </w:rPr>
              <w:t xml:space="preserve">The above human rights laws informed the safeguarding intervention with 3 as concerns had been raised regarding possible coercive and controlling behaviour. It was paramount that I balanced my statutory duty to protect 3 from potential harm whilst respecting his right to make his own decisions about his life. Article 8 of the ECHR protects the right to private and family life. Upon reflection, a key challenge in this case was the balance between 3’s right to make his own decisions and my professional responsibility to safeguard him from potential abuse or neglect. By utilising a rights-based approach and involving 3 in all decision making and respecting his decisions, I continuously assessed the risks posed to 3 </w:t>
            </w:r>
            <w:r w:rsidRPr="00832B85">
              <w:rPr>
                <w:sz w:val="24"/>
                <w:szCs w:val="24"/>
              </w:rPr>
              <w:lastRenderedPageBreak/>
              <w:t xml:space="preserve">by his partner 4 and did not assume that intervention was required until establishing 3’s wishes and views. This demonstrated that the interaction between international human rights principles and laws inform with the Welsh safeguarding duties under the SSWBA.  </w:t>
            </w:r>
          </w:p>
          <w:p w14:paraId="2FE0672E" w14:textId="77777777" w:rsidR="00832B85" w:rsidRDefault="00832B85" w:rsidP="00832B85">
            <w:pPr>
              <w:spacing w:line="480" w:lineRule="auto"/>
              <w:rPr>
                <w:sz w:val="24"/>
                <w:szCs w:val="24"/>
              </w:rPr>
            </w:pPr>
            <w:r w:rsidRPr="00832B85">
              <w:rPr>
                <w:sz w:val="24"/>
                <w:szCs w:val="24"/>
              </w:rPr>
              <w:t xml:space="preserve">The Code of Professional Practice for Social Care Workers (Social Care Wales, 2026) underpins the ethical and professional framework for social care workers when undertaking safeguarding practice in Wales. The Code highlights the importance of promoting the wellbeing of individuals, voice and choice, whilst promoting dignity and respect of individuals whilst protecting them from harm or abuse (Social Care Wales, 2026). In addition, The Code also prioritises multi-disciplinary working, accountability and anti-discriminatory practice which are all essential when undertaking safeguarding duties under the SSWBA or the WSP (Social Care Wales, 2026; Social Care Wales, 2019). On reflection, the Code highlighted the challenge between respecting 3’s right to make his own decisions about his life and my professional duty to ensure he is safeguarded from potential harm. This required careful risk assessment and professional judgement to ensure that interventions remained proportionate, person-centred and rights based. </w:t>
            </w:r>
          </w:p>
          <w:p w14:paraId="6DF7A70D" w14:textId="77777777" w:rsidR="008878EC" w:rsidRPr="00832B85" w:rsidRDefault="008878EC" w:rsidP="00832B85">
            <w:pPr>
              <w:spacing w:line="480" w:lineRule="auto"/>
              <w:rPr>
                <w:sz w:val="24"/>
                <w:szCs w:val="24"/>
              </w:rPr>
            </w:pPr>
          </w:p>
          <w:p w14:paraId="4EE322E1" w14:textId="77777777" w:rsidR="00832B85" w:rsidRDefault="00832B85" w:rsidP="00832B85">
            <w:pPr>
              <w:spacing w:line="480" w:lineRule="auto"/>
              <w:rPr>
                <w:sz w:val="24"/>
                <w:szCs w:val="24"/>
              </w:rPr>
            </w:pPr>
            <w:r w:rsidRPr="00832B85">
              <w:rPr>
                <w:sz w:val="24"/>
                <w:szCs w:val="24"/>
              </w:rPr>
              <w:t xml:space="preserve">The final two parts of Gibbs reflective cycle is for the worker to make conclusions and an action plan which I will do here. The case of 3 highlights the complexities of adult safeguarding. I explored the importance of Person-Centred practice (Rogers, 1951) Ecological Systems Theory (Bronfenbrenner, 1979), Empowerment Theory (Adams, 2020) and how they underpin the work that social workers undertake with individuals, especially when working with safeguarding cases. I discussed the concept of Disenfranchised Grief (Doka, 1989) and Hochschild’s (1983) concept of Emotional Labour influencing </w:t>
            </w:r>
            <w:r w:rsidRPr="00832B85">
              <w:rPr>
                <w:sz w:val="24"/>
                <w:szCs w:val="24"/>
              </w:rPr>
              <w:lastRenderedPageBreak/>
              <w:t xml:space="preserve">professionals when working on difficult safeguarding cases. Also highlighted was the importance of partnership working, information sharing and multi-agency collaboration which are all underpinned by laws and legislation within Wales. </w:t>
            </w:r>
          </w:p>
          <w:p w14:paraId="6E589E11" w14:textId="77777777" w:rsidR="008878EC" w:rsidRPr="00832B85" w:rsidRDefault="008878EC" w:rsidP="00832B85">
            <w:pPr>
              <w:spacing w:line="480" w:lineRule="auto"/>
              <w:rPr>
                <w:sz w:val="24"/>
                <w:szCs w:val="24"/>
              </w:rPr>
            </w:pPr>
          </w:p>
          <w:p w14:paraId="7FE604C4" w14:textId="77777777" w:rsidR="00832B85" w:rsidRDefault="00832B85" w:rsidP="00832B85">
            <w:pPr>
              <w:spacing w:line="480" w:lineRule="auto"/>
              <w:rPr>
                <w:sz w:val="24"/>
                <w:szCs w:val="24"/>
              </w:rPr>
            </w:pPr>
            <w:r w:rsidRPr="00832B85">
              <w:rPr>
                <w:sz w:val="24"/>
                <w:szCs w:val="24"/>
              </w:rPr>
              <w:t>When working on future safeguarding cases with adults, I will ensure I research more about domestic abuse, and coercing control within adult relationships. I will continue to ensure that the voice of the individual is central to all work completed and that all risks are assessed. This case highlighted the importance of multi-agency collaboration with partner agencies such as health, police, third sector organisations and housing wardens. The importance of utilising supervision effectively was highlighted in order to discuss the emotional impact of working on difficult cases, and to limit the emotional strain on professionals.</w:t>
            </w:r>
          </w:p>
          <w:p w14:paraId="7ABE0367" w14:textId="0A948CB0" w:rsidR="00832B85" w:rsidRPr="00832B85" w:rsidRDefault="00832B85" w:rsidP="00832B85">
            <w:pPr>
              <w:spacing w:line="480" w:lineRule="auto"/>
              <w:rPr>
                <w:sz w:val="24"/>
                <w:szCs w:val="24"/>
              </w:rPr>
            </w:pPr>
            <w:r w:rsidRPr="00832B85">
              <w:rPr>
                <w:sz w:val="24"/>
                <w:szCs w:val="24"/>
              </w:rPr>
              <w:t xml:space="preserve"> </w:t>
            </w:r>
          </w:p>
          <w:p w14:paraId="6695754F" w14:textId="77777777" w:rsidR="00832B85" w:rsidRPr="00832B85" w:rsidRDefault="00832B85" w:rsidP="00832B85">
            <w:pPr>
              <w:spacing w:line="480" w:lineRule="auto"/>
              <w:rPr>
                <w:sz w:val="24"/>
                <w:szCs w:val="24"/>
              </w:rPr>
            </w:pPr>
            <w:r w:rsidRPr="00832B85">
              <w:rPr>
                <w:sz w:val="24"/>
                <w:szCs w:val="24"/>
              </w:rPr>
              <w:t>4245</w:t>
            </w:r>
          </w:p>
          <w:p w14:paraId="1225D23D" w14:textId="4FFF3138" w:rsidR="00D3203C" w:rsidRDefault="00D3203C" w:rsidP="00832B85">
            <w:pPr>
              <w:spacing w:line="480" w:lineRule="auto"/>
              <w:jc w:val="both"/>
              <w:rPr>
                <w:i/>
                <w:sz w:val="24"/>
                <w:szCs w:val="24"/>
              </w:rPr>
            </w:pPr>
          </w:p>
          <w:p w14:paraId="0C1020FE" w14:textId="61CE561C" w:rsidR="00D3203C" w:rsidRDefault="00D3203C" w:rsidP="00FF7EBB">
            <w:pPr>
              <w:jc w:val="both"/>
              <w:rPr>
                <w:i/>
                <w:sz w:val="24"/>
                <w:szCs w:val="24"/>
              </w:rPr>
            </w:pPr>
          </w:p>
          <w:p w14:paraId="43CA65F6" w14:textId="46B65686" w:rsidR="00D3203C" w:rsidRDefault="00D3203C" w:rsidP="00FF7EBB">
            <w:pPr>
              <w:jc w:val="both"/>
              <w:rPr>
                <w:i/>
                <w:sz w:val="24"/>
                <w:szCs w:val="24"/>
              </w:rPr>
            </w:pPr>
          </w:p>
          <w:p w14:paraId="5C222972" w14:textId="259CE14B" w:rsidR="00D3203C" w:rsidRDefault="00D3203C" w:rsidP="00FF7EBB">
            <w:pPr>
              <w:jc w:val="both"/>
              <w:rPr>
                <w:i/>
                <w:sz w:val="24"/>
                <w:szCs w:val="24"/>
              </w:rPr>
            </w:pP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47F508" w14:textId="77777777" w:rsidR="00B7377B" w:rsidRDefault="00B7377B">
      <w:r>
        <w:separator/>
      </w:r>
    </w:p>
  </w:endnote>
  <w:endnote w:type="continuationSeparator" w:id="0">
    <w:p w14:paraId="6254A8B6" w14:textId="77777777" w:rsidR="00B7377B" w:rsidRDefault="00B7377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239BAD" w14:textId="77777777" w:rsidR="00B7377B" w:rsidRDefault="00B7377B">
      <w:r>
        <w:separator/>
      </w:r>
    </w:p>
  </w:footnote>
  <w:footnote w:type="continuationSeparator" w:id="0">
    <w:p w14:paraId="189FE01E" w14:textId="77777777" w:rsidR="00B7377B" w:rsidRDefault="00B7377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B9043C1"/>
    <w:multiLevelType w:val="hybridMultilevel"/>
    <w:tmpl w:val="079E7C3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563085B"/>
    <w:multiLevelType w:val="hybridMultilevel"/>
    <w:tmpl w:val="4610301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7"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5"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6"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0"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4"/>
  </w:num>
  <w:num w:numId="3" w16cid:durableId="1938977855">
    <w:abstractNumId w:val="47"/>
  </w:num>
  <w:num w:numId="4" w16cid:durableId="1850633156">
    <w:abstractNumId w:val="49"/>
  </w:num>
  <w:num w:numId="5" w16cid:durableId="2042589495">
    <w:abstractNumId w:val="36"/>
  </w:num>
  <w:num w:numId="6" w16cid:durableId="933980368">
    <w:abstractNumId w:val="34"/>
  </w:num>
  <w:num w:numId="7" w16cid:durableId="1060399973">
    <w:abstractNumId w:val="31"/>
  </w:num>
  <w:num w:numId="8" w16cid:durableId="1237400777">
    <w:abstractNumId w:val="32"/>
  </w:num>
  <w:num w:numId="9" w16cid:durableId="1914463563">
    <w:abstractNumId w:val="11"/>
  </w:num>
  <w:num w:numId="10" w16cid:durableId="693307142">
    <w:abstractNumId w:val="35"/>
  </w:num>
  <w:num w:numId="11" w16cid:durableId="141846751">
    <w:abstractNumId w:val="18"/>
  </w:num>
  <w:num w:numId="12" w16cid:durableId="1310867263">
    <w:abstractNumId w:val="17"/>
  </w:num>
  <w:num w:numId="13" w16cid:durableId="65736213">
    <w:abstractNumId w:val="29"/>
  </w:num>
  <w:num w:numId="14" w16cid:durableId="825441142">
    <w:abstractNumId w:val="9"/>
  </w:num>
  <w:num w:numId="15" w16cid:durableId="1016493186">
    <w:abstractNumId w:val="28"/>
  </w:num>
  <w:num w:numId="16" w16cid:durableId="1273785188">
    <w:abstractNumId w:val="16"/>
  </w:num>
  <w:num w:numId="17" w16cid:durableId="431317323">
    <w:abstractNumId w:val="14"/>
  </w:num>
  <w:num w:numId="18" w16cid:durableId="1020622863">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5"/>
  </w:num>
  <w:num w:numId="20" w16cid:durableId="413284070">
    <w:abstractNumId w:val="19"/>
  </w:num>
  <w:num w:numId="21" w16cid:durableId="798959287">
    <w:abstractNumId w:val="15"/>
  </w:num>
  <w:num w:numId="22" w16cid:durableId="352731724">
    <w:abstractNumId w:val="12"/>
  </w:num>
  <w:num w:numId="23" w16cid:durableId="456266206">
    <w:abstractNumId w:val="30"/>
  </w:num>
  <w:num w:numId="24" w16cid:durableId="317615789">
    <w:abstractNumId w:val="21"/>
  </w:num>
  <w:num w:numId="25" w16cid:durableId="856430468">
    <w:abstractNumId w:val="43"/>
  </w:num>
  <w:num w:numId="26" w16cid:durableId="1104690971">
    <w:abstractNumId w:val="37"/>
  </w:num>
  <w:num w:numId="27" w16cid:durableId="1201670287">
    <w:abstractNumId w:val="42"/>
  </w:num>
  <w:num w:numId="28" w16cid:durableId="598562144">
    <w:abstractNumId w:val="22"/>
  </w:num>
  <w:num w:numId="29" w16cid:durableId="871068292">
    <w:abstractNumId w:val="45"/>
  </w:num>
  <w:num w:numId="30" w16cid:durableId="482159744">
    <w:abstractNumId w:val="33"/>
  </w:num>
  <w:num w:numId="31" w16cid:durableId="1565527110">
    <w:abstractNumId w:val="13"/>
  </w:num>
  <w:num w:numId="32" w16cid:durableId="1175995731">
    <w:abstractNumId w:val="46"/>
  </w:num>
  <w:num w:numId="33" w16cid:durableId="694232600">
    <w:abstractNumId w:val="41"/>
  </w:num>
  <w:num w:numId="34" w16cid:durableId="1062095063">
    <w:abstractNumId w:val="6"/>
  </w:num>
  <w:num w:numId="35" w16cid:durableId="2051881075">
    <w:abstractNumId w:val="48"/>
  </w:num>
  <w:num w:numId="36" w16cid:durableId="2107188112">
    <w:abstractNumId w:val="44"/>
  </w:num>
  <w:num w:numId="37" w16cid:durableId="1313413796">
    <w:abstractNumId w:val="38"/>
  </w:num>
  <w:num w:numId="38" w16cid:durableId="1682197957">
    <w:abstractNumId w:val="39"/>
  </w:num>
  <w:num w:numId="39" w16cid:durableId="340203735">
    <w:abstractNumId w:val="4"/>
  </w:num>
  <w:num w:numId="40" w16cid:durableId="1266502755">
    <w:abstractNumId w:val="7"/>
  </w:num>
  <w:num w:numId="41" w16cid:durableId="2138642120">
    <w:abstractNumId w:val="27"/>
  </w:num>
  <w:num w:numId="42" w16cid:durableId="2082366208">
    <w:abstractNumId w:val="8"/>
  </w:num>
  <w:num w:numId="43" w16cid:durableId="488403910">
    <w:abstractNumId w:val="3"/>
  </w:num>
  <w:num w:numId="44" w16cid:durableId="210268195">
    <w:abstractNumId w:val="40"/>
  </w:num>
  <w:num w:numId="45" w16cid:durableId="891695978">
    <w:abstractNumId w:val="0"/>
  </w:num>
  <w:num w:numId="46" w16cid:durableId="827289017">
    <w:abstractNumId w:val="15"/>
  </w:num>
  <w:num w:numId="47" w16cid:durableId="167212813">
    <w:abstractNumId w:val="50"/>
  </w:num>
  <w:num w:numId="48" w16cid:durableId="1210147369">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2"/>
  </w:num>
  <w:num w:numId="50" w16cid:durableId="1163856707">
    <w:abstractNumId w:val="30"/>
  </w:num>
  <w:num w:numId="51" w16cid:durableId="536360681">
    <w:abstractNumId w:val="26"/>
  </w:num>
  <w:num w:numId="52" w16cid:durableId="1666274935">
    <w:abstractNumId w:val="23"/>
  </w:num>
  <w:num w:numId="53" w16cid:durableId="435172075">
    <w:abstractNumId w:val="2"/>
  </w:num>
  <w:num w:numId="54" w16cid:durableId="367031206">
    <w:abstractNumId w:val="5"/>
  </w:num>
  <w:num w:numId="55" w16cid:durableId="2063943678">
    <w:abstractNumId w:val="20"/>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37EA7"/>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3E71"/>
    <w:rsid w:val="001C4DB8"/>
    <w:rsid w:val="001C50B8"/>
    <w:rsid w:val="001D229F"/>
    <w:rsid w:val="001E2EB6"/>
    <w:rsid w:val="001F4552"/>
    <w:rsid w:val="002009E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27A6"/>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2595C"/>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2B85"/>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878EC"/>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5F6B"/>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67F05"/>
    <w:rsid w:val="00A732EA"/>
    <w:rsid w:val="00A7489E"/>
    <w:rsid w:val="00A8015F"/>
    <w:rsid w:val="00A85039"/>
    <w:rsid w:val="00A906AA"/>
    <w:rsid w:val="00A94C5E"/>
    <w:rsid w:val="00AA252C"/>
    <w:rsid w:val="00AA666E"/>
    <w:rsid w:val="00AA7960"/>
    <w:rsid w:val="00AB5518"/>
    <w:rsid w:val="00AC0394"/>
    <w:rsid w:val="00AC3A0E"/>
    <w:rsid w:val="00AC4A04"/>
    <w:rsid w:val="00AC5679"/>
    <w:rsid w:val="00AD336F"/>
    <w:rsid w:val="00AE134C"/>
    <w:rsid w:val="00AE1868"/>
    <w:rsid w:val="00AE2564"/>
    <w:rsid w:val="00AE301F"/>
    <w:rsid w:val="00AE3302"/>
    <w:rsid w:val="00AE5BA6"/>
    <w:rsid w:val="00AE6231"/>
    <w:rsid w:val="00AE7077"/>
    <w:rsid w:val="00AF5B59"/>
    <w:rsid w:val="00AF61C2"/>
    <w:rsid w:val="00AF6CC6"/>
    <w:rsid w:val="00B0296A"/>
    <w:rsid w:val="00B037B0"/>
    <w:rsid w:val="00B07E79"/>
    <w:rsid w:val="00B12295"/>
    <w:rsid w:val="00B137BE"/>
    <w:rsid w:val="00B15998"/>
    <w:rsid w:val="00B17FA0"/>
    <w:rsid w:val="00B2292C"/>
    <w:rsid w:val="00B22C3C"/>
    <w:rsid w:val="00B24344"/>
    <w:rsid w:val="00B26769"/>
    <w:rsid w:val="00B2754B"/>
    <w:rsid w:val="00B31C91"/>
    <w:rsid w:val="00B36D68"/>
    <w:rsid w:val="00B3747F"/>
    <w:rsid w:val="00B42E76"/>
    <w:rsid w:val="00B43194"/>
    <w:rsid w:val="00B436BF"/>
    <w:rsid w:val="00B47734"/>
    <w:rsid w:val="00B50FBA"/>
    <w:rsid w:val="00B558EB"/>
    <w:rsid w:val="00B577D3"/>
    <w:rsid w:val="00B60466"/>
    <w:rsid w:val="00B615D5"/>
    <w:rsid w:val="00B6548F"/>
    <w:rsid w:val="00B71A32"/>
    <w:rsid w:val="00B7377B"/>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E1E"/>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112"/>
    <w:rsid w:val="00EE39D6"/>
    <w:rsid w:val="00EE52AD"/>
    <w:rsid w:val="00EE5BC3"/>
    <w:rsid w:val="00EE6FAB"/>
    <w:rsid w:val="00EF328C"/>
    <w:rsid w:val="00EF68BB"/>
    <w:rsid w:val="00F01F92"/>
    <w:rsid w:val="00F030D4"/>
    <w:rsid w:val="00F03860"/>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83C95"/>
    <w:rsid w:val="00F927A1"/>
    <w:rsid w:val="00F92E4D"/>
    <w:rsid w:val="00F95D08"/>
    <w:rsid w:val="00FA23BD"/>
    <w:rsid w:val="00FA3764"/>
    <w:rsid w:val="00FA41C7"/>
    <w:rsid w:val="00FA4A79"/>
    <w:rsid w:val="00FA56ED"/>
    <w:rsid w:val="00FB002C"/>
    <w:rsid w:val="00FB05DD"/>
    <w:rsid w:val="00FB07F2"/>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ListParagraph">
    <w:name w:val="List Paragraph"/>
    <w:basedOn w:val="Normal"/>
    <w:uiPriority w:val="34"/>
    <w:qFormat/>
    <w:rsid w:val="00832B85"/>
    <w:pPr>
      <w:overflowPunct/>
      <w:autoSpaceDE/>
      <w:autoSpaceDN/>
      <w:adjustRightInd/>
      <w:spacing w:after="160" w:line="278" w:lineRule="auto"/>
      <w:ind w:left="720"/>
      <w:contextualSpacing/>
      <w:textAlignment w:val="auto"/>
    </w:pPr>
    <w:rPr>
      <w:rFonts w:asciiTheme="minorHAnsi" w:eastAsiaTheme="minorHAnsi" w:hAnsiTheme="minorHAnsi" w:cstheme="minorBidi"/>
      <w:color w:val="auto"/>
      <w:kern w:val="2"/>
      <w:sz w:val="24"/>
      <w:szCs w:val="24"/>
      <w:lang w:val="cy-GB" w:eastAsia="en-US"/>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3252%318%39%32@%73%74ude%6e%74.uw%74s%64%2e%61%63.%75%6b"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17</Pages>
  <Words>4274</Words>
  <Characters>24362</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28579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Christine Ritter-Peake (OEDOLION)</cp:lastModifiedBy>
  <cp:revision>11</cp:revision>
  <cp:lastPrinted>2020-02-11T19:20:00Z</cp:lastPrinted>
  <dcterms:created xsi:type="dcterms:W3CDTF">2026-10-01T12:19:00Z</dcterms:created>
  <dcterms:modified xsi:type="dcterms:W3CDTF">2026-10-07T03:45:00Z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