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ajorEastAsia" w:hAnsiTheme="majorHAnsi" w:cstheme="majorBidi"/>
          <w:sz w:val="72"/>
          <w:szCs w:val="72"/>
          <w:lang w:val="en-GB"/>
        </w:rPr>
        <w:id w:val="20796229"/>
        <w:docPartObj>
          <w:docPartGallery w:val="Cover Pages"/>
          <w:docPartUnique/>
        </w:docPartObj>
      </w:sdtPr>
      <w:sdtEndPr>
        <w:rPr>
          <w:rFonts w:asciiTheme="minorHAnsi" w:eastAsiaTheme="minorEastAsia" w:hAnsiTheme="minorHAnsi" w:cstheme="minorBidi"/>
          <w:sz w:val="22"/>
          <w:szCs w:val="22"/>
          <w:lang w:val="en-IN"/>
        </w:rPr>
      </w:sdtEndPr>
      <w:sdtContent>
        <w:p w14:paraId="77CABC4F" w14:textId="57FF7283" w:rsidR="00BF6A82" w:rsidRDefault="00BF6A82" w:rsidP="00D50969">
          <w:pPr>
            <w:pStyle w:val="NoSpacing"/>
            <w:jc w:val="center"/>
            <w:rPr>
              <w:rFonts w:asciiTheme="majorHAnsi" w:eastAsiaTheme="majorEastAsia" w:hAnsiTheme="majorHAnsi" w:cstheme="majorBidi"/>
              <w:sz w:val="72"/>
              <w:szCs w:val="72"/>
            </w:rPr>
          </w:pPr>
        </w:p>
        <w:p w14:paraId="77CABC50" w14:textId="77777777" w:rsidR="00BF6A82" w:rsidRDefault="00BF6A82" w:rsidP="00A46683">
          <w:pPr>
            <w:rPr>
              <w:rFonts w:eastAsiaTheme="majorEastAsia"/>
            </w:rPr>
          </w:pPr>
        </w:p>
        <w:p w14:paraId="77CABC51" w14:textId="502E79B6" w:rsidR="00BF6A82" w:rsidRDefault="00BF6A82" w:rsidP="00FA65AD">
          <w:pPr>
            <w:rPr>
              <w:rFonts w:eastAsiaTheme="majorEastAsia"/>
            </w:rPr>
          </w:pPr>
        </w:p>
        <w:sdt>
          <w:sdtPr>
            <w:rPr>
              <w:rFonts w:ascii="Times New Roman" w:eastAsiaTheme="minorHAnsi" w:hAnsi="Times New Roman"/>
              <w:b/>
              <w:bCs/>
              <w:sz w:val="36"/>
              <w:lang w:val="en-GB"/>
            </w:rPr>
            <w:alias w:val="Title"/>
            <w:id w:val="14700071"/>
            <w:dataBinding w:prefixMappings="xmlns:ns0='http://schemas.openxmlformats.org/package/2006/metadata/core-properties' xmlns:ns1='http://purl.org/dc/elements/1.1/'" w:xpath="/ns0:coreProperties[1]/ns1:title[1]" w:storeItemID="{6C3C8BC8-F283-45AE-878A-BAB7291924A1}"/>
            <w:text/>
          </w:sdtPr>
          <w:sdtEndPr/>
          <w:sdtContent>
            <w:p w14:paraId="77CABC52" w14:textId="70F410D3" w:rsidR="00BF6A82" w:rsidRPr="00BF6A82" w:rsidRDefault="00BF6A82" w:rsidP="00BF6A82">
              <w:pPr>
                <w:pStyle w:val="NoSpacing"/>
                <w:jc w:val="center"/>
                <w:rPr>
                  <w:rFonts w:asciiTheme="majorHAnsi" w:eastAsiaTheme="majorEastAsia" w:hAnsiTheme="majorHAnsi" w:cstheme="majorBidi"/>
                  <w:sz w:val="78"/>
                  <w:szCs w:val="72"/>
                </w:rPr>
              </w:pPr>
              <w:r w:rsidRPr="00BF6A82">
                <w:rPr>
                  <w:rFonts w:ascii="Times New Roman" w:eastAsiaTheme="minorHAnsi" w:hAnsi="Times New Roman"/>
                  <w:b/>
                  <w:bCs/>
                  <w:sz w:val="36"/>
                  <w:lang w:val="en-GB"/>
                </w:rPr>
                <w:t>Managing People</w:t>
              </w:r>
              <w:r w:rsidR="007B217B">
                <w:rPr>
                  <w:rFonts w:ascii="Times New Roman" w:eastAsiaTheme="minorHAnsi" w:hAnsi="Times New Roman"/>
                  <w:b/>
                  <w:bCs/>
                  <w:sz w:val="36"/>
                  <w:lang w:val="en-GB"/>
                </w:rPr>
                <w:t xml:space="preserve"> Assessment 2</w:t>
              </w:r>
            </w:p>
          </w:sdtContent>
        </w:sdt>
        <w:p w14:paraId="638B342B" w14:textId="77777777" w:rsidR="007B217B" w:rsidRPr="007B217B" w:rsidRDefault="007B217B" w:rsidP="00BF6A82">
          <w:pPr>
            <w:pStyle w:val="NoSpacing"/>
            <w:jc w:val="center"/>
            <w:rPr>
              <w:rFonts w:asciiTheme="majorHAnsi" w:eastAsiaTheme="majorEastAsia" w:hAnsiTheme="majorHAnsi" w:cstheme="majorBidi"/>
              <w:b/>
              <w:bCs/>
              <w:sz w:val="28"/>
              <w:szCs w:val="28"/>
            </w:rPr>
          </w:pPr>
        </w:p>
        <w:p w14:paraId="26CA065E" w14:textId="1DCC412B" w:rsidR="007B217B" w:rsidRPr="007B217B" w:rsidRDefault="007B217B" w:rsidP="007B217B">
          <w:pPr>
            <w:rPr>
              <w:rFonts w:asciiTheme="majorHAnsi" w:eastAsiaTheme="majorEastAsia" w:hAnsiTheme="majorHAnsi" w:cstheme="majorBidi"/>
              <w:b/>
              <w:bCs/>
              <w:sz w:val="28"/>
              <w:szCs w:val="28"/>
            </w:rPr>
          </w:pPr>
          <w:r w:rsidRPr="007B217B">
            <w:rPr>
              <w:rFonts w:asciiTheme="majorHAnsi" w:eastAsiaTheme="majorEastAsia" w:hAnsiTheme="majorHAnsi" w:cstheme="majorBidi"/>
              <w:b/>
              <w:bCs/>
              <w:sz w:val="28"/>
              <w:szCs w:val="28"/>
            </w:rPr>
            <w:t xml:space="preserve">Student </w:t>
          </w:r>
          <w:proofErr w:type="gramStart"/>
          <w:r w:rsidRPr="007B217B">
            <w:rPr>
              <w:rFonts w:asciiTheme="majorHAnsi" w:eastAsiaTheme="majorEastAsia" w:hAnsiTheme="majorHAnsi" w:cstheme="majorBidi"/>
              <w:b/>
              <w:bCs/>
              <w:sz w:val="28"/>
              <w:szCs w:val="28"/>
            </w:rPr>
            <w:t>name :</w:t>
          </w:r>
          <w:proofErr w:type="gramEnd"/>
          <w:r w:rsidRPr="007B217B">
            <w:rPr>
              <w:rFonts w:asciiTheme="majorHAnsi" w:eastAsiaTheme="majorEastAsia" w:hAnsiTheme="majorHAnsi" w:cstheme="majorBidi"/>
              <w:b/>
              <w:bCs/>
              <w:sz w:val="28"/>
              <w:szCs w:val="28"/>
            </w:rPr>
            <w:t xml:space="preserve"> Laura Madalina Ghitiu</w:t>
          </w:r>
        </w:p>
        <w:p w14:paraId="2F631BAB" w14:textId="77777777" w:rsidR="007B217B" w:rsidRPr="007B217B" w:rsidRDefault="007B217B" w:rsidP="007B217B">
          <w:pPr>
            <w:rPr>
              <w:rFonts w:asciiTheme="majorHAnsi" w:eastAsiaTheme="majorEastAsia" w:hAnsiTheme="majorHAnsi" w:cstheme="majorBidi"/>
              <w:b/>
              <w:bCs/>
              <w:sz w:val="28"/>
              <w:szCs w:val="28"/>
            </w:rPr>
          </w:pPr>
          <w:r w:rsidRPr="007B217B">
            <w:rPr>
              <w:rFonts w:asciiTheme="majorHAnsi" w:eastAsiaTheme="majorEastAsia" w:hAnsiTheme="majorHAnsi" w:cstheme="majorBidi"/>
              <w:b/>
              <w:bCs/>
              <w:sz w:val="28"/>
              <w:szCs w:val="28"/>
            </w:rPr>
            <w:t>Student Number: 1914805</w:t>
          </w:r>
        </w:p>
        <w:p w14:paraId="08292898" w14:textId="77777777" w:rsidR="007B217B" w:rsidRPr="007B217B" w:rsidRDefault="007B217B" w:rsidP="007B217B">
          <w:pPr>
            <w:rPr>
              <w:rFonts w:asciiTheme="majorHAnsi" w:eastAsiaTheme="majorEastAsia" w:hAnsiTheme="majorHAnsi" w:cstheme="majorBidi"/>
              <w:b/>
              <w:bCs/>
              <w:sz w:val="28"/>
              <w:szCs w:val="28"/>
            </w:rPr>
          </w:pPr>
          <w:r w:rsidRPr="007B217B">
            <w:rPr>
              <w:rFonts w:asciiTheme="majorHAnsi" w:eastAsiaTheme="majorEastAsia" w:hAnsiTheme="majorHAnsi" w:cstheme="majorBidi"/>
              <w:b/>
              <w:bCs/>
              <w:sz w:val="28"/>
              <w:szCs w:val="28"/>
            </w:rPr>
            <w:t xml:space="preserve">Lecturer’s name: Charles </w:t>
          </w:r>
          <w:proofErr w:type="spellStart"/>
          <w:r w:rsidRPr="007B217B">
            <w:rPr>
              <w:rFonts w:asciiTheme="majorHAnsi" w:eastAsiaTheme="majorEastAsia" w:hAnsiTheme="majorHAnsi" w:cstheme="majorBidi"/>
              <w:b/>
              <w:bCs/>
              <w:sz w:val="28"/>
              <w:szCs w:val="28"/>
            </w:rPr>
            <w:t>Oham</w:t>
          </w:r>
          <w:proofErr w:type="spellEnd"/>
        </w:p>
        <w:p w14:paraId="421F0823" w14:textId="2E070EE9" w:rsidR="007B217B" w:rsidRPr="007B217B" w:rsidRDefault="007B217B" w:rsidP="007B217B">
          <w:pPr>
            <w:rPr>
              <w:rFonts w:asciiTheme="majorHAnsi" w:eastAsiaTheme="majorEastAsia" w:hAnsiTheme="majorHAnsi" w:cstheme="majorBidi"/>
              <w:b/>
              <w:bCs/>
              <w:sz w:val="28"/>
              <w:szCs w:val="28"/>
            </w:rPr>
          </w:pPr>
          <w:r w:rsidRPr="007B217B">
            <w:rPr>
              <w:rFonts w:asciiTheme="majorHAnsi" w:eastAsiaTheme="majorEastAsia" w:hAnsiTheme="majorHAnsi" w:cstheme="majorBidi"/>
              <w:b/>
              <w:bCs/>
              <w:sz w:val="28"/>
              <w:szCs w:val="28"/>
            </w:rPr>
            <w:t>Module: LCBB5004</w:t>
          </w:r>
        </w:p>
        <w:p w14:paraId="7DBE0903" w14:textId="77777777" w:rsidR="007B217B" w:rsidRDefault="007B217B" w:rsidP="00BF6A82">
          <w:pPr>
            <w:pStyle w:val="NoSpacing"/>
            <w:jc w:val="center"/>
            <w:rPr>
              <w:rFonts w:asciiTheme="majorHAnsi" w:eastAsiaTheme="majorEastAsia" w:hAnsiTheme="majorHAnsi" w:cstheme="majorBidi"/>
              <w:sz w:val="36"/>
              <w:szCs w:val="36"/>
            </w:rPr>
          </w:pPr>
        </w:p>
        <w:p w14:paraId="2B7F6BA6" w14:textId="77777777" w:rsidR="007B217B" w:rsidRDefault="007B217B">
          <w:pPr>
            <w:rPr>
              <w:rFonts w:asciiTheme="majorHAnsi" w:eastAsiaTheme="majorEastAsia" w:hAnsiTheme="majorHAnsi" w:cstheme="majorBidi"/>
              <w:sz w:val="36"/>
              <w:szCs w:val="36"/>
            </w:rPr>
          </w:pPr>
          <w:r>
            <w:rPr>
              <w:rFonts w:asciiTheme="majorHAnsi" w:eastAsiaTheme="majorEastAsia" w:hAnsiTheme="majorHAnsi" w:cstheme="majorBidi"/>
              <w:sz w:val="36"/>
              <w:szCs w:val="36"/>
            </w:rPr>
            <w:br w:type="page"/>
          </w:r>
        </w:p>
        <w:p w14:paraId="7109ACFC" w14:textId="77777777" w:rsidR="007B217B" w:rsidRDefault="00462C01" w:rsidP="007B217B">
          <w:pPr>
            <w:pStyle w:val="NoSpacing"/>
            <w:jc w:val="center"/>
          </w:pPr>
        </w:p>
      </w:sdtContent>
    </w:sdt>
    <w:p w14:paraId="16707A72" w14:textId="2D675A8D" w:rsidR="00462C01" w:rsidRPr="00462C01" w:rsidRDefault="00462C01" w:rsidP="00462C01">
      <w:pPr>
        <w:pStyle w:val="TOCHeading"/>
        <w:jc w:val="center"/>
        <w:rPr>
          <w:sz w:val="24"/>
          <w:szCs w:val="24"/>
        </w:rPr>
      </w:pPr>
      <w:r w:rsidRPr="00462C01">
        <w:rPr>
          <w:sz w:val="24"/>
          <w:szCs w:val="24"/>
        </w:rPr>
        <w:t xml:space="preserve"> </w:t>
      </w:r>
    </w:p>
    <w:p w14:paraId="06A86668" w14:textId="056D6100" w:rsidR="00462C01" w:rsidRDefault="00462C01" w:rsidP="00462C01"/>
    <w:p w14:paraId="502EFFD6" w14:textId="77777777" w:rsidR="00462C01" w:rsidRPr="00462C01" w:rsidRDefault="00462C01" w:rsidP="00462C01"/>
    <w:sdt>
      <w:sdtPr>
        <w:rPr>
          <w:rFonts w:ascii="Times New Roman" w:eastAsiaTheme="minorHAnsi" w:hAnsi="Times New Roman" w:cstheme="minorBidi"/>
          <w:color w:val="auto"/>
          <w:sz w:val="24"/>
          <w:szCs w:val="22"/>
          <w:lang w:val="en-GB"/>
        </w:rPr>
        <w:id w:val="356017367"/>
        <w:docPartObj>
          <w:docPartGallery w:val="Table of Contents"/>
          <w:docPartUnique/>
        </w:docPartObj>
      </w:sdtPr>
      <w:sdtEndPr>
        <w:rPr>
          <w:rFonts w:asciiTheme="minorHAnsi" w:eastAsiaTheme="minorEastAsia" w:hAnsiTheme="minorHAnsi"/>
          <w:b/>
          <w:bCs/>
          <w:noProof/>
          <w:sz w:val="22"/>
          <w:lang w:val="en-IN"/>
        </w:rPr>
      </w:sdtEndPr>
      <w:sdtContent>
        <w:p w14:paraId="2F629EB8" w14:textId="7A8D2692" w:rsidR="00462C01" w:rsidRPr="00462C01" w:rsidRDefault="00CD3523" w:rsidP="00462C01">
          <w:pPr>
            <w:pStyle w:val="TOCHeading"/>
            <w:jc w:val="center"/>
            <w:rPr>
              <w:rFonts w:ascii="Times New Roman" w:hAnsi="Times New Roman" w:cs="Times New Roman"/>
              <w:b/>
              <w:bCs/>
              <w:color w:val="auto"/>
              <w:sz w:val="24"/>
              <w:szCs w:val="24"/>
            </w:rPr>
          </w:pPr>
          <w:r w:rsidRPr="00462C01">
            <w:rPr>
              <w:rFonts w:ascii="Times New Roman" w:hAnsi="Times New Roman" w:cs="Times New Roman"/>
              <w:b/>
              <w:bCs/>
              <w:color w:val="auto"/>
              <w:sz w:val="24"/>
              <w:szCs w:val="24"/>
            </w:rPr>
            <w:t>Table of Contents</w:t>
          </w:r>
        </w:p>
        <w:p w14:paraId="77CABC59" w14:textId="77777777" w:rsidR="002C6B1E" w:rsidRDefault="00AB65CC">
          <w:pPr>
            <w:pStyle w:val="TOC1"/>
            <w:tabs>
              <w:tab w:val="right" w:leader="dot" w:pos="9016"/>
            </w:tabs>
            <w:rPr>
              <w:noProof/>
              <w:lang w:val="en-US"/>
            </w:rPr>
          </w:pPr>
          <w:r>
            <w:fldChar w:fldCharType="begin"/>
          </w:r>
          <w:r w:rsidR="00CD3523">
            <w:instrText xml:space="preserve"> TOC \o "1-3" \h \z \u </w:instrText>
          </w:r>
          <w:r>
            <w:fldChar w:fldCharType="separate"/>
          </w:r>
          <w:hyperlink w:anchor="_Toc79423854" w:history="1">
            <w:r w:rsidR="002C6B1E" w:rsidRPr="00E10243">
              <w:rPr>
                <w:rStyle w:val="Hyperlink"/>
                <w:noProof/>
              </w:rPr>
              <w:t>Introduction</w:t>
            </w:r>
            <w:r w:rsidR="002C6B1E">
              <w:rPr>
                <w:noProof/>
                <w:webHidden/>
              </w:rPr>
              <w:tab/>
            </w:r>
            <w:r>
              <w:rPr>
                <w:noProof/>
                <w:webHidden/>
              </w:rPr>
              <w:fldChar w:fldCharType="begin"/>
            </w:r>
            <w:r w:rsidR="002C6B1E">
              <w:rPr>
                <w:noProof/>
                <w:webHidden/>
              </w:rPr>
              <w:instrText xml:space="preserve"> PAGEREF _Toc79423854 \h </w:instrText>
            </w:r>
            <w:r>
              <w:rPr>
                <w:noProof/>
                <w:webHidden/>
              </w:rPr>
            </w:r>
            <w:r>
              <w:rPr>
                <w:noProof/>
                <w:webHidden/>
              </w:rPr>
              <w:fldChar w:fldCharType="separate"/>
            </w:r>
            <w:r w:rsidR="002C6B1E">
              <w:rPr>
                <w:noProof/>
                <w:webHidden/>
              </w:rPr>
              <w:t>2</w:t>
            </w:r>
            <w:r>
              <w:rPr>
                <w:noProof/>
                <w:webHidden/>
              </w:rPr>
              <w:fldChar w:fldCharType="end"/>
            </w:r>
          </w:hyperlink>
        </w:p>
        <w:p w14:paraId="77CABC5A" w14:textId="77777777" w:rsidR="002C6B1E" w:rsidRDefault="007B217B">
          <w:pPr>
            <w:pStyle w:val="TOC1"/>
            <w:tabs>
              <w:tab w:val="right" w:leader="dot" w:pos="9016"/>
            </w:tabs>
            <w:rPr>
              <w:noProof/>
              <w:lang w:val="en-US"/>
            </w:rPr>
          </w:pPr>
          <w:hyperlink w:anchor="_Toc79423855" w:history="1">
            <w:r w:rsidR="002C6B1E" w:rsidRPr="00E10243">
              <w:rPr>
                <w:rStyle w:val="Hyperlink"/>
                <w:noProof/>
              </w:rPr>
              <w:t>Background of the report</w:t>
            </w:r>
            <w:r w:rsidR="002C6B1E">
              <w:rPr>
                <w:noProof/>
                <w:webHidden/>
              </w:rPr>
              <w:tab/>
            </w:r>
            <w:r w:rsidR="00AB65CC">
              <w:rPr>
                <w:noProof/>
                <w:webHidden/>
              </w:rPr>
              <w:fldChar w:fldCharType="begin"/>
            </w:r>
            <w:r w:rsidR="002C6B1E">
              <w:rPr>
                <w:noProof/>
                <w:webHidden/>
              </w:rPr>
              <w:instrText xml:space="preserve"> PAGEREF _Toc79423855 \h </w:instrText>
            </w:r>
            <w:r w:rsidR="00AB65CC">
              <w:rPr>
                <w:noProof/>
                <w:webHidden/>
              </w:rPr>
            </w:r>
            <w:r w:rsidR="00AB65CC">
              <w:rPr>
                <w:noProof/>
                <w:webHidden/>
              </w:rPr>
              <w:fldChar w:fldCharType="separate"/>
            </w:r>
            <w:r w:rsidR="002C6B1E">
              <w:rPr>
                <w:noProof/>
                <w:webHidden/>
              </w:rPr>
              <w:t>2</w:t>
            </w:r>
            <w:r w:rsidR="00AB65CC">
              <w:rPr>
                <w:noProof/>
                <w:webHidden/>
              </w:rPr>
              <w:fldChar w:fldCharType="end"/>
            </w:r>
          </w:hyperlink>
        </w:p>
        <w:p w14:paraId="77CABC5B" w14:textId="77777777" w:rsidR="002C6B1E" w:rsidRDefault="007B217B">
          <w:pPr>
            <w:pStyle w:val="TOC1"/>
            <w:tabs>
              <w:tab w:val="right" w:leader="dot" w:pos="9016"/>
            </w:tabs>
            <w:rPr>
              <w:noProof/>
              <w:lang w:val="en-US"/>
            </w:rPr>
          </w:pPr>
          <w:hyperlink w:anchor="_Toc79423856" w:history="1">
            <w:r w:rsidR="002C6B1E" w:rsidRPr="00E10243">
              <w:rPr>
                <w:rStyle w:val="Hyperlink"/>
                <w:noProof/>
              </w:rPr>
              <w:t>Reviewing the concept and drivers of employee engagement</w:t>
            </w:r>
            <w:r w:rsidR="002C6B1E">
              <w:rPr>
                <w:noProof/>
                <w:webHidden/>
              </w:rPr>
              <w:tab/>
            </w:r>
            <w:r w:rsidR="00AB65CC">
              <w:rPr>
                <w:noProof/>
                <w:webHidden/>
              </w:rPr>
              <w:fldChar w:fldCharType="begin"/>
            </w:r>
            <w:r w:rsidR="002C6B1E">
              <w:rPr>
                <w:noProof/>
                <w:webHidden/>
              </w:rPr>
              <w:instrText xml:space="preserve"> PAGEREF _Toc79423856 \h </w:instrText>
            </w:r>
            <w:r w:rsidR="00AB65CC">
              <w:rPr>
                <w:noProof/>
                <w:webHidden/>
              </w:rPr>
            </w:r>
            <w:r w:rsidR="00AB65CC">
              <w:rPr>
                <w:noProof/>
                <w:webHidden/>
              </w:rPr>
              <w:fldChar w:fldCharType="separate"/>
            </w:r>
            <w:r w:rsidR="002C6B1E">
              <w:rPr>
                <w:noProof/>
                <w:webHidden/>
              </w:rPr>
              <w:t>2</w:t>
            </w:r>
            <w:r w:rsidR="00AB65CC">
              <w:rPr>
                <w:noProof/>
                <w:webHidden/>
              </w:rPr>
              <w:fldChar w:fldCharType="end"/>
            </w:r>
          </w:hyperlink>
        </w:p>
        <w:p w14:paraId="77CABC5C" w14:textId="77777777" w:rsidR="002C6B1E" w:rsidRDefault="007B217B">
          <w:pPr>
            <w:pStyle w:val="TOC1"/>
            <w:tabs>
              <w:tab w:val="right" w:leader="dot" w:pos="9016"/>
            </w:tabs>
            <w:rPr>
              <w:noProof/>
              <w:lang w:val="en-US"/>
            </w:rPr>
          </w:pPr>
          <w:hyperlink w:anchor="_Toc79423857" w:history="1">
            <w:r w:rsidR="002C6B1E" w:rsidRPr="00E10243">
              <w:rPr>
                <w:rStyle w:val="Hyperlink"/>
                <w:noProof/>
              </w:rPr>
              <w:t>Importance of employee engagement within the workplace</w:t>
            </w:r>
            <w:r w:rsidR="002C6B1E">
              <w:rPr>
                <w:noProof/>
                <w:webHidden/>
              </w:rPr>
              <w:tab/>
            </w:r>
            <w:r w:rsidR="00AB65CC">
              <w:rPr>
                <w:noProof/>
                <w:webHidden/>
              </w:rPr>
              <w:fldChar w:fldCharType="begin"/>
            </w:r>
            <w:r w:rsidR="002C6B1E">
              <w:rPr>
                <w:noProof/>
                <w:webHidden/>
              </w:rPr>
              <w:instrText xml:space="preserve"> PAGEREF _Toc79423857 \h </w:instrText>
            </w:r>
            <w:r w:rsidR="00AB65CC">
              <w:rPr>
                <w:noProof/>
                <w:webHidden/>
              </w:rPr>
            </w:r>
            <w:r w:rsidR="00AB65CC">
              <w:rPr>
                <w:noProof/>
                <w:webHidden/>
              </w:rPr>
              <w:fldChar w:fldCharType="separate"/>
            </w:r>
            <w:r w:rsidR="002C6B1E">
              <w:rPr>
                <w:noProof/>
                <w:webHidden/>
              </w:rPr>
              <w:t>3</w:t>
            </w:r>
            <w:r w:rsidR="00AB65CC">
              <w:rPr>
                <w:noProof/>
                <w:webHidden/>
              </w:rPr>
              <w:fldChar w:fldCharType="end"/>
            </w:r>
          </w:hyperlink>
        </w:p>
        <w:p w14:paraId="77CABC5D" w14:textId="77777777" w:rsidR="002C6B1E" w:rsidRDefault="007B217B">
          <w:pPr>
            <w:pStyle w:val="TOC1"/>
            <w:tabs>
              <w:tab w:val="right" w:leader="dot" w:pos="9016"/>
            </w:tabs>
            <w:rPr>
              <w:noProof/>
              <w:lang w:val="en-US"/>
            </w:rPr>
          </w:pPr>
          <w:hyperlink w:anchor="_Toc79423858" w:history="1">
            <w:r w:rsidR="002C6B1E" w:rsidRPr="00E10243">
              <w:rPr>
                <w:rStyle w:val="Hyperlink"/>
                <w:noProof/>
              </w:rPr>
              <w:t>Evaluation of diagnostic tools for measuring engagement</w:t>
            </w:r>
            <w:r w:rsidR="002C6B1E">
              <w:rPr>
                <w:noProof/>
                <w:webHidden/>
              </w:rPr>
              <w:tab/>
            </w:r>
            <w:r w:rsidR="00AB65CC">
              <w:rPr>
                <w:noProof/>
                <w:webHidden/>
              </w:rPr>
              <w:fldChar w:fldCharType="begin"/>
            </w:r>
            <w:r w:rsidR="002C6B1E">
              <w:rPr>
                <w:noProof/>
                <w:webHidden/>
              </w:rPr>
              <w:instrText xml:space="preserve"> PAGEREF _Toc79423858 \h </w:instrText>
            </w:r>
            <w:r w:rsidR="00AB65CC">
              <w:rPr>
                <w:noProof/>
                <w:webHidden/>
              </w:rPr>
            </w:r>
            <w:r w:rsidR="00AB65CC">
              <w:rPr>
                <w:noProof/>
                <w:webHidden/>
              </w:rPr>
              <w:fldChar w:fldCharType="separate"/>
            </w:r>
            <w:r w:rsidR="002C6B1E">
              <w:rPr>
                <w:noProof/>
                <w:webHidden/>
              </w:rPr>
              <w:t>4</w:t>
            </w:r>
            <w:r w:rsidR="00AB65CC">
              <w:rPr>
                <w:noProof/>
                <w:webHidden/>
              </w:rPr>
              <w:fldChar w:fldCharType="end"/>
            </w:r>
          </w:hyperlink>
        </w:p>
        <w:p w14:paraId="77CABC5E" w14:textId="77777777" w:rsidR="002C6B1E" w:rsidRDefault="007B217B">
          <w:pPr>
            <w:pStyle w:val="TOC1"/>
            <w:tabs>
              <w:tab w:val="right" w:leader="dot" w:pos="9016"/>
            </w:tabs>
            <w:rPr>
              <w:noProof/>
              <w:lang w:val="en-US"/>
            </w:rPr>
          </w:pPr>
          <w:hyperlink w:anchor="_Toc79423859" w:history="1">
            <w:r w:rsidR="002C6B1E" w:rsidRPr="00E10243">
              <w:rPr>
                <w:rStyle w:val="Hyperlink"/>
                <w:noProof/>
              </w:rPr>
              <w:t>Strategies for raising levels of engagement</w:t>
            </w:r>
            <w:r w:rsidR="002C6B1E">
              <w:rPr>
                <w:noProof/>
                <w:webHidden/>
              </w:rPr>
              <w:tab/>
            </w:r>
            <w:r w:rsidR="00AB65CC">
              <w:rPr>
                <w:noProof/>
                <w:webHidden/>
              </w:rPr>
              <w:fldChar w:fldCharType="begin"/>
            </w:r>
            <w:r w:rsidR="002C6B1E">
              <w:rPr>
                <w:noProof/>
                <w:webHidden/>
              </w:rPr>
              <w:instrText xml:space="preserve"> PAGEREF _Toc79423859 \h </w:instrText>
            </w:r>
            <w:r w:rsidR="00AB65CC">
              <w:rPr>
                <w:noProof/>
                <w:webHidden/>
              </w:rPr>
            </w:r>
            <w:r w:rsidR="00AB65CC">
              <w:rPr>
                <w:noProof/>
                <w:webHidden/>
              </w:rPr>
              <w:fldChar w:fldCharType="separate"/>
            </w:r>
            <w:r w:rsidR="002C6B1E">
              <w:rPr>
                <w:noProof/>
                <w:webHidden/>
              </w:rPr>
              <w:t>6</w:t>
            </w:r>
            <w:r w:rsidR="00AB65CC">
              <w:rPr>
                <w:noProof/>
                <w:webHidden/>
              </w:rPr>
              <w:fldChar w:fldCharType="end"/>
            </w:r>
          </w:hyperlink>
        </w:p>
        <w:p w14:paraId="77CABC5F" w14:textId="77777777" w:rsidR="002C6B1E" w:rsidRDefault="007B217B">
          <w:pPr>
            <w:pStyle w:val="TOC1"/>
            <w:tabs>
              <w:tab w:val="right" w:leader="dot" w:pos="9016"/>
            </w:tabs>
            <w:rPr>
              <w:noProof/>
              <w:lang w:val="en-US"/>
            </w:rPr>
          </w:pPr>
          <w:hyperlink w:anchor="_Toc79423860" w:history="1">
            <w:r w:rsidR="002C6B1E" w:rsidRPr="00E10243">
              <w:rPr>
                <w:rStyle w:val="Hyperlink"/>
                <w:noProof/>
              </w:rPr>
              <w:t>Constructing employee value proposition from the ideas and analysis covered</w:t>
            </w:r>
            <w:r w:rsidR="002C6B1E">
              <w:rPr>
                <w:noProof/>
                <w:webHidden/>
              </w:rPr>
              <w:tab/>
            </w:r>
            <w:r w:rsidR="00AB65CC">
              <w:rPr>
                <w:noProof/>
                <w:webHidden/>
              </w:rPr>
              <w:fldChar w:fldCharType="begin"/>
            </w:r>
            <w:r w:rsidR="002C6B1E">
              <w:rPr>
                <w:noProof/>
                <w:webHidden/>
              </w:rPr>
              <w:instrText xml:space="preserve"> PAGEREF _Toc79423860 \h </w:instrText>
            </w:r>
            <w:r w:rsidR="00AB65CC">
              <w:rPr>
                <w:noProof/>
                <w:webHidden/>
              </w:rPr>
            </w:r>
            <w:r w:rsidR="00AB65CC">
              <w:rPr>
                <w:noProof/>
                <w:webHidden/>
              </w:rPr>
              <w:fldChar w:fldCharType="separate"/>
            </w:r>
            <w:r w:rsidR="002C6B1E">
              <w:rPr>
                <w:noProof/>
                <w:webHidden/>
              </w:rPr>
              <w:t>6</w:t>
            </w:r>
            <w:r w:rsidR="00AB65CC">
              <w:rPr>
                <w:noProof/>
                <w:webHidden/>
              </w:rPr>
              <w:fldChar w:fldCharType="end"/>
            </w:r>
          </w:hyperlink>
        </w:p>
        <w:p w14:paraId="77CABC60" w14:textId="77777777" w:rsidR="002C6B1E" w:rsidRDefault="007B217B">
          <w:pPr>
            <w:pStyle w:val="TOC1"/>
            <w:tabs>
              <w:tab w:val="right" w:leader="dot" w:pos="9016"/>
            </w:tabs>
            <w:rPr>
              <w:noProof/>
              <w:lang w:val="en-US"/>
            </w:rPr>
          </w:pPr>
          <w:hyperlink w:anchor="_Toc79423861" w:history="1">
            <w:r w:rsidR="002C6B1E" w:rsidRPr="00E10243">
              <w:rPr>
                <w:rStyle w:val="Hyperlink"/>
                <w:noProof/>
              </w:rPr>
              <w:t>Conclusion</w:t>
            </w:r>
            <w:r w:rsidR="002C6B1E">
              <w:rPr>
                <w:noProof/>
                <w:webHidden/>
              </w:rPr>
              <w:tab/>
            </w:r>
            <w:r w:rsidR="00AB65CC">
              <w:rPr>
                <w:noProof/>
                <w:webHidden/>
              </w:rPr>
              <w:fldChar w:fldCharType="begin"/>
            </w:r>
            <w:r w:rsidR="002C6B1E">
              <w:rPr>
                <w:noProof/>
                <w:webHidden/>
              </w:rPr>
              <w:instrText xml:space="preserve"> PAGEREF _Toc79423861 \h </w:instrText>
            </w:r>
            <w:r w:rsidR="00AB65CC">
              <w:rPr>
                <w:noProof/>
                <w:webHidden/>
              </w:rPr>
            </w:r>
            <w:r w:rsidR="00AB65CC">
              <w:rPr>
                <w:noProof/>
                <w:webHidden/>
              </w:rPr>
              <w:fldChar w:fldCharType="separate"/>
            </w:r>
            <w:r w:rsidR="002C6B1E">
              <w:rPr>
                <w:noProof/>
                <w:webHidden/>
              </w:rPr>
              <w:t>7</w:t>
            </w:r>
            <w:r w:rsidR="00AB65CC">
              <w:rPr>
                <w:noProof/>
                <w:webHidden/>
              </w:rPr>
              <w:fldChar w:fldCharType="end"/>
            </w:r>
          </w:hyperlink>
        </w:p>
        <w:p w14:paraId="77CABC61" w14:textId="77777777" w:rsidR="002C6B1E" w:rsidRDefault="007B217B">
          <w:pPr>
            <w:pStyle w:val="TOC1"/>
            <w:tabs>
              <w:tab w:val="right" w:leader="dot" w:pos="9016"/>
            </w:tabs>
            <w:rPr>
              <w:noProof/>
              <w:lang w:val="en-US"/>
            </w:rPr>
          </w:pPr>
          <w:hyperlink w:anchor="_Toc79423862" w:history="1">
            <w:r w:rsidR="002C6B1E" w:rsidRPr="00E10243">
              <w:rPr>
                <w:rStyle w:val="Hyperlink"/>
                <w:noProof/>
              </w:rPr>
              <w:t>References</w:t>
            </w:r>
            <w:r w:rsidR="002C6B1E">
              <w:rPr>
                <w:noProof/>
                <w:webHidden/>
              </w:rPr>
              <w:tab/>
            </w:r>
            <w:r w:rsidR="00AB65CC">
              <w:rPr>
                <w:noProof/>
                <w:webHidden/>
              </w:rPr>
              <w:fldChar w:fldCharType="begin"/>
            </w:r>
            <w:r w:rsidR="002C6B1E">
              <w:rPr>
                <w:noProof/>
                <w:webHidden/>
              </w:rPr>
              <w:instrText xml:space="preserve"> PAGEREF _Toc79423862 \h </w:instrText>
            </w:r>
            <w:r w:rsidR="00AB65CC">
              <w:rPr>
                <w:noProof/>
                <w:webHidden/>
              </w:rPr>
            </w:r>
            <w:r w:rsidR="00AB65CC">
              <w:rPr>
                <w:noProof/>
                <w:webHidden/>
              </w:rPr>
              <w:fldChar w:fldCharType="separate"/>
            </w:r>
            <w:r w:rsidR="002C6B1E">
              <w:rPr>
                <w:noProof/>
                <w:webHidden/>
              </w:rPr>
              <w:t>9</w:t>
            </w:r>
            <w:r w:rsidR="00AB65CC">
              <w:rPr>
                <w:noProof/>
                <w:webHidden/>
              </w:rPr>
              <w:fldChar w:fldCharType="end"/>
            </w:r>
          </w:hyperlink>
        </w:p>
        <w:p w14:paraId="77CABC62" w14:textId="77777777" w:rsidR="00D1734E" w:rsidRDefault="00AB65CC">
          <w:r>
            <w:rPr>
              <w:b/>
              <w:bCs/>
              <w:noProof/>
            </w:rPr>
            <w:fldChar w:fldCharType="end"/>
          </w:r>
        </w:p>
      </w:sdtContent>
    </w:sdt>
    <w:p w14:paraId="77CABC63" w14:textId="77FD0CF3" w:rsidR="00D1734E" w:rsidRDefault="00CD3523">
      <w:pPr>
        <w:rPr>
          <w:rFonts w:eastAsiaTheme="majorEastAsia" w:cstheme="majorBidi"/>
          <w:b/>
          <w:szCs w:val="32"/>
        </w:rPr>
      </w:pPr>
      <w:r>
        <w:br w:type="page"/>
      </w:r>
    </w:p>
    <w:p w14:paraId="77CABC64" w14:textId="77777777" w:rsidR="008C0D5C" w:rsidRPr="00A12E60" w:rsidRDefault="00CD3523" w:rsidP="00AB775A">
      <w:pPr>
        <w:pStyle w:val="Heading1"/>
        <w:rPr>
          <w:lang w:val="en-GB"/>
        </w:rPr>
      </w:pPr>
      <w:bookmarkStart w:id="0" w:name="_Toc79423854"/>
      <w:r w:rsidRPr="00A12E60">
        <w:rPr>
          <w:lang w:val="en-GB"/>
        </w:rPr>
        <w:lastRenderedPageBreak/>
        <w:t>Introduction</w:t>
      </w:r>
      <w:bookmarkEnd w:id="0"/>
    </w:p>
    <w:p w14:paraId="77CABC65" w14:textId="77777777" w:rsidR="008B41E7" w:rsidRPr="00A12E60" w:rsidRDefault="00CD3523" w:rsidP="008B41E7">
      <w:r w:rsidRPr="00A12E60">
        <w:t xml:space="preserve">The research paper is focused on identifying the different ways of keeping people engaged in their workplace. The critical understanding of the business environment where the individuals are working professionally has been demonstrated in the paper. The concept of employee engagement along with the factors that drive employee engagement in the workplace has been reviewed. </w:t>
      </w:r>
      <w:r w:rsidR="00615EBF" w:rsidRPr="00A12E60">
        <w:t>The strategies important for r</w:t>
      </w:r>
      <w:r w:rsidR="0009132E" w:rsidRPr="00A12E60">
        <w:t>a</w:t>
      </w:r>
      <w:r w:rsidR="00615EBF" w:rsidRPr="00A12E60">
        <w:t xml:space="preserve">ising the level of engagement along with its involvement in constructing employee value proposition from the analysis and ideas covered have been discussed. </w:t>
      </w:r>
      <w:r w:rsidR="0009132E" w:rsidRPr="00A12E60">
        <w:t xml:space="preserve">Different tools have been evaluated, which can be used for measuring employee engagement within the workplace appropriately. </w:t>
      </w:r>
    </w:p>
    <w:p w14:paraId="77CABC66" w14:textId="77777777" w:rsidR="00AB775A" w:rsidRPr="00A12E60" w:rsidRDefault="00CD3523" w:rsidP="00AB775A">
      <w:pPr>
        <w:pStyle w:val="Heading1"/>
        <w:rPr>
          <w:lang w:val="en-GB"/>
        </w:rPr>
      </w:pPr>
      <w:bookmarkStart w:id="1" w:name="_Toc79423855"/>
      <w:r w:rsidRPr="00A12E60">
        <w:rPr>
          <w:lang w:val="en-GB"/>
        </w:rPr>
        <w:t>Background of the report</w:t>
      </w:r>
      <w:bookmarkEnd w:id="1"/>
    </w:p>
    <w:p w14:paraId="77CABC67" w14:textId="77777777" w:rsidR="00102331" w:rsidRPr="00A12E60" w:rsidRDefault="00CD3523" w:rsidP="00102331">
      <w:r w:rsidRPr="00A12E60">
        <w:t xml:space="preserve">The report is based on the importance of employee engagement </w:t>
      </w:r>
      <w:r w:rsidR="001E5C05" w:rsidRPr="00A12E60">
        <w:t xml:space="preserve">for an organisation to provide productive outcomes. </w:t>
      </w:r>
      <w:r w:rsidR="004278BD" w:rsidRPr="00A12E60">
        <w:t xml:space="preserve">The concept of engagement in the workplace is acquired to help in improving performance and the well-being of the employees in the company. </w:t>
      </w:r>
      <w:r w:rsidR="009129FF" w:rsidRPr="00A12E60">
        <w:t>The organisation has not used any kind of employee engagement measures in the past, but with time and the current state of a pandemic, the organisation is concerned about the productivity of the employees</w:t>
      </w:r>
      <w:r w:rsidR="00FB1A5C" w:rsidRPr="00A12E60">
        <w:t xml:space="preserve"> (</w:t>
      </w:r>
      <w:r w:rsidR="00FB1A5C" w:rsidRPr="00A12E60">
        <w:rPr>
          <w:rFonts w:cs="Times New Roman"/>
          <w:color w:val="222222"/>
          <w:szCs w:val="24"/>
          <w:shd w:val="clear" w:color="auto" w:fill="FFFFFF"/>
        </w:rPr>
        <w:t>Eldor and Vigoda-Gadot, 2017)</w:t>
      </w:r>
      <w:r w:rsidR="009129FF" w:rsidRPr="00A12E60">
        <w:t xml:space="preserve">. </w:t>
      </w:r>
      <w:r w:rsidR="000D019A" w:rsidRPr="00A12E60">
        <w:t xml:space="preserve">New ways of working have been rising in the pandemic, which is influencing employee performance. The Chief Executive of the organisation is worried that the low level of employee engagement experienced might harm the viability of the company. </w:t>
      </w:r>
      <w:r w:rsidR="003C098B" w:rsidRPr="00A12E60">
        <w:t>The organisation has adopted measures such as working from home, making the workplace safe from COVID-19, providing flexibility in working hours and restructuring and designing the job roles</w:t>
      </w:r>
      <w:r w:rsidR="00ED1887" w:rsidRPr="00A12E60">
        <w:t xml:space="preserve"> for the employees</w:t>
      </w:r>
      <w:r w:rsidR="00FB1A5C" w:rsidRPr="00A12E60">
        <w:t xml:space="preserve"> (</w:t>
      </w:r>
      <w:r w:rsidR="00FB1A5C" w:rsidRPr="00A12E60">
        <w:rPr>
          <w:rFonts w:cs="Times New Roman"/>
          <w:color w:val="222222"/>
          <w:szCs w:val="24"/>
          <w:shd w:val="clear" w:color="auto" w:fill="FFFFFF"/>
        </w:rPr>
        <w:t>Chandani</w:t>
      </w:r>
      <w:r w:rsidR="00DD69C0">
        <w:rPr>
          <w:rFonts w:cs="Times New Roman"/>
          <w:color w:val="222222"/>
          <w:szCs w:val="24"/>
          <w:shd w:val="clear" w:color="auto" w:fill="FFFFFF"/>
        </w:rPr>
        <w:t xml:space="preserve"> </w:t>
      </w:r>
      <w:r w:rsidR="00FB1A5C" w:rsidRPr="00A12E60">
        <w:rPr>
          <w:rFonts w:cs="Times New Roman"/>
          <w:i/>
          <w:iCs/>
          <w:color w:val="222222"/>
          <w:szCs w:val="24"/>
          <w:shd w:val="clear" w:color="auto" w:fill="FFFFFF"/>
        </w:rPr>
        <w:t>et al.,</w:t>
      </w:r>
      <w:r w:rsidR="00FB1A5C" w:rsidRPr="00A12E60">
        <w:rPr>
          <w:rFonts w:cs="Times New Roman"/>
          <w:color w:val="222222"/>
          <w:szCs w:val="24"/>
          <w:shd w:val="clear" w:color="auto" w:fill="FFFFFF"/>
        </w:rPr>
        <w:t xml:space="preserve"> 2016)</w:t>
      </w:r>
      <w:r w:rsidR="003C098B" w:rsidRPr="00A12E60">
        <w:t xml:space="preserve">. </w:t>
      </w:r>
    </w:p>
    <w:p w14:paraId="77CABC68" w14:textId="77777777" w:rsidR="00AB775A" w:rsidRPr="00A12E60" w:rsidRDefault="00CD3523" w:rsidP="00AB775A">
      <w:pPr>
        <w:pStyle w:val="Heading1"/>
        <w:rPr>
          <w:lang w:val="en-GB"/>
        </w:rPr>
      </w:pPr>
      <w:bookmarkStart w:id="2" w:name="_Toc79423856"/>
      <w:r w:rsidRPr="00A12E60">
        <w:rPr>
          <w:lang w:val="en-GB"/>
        </w:rPr>
        <w:t>Reviewing the concept and drivers of employee engagement</w:t>
      </w:r>
      <w:bookmarkEnd w:id="2"/>
    </w:p>
    <w:p w14:paraId="77CABC69" w14:textId="77777777" w:rsidR="00F70373" w:rsidRPr="00A12E60" w:rsidRDefault="00CD3523" w:rsidP="00F70373">
      <w:r w:rsidRPr="00A12E60">
        <w:t>From the views of</w:t>
      </w:r>
      <w:r w:rsidR="00C024F7">
        <w:t xml:space="preserve"> </w:t>
      </w:r>
      <w:r w:rsidR="002C23F9" w:rsidRPr="00A12E60">
        <w:rPr>
          <w:rFonts w:cs="Times New Roman"/>
          <w:color w:val="222222"/>
          <w:szCs w:val="24"/>
          <w:shd w:val="clear" w:color="auto" w:fill="FFFFFF"/>
        </w:rPr>
        <w:t>Bailey</w:t>
      </w:r>
      <w:r w:rsidR="00C024F7">
        <w:rPr>
          <w:rFonts w:cs="Times New Roman"/>
          <w:color w:val="222222"/>
          <w:szCs w:val="24"/>
          <w:shd w:val="clear" w:color="auto" w:fill="FFFFFF"/>
        </w:rPr>
        <w:t xml:space="preserve"> </w:t>
      </w:r>
      <w:r w:rsidR="002C23F9" w:rsidRPr="00A12E60">
        <w:rPr>
          <w:rFonts w:cs="Times New Roman"/>
          <w:i/>
          <w:iCs/>
          <w:color w:val="222222"/>
          <w:szCs w:val="24"/>
          <w:shd w:val="clear" w:color="auto" w:fill="FFFFFF"/>
        </w:rPr>
        <w:t>et al.</w:t>
      </w:r>
      <w:r w:rsidR="002C23F9" w:rsidRPr="00A12E60">
        <w:rPr>
          <w:rFonts w:cs="Times New Roman"/>
          <w:color w:val="222222"/>
          <w:szCs w:val="24"/>
          <w:shd w:val="clear" w:color="auto" w:fill="FFFFFF"/>
        </w:rPr>
        <w:t xml:space="preserve"> (2017)</w:t>
      </w:r>
      <w:r w:rsidRPr="00A12E60">
        <w:t xml:space="preserve">, </w:t>
      </w:r>
      <w:r w:rsidR="00230104" w:rsidRPr="00A12E60">
        <w:t xml:space="preserve">employee engagement is the concept from HR that helps in describing the different levels of dedication and enthusiasm that is felt by the employees towards their work in the company. </w:t>
      </w:r>
      <w:r w:rsidR="00C15875" w:rsidRPr="00A12E60">
        <w:t xml:space="preserve">Furthermore, </w:t>
      </w:r>
      <w:r w:rsidR="00AA6E41" w:rsidRPr="00A12E60">
        <w:t>the engaged employees show care for their work and work on their performance in the organisation. The engaged employees work towards making efforts for making a difference in the workplace. According to the opinions of</w:t>
      </w:r>
      <w:r w:rsidR="00C024F7">
        <w:t xml:space="preserve"> </w:t>
      </w:r>
      <w:r w:rsidR="00F16DBF" w:rsidRPr="00A12E60">
        <w:rPr>
          <w:rFonts w:cs="Times New Roman"/>
          <w:color w:val="222222"/>
          <w:szCs w:val="24"/>
          <w:shd w:val="clear" w:color="auto" w:fill="FFFFFF"/>
        </w:rPr>
        <w:t>Barik and Kochar (2017)</w:t>
      </w:r>
      <w:r w:rsidR="00AA6E41" w:rsidRPr="00A12E60">
        <w:t xml:space="preserve">, employee engagement is the concept of including the employee as a full-time member of the team, with clear and focused goals. Employee engagement helps in </w:t>
      </w:r>
      <w:r w:rsidR="00402044" w:rsidRPr="00A12E60">
        <w:t xml:space="preserve">making employees trustworthy and empowered. It supports the development of new skills and receiving constructive feedback for improvement. </w:t>
      </w:r>
      <w:r w:rsidR="00A94A12" w:rsidRPr="00A12E60">
        <w:t>Based on the views of</w:t>
      </w:r>
      <w:r w:rsidR="00C024F7">
        <w:t xml:space="preserve"> </w:t>
      </w:r>
      <w:proofErr w:type="spellStart"/>
      <w:r w:rsidR="00F16DBF" w:rsidRPr="00A12E60">
        <w:rPr>
          <w:rFonts w:cs="Times New Roman"/>
          <w:color w:val="222222"/>
          <w:szCs w:val="24"/>
          <w:shd w:val="clear" w:color="auto" w:fill="FFFFFF"/>
        </w:rPr>
        <w:t>Vorina</w:t>
      </w:r>
      <w:proofErr w:type="spellEnd"/>
      <w:r w:rsidR="00F16DBF" w:rsidRPr="00A12E60">
        <w:rPr>
          <w:rFonts w:cs="Times New Roman"/>
          <w:color w:val="222222"/>
          <w:szCs w:val="24"/>
          <w:shd w:val="clear" w:color="auto" w:fill="FFFFFF"/>
        </w:rPr>
        <w:t>, Simonič and Vlasova (2017)</w:t>
      </w:r>
      <w:r w:rsidR="00A94A12" w:rsidRPr="00A12E60">
        <w:t>,</w:t>
      </w:r>
      <w:r w:rsidR="002F5018" w:rsidRPr="00A12E60">
        <w:t xml:space="preserve"> HR is responsible for making employees engaged within the workplace. Employee engagement is stated as the workplace method followed for designing and improving the feelings of an employee towards the organisation. </w:t>
      </w:r>
      <w:r w:rsidR="00F82608" w:rsidRPr="00A12E60">
        <w:t xml:space="preserve">It also helps in improving the emotional attachment along with </w:t>
      </w:r>
      <w:r w:rsidR="00B50572" w:rsidRPr="00A12E60">
        <w:t xml:space="preserve">job duties and company culture for the employees. </w:t>
      </w:r>
      <w:r w:rsidR="00893307" w:rsidRPr="00A12E60">
        <w:t>For instance, employees with proper job security and health benefits in the company feel their need for safety is satisfied</w:t>
      </w:r>
      <w:r w:rsidR="002C23F9" w:rsidRPr="00A12E60">
        <w:t xml:space="preserve"> (</w:t>
      </w:r>
      <w:r w:rsidR="002C23F9" w:rsidRPr="00A12E60">
        <w:rPr>
          <w:rFonts w:cs="Times New Roman"/>
          <w:color w:val="222222"/>
          <w:szCs w:val="24"/>
          <w:shd w:val="clear" w:color="auto" w:fill="FFFFFF"/>
        </w:rPr>
        <w:t>Motyka, 2018)</w:t>
      </w:r>
      <w:r w:rsidR="00893307" w:rsidRPr="00A12E60">
        <w:t xml:space="preserve">. </w:t>
      </w:r>
    </w:p>
    <w:p w14:paraId="77CABC6A" w14:textId="77777777" w:rsidR="00893307" w:rsidRPr="00A12E60" w:rsidRDefault="00CD3523" w:rsidP="00F70373">
      <w:r w:rsidRPr="00A12E60">
        <w:t>According to the opinions of</w:t>
      </w:r>
      <w:r w:rsidR="00C024F7">
        <w:t xml:space="preserve"> </w:t>
      </w:r>
      <w:r w:rsidR="002C23F9" w:rsidRPr="00A12E60">
        <w:rPr>
          <w:rFonts w:cs="Times New Roman"/>
          <w:color w:val="222222"/>
          <w:szCs w:val="24"/>
          <w:shd w:val="clear" w:color="auto" w:fill="FFFFFF"/>
        </w:rPr>
        <w:t>Popli and Rizvi (2016)</w:t>
      </w:r>
      <w:r w:rsidRPr="00A12E60">
        <w:t xml:space="preserve">, </w:t>
      </w:r>
      <w:r w:rsidR="00B7740F" w:rsidRPr="00A12E60">
        <w:t xml:space="preserve">employee engagement needs to be implemented and followed in the workplace to improve the performance and well-being of the employees in the organisation. </w:t>
      </w:r>
      <w:r w:rsidR="009902AC" w:rsidRPr="00A12E60">
        <w:t xml:space="preserve">The four key drivers of employee engagement for the organisation are </w:t>
      </w:r>
      <w:r w:rsidR="00294A7C" w:rsidRPr="00A12E60">
        <w:t xml:space="preserve">engaging </w:t>
      </w:r>
      <w:r w:rsidR="00AC0DAA" w:rsidRPr="00A12E60">
        <w:t>managers</w:t>
      </w:r>
      <w:r w:rsidR="00294A7C" w:rsidRPr="00A12E60">
        <w:t xml:space="preserve">, integrity, employee voice and strategic narrative or leadership respectively. </w:t>
      </w:r>
      <w:r w:rsidR="006F3266" w:rsidRPr="00A12E60">
        <w:t xml:space="preserve">The leaders must help in engaging the employees within the workplace with work. </w:t>
      </w:r>
      <w:r w:rsidR="006F3266" w:rsidRPr="00A12E60">
        <w:rPr>
          <w:b/>
          <w:bCs/>
          <w:i/>
          <w:iCs/>
        </w:rPr>
        <w:t>Leaders</w:t>
      </w:r>
      <w:r w:rsidR="006F3266" w:rsidRPr="00A12E60">
        <w:t xml:space="preserve"> should engage with the employees and learn abo</w:t>
      </w:r>
      <w:r w:rsidR="00C024F7">
        <w:t>ut their issues and problems for resolving</w:t>
      </w:r>
      <w:r w:rsidR="006F3266" w:rsidRPr="00A12E60">
        <w:t xml:space="preserve"> them for better employee relationships to develop in the firm</w:t>
      </w:r>
      <w:r w:rsidR="00F16DBF" w:rsidRPr="00A12E60">
        <w:t xml:space="preserve"> (</w:t>
      </w:r>
      <w:proofErr w:type="spellStart"/>
      <w:r w:rsidR="00F16DBF" w:rsidRPr="00A12E60">
        <w:rPr>
          <w:rFonts w:cs="Times New Roman"/>
          <w:color w:val="222222"/>
          <w:szCs w:val="24"/>
          <w:shd w:val="clear" w:color="auto" w:fill="FFFFFF"/>
        </w:rPr>
        <w:t>Kazimoto</w:t>
      </w:r>
      <w:proofErr w:type="spellEnd"/>
      <w:r w:rsidR="00F16DBF" w:rsidRPr="00A12E60">
        <w:rPr>
          <w:rFonts w:cs="Times New Roman"/>
          <w:color w:val="222222"/>
          <w:szCs w:val="24"/>
          <w:shd w:val="clear" w:color="auto" w:fill="FFFFFF"/>
        </w:rPr>
        <w:t>, 2016)</w:t>
      </w:r>
      <w:r w:rsidR="006F3266" w:rsidRPr="00A12E60">
        <w:t xml:space="preserve">. </w:t>
      </w:r>
      <w:r w:rsidRPr="00A12E60">
        <w:t>Based on the opinions of</w:t>
      </w:r>
      <w:r w:rsidR="00C024F7">
        <w:t xml:space="preserve"> </w:t>
      </w:r>
      <w:r w:rsidR="007F2D61" w:rsidRPr="00A12E60">
        <w:rPr>
          <w:rFonts w:cs="Times New Roman"/>
          <w:color w:val="222222"/>
          <w:szCs w:val="24"/>
          <w:shd w:val="clear" w:color="auto" w:fill="FFFFFF"/>
        </w:rPr>
        <w:t>Young</w:t>
      </w:r>
      <w:r w:rsidR="00C024F7">
        <w:rPr>
          <w:rFonts w:cs="Times New Roman"/>
          <w:color w:val="222222"/>
          <w:szCs w:val="24"/>
          <w:shd w:val="clear" w:color="auto" w:fill="FFFFFF"/>
        </w:rPr>
        <w:t xml:space="preserve"> </w:t>
      </w:r>
      <w:r w:rsidR="007F2D61" w:rsidRPr="00A12E60">
        <w:rPr>
          <w:rFonts w:cs="Times New Roman"/>
          <w:i/>
          <w:iCs/>
          <w:color w:val="222222"/>
          <w:szCs w:val="24"/>
          <w:shd w:val="clear" w:color="auto" w:fill="FFFFFF"/>
        </w:rPr>
        <w:t>et al.</w:t>
      </w:r>
      <w:r w:rsidR="007F2D61" w:rsidRPr="00A12E60">
        <w:rPr>
          <w:rFonts w:cs="Times New Roman"/>
          <w:color w:val="222222"/>
          <w:szCs w:val="24"/>
          <w:shd w:val="clear" w:color="auto" w:fill="FFFFFF"/>
        </w:rPr>
        <w:t xml:space="preserve"> (2018)</w:t>
      </w:r>
      <w:r w:rsidRPr="00A12E60">
        <w:t xml:space="preserve">, </w:t>
      </w:r>
      <w:r w:rsidR="00AC0DAA" w:rsidRPr="00A12E60">
        <w:rPr>
          <w:b/>
          <w:bCs/>
          <w:i/>
          <w:iCs/>
        </w:rPr>
        <w:t>managers should engage</w:t>
      </w:r>
      <w:r w:rsidR="00AC0DAA" w:rsidRPr="00A12E60">
        <w:t xml:space="preserve"> themselves with employees based on supervision and helping them improve their skills for the workplace. </w:t>
      </w:r>
      <w:r w:rsidR="00F3587A" w:rsidRPr="00A12E60">
        <w:t xml:space="preserve">Moreover, the </w:t>
      </w:r>
      <w:r w:rsidR="00F3587A" w:rsidRPr="00A12E60">
        <w:rPr>
          <w:b/>
          <w:bCs/>
          <w:i/>
          <w:iCs/>
        </w:rPr>
        <w:t>voice of the empowered employee</w:t>
      </w:r>
      <w:r w:rsidR="00F3587A" w:rsidRPr="00A12E60">
        <w:t xml:space="preserve"> should be listened to as it helps in understanding the level of empowerment in the workplace and the level of engagement for the staff as well. </w:t>
      </w:r>
      <w:r w:rsidR="00315880" w:rsidRPr="00A12E60">
        <w:rPr>
          <w:b/>
          <w:bCs/>
          <w:i/>
          <w:iCs/>
        </w:rPr>
        <w:t>Integrity</w:t>
      </w:r>
      <w:r w:rsidR="00315880" w:rsidRPr="00A12E60">
        <w:t xml:space="preserve"> is an important aspect to be followed in the organisation while empowering the employees. </w:t>
      </w:r>
    </w:p>
    <w:p w14:paraId="77CABC6B" w14:textId="77777777" w:rsidR="00CE0409" w:rsidRPr="00A12E60" w:rsidRDefault="00CD3523" w:rsidP="00CE0409">
      <w:pPr>
        <w:pStyle w:val="Heading1"/>
        <w:rPr>
          <w:lang w:val="en-GB"/>
        </w:rPr>
      </w:pPr>
      <w:bookmarkStart w:id="3" w:name="_Toc79423857"/>
      <w:r w:rsidRPr="00A12E60">
        <w:rPr>
          <w:lang w:val="en-GB"/>
        </w:rPr>
        <w:t>Importance of employee engagement within the workplace</w:t>
      </w:r>
      <w:bookmarkEnd w:id="3"/>
    </w:p>
    <w:p w14:paraId="77CABC6C" w14:textId="77777777" w:rsidR="00B47AE0" w:rsidRDefault="00CD3523" w:rsidP="00C024F7">
      <w:pPr>
        <w:tabs>
          <w:tab w:val="left" w:pos="5490"/>
        </w:tabs>
      </w:pPr>
      <w:r w:rsidRPr="00A12E60">
        <w:t>According to the views of</w:t>
      </w:r>
      <w:r w:rsidR="00C024F7">
        <w:t xml:space="preserve"> </w:t>
      </w:r>
      <w:r w:rsidR="00673946" w:rsidRPr="00A12E60">
        <w:rPr>
          <w:rFonts w:cs="Times New Roman"/>
          <w:color w:val="222222"/>
          <w:szCs w:val="24"/>
          <w:shd w:val="clear" w:color="auto" w:fill="FFFFFF"/>
        </w:rPr>
        <w:t>Osborne and Hammoud (2017)</w:t>
      </w:r>
      <w:r w:rsidRPr="00A12E60">
        <w:t xml:space="preserve">, employee engagement is important for the successful performance of the employees in the organisation. </w:t>
      </w:r>
      <w:r w:rsidR="00D142FF" w:rsidRPr="00A12E60">
        <w:t xml:space="preserve">The engagement of the employees helps in making them invest more in the work they are doing, which helps in improving their quality of work as well. </w:t>
      </w:r>
      <w:r w:rsidR="00C72514" w:rsidRPr="00A12E60">
        <w:t xml:space="preserve">The organisation can improve its productivity, retain talented </w:t>
      </w:r>
      <w:proofErr w:type="gramStart"/>
      <w:r w:rsidR="00C72514" w:rsidRPr="00A12E60">
        <w:t>employees</w:t>
      </w:r>
      <w:proofErr w:type="gramEnd"/>
      <w:r w:rsidR="00C72514" w:rsidRPr="00A12E60">
        <w:t xml:space="preserve"> and improve work quality by investing in the engagement of employees in the organisation. </w:t>
      </w:r>
      <w:r w:rsidR="00954030" w:rsidRPr="00A12E60">
        <w:t>From the opinions of</w:t>
      </w:r>
      <w:r w:rsidR="00C024F7">
        <w:t xml:space="preserve"> </w:t>
      </w:r>
      <w:r w:rsidR="00673946" w:rsidRPr="00A12E60">
        <w:rPr>
          <w:rFonts w:cs="Times New Roman"/>
          <w:color w:val="222222"/>
          <w:szCs w:val="24"/>
          <w:shd w:val="clear" w:color="auto" w:fill="FFFFFF"/>
        </w:rPr>
        <w:t xml:space="preserve">Jha and Kumar </w:t>
      </w:r>
      <w:r w:rsidR="00673946" w:rsidRPr="00A12E60">
        <w:rPr>
          <w:rFonts w:cs="Times New Roman"/>
          <w:color w:val="222222"/>
          <w:szCs w:val="24"/>
          <w:shd w:val="clear" w:color="auto" w:fill="FFFFFF"/>
        </w:rPr>
        <w:lastRenderedPageBreak/>
        <w:t>(2016)</w:t>
      </w:r>
      <w:r w:rsidR="00954030" w:rsidRPr="00A12E60">
        <w:t xml:space="preserve">, </w:t>
      </w:r>
      <w:r w:rsidR="009D775D" w:rsidRPr="00A12E60">
        <w:t xml:space="preserve">employee </w:t>
      </w:r>
      <w:r w:rsidR="00C024F7" w:rsidRPr="00A12E60">
        <w:t>engagement helps in increasing employee safety and provides</w:t>
      </w:r>
      <w:r w:rsidR="009D775D" w:rsidRPr="00A12E60">
        <w:t xml:space="preserve"> better health benefits to the employees working in the organisation. </w:t>
      </w:r>
      <w:r w:rsidR="009040B8" w:rsidRPr="00A12E60">
        <w:t xml:space="preserve">Furthermore, employee engagement helps in forming happier employees by increasing the satisfaction levels of the employees. The employees are able of developing better work life and home life balance. </w:t>
      </w:r>
    </w:p>
    <w:p w14:paraId="77CABC6D" w14:textId="77777777" w:rsidR="00BD2AC5" w:rsidRPr="00A12E60" w:rsidRDefault="009040B8" w:rsidP="00C024F7">
      <w:pPr>
        <w:tabs>
          <w:tab w:val="left" w:pos="5490"/>
        </w:tabs>
      </w:pPr>
      <w:r w:rsidRPr="00A12E60">
        <w:t>According to the opinions of</w:t>
      </w:r>
      <w:r w:rsidR="00C024F7">
        <w:t xml:space="preserve"> </w:t>
      </w:r>
      <w:r w:rsidR="00673946" w:rsidRPr="00A12E60">
        <w:rPr>
          <w:rFonts w:cs="Times New Roman"/>
          <w:color w:val="222222"/>
          <w:szCs w:val="24"/>
          <w:shd w:val="clear" w:color="auto" w:fill="FFFFFF"/>
        </w:rPr>
        <w:t>Gupta and Sharma (2016)</w:t>
      </w:r>
      <w:r w:rsidRPr="00A12E60">
        <w:t xml:space="preserve">, </w:t>
      </w:r>
      <w:r w:rsidR="000C69C0" w:rsidRPr="00A12E60">
        <w:t xml:space="preserve">the satisfaction levels of the employees are increased with proper employee engagement in the workplace, which reflects on the reduced absenteeism rate in the company. </w:t>
      </w:r>
      <w:r w:rsidR="00E14F35" w:rsidRPr="00A12E60">
        <w:t xml:space="preserve">Employee </w:t>
      </w:r>
      <w:r w:rsidR="00624C90" w:rsidRPr="00A12E60">
        <w:t>l</w:t>
      </w:r>
      <w:r w:rsidR="00E14F35" w:rsidRPr="00A12E60">
        <w:t>oyalty is increased</w:t>
      </w:r>
      <w:r w:rsidR="00624C90" w:rsidRPr="00A12E60">
        <w:t xml:space="preserve"> within the </w:t>
      </w:r>
      <w:proofErr w:type="gramStart"/>
      <w:r w:rsidR="00624C90" w:rsidRPr="00A12E60">
        <w:t>workplace</w:t>
      </w:r>
      <w:proofErr w:type="gramEnd"/>
      <w:r w:rsidR="00624C90" w:rsidRPr="00A12E60">
        <w:t xml:space="preserve"> and this helps in retaining talented staff within the organisation. </w:t>
      </w:r>
      <w:r w:rsidR="00B501C0" w:rsidRPr="00A12E60">
        <w:t>The increased employee commitment based on increased involvement within the workplace for the employees is possible based on the proper techniques for employee engagement in the organisation</w:t>
      </w:r>
      <w:r w:rsidR="00FB1A5C" w:rsidRPr="00A12E60">
        <w:t xml:space="preserve"> (</w:t>
      </w:r>
      <w:r w:rsidR="00FB1A5C" w:rsidRPr="00A12E60">
        <w:rPr>
          <w:rFonts w:cs="Times New Roman"/>
          <w:color w:val="222222"/>
          <w:szCs w:val="24"/>
          <w:shd w:val="clear" w:color="auto" w:fill="FFFFFF"/>
        </w:rPr>
        <w:t>Rothmann, 2017)</w:t>
      </w:r>
      <w:r w:rsidR="00B501C0" w:rsidRPr="00A12E60">
        <w:t xml:space="preserve">. </w:t>
      </w:r>
    </w:p>
    <w:p w14:paraId="77CABC6E" w14:textId="77777777" w:rsidR="00D1734E" w:rsidRPr="00C05A69" w:rsidRDefault="00CD3523" w:rsidP="00D1734E">
      <w:pPr>
        <w:pStyle w:val="Heading1"/>
      </w:pPr>
      <w:bookmarkStart w:id="4" w:name="_Toc79423858"/>
      <w:r w:rsidRPr="00C05A69">
        <w:t xml:space="preserve">Evaluation of diagnostic </w:t>
      </w:r>
      <w:r>
        <w:t>tools for measuring engagement</w:t>
      </w:r>
      <w:bookmarkEnd w:id="4"/>
    </w:p>
    <w:p w14:paraId="77CABC6F" w14:textId="77777777" w:rsidR="00D1734E" w:rsidRPr="00C05A69" w:rsidRDefault="00CD3523" w:rsidP="00D1734E">
      <w:r w:rsidRPr="00C05A69">
        <w:t xml:space="preserve">Employee engagement is essential for leading an organisation towards increased operating efficiency and higher profitability. In the recent business scenarios, business leaders face one of the biggest challenges while running their organisation is to build an organisational culture with better employee </w:t>
      </w:r>
      <w:r w:rsidR="00C024F7" w:rsidRPr="00C05A69">
        <w:t>engagement, which</w:t>
      </w:r>
      <w:r w:rsidRPr="00C05A69">
        <w:t xml:space="preserve"> will drive towards better customer engagement and satisfaction. Measuring employee engagement is a complex process as it is not defined as a particular rule as well as the degree of employee engagement is variable due to the difference in work culture and way of operating business in various organisations (Goswami and Goswami, 2018). To achieve future success, business leaders need the following ways to monitor and measure engagement levels.</w:t>
      </w:r>
    </w:p>
    <w:p w14:paraId="77CABC70" w14:textId="77777777" w:rsidR="00D1734E" w:rsidRPr="00C05A69" w:rsidRDefault="00CD3523" w:rsidP="00D1734E">
      <w:pPr>
        <w:rPr>
          <w:b/>
        </w:rPr>
      </w:pPr>
      <w:r w:rsidRPr="00C05A69">
        <w:rPr>
          <w:b/>
        </w:rPr>
        <w:t>Employee Surveys</w:t>
      </w:r>
    </w:p>
    <w:p w14:paraId="77CABC71" w14:textId="77777777" w:rsidR="00D1734E" w:rsidRPr="00C05A69" w:rsidRDefault="00CD3523" w:rsidP="00D1734E">
      <w:r w:rsidRPr="00C05A69">
        <w:t xml:space="preserve">As opined by Stoyanova and </w:t>
      </w:r>
      <w:proofErr w:type="spellStart"/>
      <w:r w:rsidRPr="00C05A69">
        <w:t>Lliev</w:t>
      </w:r>
      <w:proofErr w:type="spellEnd"/>
      <w:r w:rsidRPr="00C05A69">
        <w:t xml:space="preserve"> (2017), the most effective form of evaluating employee engagement is conducting surveys. If the company ensures to conduct anonymous submission from the employees, participant rate is increased as well honest feedback and opinion from the employees can be generated. Moreover, third party organisations are utilised so that employees feel more comfortable while sharing their opinion without being insecure about their position in the workplace. There can be several kinds of survey, such as happiness survey, pulse survey, peer recognition survey and so on where the organisation could enable software to trigger them to a specified group of individuals working in the company and that survey can demand only 5 to 15 minutes to complete. </w:t>
      </w:r>
    </w:p>
    <w:p w14:paraId="77CABC72" w14:textId="77777777" w:rsidR="00D1734E" w:rsidRPr="00C05A69" w:rsidRDefault="00CD3523" w:rsidP="00D1734E">
      <w:r w:rsidRPr="00C05A69">
        <w:t xml:space="preserve">An effective survey should be able to make the managers comprehend employee motivation and job satisfaction (Byrne </w:t>
      </w:r>
      <w:r w:rsidRPr="00C05A69">
        <w:rPr>
          <w:i/>
        </w:rPr>
        <w:t>et al.,</w:t>
      </w:r>
      <w:r w:rsidRPr="00C05A69">
        <w:t xml:space="preserve"> 2017). A survey should derive several indicators where professional growth of an individual as well as their quality of work relationships with the other workers. Managers need to consider the following parameters while creating surveys, such as, whether employees feel enough passion during the workforce engagement and community involvement programs held by the organisation. Moreover, the survey questions should be close-ended and able to establish the interrelationship between the work-life balance of the employees and acquiring their best effort to help the company meet business objectives.</w:t>
      </w:r>
    </w:p>
    <w:p w14:paraId="77CABC73" w14:textId="77777777" w:rsidR="00D1734E" w:rsidRPr="00C05A69" w:rsidRDefault="00CD3523" w:rsidP="00D1734E">
      <w:pPr>
        <w:rPr>
          <w:b/>
        </w:rPr>
      </w:pPr>
      <w:r w:rsidRPr="00C05A69">
        <w:rPr>
          <w:b/>
        </w:rPr>
        <w:t>Take advantage of the employee lifecycle</w:t>
      </w:r>
    </w:p>
    <w:p w14:paraId="77CABC74" w14:textId="77777777" w:rsidR="00D1734E" w:rsidRPr="00C05A69" w:rsidRDefault="00CD3523" w:rsidP="00D1734E">
      <w:r w:rsidRPr="00C05A69">
        <w:t xml:space="preserve">Another effective way to measure employee engagement is through prioritizing engagement in every stage of the employee lifecycle. The employee lifecycle refers to every stage an employee goes through while serving in an organisation, such as </w:t>
      </w:r>
      <w:r w:rsidRPr="00C024F7">
        <w:rPr>
          <w:i/>
        </w:rPr>
        <w:t>Attraction</w:t>
      </w:r>
      <w:r w:rsidRPr="00C05A69">
        <w:t xml:space="preserve">, </w:t>
      </w:r>
      <w:r w:rsidRPr="00C024F7">
        <w:rPr>
          <w:i/>
        </w:rPr>
        <w:t>Recruitment</w:t>
      </w:r>
      <w:r w:rsidRPr="00C05A69">
        <w:t xml:space="preserve">, </w:t>
      </w:r>
      <w:r w:rsidRPr="00C024F7">
        <w:rPr>
          <w:i/>
        </w:rPr>
        <w:t>Onboarding</w:t>
      </w:r>
      <w:r w:rsidRPr="00C05A69">
        <w:t xml:space="preserve">, </w:t>
      </w:r>
      <w:r w:rsidRPr="00C024F7">
        <w:rPr>
          <w:i/>
        </w:rPr>
        <w:t>Development</w:t>
      </w:r>
      <w:r w:rsidRPr="00C05A69">
        <w:t xml:space="preserve">, </w:t>
      </w:r>
      <w:r w:rsidRPr="00C024F7">
        <w:rPr>
          <w:i/>
        </w:rPr>
        <w:t>Retention</w:t>
      </w:r>
      <w:r w:rsidRPr="00C05A69">
        <w:t xml:space="preserve">, and </w:t>
      </w:r>
      <w:r w:rsidRPr="00C024F7">
        <w:rPr>
          <w:i/>
        </w:rPr>
        <w:t>Separation</w:t>
      </w:r>
      <w:r w:rsidRPr="00C05A69">
        <w:t xml:space="preserve">. Managers can generate employee feedback in all the different stages of employment tenure (Sato </w:t>
      </w:r>
      <w:r w:rsidRPr="00C05A69">
        <w:rPr>
          <w:i/>
        </w:rPr>
        <w:t>et al</w:t>
      </w:r>
      <w:r w:rsidRPr="00C05A69">
        <w:t xml:space="preserve">., 2020). Beginning with the requisition, an employee can be directed to participate in several employee engagement programmes. While generating employee feedback in each phase of the lifecycle and responding to it consequently, managers emphasise the brand value of the company and reinforce an organisational culture in front of the engaged workforce (Whysall </w:t>
      </w:r>
      <w:r w:rsidRPr="00C05A69">
        <w:rPr>
          <w:i/>
        </w:rPr>
        <w:t>et al</w:t>
      </w:r>
      <w:r w:rsidRPr="00C05A69">
        <w:t>., 2019).</w:t>
      </w:r>
    </w:p>
    <w:p w14:paraId="77CABC75" w14:textId="77777777" w:rsidR="00D1734E" w:rsidRPr="00C05A69" w:rsidRDefault="00CD3523" w:rsidP="00D1734E">
      <w:pPr>
        <w:jc w:val="center"/>
      </w:pPr>
      <w:r w:rsidRPr="00C05A69">
        <w:rPr>
          <w:noProof/>
          <w:lang w:val="en-US"/>
        </w:rPr>
        <w:lastRenderedPageBreak/>
        <w:drawing>
          <wp:inline distT="0" distB="0" distL="0" distR="0" wp14:anchorId="77CABCA3" wp14:editId="77CABCA4">
            <wp:extent cx="4125518" cy="4298731"/>
            <wp:effectExtent l="19050" t="0" r="8332" b="0"/>
            <wp:docPr id="4" name="Picture 4" descr="The employee life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he employee lifecycle"/>
                    <pic:cNvPicPr>
                      <a:picLocks noChangeAspect="1" noChangeArrowheads="1"/>
                    </pic:cNvPicPr>
                  </pic:nvPicPr>
                  <pic:blipFill>
                    <a:blip r:embed="rId7" cstate="print"/>
                    <a:stretch>
                      <a:fillRect/>
                    </a:stretch>
                  </pic:blipFill>
                  <pic:spPr bwMode="auto">
                    <a:xfrm>
                      <a:off x="0" y="0"/>
                      <a:ext cx="4128357" cy="4301689"/>
                    </a:xfrm>
                    <a:prstGeom prst="rect">
                      <a:avLst/>
                    </a:prstGeom>
                    <a:noFill/>
                    <a:ln w="9525">
                      <a:noFill/>
                      <a:miter lim="800000"/>
                      <a:headEnd/>
                      <a:tailEnd/>
                    </a:ln>
                  </pic:spPr>
                </pic:pic>
              </a:graphicData>
            </a:graphic>
          </wp:inline>
        </w:drawing>
      </w:r>
    </w:p>
    <w:p w14:paraId="77CABC76" w14:textId="77777777" w:rsidR="00D1734E" w:rsidRPr="00C05A69" w:rsidRDefault="00CD3523" w:rsidP="00D1734E">
      <w:pPr>
        <w:jc w:val="center"/>
        <w:rPr>
          <w:b/>
        </w:rPr>
      </w:pPr>
      <w:r w:rsidRPr="00C05A69">
        <w:rPr>
          <w:b/>
        </w:rPr>
        <w:t xml:space="preserve">Figure 1: Stages of employee life cycle </w:t>
      </w:r>
    </w:p>
    <w:p w14:paraId="77CABC77" w14:textId="77777777" w:rsidR="00D1734E" w:rsidRPr="00C05A69" w:rsidRDefault="00CD3523" w:rsidP="00D1734E">
      <w:pPr>
        <w:jc w:val="center"/>
      </w:pPr>
      <w:r w:rsidRPr="00C05A69">
        <w:t>(Source: Kakade, 2020)</w:t>
      </w:r>
    </w:p>
    <w:p w14:paraId="77CABC78" w14:textId="77777777" w:rsidR="00D1734E" w:rsidRPr="00C05A69" w:rsidRDefault="00CD3523" w:rsidP="00D1734E">
      <w:r w:rsidRPr="00C05A69">
        <w:t xml:space="preserve">Kakade (2020) opined that when every stage of the employee lifecycle </w:t>
      </w:r>
      <w:proofErr w:type="gramStart"/>
      <w:r w:rsidRPr="00C05A69">
        <w:t>are</w:t>
      </w:r>
      <w:proofErr w:type="gramEnd"/>
      <w:r w:rsidRPr="00C05A69">
        <w:t xml:space="preserve"> utilised for generating feedback, employees feel motivated to go through the next phases in the employment tenure of that same individual or others. For example, employees at their separation period with their organisation may refer a new candidate who is either skilled enough or suitable for a future job description if they have greater job satisfaction. Henceforth, such consistent efforts to engage in employee lifecycle support the company to acquire deserving employee recruitment as well as further employee retention to improve productivity at all organisational levels.</w:t>
      </w:r>
    </w:p>
    <w:p w14:paraId="77CABC79" w14:textId="77777777" w:rsidR="00AB775A" w:rsidRPr="00A12E60" w:rsidRDefault="00CD3523" w:rsidP="00AB775A">
      <w:pPr>
        <w:pStyle w:val="Heading1"/>
        <w:rPr>
          <w:lang w:val="en-GB"/>
        </w:rPr>
      </w:pPr>
      <w:bookmarkStart w:id="5" w:name="_Toc79423859"/>
      <w:r w:rsidRPr="00A12E60">
        <w:rPr>
          <w:lang w:val="en-GB"/>
        </w:rPr>
        <w:t>Strategies for raising levels of engagement</w:t>
      </w:r>
      <w:bookmarkEnd w:id="5"/>
    </w:p>
    <w:p w14:paraId="77CABC7A" w14:textId="77777777" w:rsidR="00DD5681" w:rsidRDefault="00CD3523" w:rsidP="00D700E0">
      <w:r w:rsidRPr="00A12E60">
        <w:t xml:space="preserve">According to the views of </w:t>
      </w:r>
      <w:proofErr w:type="spellStart"/>
      <w:r w:rsidRPr="00A12E60">
        <w:rPr>
          <w:rFonts w:cs="Times New Roman"/>
          <w:color w:val="222222"/>
          <w:szCs w:val="24"/>
          <w:shd w:val="clear" w:color="auto" w:fill="FFFFFF"/>
        </w:rPr>
        <w:t>Shrotryia</w:t>
      </w:r>
      <w:proofErr w:type="spellEnd"/>
      <w:r w:rsidRPr="00A12E60">
        <w:rPr>
          <w:rFonts w:cs="Times New Roman"/>
          <w:color w:val="222222"/>
          <w:szCs w:val="24"/>
          <w:shd w:val="clear" w:color="auto" w:fill="FFFFFF"/>
        </w:rPr>
        <w:t xml:space="preserve"> and Dhanda (2019)</w:t>
      </w:r>
      <w:r w:rsidRPr="00A12E60">
        <w:t xml:space="preserve">, </w:t>
      </w:r>
      <w:r w:rsidR="00C024F7">
        <w:t>HR can improve employee engagement in the workplace with the implementation of proper strategies</w:t>
      </w:r>
      <w:r w:rsidR="00CE4A7A">
        <w:t xml:space="preserve"> respectively. </w:t>
      </w:r>
      <w:r w:rsidR="001B446C">
        <w:t xml:space="preserve">Communication is </w:t>
      </w:r>
      <w:r w:rsidR="00C024F7">
        <w:t>an important strategy that helps in regularly and deliberately improves</w:t>
      </w:r>
      <w:r w:rsidR="001B446C">
        <w:t xml:space="preserve"> employee engagement in the organisation. </w:t>
      </w:r>
      <w:r w:rsidR="00057C12">
        <w:t xml:space="preserve">Furthermore, </w:t>
      </w:r>
      <w:r w:rsidR="0007036E">
        <w:t xml:space="preserve">HR has developed strategies for investing in the well-being of the employees to remain engaged with them in the workplace. The well-being of the employees is an important </w:t>
      </w:r>
      <w:r w:rsidR="00541D2B">
        <w:t>factor to be considered for increasing the levels of employee engagement in the organisation respectively</w:t>
      </w:r>
      <w:r>
        <w:t xml:space="preserve"> (</w:t>
      </w:r>
      <w:r w:rsidRPr="00754FB1">
        <w:rPr>
          <w:rFonts w:cs="Times New Roman"/>
          <w:color w:val="222222"/>
          <w:szCs w:val="24"/>
          <w:shd w:val="clear" w:color="auto" w:fill="FFFFFF"/>
        </w:rPr>
        <w:t xml:space="preserve">Men, </w:t>
      </w:r>
      <w:proofErr w:type="gramStart"/>
      <w:r w:rsidRPr="00754FB1">
        <w:rPr>
          <w:rFonts w:cs="Times New Roman"/>
          <w:color w:val="222222"/>
          <w:szCs w:val="24"/>
          <w:shd w:val="clear" w:color="auto" w:fill="FFFFFF"/>
        </w:rPr>
        <w:t>O’Neil</w:t>
      </w:r>
      <w:proofErr w:type="gramEnd"/>
      <w:r w:rsidRPr="00754FB1">
        <w:rPr>
          <w:rFonts w:cs="Times New Roman"/>
          <w:color w:val="222222"/>
          <w:szCs w:val="24"/>
          <w:shd w:val="clear" w:color="auto" w:fill="FFFFFF"/>
        </w:rPr>
        <w:t xml:space="preserve"> and Ewing, 2020</w:t>
      </w:r>
      <w:r>
        <w:rPr>
          <w:rFonts w:cs="Times New Roman"/>
          <w:color w:val="222222"/>
          <w:szCs w:val="24"/>
          <w:shd w:val="clear" w:color="auto" w:fill="FFFFFF"/>
        </w:rPr>
        <w:t>)</w:t>
      </w:r>
      <w:r w:rsidR="00541D2B">
        <w:t xml:space="preserve">. </w:t>
      </w:r>
      <w:r>
        <w:t xml:space="preserve">HR </w:t>
      </w:r>
      <w:proofErr w:type="gramStart"/>
      <w:r>
        <w:t>has to</w:t>
      </w:r>
      <w:proofErr w:type="gramEnd"/>
      <w:r>
        <w:t xml:space="preserve"> empower the employees and recognise good work by providing benefits and incentives.</w:t>
      </w:r>
    </w:p>
    <w:p w14:paraId="77CABC7B" w14:textId="77777777" w:rsidR="00D700E0" w:rsidRPr="00A12E60" w:rsidRDefault="00CD3523" w:rsidP="00D700E0">
      <w:r w:rsidRPr="00A12E60">
        <w:t xml:space="preserve">Based on the views of </w:t>
      </w:r>
      <w:r w:rsidRPr="00A12E60">
        <w:rPr>
          <w:rFonts w:cs="Times New Roman"/>
          <w:color w:val="222222"/>
          <w:szCs w:val="24"/>
          <w:shd w:val="clear" w:color="auto" w:fill="FFFFFF"/>
        </w:rPr>
        <w:t>Eisenberger, Malone and Presson (2016)</w:t>
      </w:r>
      <w:r w:rsidRPr="00A12E60">
        <w:t xml:space="preserve">, </w:t>
      </w:r>
      <w:r w:rsidR="00342621">
        <w:t xml:space="preserve">HR is responsible for the development of performance appraisal programs and 360-degree feedback programs for identifying the strengths and weaknesses of the employees in the company. </w:t>
      </w:r>
      <w:r w:rsidR="00C64D45">
        <w:t xml:space="preserve">The </w:t>
      </w:r>
      <w:r w:rsidR="00C024F7">
        <w:t>employees should welcome the feedback appropriately</w:t>
      </w:r>
      <w:r w:rsidR="00C64D45">
        <w:t xml:space="preserve"> and they should act on it for increasing the levels of engagement within the workplace. </w:t>
      </w:r>
      <w:r w:rsidR="00853D8E">
        <w:t xml:space="preserve">Furthermore, the purpose of the organisation should be </w:t>
      </w:r>
      <w:proofErr w:type="gramStart"/>
      <w:r w:rsidR="00853D8E">
        <w:t>discussed</w:t>
      </w:r>
      <w:proofErr w:type="gramEnd"/>
      <w:r w:rsidR="00853D8E">
        <w:t xml:space="preserve"> and the options should be shared with the employees to help them understand the skills that they need to learn for engaging in the betterment of the workplace</w:t>
      </w:r>
      <w:r w:rsidR="00DD5681">
        <w:t xml:space="preserve"> (</w:t>
      </w:r>
      <w:r w:rsidR="00DD5681" w:rsidRPr="00754FB1">
        <w:rPr>
          <w:rFonts w:cs="Times New Roman"/>
          <w:color w:val="222222"/>
          <w:szCs w:val="24"/>
          <w:shd w:val="clear" w:color="auto" w:fill="FFFFFF"/>
        </w:rPr>
        <w:t>Othman</w:t>
      </w:r>
      <w:r w:rsidR="00C024F7">
        <w:rPr>
          <w:rFonts w:cs="Times New Roman"/>
          <w:color w:val="222222"/>
          <w:szCs w:val="24"/>
          <w:shd w:val="clear" w:color="auto" w:fill="FFFFFF"/>
        </w:rPr>
        <w:t xml:space="preserve"> </w:t>
      </w:r>
      <w:r w:rsidR="00DD5681">
        <w:rPr>
          <w:rFonts w:cs="Times New Roman"/>
          <w:i/>
          <w:iCs/>
          <w:color w:val="222222"/>
          <w:szCs w:val="24"/>
          <w:shd w:val="clear" w:color="auto" w:fill="FFFFFF"/>
        </w:rPr>
        <w:t>et al.,</w:t>
      </w:r>
      <w:r w:rsidR="00DD5681">
        <w:rPr>
          <w:rFonts w:cs="Times New Roman"/>
          <w:color w:val="222222"/>
          <w:szCs w:val="24"/>
          <w:shd w:val="clear" w:color="auto" w:fill="FFFFFF"/>
        </w:rPr>
        <w:t xml:space="preserve"> 2018)</w:t>
      </w:r>
      <w:r w:rsidR="00853D8E">
        <w:t xml:space="preserve">. </w:t>
      </w:r>
    </w:p>
    <w:p w14:paraId="77CABC7C" w14:textId="77777777" w:rsidR="00DD5681" w:rsidRDefault="00CD3523" w:rsidP="00AB775A">
      <w:pPr>
        <w:pStyle w:val="Heading1"/>
        <w:rPr>
          <w:lang w:val="en-GB"/>
        </w:rPr>
      </w:pPr>
      <w:bookmarkStart w:id="6" w:name="_Toc79423860"/>
      <w:r w:rsidRPr="00A12E60">
        <w:rPr>
          <w:lang w:val="en-GB"/>
        </w:rPr>
        <w:t>Constructing employee value proposition from the ideas and analysis covered</w:t>
      </w:r>
      <w:bookmarkEnd w:id="6"/>
    </w:p>
    <w:p w14:paraId="77CABC7D" w14:textId="77777777" w:rsidR="00245081" w:rsidRDefault="00CD3523" w:rsidP="00245081">
      <w:pPr>
        <w:rPr>
          <w:rFonts w:cs="Times New Roman"/>
          <w:color w:val="222222"/>
          <w:szCs w:val="24"/>
          <w:shd w:val="clear" w:color="auto" w:fill="FFFFFF"/>
        </w:rPr>
      </w:pPr>
      <w:r>
        <w:t xml:space="preserve">According to the opinions of </w:t>
      </w:r>
      <w:r w:rsidRPr="00754FB1">
        <w:rPr>
          <w:rFonts w:cs="Times New Roman"/>
          <w:color w:val="222222"/>
          <w:szCs w:val="24"/>
          <w:shd w:val="clear" w:color="auto" w:fill="FFFFFF"/>
        </w:rPr>
        <w:t xml:space="preserve">Ababneh, LeFevre and Bentley </w:t>
      </w:r>
      <w:r>
        <w:rPr>
          <w:rFonts w:cs="Times New Roman"/>
          <w:color w:val="222222"/>
          <w:szCs w:val="24"/>
          <w:shd w:val="clear" w:color="auto" w:fill="FFFFFF"/>
        </w:rPr>
        <w:t>(</w:t>
      </w:r>
      <w:r w:rsidRPr="00754FB1">
        <w:rPr>
          <w:rFonts w:cs="Times New Roman"/>
          <w:color w:val="222222"/>
          <w:szCs w:val="24"/>
          <w:shd w:val="clear" w:color="auto" w:fill="FFFFFF"/>
        </w:rPr>
        <w:t>2019</w:t>
      </w:r>
      <w:r>
        <w:rPr>
          <w:rFonts w:cs="Times New Roman"/>
          <w:color w:val="222222"/>
          <w:szCs w:val="24"/>
          <w:shd w:val="clear" w:color="auto" w:fill="FFFFFF"/>
        </w:rPr>
        <w:t>)</w:t>
      </w:r>
      <w:r w:rsidR="00C024F7">
        <w:rPr>
          <w:rFonts w:cs="Times New Roman"/>
          <w:color w:val="222222"/>
          <w:szCs w:val="24"/>
          <w:shd w:val="clear" w:color="auto" w:fill="FFFFFF"/>
        </w:rPr>
        <w:t>,</w:t>
      </w:r>
      <w:r w:rsidR="00C024F7">
        <w:t xml:space="preserve"> the</w:t>
      </w:r>
      <w:r w:rsidR="00045878">
        <w:t xml:space="preserve"> employee value proposition is the unique set of benefits that are provided to the employees based on their skills, </w:t>
      </w:r>
      <w:proofErr w:type="gramStart"/>
      <w:r w:rsidR="00045878">
        <w:t>experience</w:t>
      </w:r>
      <w:proofErr w:type="gramEnd"/>
      <w:r w:rsidR="00045878">
        <w:t xml:space="preserve"> and </w:t>
      </w:r>
      <w:r w:rsidR="00045878">
        <w:lastRenderedPageBreak/>
        <w:t xml:space="preserve">capabilities that they bring to the organisation. The </w:t>
      </w:r>
      <w:r w:rsidR="00C024F7">
        <w:t>presence of a strong EVP helps the organisation in attracting talented employees and retains</w:t>
      </w:r>
      <w:r w:rsidR="00045878">
        <w:t xml:space="preserve"> the best performers in the company. </w:t>
      </w:r>
      <w:r>
        <w:t xml:space="preserve">Based on the views of </w:t>
      </w:r>
      <w:r w:rsidRPr="00754FB1">
        <w:rPr>
          <w:rFonts w:cs="Times New Roman"/>
          <w:color w:val="222222"/>
          <w:szCs w:val="24"/>
          <w:shd w:val="clear" w:color="auto" w:fill="FFFFFF"/>
        </w:rPr>
        <w:t xml:space="preserve">Kwon and Kim </w:t>
      </w:r>
      <w:r>
        <w:rPr>
          <w:rFonts w:cs="Times New Roman"/>
          <w:color w:val="222222"/>
          <w:szCs w:val="24"/>
          <w:shd w:val="clear" w:color="auto" w:fill="FFFFFF"/>
        </w:rPr>
        <w:t>(</w:t>
      </w:r>
      <w:r w:rsidRPr="00754FB1">
        <w:rPr>
          <w:rFonts w:cs="Times New Roman"/>
          <w:color w:val="222222"/>
          <w:szCs w:val="24"/>
          <w:shd w:val="clear" w:color="auto" w:fill="FFFFFF"/>
        </w:rPr>
        <w:t>2020</w:t>
      </w:r>
      <w:r>
        <w:rPr>
          <w:rFonts w:cs="Times New Roman"/>
          <w:color w:val="222222"/>
          <w:szCs w:val="24"/>
          <w:shd w:val="clear" w:color="auto" w:fill="FFFFFF"/>
        </w:rPr>
        <w:t>)</w:t>
      </w:r>
      <w:r w:rsidR="00C024F7">
        <w:rPr>
          <w:rFonts w:cs="Times New Roman"/>
          <w:color w:val="222222"/>
          <w:szCs w:val="24"/>
          <w:shd w:val="clear" w:color="auto" w:fill="FFFFFF"/>
        </w:rPr>
        <w:t>, the</w:t>
      </w:r>
      <w:r w:rsidR="000102D5">
        <w:rPr>
          <w:rFonts w:cs="Times New Roman"/>
          <w:color w:val="222222"/>
          <w:szCs w:val="24"/>
          <w:shd w:val="clear" w:color="auto" w:fill="FFFFFF"/>
        </w:rPr>
        <w:t xml:space="preserve"> EVP comprises the compensation, benefits, </w:t>
      </w:r>
      <w:proofErr w:type="gramStart"/>
      <w:r w:rsidR="000102D5">
        <w:rPr>
          <w:rFonts w:cs="Times New Roman"/>
          <w:color w:val="222222"/>
          <w:szCs w:val="24"/>
          <w:shd w:val="clear" w:color="auto" w:fill="FFFFFF"/>
        </w:rPr>
        <w:t>career</w:t>
      </w:r>
      <w:proofErr w:type="gramEnd"/>
      <w:r w:rsidR="000102D5">
        <w:rPr>
          <w:rFonts w:cs="Times New Roman"/>
          <w:color w:val="222222"/>
          <w:szCs w:val="24"/>
          <w:shd w:val="clear" w:color="auto" w:fill="FFFFFF"/>
        </w:rPr>
        <w:t xml:space="preserve"> and </w:t>
      </w:r>
      <w:r w:rsidR="00C024F7">
        <w:rPr>
          <w:rFonts w:cs="Times New Roman"/>
          <w:color w:val="222222"/>
          <w:szCs w:val="24"/>
          <w:shd w:val="clear" w:color="auto" w:fill="FFFFFF"/>
        </w:rPr>
        <w:t>culture for the employees to keep them engaged and retains</w:t>
      </w:r>
      <w:r w:rsidR="000102D5">
        <w:rPr>
          <w:rFonts w:cs="Times New Roman"/>
          <w:color w:val="222222"/>
          <w:szCs w:val="24"/>
          <w:shd w:val="clear" w:color="auto" w:fill="FFFFFF"/>
        </w:rPr>
        <w:t xml:space="preserve"> them in the organisation. In the organisation, the performance of the employees helps in deciding the benefit for the employee appropriately. </w:t>
      </w:r>
      <w:r w:rsidR="004D27D5">
        <w:rPr>
          <w:rFonts w:cs="Times New Roman"/>
          <w:color w:val="222222"/>
          <w:szCs w:val="24"/>
          <w:shd w:val="clear" w:color="auto" w:fill="FFFFFF"/>
        </w:rPr>
        <w:t xml:space="preserve">The employees are provided incentives for the extra shifts that they </w:t>
      </w:r>
      <w:proofErr w:type="gramStart"/>
      <w:r w:rsidR="004D27D5">
        <w:rPr>
          <w:rFonts w:cs="Times New Roman"/>
          <w:color w:val="222222"/>
          <w:szCs w:val="24"/>
          <w:shd w:val="clear" w:color="auto" w:fill="FFFFFF"/>
        </w:rPr>
        <w:t>work</w:t>
      </w:r>
      <w:proofErr w:type="gramEnd"/>
      <w:r w:rsidR="004D27D5">
        <w:rPr>
          <w:rFonts w:cs="Times New Roman"/>
          <w:color w:val="222222"/>
          <w:szCs w:val="24"/>
          <w:shd w:val="clear" w:color="auto" w:fill="FFFFFF"/>
        </w:rPr>
        <w:t xml:space="preserve"> and a bonus based on improved performance for that week or month.</w:t>
      </w:r>
      <w:r w:rsidR="00C024F7">
        <w:rPr>
          <w:rFonts w:cs="Times New Roman"/>
          <w:color w:val="222222"/>
          <w:szCs w:val="24"/>
          <w:shd w:val="clear" w:color="auto" w:fill="FFFFFF"/>
        </w:rPr>
        <w:t xml:space="preserve"> </w:t>
      </w:r>
      <w:r w:rsidR="00660FFF">
        <w:rPr>
          <w:rFonts w:cs="Times New Roman"/>
          <w:color w:val="222222"/>
          <w:szCs w:val="24"/>
          <w:shd w:val="clear" w:color="auto" w:fill="FFFFFF"/>
        </w:rPr>
        <w:t xml:space="preserve">According to the views of </w:t>
      </w:r>
      <w:r w:rsidR="00660FFF" w:rsidRPr="00754FB1">
        <w:rPr>
          <w:rFonts w:cs="Times New Roman"/>
          <w:color w:val="222222"/>
          <w:szCs w:val="24"/>
          <w:shd w:val="clear" w:color="auto" w:fill="FFFFFF"/>
        </w:rPr>
        <w:t>Stoyanova and Iliev</w:t>
      </w:r>
      <w:r w:rsidR="00C024F7">
        <w:rPr>
          <w:rFonts w:cs="Times New Roman"/>
          <w:color w:val="222222"/>
          <w:szCs w:val="24"/>
          <w:shd w:val="clear" w:color="auto" w:fill="FFFFFF"/>
        </w:rPr>
        <w:t xml:space="preserve"> </w:t>
      </w:r>
      <w:r w:rsidR="00660FFF">
        <w:rPr>
          <w:rFonts w:cs="Times New Roman"/>
          <w:color w:val="222222"/>
          <w:szCs w:val="24"/>
          <w:shd w:val="clear" w:color="auto" w:fill="FFFFFF"/>
        </w:rPr>
        <w:t>(</w:t>
      </w:r>
      <w:r w:rsidR="00660FFF" w:rsidRPr="00754FB1">
        <w:rPr>
          <w:rFonts w:cs="Times New Roman"/>
          <w:color w:val="222222"/>
          <w:szCs w:val="24"/>
          <w:shd w:val="clear" w:color="auto" w:fill="FFFFFF"/>
        </w:rPr>
        <w:t>2017</w:t>
      </w:r>
      <w:r w:rsidR="00660FFF">
        <w:rPr>
          <w:rFonts w:cs="Times New Roman"/>
          <w:color w:val="222222"/>
          <w:szCs w:val="24"/>
          <w:shd w:val="clear" w:color="auto" w:fill="FFFFFF"/>
        </w:rPr>
        <w:t>), t</w:t>
      </w:r>
      <w:r w:rsidR="00A60905">
        <w:rPr>
          <w:rFonts w:cs="Times New Roman"/>
          <w:color w:val="222222"/>
          <w:szCs w:val="24"/>
          <w:shd w:val="clear" w:color="auto" w:fill="FFFFFF"/>
        </w:rPr>
        <w:t xml:space="preserve">he employees are provided promotions or demotions based on their performance in the organisation. </w:t>
      </w:r>
      <w:r w:rsidR="00660FFF">
        <w:rPr>
          <w:rFonts w:cs="Times New Roman"/>
          <w:color w:val="222222"/>
          <w:szCs w:val="24"/>
          <w:shd w:val="clear" w:color="auto" w:fill="FFFFFF"/>
        </w:rPr>
        <w:t>The culture of the employees and the workplace are aligned while dealing with the ways to engage them in the firm.</w:t>
      </w:r>
    </w:p>
    <w:p w14:paraId="77CABC7E" w14:textId="77777777" w:rsidR="00F20A5B" w:rsidRDefault="00CD3523" w:rsidP="00F20A5B">
      <w:pPr>
        <w:keepNext/>
        <w:jc w:val="center"/>
      </w:pPr>
      <w:r>
        <w:rPr>
          <w:noProof/>
          <w:lang w:val="en-US"/>
        </w:rPr>
        <w:drawing>
          <wp:inline distT="0" distB="0" distL="0" distR="0" wp14:anchorId="77CABCA5" wp14:editId="77CABCA6">
            <wp:extent cx="5486400" cy="3200400"/>
            <wp:effectExtent l="3810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77CABC7F" w14:textId="77777777" w:rsidR="00660FFF" w:rsidRPr="00F20A5B" w:rsidRDefault="00CD3523" w:rsidP="00F20A5B">
      <w:pPr>
        <w:jc w:val="center"/>
        <w:rPr>
          <w:b/>
          <w:bCs/>
        </w:rPr>
      </w:pPr>
      <w:r w:rsidRPr="00F20A5B">
        <w:rPr>
          <w:b/>
          <w:bCs/>
        </w:rPr>
        <w:t xml:space="preserve">Figure </w:t>
      </w:r>
      <w:r w:rsidR="00D1734E">
        <w:rPr>
          <w:b/>
          <w:bCs/>
        </w:rPr>
        <w:t>2</w:t>
      </w:r>
      <w:r w:rsidRPr="00F20A5B">
        <w:rPr>
          <w:b/>
          <w:bCs/>
        </w:rPr>
        <w:t>: Employee Value Proposition (EVP)</w:t>
      </w:r>
    </w:p>
    <w:p w14:paraId="77CABC80" w14:textId="77777777" w:rsidR="00F20A5B" w:rsidRDefault="00CD3523" w:rsidP="00F20A5B">
      <w:pPr>
        <w:jc w:val="center"/>
      </w:pPr>
      <w:r>
        <w:t>(Source: Created by the learner)</w:t>
      </w:r>
    </w:p>
    <w:p w14:paraId="77CABC81" w14:textId="77777777" w:rsidR="00F20A5B" w:rsidRPr="00F20A5B" w:rsidRDefault="00CD3523" w:rsidP="00F20A5B">
      <w:r>
        <w:t xml:space="preserve">According to this EVP, it can be acquired that incentives are provided to the employees based on the hard work and extra shifts conducted by them. The employees are also eligible for increments in their salaries based on their performance in the workplace. </w:t>
      </w:r>
      <w:r w:rsidR="005D0FF2">
        <w:t xml:space="preserve">Based on the views of </w:t>
      </w:r>
      <w:r w:rsidR="005D0FF2" w:rsidRPr="00754FB1">
        <w:rPr>
          <w:rFonts w:cs="Times New Roman"/>
          <w:color w:val="222222"/>
          <w:szCs w:val="24"/>
          <w:shd w:val="clear" w:color="auto" w:fill="FFFFFF"/>
        </w:rPr>
        <w:t>Stoyanova and Iliev</w:t>
      </w:r>
      <w:r w:rsidR="00C024F7">
        <w:rPr>
          <w:rFonts w:cs="Times New Roman"/>
          <w:color w:val="222222"/>
          <w:szCs w:val="24"/>
          <w:shd w:val="clear" w:color="auto" w:fill="FFFFFF"/>
        </w:rPr>
        <w:t xml:space="preserve"> </w:t>
      </w:r>
      <w:r w:rsidR="005D0FF2">
        <w:rPr>
          <w:rFonts w:cs="Times New Roman"/>
          <w:color w:val="222222"/>
          <w:szCs w:val="24"/>
          <w:shd w:val="clear" w:color="auto" w:fill="FFFFFF"/>
        </w:rPr>
        <w:t>(</w:t>
      </w:r>
      <w:r w:rsidR="005D0FF2" w:rsidRPr="00754FB1">
        <w:rPr>
          <w:rFonts w:cs="Times New Roman"/>
          <w:color w:val="222222"/>
          <w:szCs w:val="24"/>
          <w:shd w:val="clear" w:color="auto" w:fill="FFFFFF"/>
        </w:rPr>
        <w:t>2017</w:t>
      </w:r>
      <w:r w:rsidR="005D0FF2">
        <w:rPr>
          <w:rFonts w:cs="Times New Roman"/>
          <w:color w:val="222222"/>
          <w:szCs w:val="24"/>
          <w:shd w:val="clear" w:color="auto" w:fill="FFFFFF"/>
        </w:rPr>
        <w:t xml:space="preserve">), health benefits are important benefits to be provided to the employees by the organisation. </w:t>
      </w:r>
      <w:r w:rsidR="00F91F7B">
        <w:rPr>
          <w:rFonts w:cs="Times New Roman"/>
          <w:color w:val="222222"/>
          <w:szCs w:val="24"/>
          <w:shd w:val="clear" w:color="auto" w:fill="FFFFFF"/>
        </w:rPr>
        <w:t xml:space="preserve">However, the organisation also provides remote working facilities along with </w:t>
      </w:r>
      <w:r w:rsidR="009F606F">
        <w:rPr>
          <w:rFonts w:cs="Times New Roman"/>
          <w:color w:val="222222"/>
          <w:szCs w:val="24"/>
          <w:shd w:val="clear" w:color="auto" w:fill="FFFFFF"/>
        </w:rPr>
        <w:t xml:space="preserve">increased recreational breaks to maintain the physical and mental health of the employees in the pandemic. </w:t>
      </w:r>
      <w:r w:rsidR="00AC1BFE">
        <w:rPr>
          <w:rFonts w:cs="Times New Roman"/>
          <w:color w:val="222222"/>
          <w:szCs w:val="24"/>
          <w:shd w:val="clear" w:color="auto" w:fill="FFFFFF"/>
        </w:rPr>
        <w:t xml:space="preserve">The work quality is improved for the employees by indulging them in training programs. </w:t>
      </w:r>
    </w:p>
    <w:p w14:paraId="77CABC82" w14:textId="77777777" w:rsidR="00AB775A" w:rsidRDefault="00CD3523" w:rsidP="00AB775A">
      <w:pPr>
        <w:pStyle w:val="Heading1"/>
        <w:rPr>
          <w:lang w:val="en-GB"/>
        </w:rPr>
      </w:pPr>
      <w:bookmarkStart w:id="7" w:name="_Toc79423861"/>
      <w:r w:rsidRPr="00A12E60">
        <w:rPr>
          <w:lang w:val="en-GB"/>
        </w:rPr>
        <w:t>Conclusion</w:t>
      </w:r>
      <w:bookmarkEnd w:id="7"/>
    </w:p>
    <w:p w14:paraId="77CABC83" w14:textId="77777777" w:rsidR="00A12E60" w:rsidRPr="00A12E60" w:rsidRDefault="00CD3523" w:rsidP="00A12E60">
      <w:r>
        <w:t>From the above discussion, it can be concluded that t</w:t>
      </w:r>
      <w:r w:rsidRPr="00A12E60">
        <w:t xml:space="preserve">he research paper </w:t>
      </w:r>
      <w:r>
        <w:t>has focused on</w:t>
      </w:r>
      <w:r w:rsidRPr="00A12E60">
        <w:t xml:space="preserve"> the different ways of keeping the people engaged in the</w:t>
      </w:r>
      <w:r>
        <w:t xml:space="preserve"> organisation</w:t>
      </w:r>
      <w:r w:rsidRPr="00A12E60">
        <w:t xml:space="preserve">. The concept of employee engagement along with the factors that drive employee engagement in the workplace has been </w:t>
      </w:r>
      <w:r>
        <w:t>concluded</w:t>
      </w:r>
      <w:r w:rsidRPr="00A12E60">
        <w:t xml:space="preserve">. Different </w:t>
      </w:r>
      <w:r w:rsidR="00C024F7" w:rsidRPr="00A12E60">
        <w:t>tools, which have been used for measuring employee engagement within the workplace appropriately,</w:t>
      </w:r>
      <w:r w:rsidR="00C024F7">
        <w:t xml:space="preserve"> </w:t>
      </w:r>
      <w:r w:rsidRPr="00A12E60">
        <w:t xml:space="preserve">have been </w:t>
      </w:r>
      <w:r>
        <w:t>concluded</w:t>
      </w:r>
      <w:r w:rsidRPr="00A12E60">
        <w:t xml:space="preserve">. The critical understanding of the business environment where the individuals are working professionally has been </w:t>
      </w:r>
      <w:r>
        <w:t>concluded</w:t>
      </w:r>
      <w:r w:rsidRPr="00A12E60">
        <w:t xml:space="preserve"> in the paper. The strategies </w:t>
      </w:r>
      <w:r>
        <w:t>significant</w:t>
      </w:r>
      <w:r w:rsidRPr="00A12E60">
        <w:t xml:space="preserve"> for raising the level of engagement along with its involvement in constructing employee value proposition from the analysis and ideas covered have been </w:t>
      </w:r>
      <w:r>
        <w:t>concluded</w:t>
      </w:r>
      <w:r w:rsidRPr="00A12E60">
        <w:t xml:space="preserve">. </w:t>
      </w:r>
    </w:p>
    <w:p w14:paraId="77CABC84" w14:textId="77777777" w:rsidR="00D1734E" w:rsidRDefault="00CD3523">
      <w:pPr>
        <w:rPr>
          <w:rFonts w:eastAsiaTheme="majorEastAsia" w:cstheme="majorBidi"/>
          <w:b/>
          <w:szCs w:val="32"/>
        </w:rPr>
      </w:pPr>
      <w:r>
        <w:br w:type="page"/>
      </w:r>
    </w:p>
    <w:p w14:paraId="77CABC85" w14:textId="77777777" w:rsidR="00AB775A" w:rsidRDefault="00CD3523" w:rsidP="00AB775A">
      <w:pPr>
        <w:pStyle w:val="Heading1"/>
        <w:rPr>
          <w:lang w:val="en-GB"/>
        </w:rPr>
      </w:pPr>
      <w:bookmarkStart w:id="8" w:name="_Toc79423862"/>
      <w:r w:rsidRPr="00A12E60">
        <w:rPr>
          <w:lang w:val="en-GB"/>
        </w:rPr>
        <w:lastRenderedPageBreak/>
        <w:t>References</w:t>
      </w:r>
      <w:bookmarkEnd w:id="8"/>
    </w:p>
    <w:p w14:paraId="77CABC86" w14:textId="77777777" w:rsidR="00C764E6" w:rsidRPr="00C024F7" w:rsidRDefault="00C764E6" w:rsidP="00D1734E">
      <w:pPr>
        <w:rPr>
          <w:rFonts w:cs="Times New Roman"/>
          <w:szCs w:val="24"/>
        </w:rPr>
      </w:pPr>
      <w:bookmarkStart w:id="9" w:name="_Hlk79415721"/>
      <w:r w:rsidRPr="00C024F7">
        <w:rPr>
          <w:rFonts w:cs="Times New Roman"/>
          <w:szCs w:val="24"/>
          <w:shd w:val="clear" w:color="auto" w:fill="FFFFFF"/>
        </w:rPr>
        <w:t>Ababneh, O.M., LeFevre, M. and Bentley, T., (2019)</w:t>
      </w:r>
      <w:bookmarkEnd w:id="9"/>
      <w:r w:rsidRPr="00C024F7">
        <w:rPr>
          <w:rFonts w:cs="Times New Roman"/>
          <w:szCs w:val="24"/>
          <w:shd w:val="clear" w:color="auto" w:fill="FFFFFF"/>
        </w:rPr>
        <w:t>. Employee engagement: Development of a new measure. </w:t>
      </w:r>
      <w:r w:rsidRPr="00C024F7">
        <w:rPr>
          <w:rFonts w:cs="Times New Roman"/>
          <w:i/>
          <w:iCs/>
          <w:szCs w:val="24"/>
          <w:shd w:val="clear" w:color="auto" w:fill="FFFFFF"/>
        </w:rPr>
        <w:t>International Journal of Human Resources Development and Management</w:t>
      </w:r>
      <w:r w:rsidRPr="00C024F7">
        <w:rPr>
          <w:rFonts w:cs="Times New Roman"/>
          <w:szCs w:val="24"/>
          <w:shd w:val="clear" w:color="auto" w:fill="FFFFFF"/>
        </w:rPr>
        <w:t>, </w:t>
      </w:r>
      <w:r w:rsidRPr="00C024F7">
        <w:rPr>
          <w:rFonts w:cs="Times New Roman"/>
          <w:i/>
          <w:iCs/>
          <w:szCs w:val="24"/>
          <w:shd w:val="clear" w:color="auto" w:fill="FFFFFF"/>
        </w:rPr>
        <w:t>19</w:t>
      </w:r>
      <w:r w:rsidRPr="00C024F7">
        <w:rPr>
          <w:rFonts w:cs="Times New Roman"/>
          <w:szCs w:val="24"/>
          <w:shd w:val="clear" w:color="auto" w:fill="FFFFFF"/>
        </w:rPr>
        <w:t>(2), pp.105-134.</w:t>
      </w:r>
    </w:p>
    <w:p w14:paraId="77CABC87" w14:textId="77777777" w:rsidR="00C764E6" w:rsidRPr="00C024F7" w:rsidRDefault="00C764E6" w:rsidP="00D1734E">
      <w:pPr>
        <w:rPr>
          <w:rFonts w:cs="Times New Roman"/>
          <w:szCs w:val="24"/>
        </w:rPr>
      </w:pPr>
      <w:bookmarkStart w:id="10" w:name="_Hlk79414686"/>
      <w:r w:rsidRPr="00C024F7">
        <w:rPr>
          <w:rFonts w:cs="Times New Roman"/>
          <w:szCs w:val="24"/>
          <w:shd w:val="clear" w:color="auto" w:fill="FFFFFF"/>
        </w:rPr>
        <w:t>Bailey</w:t>
      </w:r>
      <w:bookmarkEnd w:id="10"/>
      <w:r w:rsidRPr="00C024F7">
        <w:rPr>
          <w:rFonts w:cs="Times New Roman"/>
          <w:szCs w:val="24"/>
          <w:shd w:val="clear" w:color="auto" w:fill="FFFFFF"/>
        </w:rPr>
        <w:t xml:space="preserve">, C., Madden, A., Alfes, K. and Fletcher, L., (2017). The meaning, </w:t>
      </w:r>
      <w:proofErr w:type="gramStart"/>
      <w:r w:rsidRPr="00C024F7">
        <w:rPr>
          <w:rFonts w:cs="Times New Roman"/>
          <w:szCs w:val="24"/>
          <w:shd w:val="clear" w:color="auto" w:fill="FFFFFF"/>
        </w:rPr>
        <w:t>antecedents</w:t>
      </w:r>
      <w:proofErr w:type="gramEnd"/>
      <w:r w:rsidRPr="00C024F7">
        <w:rPr>
          <w:rFonts w:cs="Times New Roman"/>
          <w:szCs w:val="24"/>
          <w:shd w:val="clear" w:color="auto" w:fill="FFFFFF"/>
        </w:rPr>
        <w:t xml:space="preserve"> and outcomes of employee engagement: A narrative synthesis. </w:t>
      </w:r>
      <w:r w:rsidRPr="00C024F7">
        <w:rPr>
          <w:rFonts w:cs="Times New Roman"/>
          <w:i/>
          <w:iCs/>
          <w:szCs w:val="24"/>
          <w:shd w:val="clear" w:color="auto" w:fill="FFFFFF"/>
        </w:rPr>
        <w:t>International Journal of Management Reviews</w:t>
      </w:r>
      <w:r w:rsidRPr="00C024F7">
        <w:rPr>
          <w:rFonts w:cs="Times New Roman"/>
          <w:szCs w:val="24"/>
          <w:shd w:val="clear" w:color="auto" w:fill="FFFFFF"/>
        </w:rPr>
        <w:t>, </w:t>
      </w:r>
      <w:r w:rsidRPr="00C024F7">
        <w:rPr>
          <w:rFonts w:cs="Times New Roman"/>
          <w:i/>
          <w:iCs/>
          <w:szCs w:val="24"/>
          <w:shd w:val="clear" w:color="auto" w:fill="FFFFFF"/>
        </w:rPr>
        <w:t>19</w:t>
      </w:r>
      <w:r w:rsidRPr="00C024F7">
        <w:rPr>
          <w:rFonts w:cs="Times New Roman"/>
          <w:szCs w:val="24"/>
          <w:shd w:val="clear" w:color="auto" w:fill="FFFFFF"/>
        </w:rPr>
        <w:t>(1), pp.31-53.</w:t>
      </w:r>
    </w:p>
    <w:p w14:paraId="77CABC88" w14:textId="77777777" w:rsidR="00C764E6" w:rsidRPr="00C024F7" w:rsidRDefault="00C764E6" w:rsidP="00D1734E">
      <w:pPr>
        <w:rPr>
          <w:rFonts w:cs="Times New Roman"/>
          <w:szCs w:val="24"/>
        </w:rPr>
      </w:pPr>
      <w:bookmarkStart w:id="11" w:name="_Hlk79414751"/>
      <w:r w:rsidRPr="00C024F7">
        <w:rPr>
          <w:rFonts w:cs="Times New Roman"/>
          <w:szCs w:val="24"/>
          <w:shd w:val="clear" w:color="auto" w:fill="FFFFFF"/>
        </w:rPr>
        <w:t>Barik, S. and Kochar, A., (2017)</w:t>
      </w:r>
      <w:bookmarkEnd w:id="11"/>
      <w:r w:rsidRPr="00C024F7">
        <w:rPr>
          <w:rFonts w:cs="Times New Roman"/>
          <w:szCs w:val="24"/>
          <w:shd w:val="clear" w:color="auto" w:fill="FFFFFF"/>
        </w:rPr>
        <w:t>. Antecedents and consequences of employee engagement: A literature review. </w:t>
      </w:r>
      <w:r w:rsidRPr="00C024F7">
        <w:rPr>
          <w:rFonts w:cs="Times New Roman"/>
          <w:i/>
          <w:iCs/>
          <w:szCs w:val="24"/>
          <w:shd w:val="clear" w:color="auto" w:fill="FFFFFF"/>
        </w:rPr>
        <w:t>International Journal of Latest Technology in Engineering, Management &amp; Applied Science</w:t>
      </w:r>
      <w:r w:rsidRPr="00C024F7">
        <w:rPr>
          <w:rFonts w:cs="Times New Roman"/>
          <w:szCs w:val="24"/>
          <w:shd w:val="clear" w:color="auto" w:fill="FFFFFF"/>
        </w:rPr>
        <w:t>, </w:t>
      </w:r>
      <w:r w:rsidRPr="00C024F7">
        <w:rPr>
          <w:rFonts w:cs="Times New Roman"/>
          <w:i/>
          <w:iCs/>
          <w:szCs w:val="24"/>
          <w:shd w:val="clear" w:color="auto" w:fill="FFFFFF"/>
        </w:rPr>
        <w:t>6</w:t>
      </w:r>
      <w:r w:rsidRPr="00C024F7">
        <w:rPr>
          <w:rFonts w:cs="Times New Roman"/>
          <w:szCs w:val="24"/>
          <w:shd w:val="clear" w:color="auto" w:fill="FFFFFF"/>
        </w:rPr>
        <w:t>(4), pp.33-38.</w:t>
      </w:r>
    </w:p>
    <w:p w14:paraId="77CABC89" w14:textId="77777777" w:rsidR="00C764E6" w:rsidRPr="00C024F7" w:rsidRDefault="00C764E6" w:rsidP="00D1734E">
      <w:r w:rsidRPr="00C024F7">
        <w:t>Byrne, Z.S., Hayes, T.L. and Holcombe, K.J., (2017). Employee engagement using the federal employee viewpoint survey. </w:t>
      </w:r>
      <w:r w:rsidRPr="00C024F7">
        <w:rPr>
          <w:i/>
          <w:iCs/>
        </w:rPr>
        <w:t>Public Personnel Management</w:t>
      </w:r>
      <w:r w:rsidRPr="00C024F7">
        <w:t>, </w:t>
      </w:r>
      <w:r w:rsidRPr="00C024F7">
        <w:rPr>
          <w:i/>
          <w:iCs/>
        </w:rPr>
        <w:t>46</w:t>
      </w:r>
      <w:r w:rsidRPr="00C024F7">
        <w:t>(4), pp.368-390.</w:t>
      </w:r>
    </w:p>
    <w:p w14:paraId="77CABC8A" w14:textId="77777777" w:rsidR="00C764E6" w:rsidRPr="00C024F7" w:rsidRDefault="00C764E6" w:rsidP="00D1734E">
      <w:pPr>
        <w:rPr>
          <w:rFonts w:cs="Times New Roman"/>
          <w:szCs w:val="24"/>
        </w:rPr>
      </w:pPr>
      <w:bookmarkStart w:id="12" w:name="_Hlk79412159"/>
      <w:r w:rsidRPr="00C024F7">
        <w:rPr>
          <w:rFonts w:cs="Times New Roman"/>
          <w:szCs w:val="24"/>
          <w:shd w:val="clear" w:color="auto" w:fill="FFFFFF"/>
        </w:rPr>
        <w:t>Chandani</w:t>
      </w:r>
      <w:bookmarkEnd w:id="12"/>
      <w:r w:rsidRPr="00C024F7">
        <w:rPr>
          <w:rFonts w:cs="Times New Roman"/>
          <w:szCs w:val="24"/>
          <w:shd w:val="clear" w:color="auto" w:fill="FFFFFF"/>
        </w:rPr>
        <w:t>, A., Mehta, M., Mall, A. and Khokhar, V., (2016). Employee engagement: A review paper on factors affecting employee engagement. </w:t>
      </w:r>
      <w:r w:rsidRPr="00C024F7">
        <w:rPr>
          <w:rFonts w:cs="Times New Roman"/>
          <w:i/>
          <w:iCs/>
          <w:szCs w:val="24"/>
          <w:shd w:val="clear" w:color="auto" w:fill="FFFFFF"/>
        </w:rPr>
        <w:t>Indian Journal of Science and Technology</w:t>
      </w:r>
      <w:r w:rsidRPr="00C024F7">
        <w:rPr>
          <w:rFonts w:cs="Times New Roman"/>
          <w:szCs w:val="24"/>
          <w:shd w:val="clear" w:color="auto" w:fill="FFFFFF"/>
        </w:rPr>
        <w:t>, </w:t>
      </w:r>
      <w:r w:rsidRPr="00C024F7">
        <w:rPr>
          <w:rFonts w:cs="Times New Roman"/>
          <w:i/>
          <w:iCs/>
          <w:szCs w:val="24"/>
          <w:shd w:val="clear" w:color="auto" w:fill="FFFFFF"/>
        </w:rPr>
        <w:t>9</w:t>
      </w:r>
      <w:r w:rsidRPr="00C024F7">
        <w:rPr>
          <w:rFonts w:cs="Times New Roman"/>
          <w:szCs w:val="24"/>
          <w:shd w:val="clear" w:color="auto" w:fill="FFFFFF"/>
        </w:rPr>
        <w:t>(15), pp.1-7.</w:t>
      </w:r>
    </w:p>
    <w:p w14:paraId="77CABC8B" w14:textId="77777777" w:rsidR="00C764E6" w:rsidRPr="00C024F7" w:rsidRDefault="00C764E6" w:rsidP="00D1734E">
      <w:pPr>
        <w:rPr>
          <w:rFonts w:cs="Times New Roman"/>
          <w:szCs w:val="24"/>
        </w:rPr>
      </w:pPr>
      <w:bookmarkStart w:id="13" w:name="_Hlk79414852"/>
      <w:r w:rsidRPr="00C024F7">
        <w:rPr>
          <w:rFonts w:cs="Times New Roman"/>
          <w:szCs w:val="24"/>
          <w:shd w:val="clear" w:color="auto" w:fill="FFFFFF"/>
        </w:rPr>
        <w:t>Eisenberger, R., Malone, G.P. and Presson, W.D., (2016)</w:t>
      </w:r>
      <w:bookmarkEnd w:id="13"/>
      <w:r w:rsidRPr="00C024F7">
        <w:rPr>
          <w:rFonts w:cs="Times New Roman"/>
          <w:szCs w:val="24"/>
          <w:shd w:val="clear" w:color="auto" w:fill="FFFFFF"/>
        </w:rPr>
        <w:t>. Optimizing perceived organizational support to enhance employee engagement. </w:t>
      </w:r>
      <w:r w:rsidRPr="00C024F7">
        <w:rPr>
          <w:rFonts w:cs="Times New Roman"/>
          <w:i/>
          <w:iCs/>
          <w:szCs w:val="24"/>
          <w:shd w:val="clear" w:color="auto" w:fill="FFFFFF"/>
        </w:rPr>
        <w:t>Society for Human Resource Management and Society for Industrial and Organizational Psychology</w:t>
      </w:r>
      <w:r w:rsidRPr="00C024F7">
        <w:rPr>
          <w:rFonts w:cs="Times New Roman"/>
          <w:szCs w:val="24"/>
          <w:shd w:val="clear" w:color="auto" w:fill="FFFFFF"/>
        </w:rPr>
        <w:t>, </w:t>
      </w:r>
      <w:r w:rsidRPr="00C024F7">
        <w:rPr>
          <w:rFonts w:cs="Times New Roman"/>
          <w:i/>
          <w:iCs/>
          <w:szCs w:val="24"/>
          <w:shd w:val="clear" w:color="auto" w:fill="FFFFFF"/>
        </w:rPr>
        <w:t>2</w:t>
      </w:r>
      <w:r w:rsidRPr="00C024F7">
        <w:rPr>
          <w:rFonts w:cs="Times New Roman"/>
          <w:szCs w:val="24"/>
          <w:shd w:val="clear" w:color="auto" w:fill="FFFFFF"/>
        </w:rPr>
        <w:t>(2016), pp.3-22.</w:t>
      </w:r>
    </w:p>
    <w:p w14:paraId="77CABC8C" w14:textId="77777777" w:rsidR="00C764E6" w:rsidRPr="00C024F7" w:rsidRDefault="00C764E6" w:rsidP="00D1734E">
      <w:pPr>
        <w:rPr>
          <w:rFonts w:cs="Times New Roman"/>
          <w:szCs w:val="24"/>
        </w:rPr>
      </w:pPr>
      <w:bookmarkStart w:id="14" w:name="_Hlk79412140"/>
      <w:r w:rsidRPr="00C024F7">
        <w:rPr>
          <w:rFonts w:cs="Times New Roman"/>
          <w:szCs w:val="24"/>
          <w:shd w:val="clear" w:color="auto" w:fill="FFFFFF"/>
        </w:rPr>
        <w:t>Eldor, L. and Vigoda-Gadot, E., (2017)</w:t>
      </w:r>
      <w:bookmarkEnd w:id="14"/>
      <w:r w:rsidRPr="00C024F7">
        <w:rPr>
          <w:rFonts w:cs="Times New Roman"/>
          <w:szCs w:val="24"/>
          <w:shd w:val="clear" w:color="auto" w:fill="FFFFFF"/>
        </w:rPr>
        <w:t>. The nature of employee engagement: Rethinking the employee–organization relationship. </w:t>
      </w:r>
      <w:r w:rsidRPr="00C024F7">
        <w:rPr>
          <w:rFonts w:cs="Times New Roman"/>
          <w:i/>
          <w:iCs/>
          <w:szCs w:val="24"/>
          <w:shd w:val="clear" w:color="auto" w:fill="FFFFFF"/>
        </w:rPr>
        <w:t>The International Journal of Human Resource Management</w:t>
      </w:r>
      <w:r w:rsidRPr="00C024F7">
        <w:rPr>
          <w:rFonts w:cs="Times New Roman"/>
          <w:szCs w:val="24"/>
          <w:shd w:val="clear" w:color="auto" w:fill="FFFFFF"/>
        </w:rPr>
        <w:t>, </w:t>
      </w:r>
      <w:r w:rsidRPr="00C024F7">
        <w:rPr>
          <w:rFonts w:cs="Times New Roman"/>
          <w:i/>
          <w:iCs/>
          <w:szCs w:val="24"/>
          <w:shd w:val="clear" w:color="auto" w:fill="FFFFFF"/>
        </w:rPr>
        <w:t>28</w:t>
      </w:r>
      <w:r w:rsidRPr="00C024F7">
        <w:rPr>
          <w:rFonts w:cs="Times New Roman"/>
          <w:szCs w:val="24"/>
          <w:shd w:val="clear" w:color="auto" w:fill="FFFFFF"/>
        </w:rPr>
        <w:t>(3), pp.526-552.</w:t>
      </w:r>
    </w:p>
    <w:p w14:paraId="77CABC8D" w14:textId="77777777" w:rsidR="00C764E6" w:rsidRPr="00C024F7" w:rsidRDefault="00C764E6" w:rsidP="00D1734E">
      <w:r w:rsidRPr="00C024F7">
        <w:t>Goswami, S. and Goswami, B.K., (2018). Exploring the Relationship between Workforce Diversity, Inclusion and Employee Engagement. </w:t>
      </w:r>
      <w:proofErr w:type="spellStart"/>
      <w:r w:rsidRPr="00C024F7">
        <w:rPr>
          <w:i/>
          <w:iCs/>
        </w:rPr>
        <w:t>Drishtikon</w:t>
      </w:r>
      <w:proofErr w:type="spellEnd"/>
      <w:r w:rsidRPr="00C024F7">
        <w:rPr>
          <w:i/>
          <w:iCs/>
        </w:rPr>
        <w:t>: A Management Journal</w:t>
      </w:r>
      <w:r w:rsidRPr="00C024F7">
        <w:t>, </w:t>
      </w:r>
      <w:r w:rsidRPr="00C024F7">
        <w:rPr>
          <w:i/>
          <w:iCs/>
        </w:rPr>
        <w:t>9</w:t>
      </w:r>
      <w:r w:rsidRPr="00C024F7">
        <w:t>(1).</w:t>
      </w:r>
    </w:p>
    <w:p w14:paraId="77CABC8E" w14:textId="77777777" w:rsidR="00C764E6" w:rsidRPr="00C024F7" w:rsidRDefault="00C764E6" w:rsidP="00D1734E">
      <w:pPr>
        <w:rPr>
          <w:rFonts w:cs="Times New Roman"/>
          <w:szCs w:val="24"/>
        </w:rPr>
      </w:pPr>
      <w:bookmarkStart w:id="15" w:name="_Hlk79412239"/>
      <w:r w:rsidRPr="00C024F7">
        <w:rPr>
          <w:rFonts w:cs="Times New Roman"/>
          <w:szCs w:val="24"/>
          <w:shd w:val="clear" w:color="auto" w:fill="FFFFFF"/>
        </w:rPr>
        <w:t>Gupta, N. and Sharma, V., (2016)</w:t>
      </w:r>
      <w:bookmarkEnd w:id="15"/>
      <w:r w:rsidRPr="00C024F7">
        <w:rPr>
          <w:rFonts w:cs="Times New Roman"/>
          <w:szCs w:val="24"/>
          <w:shd w:val="clear" w:color="auto" w:fill="FFFFFF"/>
        </w:rPr>
        <w:t>. Exploring employee engagement—A way to better business performance. </w:t>
      </w:r>
      <w:r w:rsidRPr="00C024F7">
        <w:rPr>
          <w:rFonts w:cs="Times New Roman"/>
          <w:i/>
          <w:iCs/>
          <w:szCs w:val="24"/>
          <w:shd w:val="clear" w:color="auto" w:fill="FFFFFF"/>
        </w:rPr>
        <w:t>Global Business Review</w:t>
      </w:r>
      <w:r w:rsidRPr="00C024F7">
        <w:rPr>
          <w:rFonts w:cs="Times New Roman"/>
          <w:szCs w:val="24"/>
          <w:shd w:val="clear" w:color="auto" w:fill="FFFFFF"/>
        </w:rPr>
        <w:t>, </w:t>
      </w:r>
      <w:r w:rsidRPr="00C024F7">
        <w:rPr>
          <w:rFonts w:cs="Times New Roman"/>
          <w:i/>
          <w:iCs/>
          <w:szCs w:val="24"/>
          <w:shd w:val="clear" w:color="auto" w:fill="FFFFFF"/>
        </w:rPr>
        <w:t>17</w:t>
      </w:r>
      <w:r w:rsidRPr="00C024F7">
        <w:rPr>
          <w:rFonts w:cs="Times New Roman"/>
          <w:szCs w:val="24"/>
          <w:shd w:val="clear" w:color="auto" w:fill="FFFFFF"/>
        </w:rPr>
        <w:t>(3_suppl), pp.45S-63S.</w:t>
      </w:r>
    </w:p>
    <w:p w14:paraId="77CABC8F" w14:textId="77777777" w:rsidR="00C764E6" w:rsidRPr="00C024F7" w:rsidRDefault="00C764E6" w:rsidP="00D1734E">
      <w:pPr>
        <w:rPr>
          <w:rFonts w:cs="Times New Roman"/>
          <w:szCs w:val="24"/>
        </w:rPr>
      </w:pPr>
      <w:bookmarkStart w:id="16" w:name="_Hlk79412221"/>
      <w:r w:rsidRPr="00C024F7">
        <w:rPr>
          <w:rFonts w:cs="Times New Roman"/>
          <w:szCs w:val="24"/>
          <w:shd w:val="clear" w:color="auto" w:fill="FFFFFF"/>
        </w:rPr>
        <w:t>Jha, B. and Kumar, A., (2016)</w:t>
      </w:r>
      <w:bookmarkEnd w:id="16"/>
      <w:r w:rsidRPr="00C024F7">
        <w:rPr>
          <w:rFonts w:cs="Times New Roman"/>
          <w:szCs w:val="24"/>
          <w:shd w:val="clear" w:color="auto" w:fill="FFFFFF"/>
        </w:rPr>
        <w:t>. Employee engagement: A strategic tool to enhance performance. </w:t>
      </w:r>
      <w:r w:rsidRPr="00C024F7">
        <w:rPr>
          <w:rFonts w:cs="Times New Roman"/>
          <w:i/>
          <w:iCs/>
          <w:szCs w:val="24"/>
          <w:shd w:val="clear" w:color="auto" w:fill="FFFFFF"/>
        </w:rPr>
        <w:t>DAWN: Journal for Contemporary Research in Management</w:t>
      </w:r>
      <w:r w:rsidRPr="00C024F7">
        <w:rPr>
          <w:rFonts w:cs="Times New Roman"/>
          <w:szCs w:val="24"/>
          <w:shd w:val="clear" w:color="auto" w:fill="FFFFFF"/>
        </w:rPr>
        <w:t>, </w:t>
      </w:r>
      <w:r w:rsidRPr="00C024F7">
        <w:rPr>
          <w:rFonts w:cs="Times New Roman"/>
          <w:i/>
          <w:iCs/>
          <w:szCs w:val="24"/>
          <w:shd w:val="clear" w:color="auto" w:fill="FFFFFF"/>
        </w:rPr>
        <w:t>3</w:t>
      </w:r>
      <w:r w:rsidRPr="00C024F7">
        <w:rPr>
          <w:rFonts w:cs="Times New Roman"/>
          <w:szCs w:val="24"/>
          <w:shd w:val="clear" w:color="auto" w:fill="FFFFFF"/>
        </w:rPr>
        <w:t>(2), pp.21-29.</w:t>
      </w:r>
    </w:p>
    <w:p w14:paraId="77CABC90" w14:textId="77777777" w:rsidR="00C764E6" w:rsidRPr="00C024F7" w:rsidRDefault="00C764E6" w:rsidP="00D1734E">
      <w:r w:rsidRPr="00C024F7">
        <w:t xml:space="preserve">Kakade, S. (2020) What is an Employee Life Cycle? - Definition from WhatIs.com, </w:t>
      </w:r>
      <w:proofErr w:type="spellStart"/>
      <w:r w:rsidRPr="00C024F7">
        <w:rPr>
          <w:i/>
          <w:iCs/>
        </w:rPr>
        <w:t>SearchHRSoftware</w:t>
      </w:r>
      <w:proofErr w:type="spellEnd"/>
      <w:r w:rsidRPr="00C024F7">
        <w:t>, [online] Available at: https://searchhrsoftware.techtarget.com/definition/employee-life-cycle (Accessed 9 August 2021).</w:t>
      </w:r>
    </w:p>
    <w:p w14:paraId="77CABC91" w14:textId="77777777" w:rsidR="00C764E6" w:rsidRPr="00C024F7" w:rsidRDefault="00C764E6" w:rsidP="00D1734E">
      <w:pPr>
        <w:rPr>
          <w:rFonts w:cs="Times New Roman"/>
          <w:szCs w:val="24"/>
        </w:rPr>
      </w:pPr>
      <w:bookmarkStart w:id="17" w:name="_Hlk79414799"/>
      <w:proofErr w:type="spellStart"/>
      <w:r w:rsidRPr="00C024F7">
        <w:rPr>
          <w:rFonts w:cs="Times New Roman"/>
          <w:szCs w:val="24"/>
          <w:shd w:val="clear" w:color="auto" w:fill="FFFFFF"/>
        </w:rPr>
        <w:t>Kazimoto</w:t>
      </w:r>
      <w:proofErr w:type="spellEnd"/>
      <w:r w:rsidRPr="00C024F7">
        <w:rPr>
          <w:rFonts w:cs="Times New Roman"/>
          <w:szCs w:val="24"/>
          <w:shd w:val="clear" w:color="auto" w:fill="FFFFFF"/>
        </w:rPr>
        <w:t>, P., (2016)</w:t>
      </w:r>
      <w:bookmarkEnd w:id="17"/>
      <w:r w:rsidRPr="00C024F7">
        <w:rPr>
          <w:rFonts w:cs="Times New Roman"/>
          <w:szCs w:val="24"/>
          <w:shd w:val="clear" w:color="auto" w:fill="FFFFFF"/>
        </w:rPr>
        <w:t xml:space="preserve">. Employee engagement and organizational performance of retail enterprises. </w:t>
      </w:r>
      <w:r w:rsidRPr="00C024F7">
        <w:rPr>
          <w:rFonts w:cs="Times New Roman"/>
          <w:i/>
          <w:iCs/>
          <w:szCs w:val="24"/>
          <w:shd w:val="clear" w:color="auto" w:fill="FFFFFF"/>
        </w:rPr>
        <w:t>American Journal of Industrial and Business Management</w:t>
      </w:r>
      <w:r w:rsidRPr="00C024F7">
        <w:rPr>
          <w:rFonts w:cs="Times New Roman"/>
          <w:szCs w:val="24"/>
          <w:shd w:val="clear" w:color="auto" w:fill="FFFFFF"/>
        </w:rPr>
        <w:t>, </w:t>
      </w:r>
      <w:r w:rsidRPr="00C024F7">
        <w:rPr>
          <w:rFonts w:cs="Times New Roman"/>
          <w:i/>
          <w:iCs/>
          <w:szCs w:val="24"/>
          <w:shd w:val="clear" w:color="auto" w:fill="FFFFFF"/>
        </w:rPr>
        <w:t>6</w:t>
      </w:r>
      <w:r w:rsidRPr="00C024F7">
        <w:rPr>
          <w:rFonts w:cs="Times New Roman"/>
          <w:szCs w:val="24"/>
          <w:shd w:val="clear" w:color="auto" w:fill="FFFFFF"/>
        </w:rPr>
        <w:t>(4), pp.516-525.</w:t>
      </w:r>
    </w:p>
    <w:p w14:paraId="77CABC92" w14:textId="77777777" w:rsidR="00C764E6" w:rsidRPr="00C024F7" w:rsidRDefault="00C764E6" w:rsidP="00D1734E">
      <w:pPr>
        <w:rPr>
          <w:rFonts w:cs="Times New Roman"/>
          <w:szCs w:val="24"/>
        </w:rPr>
      </w:pPr>
      <w:bookmarkStart w:id="18" w:name="_Hlk79415750"/>
      <w:r w:rsidRPr="00C024F7">
        <w:rPr>
          <w:rFonts w:cs="Times New Roman"/>
          <w:szCs w:val="24"/>
          <w:shd w:val="clear" w:color="auto" w:fill="FFFFFF"/>
        </w:rPr>
        <w:t>Kwon, K. and Kim, T., (2020)</w:t>
      </w:r>
      <w:bookmarkEnd w:id="18"/>
      <w:r w:rsidRPr="00C024F7">
        <w:rPr>
          <w:rFonts w:cs="Times New Roman"/>
          <w:szCs w:val="24"/>
          <w:shd w:val="clear" w:color="auto" w:fill="FFFFFF"/>
        </w:rPr>
        <w:t>. An integrative literature review of employee engagement and innovative behaviour: Revisiting the JD-R model. </w:t>
      </w:r>
      <w:r w:rsidRPr="00C024F7">
        <w:rPr>
          <w:rFonts w:cs="Times New Roman"/>
          <w:i/>
          <w:iCs/>
          <w:szCs w:val="24"/>
          <w:shd w:val="clear" w:color="auto" w:fill="FFFFFF"/>
        </w:rPr>
        <w:t>Human Resource Management Review</w:t>
      </w:r>
      <w:r w:rsidRPr="00C024F7">
        <w:rPr>
          <w:rFonts w:cs="Times New Roman"/>
          <w:szCs w:val="24"/>
          <w:shd w:val="clear" w:color="auto" w:fill="FFFFFF"/>
        </w:rPr>
        <w:t>, </w:t>
      </w:r>
      <w:r w:rsidRPr="00C024F7">
        <w:rPr>
          <w:rFonts w:cs="Times New Roman"/>
          <w:i/>
          <w:iCs/>
          <w:szCs w:val="24"/>
          <w:shd w:val="clear" w:color="auto" w:fill="FFFFFF"/>
        </w:rPr>
        <w:t>30</w:t>
      </w:r>
      <w:r w:rsidRPr="00C024F7">
        <w:rPr>
          <w:rFonts w:cs="Times New Roman"/>
          <w:szCs w:val="24"/>
          <w:shd w:val="clear" w:color="auto" w:fill="FFFFFF"/>
        </w:rPr>
        <w:t>(2), p.100704.</w:t>
      </w:r>
    </w:p>
    <w:p w14:paraId="77CABC93" w14:textId="77777777" w:rsidR="00C764E6" w:rsidRPr="00C024F7" w:rsidRDefault="00C764E6" w:rsidP="00D1734E">
      <w:pPr>
        <w:rPr>
          <w:rFonts w:cs="Times New Roman"/>
          <w:szCs w:val="24"/>
        </w:rPr>
      </w:pPr>
      <w:bookmarkStart w:id="19" w:name="_Hlk79415661"/>
      <w:r w:rsidRPr="00C024F7">
        <w:rPr>
          <w:rFonts w:cs="Times New Roman"/>
          <w:szCs w:val="24"/>
          <w:shd w:val="clear" w:color="auto" w:fill="FFFFFF"/>
        </w:rPr>
        <w:t>Men, L.R., O’Neil, J. and Ewing, M., (2020)</w:t>
      </w:r>
      <w:bookmarkEnd w:id="19"/>
      <w:r w:rsidRPr="00C024F7">
        <w:rPr>
          <w:rFonts w:cs="Times New Roman"/>
          <w:szCs w:val="24"/>
          <w:shd w:val="clear" w:color="auto" w:fill="FFFFFF"/>
        </w:rPr>
        <w:t>. Examining the effects of internal social media usage on employee engagement. </w:t>
      </w:r>
      <w:r w:rsidRPr="00C024F7">
        <w:rPr>
          <w:rFonts w:cs="Times New Roman"/>
          <w:i/>
          <w:iCs/>
          <w:szCs w:val="24"/>
          <w:shd w:val="clear" w:color="auto" w:fill="FFFFFF"/>
        </w:rPr>
        <w:t>Public Relations Review</w:t>
      </w:r>
      <w:r w:rsidRPr="00C024F7">
        <w:rPr>
          <w:rFonts w:cs="Times New Roman"/>
          <w:szCs w:val="24"/>
          <w:shd w:val="clear" w:color="auto" w:fill="FFFFFF"/>
        </w:rPr>
        <w:t>, </w:t>
      </w:r>
      <w:r w:rsidRPr="00C024F7">
        <w:rPr>
          <w:rFonts w:cs="Times New Roman"/>
          <w:i/>
          <w:iCs/>
          <w:szCs w:val="24"/>
          <w:shd w:val="clear" w:color="auto" w:fill="FFFFFF"/>
        </w:rPr>
        <w:t>46</w:t>
      </w:r>
      <w:r w:rsidRPr="00C024F7">
        <w:rPr>
          <w:rFonts w:cs="Times New Roman"/>
          <w:szCs w:val="24"/>
          <w:shd w:val="clear" w:color="auto" w:fill="FFFFFF"/>
        </w:rPr>
        <w:t>(2), p.101880.</w:t>
      </w:r>
    </w:p>
    <w:p w14:paraId="77CABC94" w14:textId="77777777" w:rsidR="00C764E6" w:rsidRPr="00C024F7" w:rsidRDefault="00C764E6" w:rsidP="00D1734E">
      <w:pPr>
        <w:rPr>
          <w:rFonts w:cs="Times New Roman"/>
          <w:szCs w:val="24"/>
        </w:rPr>
      </w:pPr>
      <w:bookmarkStart w:id="20" w:name="_Hlk79414731"/>
      <w:r w:rsidRPr="00C024F7">
        <w:rPr>
          <w:rFonts w:cs="Times New Roman"/>
          <w:szCs w:val="24"/>
          <w:shd w:val="clear" w:color="auto" w:fill="FFFFFF"/>
        </w:rPr>
        <w:t>Motyka, B., (2018)</w:t>
      </w:r>
      <w:bookmarkEnd w:id="20"/>
      <w:r w:rsidRPr="00C024F7">
        <w:rPr>
          <w:rFonts w:cs="Times New Roman"/>
          <w:szCs w:val="24"/>
          <w:shd w:val="clear" w:color="auto" w:fill="FFFFFF"/>
        </w:rPr>
        <w:t>. Employee engagement and performance: a systematic literature review. </w:t>
      </w:r>
      <w:r w:rsidRPr="00C024F7">
        <w:rPr>
          <w:rFonts w:cs="Times New Roman"/>
          <w:i/>
          <w:iCs/>
          <w:szCs w:val="24"/>
          <w:shd w:val="clear" w:color="auto" w:fill="FFFFFF"/>
        </w:rPr>
        <w:t>International Journal of Management and Economics</w:t>
      </w:r>
      <w:r w:rsidRPr="00C024F7">
        <w:rPr>
          <w:rFonts w:cs="Times New Roman"/>
          <w:szCs w:val="24"/>
          <w:shd w:val="clear" w:color="auto" w:fill="FFFFFF"/>
        </w:rPr>
        <w:t>, </w:t>
      </w:r>
      <w:r w:rsidRPr="00C024F7">
        <w:rPr>
          <w:rFonts w:cs="Times New Roman"/>
          <w:i/>
          <w:iCs/>
          <w:szCs w:val="24"/>
          <w:shd w:val="clear" w:color="auto" w:fill="FFFFFF"/>
        </w:rPr>
        <w:t>54</w:t>
      </w:r>
      <w:r w:rsidRPr="00C024F7">
        <w:rPr>
          <w:rFonts w:cs="Times New Roman"/>
          <w:szCs w:val="24"/>
          <w:shd w:val="clear" w:color="auto" w:fill="FFFFFF"/>
        </w:rPr>
        <w:t>(3), pp.227-244.</w:t>
      </w:r>
    </w:p>
    <w:p w14:paraId="77CABC95" w14:textId="77777777" w:rsidR="00C764E6" w:rsidRPr="00C024F7" w:rsidRDefault="00C764E6" w:rsidP="00D1734E">
      <w:pPr>
        <w:rPr>
          <w:rFonts w:cs="Times New Roman"/>
          <w:szCs w:val="24"/>
        </w:rPr>
      </w:pPr>
      <w:bookmarkStart w:id="21" w:name="_Hlk79412198"/>
      <w:r w:rsidRPr="00C024F7">
        <w:rPr>
          <w:rFonts w:cs="Times New Roman"/>
          <w:szCs w:val="24"/>
          <w:shd w:val="clear" w:color="auto" w:fill="FFFFFF"/>
        </w:rPr>
        <w:t>Osborne, S. and Hammoud, M.S., (2017)</w:t>
      </w:r>
      <w:bookmarkEnd w:id="21"/>
      <w:r w:rsidRPr="00C024F7">
        <w:rPr>
          <w:rFonts w:cs="Times New Roman"/>
          <w:szCs w:val="24"/>
          <w:shd w:val="clear" w:color="auto" w:fill="FFFFFF"/>
        </w:rPr>
        <w:t>. Effective employee engagement in the workplace. </w:t>
      </w:r>
      <w:r w:rsidRPr="00C024F7">
        <w:rPr>
          <w:rFonts w:cs="Times New Roman"/>
          <w:i/>
          <w:iCs/>
          <w:szCs w:val="24"/>
          <w:shd w:val="clear" w:color="auto" w:fill="FFFFFF"/>
        </w:rPr>
        <w:t>International Journal of Applied Management and Technology</w:t>
      </w:r>
      <w:r w:rsidRPr="00C024F7">
        <w:rPr>
          <w:rFonts w:cs="Times New Roman"/>
          <w:szCs w:val="24"/>
          <w:shd w:val="clear" w:color="auto" w:fill="FFFFFF"/>
        </w:rPr>
        <w:t>, </w:t>
      </w:r>
      <w:r w:rsidRPr="00C024F7">
        <w:rPr>
          <w:rFonts w:cs="Times New Roman"/>
          <w:i/>
          <w:iCs/>
          <w:szCs w:val="24"/>
          <w:shd w:val="clear" w:color="auto" w:fill="FFFFFF"/>
        </w:rPr>
        <w:t>16</w:t>
      </w:r>
      <w:r w:rsidRPr="00C024F7">
        <w:rPr>
          <w:rFonts w:cs="Times New Roman"/>
          <w:szCs w:val="24"/>
          <w:shd w:val="clear" w:color="auto" w:fill="FFFFFF"/>
        </w:rPr>
        <w:t>(1), p.4.</w:t>
      </w:r>
    </w:p>
    <w:p w14:paraId="77CABC96" w14:textId="77777777" w:rsidR="00C764E6" w:rsidRPr="00C024F7" w:rsidRDefault="00C764E6" w:rsidP="00D1734E">
      <w:pPr>
        <w:rPr>
          <w:rFonts w:cs="Times New Roman"/>
          <w:szCs w:val="24"/>
        </w:rPr>
      </w:pPr>
      <w:bookmarkStart w:id="22" w:name="_Hlk79415687"/>
      <w:r w:rsidRPr="00C024F7">
        <w:rPr>
          <w:rFonts w:cs="Times New Roman"/>
          <w:szCs w:val="24"/>
          <w:shd w:val="clear" w:color="auto" w:fill="FFFFFF"/>
        </w:rPr>
        <w:t>Othman</w:t>
      </w:r>
      <w:bookmarkEnd w:id="22"/>
      <w:r w:rsidRPr="00C024F7">
        <w:rPr>
          <w:rFonts w:cs="Times New Roman"/>
          <w:szCs w:val="24"/>
          <w:shd w:val="clear" w:color="auto" w:fill="FFFFFF"/>
        </w:rPr>
        <w:t xml:space="preserve">, A.K., Mahmud, Z., </w:t>
      </w:r>
      <w:proofErr w:type="spellStart"/>
      <w:r w:rsidRPr="00C024F7">
        <w:rPr>
          <w:rFonts w:cs="Times New Roman"/>
          <w:szCs w:val="24"/>
          <w:shd w:val="clear" w:color="auto" w:fill="FFFFFF"/>
        </w:rPr>
        <w:t>Noranee</w:t>
      </w:r>
      <w:proofErr w:type="spellEnd"/>
      <w:r w:rsidRPr="00C024F7">
        <w:rPr>
          <w:rFonts w:cs="Times New Roman"/>
          <w:szCs w:val="24"/>
          <w:shd w:val="clear" w:color="auto" w:fill="FFFFFF"/>
        </w:rPr>
        <w:t xml:space="preserve">, S. and Noordin, F., (2018, March). Measuring employee happiness: </w:t>
      </w:r>
      <w:proofErr w:type="spellStart"/>
      <w:r w:rsidRPr="00C024F7">
        <w:rPr>
          <w:rFonts w:cs="Times New Roman"/>
          <w:szCs w:val="24"/>
          <w:shd w:val="clear" w:color="auto" w:fill="FFFFFF"/>
        </w:rPr>
        <w:t>Analyzing</w:t>
      </w:r>
      <w:proofErr w:type="spellEnd"/>
      <w:r w:rsidRPr="00C024F7">
        <w:rPr>
          <w:rFonts w:cs="Times New Roman"/>
          <w:szCs w:val="24"/>
          <w:shd w:val="clear" w:color="auto" w:fill="FFFFFF"/>
        </w:rPr>
        <w:t xml:space="preserve"> the dimensionality of employee engagement. In </w:t>
      </w:r>
      <w:r w:rsidRPr="00C024F7">
        <w:rPr>
          <w:rFonts w:cs="Times New Roman"/>
          <w:i/>
          <w:iCs/>
          <w:szCs w:val="24"/>
          <w:shd w:val="clear" w:color="auto" w:fill="FFFFFF"/>
        </w:rPr>
        <w:t xml:space="preserve">International Conference on </w:t>
      </w:r>
      <w:proofErr w:type="spellStart"/>
      <w:r w:rsidRPr="00C024F7">
        <w:rPr>
          <w:rFonts w:cs="Times New Roman"/>
          <w:i/>
          <w:iCs/>
          <w:szCs w:val="24"/>
          <w:shd w:val="clear" w:color="auto" w:fill="FFFFFF"/>
        </w:rPr>
        <w:t>Kansei</w:t>
      </w:r>
      <w:proofErr w:type="spellEnd"/>
      <w:r w:rsidRPr="00C024F7">
        <w:rPr>
          <w:rFonts w:cs="Times New Roman"/>
          <w:i/>
          <w:iCs/>
          <w:szCs w:val="24"/>
          <w:shd w:val="clear" w:color="auto" w:fill="FFFFFF"/>
        </w:rPr>
        <w:t xml:space="preserve"> Engineering &amp; Emotion Research</w:t>
      </w:r>
      <w:r w:rsidRPr="00C024F7">
        <w:rPr>
          <w:rFonts w:cs="Times New Roman"/>
          <w:szCs w:val="24"/>
          <w:shd w:val="clear" w:color="auto" w:fill="FFFFFF"/>
        </w:rPr>
        <w:t> (pp. 863-869). Springer, Singapore.</w:t>
      </w:r>
    </w:p>
    <w:p w14:paraId="77CABC97" w14:textId="77777777" w:rsidR="00C764E6" w:rsidRPr="00C024F7" w:rsidRDefault="00C764E6" w:rsidP="00D1734E">
      <w:pPr>
        <w:rPr>
          <w:rFonts w:cs="Times New Roman"/>
          <w:szCs w:val="24"/>
        </w:rPr>
      </w:pPr>
      <w:bookmarkStart w:id="23" w:name="_Hlk79414712"/>
      <w:r w:rsidRPr="00C024F7">
        <w:rPr>
          <w:rFonts w:cs="Times New Roman"/>
          <w:szCs w:val="24"/>
          <w:shd w:val="clear" w:color="auto" w:fill="FFFFFF"/>
        </w:rPr>
        <w:t>Popli, S. and Rizvi, I.A., (2016)</w:t>
      </w:r>
      <w:bookmarkEnd w:id="23"/>
      <w:r w:rsidRPr="00C024F7">
        <w:rPr>
          <w:rFonts w:cs="Times New Roman"/>
          <w:szCs w:val="24"/>
          <w:shd w:val="clear" w:color="auto" w:fill="FFFFFF"/>
        </w:rPr>
        <w:t>. Drivers of employee engagement: The role of leadership style. </w:t>
      </w:r>
      <w:r w:rsidRPr="00C024F7">
        <w:rPr>
          <w:rFonts w:cs="Times New Roman"/>
          <w:i/>
          <w:iCs/>
          <w:szCs w:val="24"/>
          <w:shd w:val="clear" w:color="auto" w:fill="FFFFFF"/>
        </w:rPr>
        <w:t>Global Business Review</w:t>
      </w:r>
      <w:r w:rsidRPr="00C024F7">
        <w:rPr>
          <w:rFonts w:cs="Times New Roman"/>
          <w:szCs w:val="24"/>
          <w:shd w:val="clear" w:color="auto" w:fill="FFFFFF"/>
        </w:rPr>
        <w:t>, </w:t>
      </w:r>
      <w:r w:rsidRPr="00C024F7">
        <w:rPr>
          <w:rFonts w:cs="Times New Roman"/>
          <w:i/>
          <w:iCs/>
          <w:szCs w:val="24"/>
          <w:shd w:val="clear" w:color="auto" w:fill="FFFFFF"/>
        </w:rPr>
        <w:t>17</w:t>
      </w:r>
      <w:r w:rsidRPr="00C024F7">
        <w:rPr>
          <w:rFonts w:cs="Times New Roman"/>
          <w:szCs w:val="24"/>
          <w:shd w:val="clear" w:color="auto" w:fill="FFFFFF"/>
        </w:rPr>
        <w:t>(4), pp.965-979.</w:t>
      </w:r>
    </w:p>
    <w:p w14:paraId="77CABC98" w14:textId="77777777" w:rsidR="00C764E6" w:rsidRPr="00C024F7" w:rsidRDefault="00C764E6" w:rsidP="00D1734E">
      <w:pPr>
        <w:rPr>
          <w:rFonts w:cs="Times New Roman"/>
          <w:szCs w:val="24"/>
        </w:rPr>
      </w:pPr>
      <w:bookmarkStart w:id="24" w:name="_Hlk79412181"/>
      <w:r w:rsidRPr="00C024F7">
        <w:rPr>
          <w:rFonts w:cs="Times New Roman"/>
          <w:szCs w:val="24"/>
          <w:shd w:val="clear" w:color="auto" w:fill="FFFFFF"/>
        </w:rPr>
        <w:t>Rothmann, S., (2017)</w:t>
      </w:r>
      <w:bookmarkEnd w:id="24"/>
      <w:r w:rsidRPr="00C024F7">
        <w:rPr>
          <w:rFonts w:cs="Times New Roman"/>
          <w:szCs w:val="24"/>
          <w:shd w:val="clear" w:color="auto" w:fill="FFFFFF"/>
        </w:rPr>
        <w:t>. Employee engagement. </w:t>
      </w:r>
      <w:r w:rsidRPr="00C024F7">
        <w:rPr>
          <w:rFonts w:cs="Times New Roman"/>
          <w:i/>
          <w:iCs/>
          <w:szCs w:val="24"/>
          <w:shd w:val="clear" w:color="auto" w:fill="FFFFFF"/>
        </w:rPr>
        <w:t>The Wiley Blackwell handbook of the psychology of positivity and strengths-based approaches at work</w:t>
      </w:r>
      <w:r w:rsidRPr="00C024F7">
        <w:rPr>
          <w:rFonts w:cs="Times New Roman"/>
          <w:szCs w:val="24"/>
          <w:shd w:val="clear" w:color="auto" w:fill="FFFFFF"/>
        </w:rPr>
        <w:t>, pp.317-341.</w:t>
      </w:r>
    </w:p>
    <w:p w14:paraId="77CABC99" w14:textId="77777777" w:rsidR="00C764E6" w:rsidRPr="00C024F7" w:rsidRDefault="00C764E6" w:rsidP="00D1734E">
      <w:r w:rsidRPr="00C024F7">
        <w:t xml:space="preserve">Sato, Y., Kobayashi, N. and </w:t>
      </w:r>
      <w:proofErr w:type="spellStart"/>
      <w:r w:rsidRPr="00C024F7">
        <w:t>Shirasaka</w:t>
      </w:r>
      <w:proofErr w:type="spellEnd"/>
      <w:r w:rsidRPr="00C024F7">
        <w:t>, S., (2020). An analysis of human resource management for knowledge workers: using the three axes of target employee, lifecycle stage, and human resource flow. </w:t>
      </w:r>
      <w:r w:rsidRPr="00C024F7">
        <w:rPr>
          <w:i/>
          <w:iCs/>
        </w:rPr>
        <w:t>Review of Integrative Business and Economics Research</w:t>
      </w:r>
      <w:r w:rsidRPr="00C024F7">
        <w:t>, </w:t>
      </w:r>
      <w:r w:rsidRPr="00C024F7">
        <w:rPr>
          <w:i/>
          <w:iCs/>
        </w:rPr>
        <w:t>9</w:t>
      </w:r>
      <w:r w:rsidRPr="00C024F7">
        <w:t>(1), pp.140-156.</w:t>
      </w:r>
    </w:p>
    <w:p w14:paraId="77CABC9A" w14:textId="77777777" w:rsidR="00C764E6" w:rsidRPr="00C024F7" w:rsidRDefault="00C764E6" w:rsidP="00D1734E">
      <w:pPr>
        <w:rPr>
          <w:rFonts w:cs="Times New Roman"/>
          <w:szCs w:val="24"/>
        </w:rPr>
      </w:pPr>
      <w:bookmarkStart w:id="25" w:name="_Hlk79414831"/>
      <w:proofErr w:type="spellStart"/>
      <w:r w:rsidRPr="00C024F7">
        <w:rPr>
          <w:rFonts w:cs="Times New Roman"/>
          <w:szCs w:val="24"/>
          <w:shd w:val="clear" w:color="auto" w:fill="FFFFFF"/>
        </w:rPr>
        <w:lastRenderedPageBreak/>
        <w:t>Shrotryia</w:t>
      </w:r>
      <w:proofErr w:type="spellEnd"/>
      <w:r w:rsidRPr="00C024F7">
        <w:rPr>
          <w:rFonts w:cs="Times New Roman"/>
          <w:szCs w:val="24"/>
          <w:shd w:val="clear" w:color="auto" w:fill="FFFFFF"/>
        </w:rPr>
        <w:t>, V.K. and Dhanda, U., (2019)</w:t>
      </w:r>
      <w:bookmarkEnd w:id="25"/>
      <w:r w:rsidRPr="00C024F7">
        <w:rPr>
          <w:rFonts w:cs="Times New Roman"/>
          <w:szCs w:val="24"/>
          <w:shd w:val="clear" w:color="auto" w:fill="FFFFFF"/>
        </w:rPr>
        <w:t>. Content validity of assessment instrument for employee engagement. </w:t>
      </w:r>
      <w:r w:rsidRPr="00C024F7">
        <w:rPr>
          <w:rFonts w:cs="Times New Roman"/>
          <w:i/>
          <w:iCs/>
          <w:szCs w:val="24"/>
          <w:shd w:val="clear" w:color="auto" w:fill="FFFFFF"/>
        </w:rPr>
        <w:t>Sage Open</w:t>
      </w:r>
      <w:r w:rsidRPr="00C024F7">
        <w:rPr>
          <w:rFonts w:cs="Times New Roman"/>
          <w:szCs w:val="24"/>
          <w:shd w:val="clear" w:color="auto" w:fill="FFFFFF"/>
        </w:rPr>
        <w:t>, </w:t>
      </w:r>
      <w:r w:rsidRPr="00C024F7">
        <w:rPr>
          <w:rFonts w:cs="Times New Roman"/>
          <w:i/>
          <w:iCs/>
          <w:szCs w:val="24"/>
          <w:shd w:val="clear" w:color="auto" w:fill="FFFFFF"/>
        </w:rPr>
        <w:t>9</w:t>
      </w:r>
      <w:r w:rsidRPr="00C024F7">
        <w:rPr>
          <w:rFonts w:cs="Times New Roman"/>
          <w:szCs w:val="24"/>
          <w:shd w:val="clear" w:color="auto" w:fill="FFFFFF"/>
        </w:rPr>
        <w:t>(1), p.2158244018821751.</w:t>
      </w:r>
    </w:p>
    <w:p w14:paraId="77CABC9B" w14:textId="77777777" w:rsidR="00C764E6" w:rsidRPr="00C024F7" w:rsidRDefault="00C764E6" w:rsidP="00D1734E">
      <w:pPr>
        <w:rPr>
          <w:rFonts w:cs="Times New Roman"/>
          <w:szCs w:val="24"/>
        </w:rPr>
      </w:pPr>
      <w:bookmarkStart w:id="26" w:name="_Hlk79415775"/>
      <w:r w:rsidRPr="00C024F7">
        <w:rPr>
          <w:rFonts w:cs="Times New Roman"/>
          <w:szCs w:val="24"/>
          <w:shd w:val="clear" w:color="auto" w:fill="FFFFFF"/>
        </w:rPr>
        <w:t>Stoyanova, T. and Iliev, I., (2017)</w:t>
      </w:r>
      <w:bookmarkEnd w:id="26"/>
      <w:r w:rsidRPr="00C024F7">
        <w:rPr>
          <w:rFonts w:cs="Times New Roman"/>
          <w:szCs w:val="24"/>
          <w:shd w:val="clear" w:color="auto" w:fill="FFFFFF"/>
        </w:rPr>
        <w:t>. Employee engagement factor for organizational excellence. </w:t>
      </w:r>
      <w:r w:rsidRPr="00C024F7">
        <w:rPr>
          <w:rFonts w:cs="Times New Roman"/>
          <w:i/>
          <w:iCs/>
          <w:szCs w:val="24"/>
          <w:shd w:val="clear" w:color="auto" w:fill="FFFFFF"/>
        </w:rPr>
        <w:t>International Journal of Business and Economic Sciences Applied Research (IJBESAR)</w:t>
      </w:r>
      <w:r w:rsidRPr="00C024F7">
        <w:rPr>
          <w:rFonts w:cs="Times New Roman"/>
          <w:szCs w:val="24"/>
          <w:shd w:val="clear" w:color="auto" w:fill="FFFFFF"/>
        </w:rPr>
        <w:t>, </w:t>
      </w:r>
      <w:r w:rsidRPr="00C024F7">
        <w:rPr>
          <w:rFonts w:cs="Times New Roman"/>
          <w:i/>
          <w:iCs/>
          <w:szCs w:val="24"/>
          <w:shd w:val="clear" w:color="auto" w:fill="FFFFFF"/>
        </w:rPr>
        <w:t>10</w:t>
      </w:r>
      <w:r w:rsidRPr="00C024F7">
        <w:rPr>
          <w:rFonts w:cs="Times New Roman"/>
          <w:szCs w:val="24"/>
          <w:shd w:val="clear" w:color="auto" w:fill="FFFFFF"/>
        </w:rPr>
        <w:t>(1), pp.23-29.</w:t>
      </w:r>
    </w:p>
    <w:p w14:paraId="77CABC9C" w14:textId="77777777" w:rsidR="00C764E6" w:rsidRPr="00C024F7" w:rsidRDefault="00C764E6" w:rsidP="00D1734E">
      <w:pPr>
        <w:rPr>
          <w:rFonts w:cs="Times New Roman"/>
          <w:szCs w:val="24"/>
        </w:rPr>
      </w:pPr>
      <w:bookmarkStart w:id="27" w:name="_Hlk79414770"/>
      <w:proofErr w:type="spellStart"/>
      <w:r w:rsidRPr="00C024F7">
        <w:rPr>
          <w:rFonts w:cs="Times New Roman"/>
          <w:szCs w:val="24"/>
          <w:shd w:val="clear" w:color="auto" w:fill="FFFFFF"/>
        </w:rPr>
        <w:t>Vorina</w:t>
      </w:r>
      <w:proofErr w:type="spellEnd"/>
      <w:r w:rsidRPr="00C024F7">
        <w:rPr>
          <w:rFonts w:cs="Times New Roman"/>
          <w:szCs w:val="24"/>
          <w:shd w:val="clear" w:color="auto" w:fill="FFFFFF"/>
        </w:rPr>
        <w:t>, A., Simonič, M. and Vlasova, M., (2017)</w:t>
      </w:r>
      <w:bookmarkEnd w:id="27"/>
      <w:r w:rsidRPr="00C024F7">
        <w:rPr>
          <w:rFonts w:cs="Times New Roman"/>
          <w:szCs w:val="24"/>
          <w:shd w:val="clear" w:color="auto" w:fill="FFFFFF"/>
        </w:rPr>
        <w:t>. An analysis of the relationship between job satisfaction and employee engagement. </w:t>
      </w:r>
      <w:r w:rsidRPr="00C024F7">
        <w:rPr>
          <w:rFonts w:cs="Times New Roman"/>
          <w:i/>
          <w:iCs/>
          <w:szCs w:val="24"/>
          <w:shd w:val="clear" w:color="auto" w:fill="FFFFFF"/>
        </w:rPr>
        <w:t>Economic themes</w:t>
      </w:r>
      <w:r w:rsidRPr="00C024F7">
        <w:rPr>
          <w:rFonts w:cs="Times New Roman"/>
          <w:szCs w:val="24"/>
          <w:shd w:val="clear" w:color="auto" w:fill="FFFFFF"/>
        </w:rPr>
        <w:t>, </w:t>
      </w:r>
      <w:r w:rsidRPr="00C024F7">
        <w:rPr>
          <w:rFonts w:cs="Times New Roman"/>
          <w:i/>
          <w:iCs/>
          <w:szCs w:val="24"/>
          <w:shd w:val="clear" w:color="auto" w:fill="FFFFFF"/>
        </w:rPr>
        <w:t>55</w:t>
      </w:r>
      <w:r w:rsidRPr="00C024F7">
        <w:rPr>
          <w:rFonts w:cs="Times New Roman"/>
          <w:szCs w:val="24"/>
          <w:shd w:val="clear" w:color="auto" w:fill="FFFFFF"/>
        </w:rPr>
        <w:t>(2), pp.243-262.</w:t>
      </w:r>
    </w:p>
    <w:p w14:paraId="77CABC9D" w14:textId="77777777" w:rsidR="00C764E6" w:rsidRPr="00C024F7" w:rsidRDefault="00C764E6" w:rsidP="00D1734E">
      <w:r w:rsidRPr="00C024F7">
        <w:t xml:space="preserve">Whysall, Z., </w:t>
      </w:r>
      <w:proofErr w:type="spellStart"/>
      <w:r w:rsidRPr="00C024F7">
        <w:t>Owtram</w:t>
      </w:r>
      <w:proofErr w:type="spellEnd"/>
      <w:r w:rsidRPr="00C024F7">
        <w:t xml:space="preserve">, M. and </w:t>
      </w:r>
      <w:proofErr w:type="spellStart"/>
      <w:r w:rsidRPr="00C024F7">
        <w:t>Brittain</w:t>
      </w:r>
      <w:proofErr w:type="spellEnd"/>
      <w:r w:rsidRPr="00C024F7">
        <w:t>, S., 2019. The new talent management challenges of Industry 4.0. Journal of Management Development.</w:t>
      </w:r>
      <w:hyperlink r:id="rId13" w:history="1">
        <w:r w:rsidRPr="00C024F7">
          <w:t xml:space="preserve"> Management Development</w:t>
        </w:r>
      </w:hyperlink>
      <w:r w:rsidRPr="00C024F7">
        <w:t>, Vol. 38 No. 2, pp. 118-129. DOI: 10.1108/JMD-06-2018-0181</w:t>
      </w:r>
    </w:p>
    <w:p w14:paraId="77CABC9E" w14:textId="77777777" w:rsidR="00D1734E" w:rsidRPr="00D1734E" w:rsidRDefault="00C764E6" w:rsidP="00D1734E">
      <w:bookmarkStart w:id="28" w:name="_Hlk79414814"/>
      <w:r w:rsidRPr="00C024F7">
        <w:rPr>
          <w:rFonts w:cs="Times New Roman"/>
          <w:szCs w:val="24"/>
          <w:shd w:val="clear" w:color="auto" w:fill="FFFFFF"/>
        </w:rPr>
        <w:t>Young</w:t>
      </w:r>
      <w:bookmarkEnd w:id="28"/>
      <w:r w:rsidRPr="00C024F7">
        <w:rPr>
          <w:rFonts w:cs="Times New Roman"/>
          <w:szCs w:val="24"/>
          <w:shd w:val="clear" w:color="auto" w:fill="FFFFFF"/>
        </w:rPr>
        <w:t xml:space="preserve">, H.R., Glerum, D.R., Wang, </w:t>
      </w:r>
      <w:proofErr w:type="gramStart"/>
      <w:r w:rsidRPr="00C024F7">
        <w:rPr>
          <w:rFonts w:cs="Times New Roman"/>
          <w:szCs w:val="24"/>
          <w:shd w:val="clear" w:color="auto" w:fill="FFFFFF"/>
        </w:rPr>
        <w:t>W.</w:t>
      </w:r>
      <w:proofErr w:type="gramEnd"/>
      <w:r w:rsidRPr="00C024F7">
        <w:rPr>
          <w:rFonts w:cs="Times New Roman"/>
          <w:szCs w:val="24"/>
          <w:shd w:val="clear" w:color="auto" w:fill="FFFFFF"/>
        </w:rPr>
        <w:t xml:space="preserve"> and Joseph, D.L., (2018). Who are the most engaged at work? A meta‐analysis of personality and employee engagement. </w:t>
      </w:r>
      <w:r w:rsidRPr="00C024F7">
        <w:rPr>
          <w:rFonts w:cs="Times New Roman"/>
          <w:i/>
          <w:iCs/>
          <w:szCs w:val="24"/>
          <w:shd w:val="clear" w:color="auto" w:fill="FFFFFF"/>
        </w:rPr>
        <w:t xml:space="preserve">Journal of Organizational </w:t>
      </w:r>
      <w:proofErr w:type="spellStart"/>
      <w:r w:rsidRPr="00C024F7">
        <w:rPr>
          <w:rFonts w:cs="Times New Roman"/>
          <w:i/>
          <w:iCs/>
          <w:szCs w:val="24"/>
          <w:shd w:val="clear" w:color="auto" w:fill="FFFFFF"/>
        </w:rPr>
        <w:t>Behavior</w:t>
      </w:r>
      <w:proofErr w:type="spellEnd"/>
      <w:r w:rsidRPr="00C024F7">
        <w:rPr>
          <w:rFonts w:cs="Times New Roman"/>
          <w:szCs w:val="24"/>
          <w:shd w:val="clear" w:color="auto" w:fill="FFFFFF"/>
        </w:rPr>
        <w:t>, </w:t>
      </w:r>
      <w:r w:rsidRPr="00C024F7">
        <w:rPr>
          <w:rFonts w:cs="Times New Roman"/>
          <w:i/>
          <w:iCs/>
          <w:szCs w:val="24"/>
          <w:shd w:val="clear" w:color="auto" w:fill="FFFFFF"/>
        </w:rPr>
        <w:t>39</w:t>
      </w:r>
      <w:r w:rsidRPr="00C024F7">
        <w:rPr>
          <w:rFonts w:cs="Times New Roman"/>
          <w:szCs w:val="24"/>
          <w:shd w:val="clear" w:color="auto" w:fill="FFFFFF"/>
        </w:rPr>
        <w:t>(10), pp.1330-1346.</w:t>
      </w:r>
    </w:p>
    <w:sectPr w:rsidR="00D1734E" w:rsidRPr="00D1734E" w:rsidSect="00A46683">
      <w:footerReference w:type="default" r:id="rId14"/>
      <w:pgSz w:w="12240" w:h="20160" w:code="5"/>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37DC96" w14:textId="77777777" w:rsidR="00B000E3" w:rsidRDefault="00B000E3" w:rsidP="00EB0FBE">
      <w:pPr>
        <w:spacing w:after="0" w:line="240" w:lineRule="auto"/>
      </w:pPr>
      <w:r>
        <w:separator/>
      </w:r>
    </w:p>
  </w:endnote>
  <w:endnote w:type="continuationSeparator" w:id="0">
    <w:p w14:paraId="26A3FD1C" w14:textId="77777777" w:rsidR="00B000E3" w:rsidRDefault="00B000E3" w:rsidP="00EB0F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2033942"/>
      <w:docPartObj>
        <w:docPartGallery w:val="Page Numbers (Bottom of Page)"/>
        <w:docPartUnique/>
      </w:docPartObj>
    </w:sdtPr>
    <w:sdtEndPr>
      <w:rPr>
        <w:noProof/>
      </w:rPr>
    </w:sdtEndPr>
    <w:sdtContent>
      <w:p w14:paraId="77CABCAB" w14:textId="77777777" w:rsidR="008B41E7" w:rsidRDefault="00AB65CC">
        <w:pPr>
          <w:pStyle w:val="Footer"/>
          <w:jc w:val="right"/>
        </w:pPr>
        <w:r>
          <w:fldChar w:fldCharType="begin"/>
        </w:r>
        <w:r w:rsidR="00CD3523">
          <w:instrText xml:space="preserve"> PAGE   \* MERGEFORMAT </w:instrText>
        </w:r>
        <w:r>
          <w:fldChar w:fldCharType="separate"/>
        </w:r>
        <w:r w:rsidR="00B47AE0">
          <w:rPr>
            <w:noProof/>
          </w:rPr>
          <w:t>11</w:t>
        </w:r>
        <w:r>
          <w:rPr>
            <w:noProof/>
          </w:rPr>
          <w:fldChar w:fldCharType="end"/>
        </w:r>
      </w:p>
    </w:sdtContent>
  </w:sdt>
  <w:p w14:paraId="77CABCAC" w14:textId="77777777" w:rsidR="00E72B0E" w:rsidRDefault="00E72B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4EA6FA" w14:textId="77777777" w:rsidR="00B000E3" w:rsidRDefault="00B000E3" w:rsidP="00EB0FBE">
      <w:pPr>
        <w:spacing w:after="0" w:line="240" w:lineRule="auto"/>
      </w:pPr>
      <w:r>
        <w:separator/>
      </w:r>
    </w:p>
  </w:footnote>
  <w:footnote w:type="continuationSeparator" w:id="0">
    <w:p w14:paraId="70CC9FE0" w14:textId="77777777" w:rsidR="00B000E3" w:rsidRDefault="00B000E3" w:rsidP="00EB0FB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B775A"/>
    <w:rsid w:val="000102D5"/>
    <w:rsid w:val="0001305C"/>
    <w:rsid w:val="00015695"/>
    <w:rsid w:val="0001586B"/>
    <w:rsid w:val="000206D5"/>
    <w:rsid w:val="0004468C"/>
    <w:rsid w:val="00045878"/>
    <w:rsid w:val="00057C12"/>
    <w:rsid w:val="0007036E"/>
    <w:rsid w:val="00072CDC"/>
    <w:rsid w:val="0009132E"/>
    <w:rsid w:val="000C69C0"/>
    <w:rsid w:val="000D019A"/>
    <w:rsid w:val="00102331"/>
    <w:rsid w:val="00154711"/>
    <w:rsid w:val="001B446C"/>
    <w:rsid w:val="001E0715"/>
    <w:rsid w:val="001E5C05"/>
    <w:rsid w:val="00230104"/>
    <w:rsid w:val="00235DC6"/>
    <w:rsid w:val="00245081"/>
    <w:rsid w:val="0026633A"/>
    <w:rsid w:val="00294A7C"/>
    <w:rsid w:val="002C23F9"/>
    <w:rsid w:val="002C6B1E"/>
    <w:rsid w:val="002D40C3"/>
    <w:rsid w:val="002F5018"/>
    <w:rsid w:val="003108B2"/>
    <w:rsid w:val="00312D41"/>
    <w:rsid w:val="00315880"/>
    <w:rsid w:val="00334FAA"/>
    <w:rsid w:val="00342621"/>
    <w:rsid w:val="003542D6"/>
    <w:rsid w:val="003B69B6"/>
    <w:rsid w:val="003C098B"/>
    <w:rsid w:val="003E76F4"/>
    <w:rsid w:val="00402044"/>
    <w:rsid w:val="0041422E"/>
    <w:rsid w:val="004278BD"/>
    <w:rsid w:val="00462C01"/>
    <w:rsid w:val="00484562"/>
    <w:rsid w:val="0049112D"/>
    <w:rsid w:val="004D27D5"/>
    <w:rsid w:val="004E7D59"/>
    <w:rsid w:val="004F54DA"/>
    <w:rsid w:val="00525FD3"/>
    <w:rsid w:val="00541D2B"/>
    <w:rsid w:val="005532D5"/>
    <w:rsid w:val="005D0334"/>
    <w:rsid w:val="005D0FF2"/>
    <w:rsid w:val="00605B37"/>
    <w:rsid w:val="00615EBF"/>
    <w:rsid w:val="00622BC6"/>
    <w:rsid w:val="00624C90"/>
    <w:rsid w:val="00625C5A"/>
    <w:rsid w:val="00660FFF"/>
    <w:rsid w:val="006627E8"/>
    <w:rsid w:val="00673946"/>
    <w:rsid w:val="006A675B"/>
    <w:rsid w:val="006E5C5D"/>
    <w:rsid w:val="006F3266"/>
    <w:rsid w:val="006F4324"/>
    <w:rsid w:val="006F5BFB"/>
    <w:rsid w:val="0072311E"/>
    <w:rsid w:val="00754FB1"/>
    <w:rsid w:val="007B217B"/>
    <w:rsid w:val="007F2D61"/>
    <w:rsid w:val="008020B1"/>
    <w:rsid w:val="0084430F"/>
    <w:rsid w:val="00853D8E"/>
    <w:rsid w:val="00893307"/>
    <w:rsid w:val="008B21EE"/>
    <w:rsid w:val="008B41E7"/>
    <w:rsid w:val="008C0D5C"/>
    <w:rsid w:val="008E41E8"/>
    <w:rsid w:val="008E4312"/>
    <w:rsid w:val="009040B8"/>
    <w:rsid w:val="009129FF"/>
    <w:rsid w:val="009475ED"/>
    <w:rsid w:val="00952F98"/>
    <w:rsid w:val="00954030"/>
    <w:rsid w:val="009902AC"/>
    <w:rsid w:val="009D5D5D"/>
    <w:rsid w:val="009D775D"/>
    <w:rsid w:val="009F606F"/>
    <w:rsid w:val="00A12E60"/>
    <w:rsid w:val="00A31D96"/>
    <w:rsid w:val="00A46683"/>
    <w:rsid w:val="00A60905"/>
    <w:rsid w:val="00A94A12"/>
    <w:rsid w:val="00AA6E41"/>
    <w:rsid w:val="00AB65CC"/>
    <w:rsid w:val="00AB775A"/>
    <w:rsid w:val="00AC0DAA"/>
    <w:rsid w:val="00AC1BFE"/>
    <w:rsid w:val="00B000E3"/>
    <w:rsid w:val="00B47AE0"/>
    <w:rsid w:val="00B501C0"/>
    <w:rsid w:val="00B50572"/>
    <w:rsid w:val="00B522B0"/>
    <w:rsid w:val="00B7740F"/>
    <w:rsid w:val="00BB295A"/>
    <w:rsid w:val="00BD2AC5"/>
    <w:rsid w:val="00BF6A82"/>
    <w:rsid w:val="00C024F7"/>
    <w:rsid w:val="00C04E53"/>
    <w:rsid w:val="00C05A69"/>
    <w:rsid w:val="00C15875"/>
    <w:rsid w:val="00C55D41"/>
    <w:rsid w:val="00C64D45"/>
    <w:rsid w:val="00C72514"/>
    <w:rsid w:val="00C764E6"/>
    <w:rsid w:val="00CB6F54"/>
    <w:rsid w:val="00CD3523"/>
    <w:rsid w:val="00CE0409"/>
    <w:rsid w:val="00CE4A7A"/>
    <w:rsid w:val="00D142FF"/>
    <w:rsid w:val="00D1734E"/>
    <w:rsid w:val="00D2188E"/>
    <w:rsid w:val="00D50969"/>
    <w:rsid w:val="00D662FC"/>
    <w:rsid w:val="00D700E0"/>
    <w:rsid w:val="00D737AB"/>
    <w:rsid w:val="00DD5681"/>
    <w:rsid w:val="00DD69C0"/>
    <w:rsid w:val="00E14F35"/>
    <w:rsid w:val="00E575E5"/>
    <w:rsid w:val="00E63620"/>
    <w:rsid w:val="00E72B0E"/>
    <w:rsid w:val="00E757EF"/>
    <w:rsid w:val="00EB0FBE"/>
    <w:rsid w:val="00EC01E6"/>
    <w:rsid w:val="00EC3980"/>
    <w:rsid w:val="00ED1887"/>
    <w:rsid w:val="00F16DBF"/>
    <w:rsid w:val="00F20A5B"/>
    <w:rsid w:val="00F3587A"/>
    <w:rsid w:val="00F456E4"/>
    <w:rsid w:val="00F608A7"/>
    <w:rsid w:val="00F70373"/>
    <w:rsid w:val="00F73CBB"/>
    <w:rsid w:val="00F82608"/>
    <w:rsid w:val="00F91F7B"/>
    <w:rsid w:val="00FA65AD"/>
    <w:rsid w:val="00FB1A5C"/>
    <w:rsid w:val="00FC6592"/>
    <w:rsid w:val="00FD64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77CABC4F"/>
  <w15:docId w15:val="{DC61C1B0-0994-46E0-835E-1DA967447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0969"/>
  </w:style>
  <w:style w:type="paragraph" w:styleId="Heading1">
    <w:name w:val="heading 1"/>
    <w:basedOn w:val="Normal"/>
    <w:next w:val="Normal"/>
    <w:link w:val="Heading1Char"/>
    <w:uiPriority w:val="9"/>
    <w:qFormat/>
    <w:rsid w:val="00D50969"/>
    <w:pPr>
      <w:keepNext/>
      <w:keepLines/>
      <w:spacing w:before="400" w:after="40" w:line="240" w:lineRule="auto"/>
      <w:outlineLvl w:val="0"/>
    </w:pPr>
    <w:rPr>
      <w:rFonts w:asciiTheme="majorHAnsi" w:eastAsiaTheme="majorEastAsia" w:hAnsiTheme="majorHAnsi" w:cstheme="majorBidi"/>
      <w:color w:val="69230B" w:themeColor="accent1" w:themeShade="80"/>
      <w:sz w:val="36"/>
      <w:szCs w:val="36"/>
    </w:rPr>
  </w:style>
  <w:style w:type="paragraph" w:styleId="Heading2">
    <w:name w:val="heading 2"/>
    <w:basedOn w:val="Normal"/>
    <w:next w:val="Normal"/>
    <w:link w:val="Heading2Char"/>
    <w:uiPriority w:val="9"/>
    <w:unhideWhenUsed/>
    <w:qFormat/>
    <w:rsid w:val="00D50969"/>
    <w:pPr>
      <w:keepNext/>
      <w:keepLines/>
      <w:spacing w:before="40" w:after="0" w:line="240" w:lineRule="auto"/>
      <w:outlineLvl w:val="1"/>
    </w:pPr>
    <w:rPr>
      <w:rFonts w:asciiTheme="majorHAnsi" w:eastAsiaTheme="majorEastAsia" w:hAnsiTheme="majorHAnsi" w:cstheme="majorBidi"/>
      <w:color w:val="9D3511" w:themeColor="accent1" w:themeShade="BF"/>
      <w:sz w:val="32"/>
      <w:szCs w:val="32"/>
    </w:rPr>
  </w:style>
  <w:style w:type="paragraph" w:styleId="Heading3">
    <w:name w:val="heading 3"/>
    <w:basedOn w:val="Normal"/>
    <w:next w:val="Normal"/>
    <w:link w:val="Heading3Char"/>
    <w:uiPriority w:val="9"/>
    <w:semiHidden/>
    <w:unhideWhenUsed/>
    <w:qFormat/>
    <w:rsid w:val="00D50969"/>
    <w:pPr>
      <w:keepNext/>
      <w:keepLines/>
      <w:spacing w:before="40" w:after="0" w:line="240" w:lineRule="auto"/>
      <w:outlineLvl w:val="2"/>
    </w:pPr>
    <w:rPr>
      <w:rFonts w:asciiTheme="majorHAnsi" w:eastAsiaTheme="majorEastAsia" w:hAnsiTheme="majorHAnsi" w:cstheme="majorBidi"/>
      <w:color w:val="9D3511" w:themeColor="accent1" w:themeShade="BF"/>
      <w:sz w:val="28"/>
      <w:szCs w:val="28"/>
    </w:rPr>
  </w:style>
  <w:style w:type="paragraph" w:styleId="Heading4">
    <w:name w:val="heading 4"/>
    <w:basedOn w:val="Normal"/>
    <w:next w:val="Normal"/>
    <w:link w:val="Heading4Char"/>
    <w:uiPriority w:val="9"/>
    <w:semiHidden/>
    <w:unhideWhenUsed/>
    <w:qFormat/>
    <w:rsid w:val="00D50969"/>
    <w:pPr>
      <w:keepNext/>
      <w:keepLines/>
      <w:spacing w:before="40" w:after="0"/>
      <w:outlineLvl w:val="3"/>
    </w:pPr>
    <w:rPr>
      <w:rFonts w:asciiTheme="majorHAnsi" w:eastAsiaTheme="majorEastAsia" w:hAnsiTheme="majorHAnsi" w:cstheme="majorBidi"/>
      <w:color w:val="9D3511" w:themeColor="accent1" w:themeShade="BF"/>
      <w:sz w:val="24"/>
      <w:szCs w:val="24"/>
    </w:rPr>
  </w:style>
  <w:style w:type="paragraph" w:styleId="Heading5">
    <w:name w:val="heading 5"/>
    <w:basedOn w:val="Normal"/>
    <w:next w:val="Normal"/>
    <w:link w:val="Heading5Char"/>
    <w:uiPriority w:val="9"/>
    <w:semiHidden/>
    <w:unhideWhenUsed/>
    <w:qFormat/>
    <w:rsid w:val="00D50969"/>
    <w:pPr>
      <w:keepNext/>
      <w:keepLines/>
      <w:spacing w:before="40" w:after="0"/>
      <w:outlineLvl w:val="4"/>
    </w:pPr>
    <w:rPr>
      <w:rFonts w:asciiTheme="majorHAnsi" w:eastAsiaTheme="majorEastAsia" w:hAnsiTheme="majorHAnsi" w:cstheme="majorBidi"/>
      <w:caps/>
      <w:color w:val="9D3511" w:themeColor="accent1" w:themeShade="BF"/>
    </w:rPr>
  </w:style>
  <w:style w:type="paragraph" w:styleId="Heading6">
    <w:name w:val="heading 6"/>
    <w:basedOn w:val="Normal"/>
    <w:next w:val="Normal"/>
    <w:link w:val="Heading6Char"/>
    <w:uiPriority w:val="9"/>
    <w:semiHidden/>
    <w:unhideWhenUsed/>
    <w:qFormat/>
    <w:rsid w:val="00D50969"/>
    <w:pPr>
      <w:keepNext/>
      <w:keepLines/>
      <w:spacing w:before="40" w:after="0"/>
      <w:outlineLvl w:val="5"/>
    </w:pPr>
    <w:rPr>
      <w:rFonts w:asciiTheme="majorHAnsi" w:eastAsiaTheme="majorEastAsia" w:hAnsiTheme="majorHAnsi" w:cstheme="majorBidi"/>
      <w:i/>
      <w:iCs/>
      <w:caps/>
      <w:color w:val="69230B" w:themeColor="accent1" w:themeShade="80"/>
    </w:rPr>
  </w:style>
  <w:style w:type="paragraph" w:styleId="Heading7">
    <w:name w:val="heading 7"/>
    <w:basedOn w:val="Normal"/>
    <w:next w:val="Normal"/>
    <w:link w:val="Heading7Char"/>
    <w:uiPriority w:val="9"/>
    <w:semiHidden/>
    <w:unhideWhenUsed/>
    <w:qFormat/>
    <w:rsid w:val="00D50969"/>
    <w:pPr>
      <w:keepNext/>
      <w:keepLines/>
      <w:spacing w:before="40" w:after="0"/>
      <w:outlineLvl w:val="6"/>
    </w:pPr>
    <w:rPr>
      <w:rFonts w:asciiTheme="majorHAnsi" w:eastAsiaTheme="majorEastAsia" w:hAnsiTheme="majorHAnsi" w:cstheme="majorBidi"/>
      <w:b/>
      <w:bCs/>
      <w:color w:val="69230B" w:themeColor="accent1" w:themeShade="80"/>
    </w:rPr>
  </w:style>
  <w:style w:type="paragraph" w:styleId="Heading8">
    <w:name w:val="heading 8"/>
    <w:basedOn w:val="Normal"/>
    <w:next w:val="Normal"/>
    <w:link w:val="Heading8Char"/>
    <w:uiPriority w:val="9"/>
    <w:semiHidden/>
    <w:unhideWhenUsed/>
    <w:qFormat/>
    <w:rsid w:val="00D50969"/>
    <w:pPr>
      <w:keepNext/>
      <w:keepLines/>
      <w:spacing w:before="40" w:after="0"/>
      <w:outlineLvl w:val="7"/>
    </w:pPr>
    <w:rPr>
      <w:rFonts w:asciiTheme="majorHAnsi" w:eastAsiaTheme="majorEastAsia" w:hAnsiTheme="majorHAnsi" w:cstheme="majorBidi"/>
      <w:b/>
      <w:bCs/>
      <w:i/>
      <w:iCs/>
      <w:color w:val="69230B" w:themeColor="accent1" w:themeShade="80"/>
    </w:rPr>
  </w:style>
  <w:style w:type="paragraph" w:styleId="Heading9">
    <w:name w:val="heading 9"/>
    <w:basedOn w:val="Normal"/>
    <w:next w:val="Normal"/>
    <w:link w:val="Heading9Char"/>
    <w:uiPriority w:val="9"/>
    <w:semiHidden/>
    <w:unhideWhenUsed/>
    <w:qFormat/>
    <w:rsid w:val="00D50969"/>
    <w:pPr>
      <w:keepNext/>
      <w:keepLines/>
      <w:spacing w:before="40" w:after="0"/>
      <w:outlineLvl w:val="8"/>
    </w:pPr>
    <w:rPr>
      <w:rFonts w:asciiTheme="majorHAnsi" w:eastAsiaTheme="majorEastAsia" w:hAnsiTheme="majorHAnsi" w:cstheme="majorBidi"/>
      <w:i/>
      <w:iCs/>
      <w:color w:val="69230B"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0969"/>
    <w:rPr>
      <w:rFonts w:asciiTheme="majorHAnsi" w:eastAsiaTheme="majorEastAsia" w:hAnsiTheme="majorHAnsi" w:cstheme="majorBidi"/>
      <w:color w:val="69230B" w:themeColor="accent1" w:themeShade="80"/>
      <w:sz w:val="36"/>
      <w:szCs w:val="36"/>
    </w:rPr>
  </w:style>
  <w:style w:type="character" w:customStyle="1" w:styleId="Heading2Char">
    <w:name w:val="Heading 2 Char"/>
    <w:basedOn w:val="DefaultParagraphFont"/>
    <w:link w:val="Heading2"/>
    <w:uiPriority w:val="9"/>
    <w:rsid w:val="00D50969"/>
    <w:rPr>
      <w:rFonts w:asciiTheme="majorHAnsi" w:eastAsiaTheme="majorEastAsia" w:hAnsiTheme="majorHAnsi" w:cstheme="majorBidi"/>
      <w:color w:val="9D3511" w:themeColor="accent1" w:themeShade="BF"/>
      <w:sz w:val="32"/>
      <w:szCs w:val="32"/>
    </w:rPr>
  </w:style>
  <w:style w:type="paragraph" w:styleId="Header">
    <w:name w:val="header"/>
    <w:basedOn w:val="Normal"/>
    <w:link w:val="HeaderChar"/>
    <w:uiPriority w:val="99"/>
    <w:unhideWhenUsed/>
    <w:rsid w:val="00E72B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2B0E"/>
    <w:rPr>
      <w:rFonts w:ascii="Times New Roman" w:hAnsi="Times New Roman"/>
      <w:sz w:val="24"/>
      <w:lang w:val="en-GB"/>
    </w:rPr>
  </w:style>
  <w:style w:type="paragraph" w:styleId="Footer">
    <w:name w:val="footer"/>
    <w:basedOn w:val="Normal"/>
    <w:link w:val="FooterChar"/>
    <w:uiPriority w:val="99"/>
    <w:unhideWhenUsed/>
    <w:rsid w:val="00E72B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2B0E"/>
    <w:rPr>
      <w:rFonts w:ascii="Times New Roman" w:hAnsi="Times New Roman"/>
      <w:sz w:val="24"/>
      <w:lang w:val="en-GB"/>
    </w:rPr>
  </w:style>
  <w:style w:type="paragraph" w:styleId="Caption">
    <w:name w:val="caption"/>
    <w:basedOn w:val="Normal"/>
    <w:next w:val="Normal"/>
    <w:uiPriority w:val="35"/>
    <w:unhideWhenUsed/>
    <w:qFormat/>
    <w:rsid w:val="00D50969"/>
    <w:pPr>
      <w:spacing w:line="240" w:lineRule="auto"/>
    </w:pPr>
    <w:rPr>
      <w:b/>
      <w:bCs/>
      <w:smallCaps/>
      <w:color w:val="696464" w:themeColor="text2"/>
    </w:rPr>
  </w:style>
  <w:style w:type="paragraph" w:styleId="TOCHeading">
    <w:name w:val="TOC Heading"/>
    <w:basedOn w:val="Heading1"/>
    <w:next w:val="Normal"/>
    <w:uiPriority w:val="39"/>
    <w:unhideWhenUsed/>
    <w:qFormat/>
    <w:rsid w:val="00D50969"/>
    <w:pPr>
      <w:outlineLvl w:val="9"/>
    </w:pPr>
  </w:style>
  <w:style w:type="paragraph" w:styleId="TOC1">
    <w:name w:val="toc 1"/>
    <w:basedOn w:val="Normal"/>
    <w:next w:val="Normal"/>
    <w:autoRedefine/>
    <w:uiPriority w:val="39"/>
    <w:unhideWhenUsed/>
    <w:rsid w:val="00D1734E"/>
    <w:pPr>
      <w:spacing w:after="100"/>
    </w:pPr>
  </w:style>
  <w:style w:type="character" w:styleId="Hyperlink">
    <w:name w:val="Hyperlink"/>
    <w:basedOn w:val="DefaultParagraphFont"/>
    <w:uiPriority w:val="99"/>
    <w:unhideWhenUsed/>
    <w:rsid w:val="00D1734E"/>
    <w:rPr>
      <w:color w:val="CC9900" w:themeColor="hyperlink"/>
      <w:u w:val="single"/>
    </w:rPr>
  </w:style>
  <w:style w:type="paragraph" w:styleId="NoSpacing">
    <w:name w:val="No Spacing"/>
    <w:link w:val="NoSpacingChar"/>
    <w:uiPriority w:val="1"/>
    <w:qFormat/>
    <w:rsid w:val="00D50969"/>
    <w:pPr>
      <w:spacing w:after="0" w:line="240" w:lineRule="auto"/>
    </w:pPr>
  </w:style>
  <w:style w:type="character" w:customStyle="1" w:styleId="NoSpacingChar">
    <w:name w:val="No Spacing Char"/>
    <w:basedOn w:val="DefaultParagraphFont"/>
    <w:link w:val="NoSpacing"/>
    <w:uiPriority w:val="1"/>
    <w:rsid w:val="00BF6A82"/>
  </w:style>
  <w:style w:type="paragraph" w:styleId="BalloonText">
    <w:name w:val="Balloon Text"/>
    <w:basedOn w:val="Normal"/>
    <w:link w:val="BalloonTextChar"/>
    <w:uiPriority w:val="99"/>
    <w:semiHidden/>
    <w:unhideWhenUsed/>
    <w:rsid w:val="00BF6A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6A82"/>
    <w:rPr>
      <w:rFonts w:ascii="Tahoma" w:hAnsi="Tahoma" w:cs="Tahoma"/>
      <w:sz w:val="16"/>
      <w:szCs w:val="16"/>
      <w:lang w:val="en-GB"/>
    </w:rPr>
  </w:style>
  <w:style w:type="character" w:customStyle="1" w:styleId="Heading3Char">
    <w:name w:val="Heading 3 Char"/>
    <w:basedOn w:val="DefaultParagraphFont"/>
    <w:link w:val="Heading3"/>
    <w:uiPriority w:val="9"/>
    <w:semiHidden/>
    <w:rsid w:val="00D50969"/>
    <w:rPr>
      <w:rFonts w:asciiTheme="majorHAnsi" w:eastAsiaTheme="majorEastAsia" w:hAnsiTheme="majorHAnsi" w:cstheme="majorBidi"/>
      <w:color w:val="9D3511" w:themeColor="accent1" w:themeShade="BF"/>
      <w:sz w:val="28"/>
      <w:szCs w:val="28"/>
    </w:rPr>
  </w:style>
  <w:style w:type="character" w:customStyle="1" w:styleId="Heading4Char">
    <w:name w:val="Heading 4 Char"/>
    <w:basedOn w:val="DefaultParagraphFont"/>
    <w:link w:val="Heading4"/>
    <w:uiPriority w:val="9"/>
    <w:semiHidden/>
    <w:rsid w:val="00D50969"/>
    <w:rPr>
      <w:rFonts w:asciiTheme="majorHAnsi" w:eastAsiaTheme="majorEastAsia" w:hAnsiTheme="majorHAnsi" w:cstheme="majorBidi"/>
      <w:color w:val="9D3511" w:themeColor="accent1" w:themeShade="BF"/>
      <w:sz w:val="24"/>
      <w:szCs w:val="24"/>
    </w:rPr>
  </w:style>
  <w:style w:type="character" w:customStyle="1" w:styleId="Heading5Char">
    <w:name w:val="Heading 5 Char"/>
    <w:basedOn w:val="DefaultParagraphFont"/>
    <w:link w:val="Heading5"/>
    <w:uiPriority w:val="9"/>
    <w:semiHidden/>
    <w:rsid w:val="00D50969"/>
    <w:rPr>
      <w:rFonts w:asciiTheme="majorHAnsi" w:eastAsiaTheme="majorEastAsia" w:hAnsiTheme="majorHAnsi" w:cstheme="majorBidi"/>
      <w:caps/>
      <w:color w:val="9D3511" w:themeColor="accent1" w:themeShade="BF"/>
    </w:rPr>
  </w:style>
  <w:style w:type="character" w:customStyle="1" w:styleId="Heading6Char">
    <w:name w:val="Heading 6 Char"/>
    <w:basedOn w:val="DefaultParagraphFont"/>
    <w:link w:val="Heading6"/>
    <w:uiPriority w:val="9"/>
    <w:semiHidden/>
    <w:rsid w:val="00D50969"/>
    <w:rPr>
      <w:rFonts w:asciiTheme="majorHAnsi" w:eastAsiaTheme="majorEastAsia" w:hAnsiTheme="majorHAnsi" w:cstheme="majorBidi"/>
      <w:i/>
      <w:iCs/>
      <w:caps/>
      <w:color w:val="69230B" w:themeColor="accent1" w:themeShade="80"/>
    </w:rPr>
  </w:style>
  <w:style w:type="character" w:customStyle="1" w:styleId="Heading7Char">
    <w:name w:val="Heading 7 Char"/>
    <w:basedOn w:val="DefaultParagraphFont"/>
    <w:link w:val="Heading7"/>
    <w:uiPriority w:val="9"/>
    <w:semiHidden/>
    <w:rsid w:val="00D50969"/>
    <w:rPr>
      <w:rFonts w:asciiTheme="majorHAnsi" w:eastAsiaTheme="majorEastAsia" w:hAnsiTheme="majorHAnsi" w:cstheme="majorBidi"/>
      <w:b/>
      <w:bCs/>
      <w:color w:val="69230B" w:themeColor="accent1" w:themeShade="80"/>
    </w:rPr>
  </w:style>
  <w:style w:type="character" w:customStyle="1" w:styleId="Heading8Char">
    <w:name w:val="Heading 8 Char"/>
    <w:basedOn w:val="DefaultParagraphFont"/>
    <w:link w:val="Heading8"/>
    <w:uiPriority w:val="9"/>
    <w:semiHidden/>
    <w:rsid w:val="00D50969"/>
    <w:rPr>
      <w:rFonts w:asciiTheme="majorHAnsi" w:eastAsiaTheme="majorEastAsia" w:hAnsiTheme="majorHAnsi" w:cstheme="majorBidi"/>
      <w:b/>
      <w:bCs/>
      <w:i/>
      <w:iCs/>
      <w:color w:val="69230B" w:themeColor="accent1" w:themeShade="80"/>
    </w:rPr>
  </w:style>
  <w:style w:type="character" w:customStyle="1" w:styleId="Heading9Char">
    <w:name w:val="Heading 9 Char"/>
    <w:basedOn w:val="DefaultParagraphFont"/>
    <w:link w:val="Heading9"/>
    <w:uiPriority w:val="9"/>
    <w:semiHidden/>
    <w:rsid w:val="00D50969"/>
    <w:rPr>
      <w:rFonts w:asciiTheme="majorHAnsi" w:eastAsiaTheme="majorEastAsia" w:hAnsiTheme="majorHAnsi" w:cstheme="majorBidi"/>
      <w:i/>
      <w:iCs/>
      <w:color w:val="69230B" w:themeColor="accent1" w:themeShade="80"/>
    </w:rPr>
  </w:style>
  <w:style w:type="paragraph" w:styleId="Title">
    <w:name w:val="Title"/>
    <w:basedOn w:val="Normal"/>
    <w:next w:val="Normal"/>
    <w:link w:val="TitleChar"/>
    <w:uiPriority w:val="10"/>
    <w:qFormat/>
    <w:rsid w:val="00D50969"/>
    <w:pPr>
      <w:spacing w:after="0" w:line="204" w:lineRule="auto"/>
      <w:contextualSpacing/>
    </w:pPr>
    <w:rPr>
      <w:rFonts w:asciiTheme="majorHAnsi" w:eastAsiaTheme="majorEastAsia" w:hAnsiTheme="majorHAnsi" w:cstheme="majorBidi"/>
      <w:caps/>
      <w:color w:val="696464" w:themeColor="text2"/>
      <w:spacing w:val="-15"/>
      <w:sz w:val="72"/>
      <w:szCs w:val="72"/>
    </w:rPr>
  </w:style>
  <w:style w:type="character" w:customStyle="1" w:styleId="TitleChar">
    <w:name w:val="Title Char"/>
    <w:basedOn w:val="DefaultParagraphFont"/>
    <w:link w:val="Title"/>
    <w:uiPriority w:val="10"/>
    <w:rsid w:val="00D50969"/>
    <w:rPr>
      <w:rFonts w:asciiTheme="majorHAnsi" w:eastAsiaTheme="majorEastAsia" w:hAnsiTheme="majorHAnsi" w:cstheme="majorBidi"/>
      <w:caps/>
      <w:color w:val="696464" w:themeColor="text2"/>
      <w:spacing w:val="-15"/>
      <w:sz w:val="72"/>
      <w:szCs w:val="72"/>
    </w:rPr>
  </w:style>
  <w:style w:type="paragraph" w:styleId="Subtitle">
    <w:name w:val="Subtitle"/>
    <w:basedOn w:val="Normal"/>
    <w:next w:val="Normal"/>
    <w:link w:val="SubtitleChar"/>
    <w:uiPriority w:val="11"/>
    <w:qFormat/>
    <w:rsid w:val="00D50969"/>
    <w:pPr>
      <w:numPr>
        <w:ilvl w:val="1"/>
      </w:numPr>
      <w:spacing w:after="240" w:line="240" w:lineRule="auto"/>
    </w:pPr>
    <w:rPr>
      <w:rFonts w:asciiTheme="majorHAnsi" w:eastAsiaTheme="majorEastAsia" w:hAnsiTheme="majorHAnsi" w:cstheme="majorBidi"/>
      <w:color w:val="D34817" w:themeColor="accent1"/>
      <w:sz w:val="28"/>
      <w:szCs w:val="28"/>
    </w:rPr>
  </w:style>
  <w:style w:type="character" w:customStyle="1" w:styleId="SubtitleChar">
    <w:name w:val="Subtitle Char"/>
    <w:basedOn w:val="DefaultParagraphFont"/>
    <w:link w:val="Subtitle"/>
    <w:uiPriority w:val="11"/>
    <w:rsid w:val="00D50969"/>
    <w:rPr>
      <w:rFonts w:asciiTheme="majorHAnsi" w:eastAsiaTheme="majorEastAsia" w:hAnsiTheme="majorHAnsi" w:cstheme="majorBidi"/>
      <w:color w:val="D34817" w:themeColor="accent1"/>
      <w:sz w:val="28"/>
      <w:szCs w:val="28"/>
    </w:rPr>
  </w:style>
  <w:style w:type="character" w:styleId="Strong">
    <w:name w:val="Strong"/>
    <w:basedOn w:val="DefaultParagraphFont"/>
    <w:uiPriority w:val="22"/>
    <w:qFormat/>
    <w:rsid w:val="00D50969"/>
    <w:rPr>
      <w:b/>
      <w:bCs/>
    </w:rPr>
  </w:style>
  <w:style w:type="character" w:styleId="Emphasis">
    <w:name w:val="Emphasis"/>
    <w:basedOn w:val="DefaultParagraphFont"/>
    <w:uiPriority w:val="20"/>
    <w:qFormat/>
    <w:rsid w:val="00D50969"/>
    <w:rPr>
      <w:i/>
      <w:iCs/>
    </w:rPr>
  </w:style>
  <w:style w:type="paragraph" w:styleId="Quote">
    <w:name w:val="Quote"/>
    <w:basedOn w:val="Normal"/>
    <w:next w:val="Normal"/>
    <w:link w:val="QuoteChar"/>
    <w:uiPriority w:val="29"/>
    <w:qFormat/>
    <w:rsid w:val="00D50969"/>
    <w:pPr>
      <w:spacing w:before="120" w:after="120"/>
      <w:ind w:left="720"/>
    </w:pPr>
    <w:rPr>
      <w:color w:val="696464" w:themeColor="text2"/>
      <w:sz w:val="24"/>
      <w:szCs w:val="24"/>
    </w:rPr>
  </w:style>
  <w:style w:type="character" w:customStyle="1" w:styleId="QuoteChar">
    <w:name w:val="Quote Char"/>
    <w:basedOn w:val="DefaultParagraphFont"/>
    <w:link w:val="Quote"/>
    <w:uiPriority w:val="29"/>
    <w:rsid w:val="00D50969"/>
    <w:rPr>
      <w:color w:val="696464" w:themeColor="text2"/>
      <w:sz w:val="24"/>
      <w:szCs w:val="24"/>
    </w:rPr>
  </w:style>
  <w:style w:type="paragraph" w:styleId="IntenseQuote">
    <w:name w:val="Intense Quote"/>
    <w:basedOn w:val="Normal"/>
    <w:next w:val="Normal"/>
    <w:link w:val="IntenseQuoteChar"/>
    <w:uiPriority w:val="30"/>
    <w:qFormat/>
    <w:rsid w:val="00D50969"/>
    <w:pPr>
      <w:spacing w:before="100" w:beforeAutospacing="1" w:after="240" w:line="240" w:lineRule="auto"/>
      <w:ind w:left="720"/>
      <w:jc w:val="center"/>
    </w:pPr>
    <w:rPr>
      <w:rFonts w:asciiTheme="majorHAnsi" w:eastAsiaTheme="majorEastAsia" w:hAnsiTheme="majorHAnsi" w:cstheme="majorBidi"/>
      <w:color w:val="696464" w:themeColor="text2"/>
      <w:spacing w:val="-6"/>
      <w:sz w:val="32"/>
      <w:szCs w:val="32"/>
    </w:rPr>
  </w:style>
  <w:style w:type="character" w:customStyle="1" w:styleId="IntenseQuoteChar">
    <w:name w:val="Intense Quote Char"/>
    <w:basedOn w:val="DefaultParagraphFont"/>
    <w:link w:val="IntenseQuote"/>
    <w:uiPriority w:val="30"/>
    <w:rsid w:val="00D50969"/>
    <w:rPr>
      <w:rFonts w:asciiTheme="majorHAnsi" w:eastAsiaTheme="majorEastAsia" w:hAnsiTheme="majorHAnsi" w:cstheme="majorBidi"/>
      <w:color w:val="696464" w:themeColor="text2"/>
      <w:spacing w:val="-6"/>
      <w:sz w:val="32"/>
      <w:szCs w:val="32"/>
    </w:rPr>
  </w:style>
  <w:style w:type="character" w:styleId="SubtleEmphasis">
    <w:name w:val="Subtle Emphasis"/>
    <w:basedOn w:val="DefaultParagraphFont"/>
    <w:uiPriority w:val="19"/>
    <w:qFormat/>
    <w:rsid w:val="00D50969"/>
    <w:rPr>
      <w:i/>
      <w:iCs/>
      <w:color w:val="595959" w:themeColor="text1" w:themeTint="A6"/>
    </w:rPr>
  </w:style>
  <w:style w:type="character" w:styleId="IntenseEmphasis">
    <w:name w:val="Intense Emphasis"/>
    <w:basedOn w:val="DefaultParagraphFont"/>
    <w:uiPriority w:val="21"/>
    <w:qFormat/>
    <w:rsid w:val="00D50969"/>
    <w:rPr>
      <w:b/>
      <w:bCs/>
      <w:i/>
      <w:iCs/>
    </w:rPr>
  </w:style>
  <w:style w:type="character" w:styleId="SubtleReference">
    <w:name w:val="Subtle Reference"/>
    <w:basedOn w:val="DefaultParagraphFont"/>
    <w:uiPriority w:val="31"/>
    <w:qFormat/>
    <w:rsid w:val="00D50969"/>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D50969"/>
    <w:rPr>
      <w:b/>
      <w:bCs/>
      <w:smallCaps/>
      <w:color w:val="696464" w:themeColor="text2"/>
      <w:u w:val="single"/>
    </w:rPr>
  </w:style>
  <w:style w:type="character" w:styleId="BookTitle">
    <w:name w:val="Book Title"/>
    <w:basedOn w:val="DefaultParagraphFont"/>
    <w:uiPriority w:val="33"/>
    <w:qFormat/>
    <w:rsid w:val="00D50969"/>
    <w:rPr>
      <w:b/>
      <w:bCs/>
      <w:smallCaps/>
      <w:spacing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yperlink" Target="https://www.emerald.com/insight/publication/issn/0262-1711" TargetMode="External"/><Relationship Id="rId3" Type="http://schemas.openxmlformats.org/officeDocument/2006/relationships/settings" Target="settings.xml"/><Relationship Id="rId7" Type="http://schemas.openxmlformats.org/officeDocument/2006/relationships/image" Target="media/image1.jpeg"/><Relationship Id="rId12" Type="http://schemas.microsoft.com/office/2007/relationships/diagramDrawing" Target="diagrams/drawing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diagramQuickStyle" Target="diagrams/quickStyle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CB3AD30-E3DD-4F18-B017-F765187596C5}" type="doc">
      <dgm:prSet loTypeId="urn:microsoft.com/office/officeart/2005/8/layout/lProcess2" loCatId="relationship" qsTypeId="urn:microsoft.com/office/officeart/2005/8/quickstyle/simple1" qsCatId="simple" csTypeId="urn:microsoft.com/office/officeart/2005/8/colors/colorful5" csCatId="colorful" phldr="1"/>
      <dgm:spPr/>
      <dgm:t>
        <a:bodyPr/>
        <a:lstStyle/>
        <a:p>
          <a:endParaRPr lang="en-IN"/>
        </a:p>
      </dgm:t>
    </dgm:pt>
    <dgm:pt modelId="{57FAF8FD-CE57-4E36-BEC1-8F6238947998}">
      <dgm:prSet phldrT="[Text]"/>
      <dgm:spPr/>
      <dgm:t>
        <a:bodyPr/>
        <a:lstStyle/>
        <a:p>
          <a:r>
            <a:rPr lang="en-IN" b="1"/>
            <a:t>Compensation</a:t>
          </a:r>
        </a:p>
      </dgm:t>
    </dgm:pt>
    <dgm:pt modelId="{D6F3D6D3-8077-42E5-999E-689A979D95E2}" type="parTrans" cxnId="{68628405-54EA-432C-B842-48104B82871D}">
      <dgm:prSet/>
      <dgm:spPr/>
      <dgm:t>
        <a:bodyPr/>
        <a:lstStyle/>
        <a:p>
          <a:endParaRPr lang="en-IN" b="1"/>
        </a:p>
      </dgm:t>
    </dgm:pt>
    <dgm:pt modelId="{E18B1065-724D-4A87-A997-C11F6906D2E6}" type="sibTrans" cxnId="{68628405-54EA-432C-B842-48104B82871D}">
      <dgm:prSet/>
      <dgm:spPr/>
      <dgm:t>
        <a:bodyPr/>
        <a:lstStyle/>
        <a:p>
          <a:endParaRPr lang="en-IN" b="1"/>
        </a:p>
      </dgm:t>
    </dgm:pt>
    <dgm:pt modelId="{E06B32D6-F91A-4F66-AE25-6E9E32ADC133}">
      <dgm:prSet phldrT="[Text]"/>
      <dgm:spPr/>
      <dgm:t>
        <a:bodyPr/>
        <a:lstStyle/>
        <a:p>
          <a:r>
            <a:rPr lang="en-IN" b="1"/>
            <a:t>Incentives for extra work</a:t>
          </a:r>
        </a:p>
      </dgm:t>
    </dgm:pt>
    <dgm:pt modelId="{CBB36D4C-1CB4-4001-93D6-6A7F326D1A04}" type="parTrans" cxnId="{BE513E2A-A1F3-41F8-BE2B-77A88C34CA92}">
      <dgm:prSet/>
      <dgm:spPr/>
      <dgm:t>
        <a:bodyPr/>
        <a:lstStyle/>
        <a:p>
          <a:endParaRPr lang="en-IN" b="1"/>
        </a:p>
      </dgm:t>
    </dgm:pt>
    <dgm:pt modelId="{AC2F6CF7-8DF4-486A-B3EE-D17439B303D1}" type="sibTrans" cxnId="{BE513E2A-A1F3-41F8-BE2B-77A88C34CA92}">
      <dgm:prSet/>
      <dgm:spPr/>
      <dgm:t>
        <a:bodyPr/>
        <a:lstStyle/>
        <a:p>
          <a:endParaRPr lang="en-IN" b="1"/>
        </a:p>
      </dgm:t>
    </dgm:pt>
    <dgm:pt modelId="{0F67A425-96C9-4F06-8F73-AD1D1FA27826}">
      <dgm:prSet phldrT="[Text]"/>
      <dgm:spPr/>
      <dgm:t>
        <a:bodyPr/>
        <a:lstStyle/>
        <a:p>
          <a:r>
            <a:rPr lang="en-IN" b="1"/>
            <a:t>Increment based on performance</a:t>
          </a:r>
        </a:p>
      </dgm:t>
    </dgm:pt>
    <dgm:pt modelId="{4DD37617-22D8-48B6-B02B-DB5D9DEB7200}" type="parTrans" cxnId="{96B915B3-BC64-4F14-B1ED-8E995599A646}">
      <dgm:prSet/>
      <dgm:spPr/>
      <dgm:t>
        <a:bodyPr/>
        <a:lstStyle/>
        <a:p>
          <a:endParaRPr lang="en-IN" b="1"/>
        </a:p>
      </dgm:t>
    </dgm:pt>
    <dgm:pt modelId="{7CB40311-6F3E-418C-B5C5-2156F776ADF4}" type="sibTrans" cxnId="{96B915B3-BC64-4F14-B1ED-8E995599A646}">
      <dgm:prSet/>
      <dgm:spPr/>
      <dgm:t>
        <a:bodyPr/>
        <a:lstStyle/>
        <a:p>
          <a:endParaRPr lang="en-IN" b="1"/>
        </a:p>
      </dgm:t>
    </dgm:pt>
    <dgm:pt modelId="{34494DB4-3BDD-4E09-BC3C-748F643369BD}">
      <dgm:prSet phldrT="[Text]"/>
      <dgm:spPr/>
      <dgm:t>
        <a:bodyPr/>
        <a:lstStyle/>
        <a:p>
          <a:r>
            <a:rPr lang="en-IN" b="1"/>
            <a:t>Benefits</a:t>
          </a:r>
        </a:p>
      </dgm:t>
    </dgm:pt>
    <dgm:pt modelId="{1A9A0D15-759F-4E35-BB21-9B888AB07C03}" type="parTrans" cxnId="{6A0C7518-FF59-4DFB-A338-EBEE207009DE}">
      <dgm:prSet/>
      <dgm:spPr/>
      <dgm:t>
        <a:bodyPr/>
        <a:lstStyle/>
        <a:p>
          <a:endParaRPr lang="en-IN" b="1"/>
        </a:p>
      </dgm:t>
    </dgm:pt>
    <dgm:pt modelId="{C2C23B32-9ECC-4B8E-A801-229DB811260B}" type="sibTrans" cxnId="{6A0C7518-FF59-4DFB-A338-EBEE207009DE}">
      <dgm:prSet/>
      <dgm:spPr/>
      <dgm:t>
        <a:bodyPr/>
        <a:lstStyle/>
        <a:p>
          <a:endParaRPr lang="en-IN" b="1"/>
        </a:p>
      </dgm:t>
    </dgm:pt>
    <dgm:pt modelId="{A861B732-7118-46DF-90C9-A847B487DF5F}">
      <dgm:prSet phldrT="[Text]"/>
      <dgm:spPr/>
      <dgm:t>
        <a:bodyPr/>
        <a:lstStyle/>
        <a:p>
          <a:r>
            <a:rPr lang="en-IN" b="1"/>
            <a:t>Health benefits </a:t>
          </a:r>
        </a:p>
      </dgm:t>
    </dgm:pt>
    <dgm:pt modelId="{E94975A4-97F2-44E5-9E27-1B6453457106}" type="parTrans" cxnId="{CC4B0FBE-FAD9-4A89-9C96-9D4909B228BF}">
      <dgm:prSet/>
      <dgm:spPr/>
      <dgm:t>
        <a:bodyPr/>
        <a:lstStyle/>
        <a:p>
          <a:endParaRPr lang="en-IN" b="1"/>
        </a:p>
      </dgm:t>
    </dgm:pt>
    <dgm:pt modelId="{C57BF0E9-5E4A-4834-B7E1-4AA0832C14D9}" type="sibTrans" cxnId="{CC4B0FBE-FAD9-4A89-9C96-9D4909B228BF}">
      <dgm:prSet/>
      <dgm:spPr/>
      <dgm:t>
        <a:bodyPr/>
        <a:lstStyle/>
        <a:p>
          <a:endParaRPr lang="en-IN" b="1"/>
        </a:p>
      </dgm:t>
    </dgm:pt>
    <dgm:pt modelId="{CFAE03B8-ACA1-4377-8DD2-B5229C079373}">
      <dgm:prSet phldrT="[Text]"/>
      <dgm:spPr/>
      <dgm:t>
        <a:bodyPr/>
        <a:lstStyle/>
        <a:p>
          <a:r>
            <a:rPr lang="en-IN" b="1"/>
            <a:t>Recreational facilities</a:t>
          </a:r>
        </a:p>
      </dgm:t>
    </dgm:pt>
    <dgm:pt modelId="{541AEDBF-7394-4E3D-B34E-1E417D003204}" type="parTrans" cxnId="{8D4906AE-68F2-453A-B348-8764CFA4FCF0}">
      <dgm:prSet/>
      <dgm:spPr/>
      <dgm:t>
        <a:bodyPr/>
        <a:lstStyle/>
        <a:p>
          <a:endParaRPr lang="en-IN" b="1"/>
        </a:p>
      </dgm:t>
    </dgm:pt>
    <dgm:pt modelId="{9A09F99B-16F6-4262-9A11-9876F55C1DBF}" type="sibTrans" cxnId="{8D4906AE-68F2-453A-B348-8764CFA4FCF0}">
      <dgm:prSet/>
      <dgm:spPr/>
      <dgm:t>
        <a:bodyPr/>
        <a:lstStyle/>
        <a:p>
          <a:endParaRPr lang="en-IN" b="1"/>
        </a:p>
      </dgm:t>
    </dgm:pt>
    <dgm:pt modelId="{7CAD891D-EF03-46A9-B394-F62108D5D753}">
      <dgm:prSet phldrT="[Text]"/>
      <dgm:spPr/>
      <dgm:t>
        <a:bodyPr/>
        <a:lstStyle/>
        <a:p>
          <a:r>
            <a:rPr lang="en-IN" b="1"/>
            <a:t>Career</a:t>
          </a:r>
        </a:p>
      </dgm:t>
    </dgm:pt>
    <dgm:pt modelId="{F5E59623-E573-46D1-B588-706DD10071DC}" type="parTrans" cxnId="{78BD02A1-CB06-4D1D-8A52-D305A09752E1}">
      <dgm:prSet/>
      <dgm:spPr/>
      <dgm:t>
        <a:bodyPr/>
        <a:lstStyle/>
        <a:p>
          <a:endParaRPr lang="en-IN" b="1"/>
        </a:p>
      </dgm:t>
    </dgm:pt>
    <dgm:pt modelId="{6EEFEDA7-38E3-45D9-8803-C6EA3A529DD5}" type="sibTrans" cxnId="{78BD02A1-CB06-4D1D-8A52-D305A09752E1}">
      <dgm:prSet/>
      <dgm:spPr/>
      <dgm:t>
        <a:bodyPr/>
        <a:lstStyle/>
        <a:p>
          <a:endParaRPr lang="en-IN" b="1"/>
        </a:p>
      </dgm:t>
    </dgm:pt>
    <dgm:pt modelId="{B56BB250-8262-4178-8B92-E7E9D54DB90E}">
      <dgm:prSet phldrT="[Text]"/>
      <dgm:spPr/>
      <dgm:t>
        <a:bodyPr/>
        <a:lstStyle/>
        <a:p>
          <a:r>
            <a:rPr lang="en-IN" b="1"/>
            <a:t>Promotion based on work quality </a:t>
          </a:r>
        </a:p>
      </dgm:t>
    </dgm:pt>
    <dgm:pt modelId="{D09FD26A-74BD-4756-A26A-EB61FA43C43E}" type="parTrans" cxnId="{89EE4E6F-0234-42D7-8AA8-0A13042DD114}">
      <dgm:prSet/>
      <dgm:spPr/>
      <dgm:t>
        <a:bodyPr/>
        <a:lstStyle/>
        <a:p>
          <a:endParaRPr lang="en-IN" b="1"/>
        </a:p>
      </dgm:t>
    </dgm:pt>
    <dgm:pt modelId="{0BE3DF63-2712-4FB2-BA32-BE617372D507}" type="sibTrans" cxnId="{89EE4E6F-0234-42D7-8AA8-0A13042DD114}">
      <dgm:prSet/>
      <dgm:spPr/>
      <dgm:t>
        <a:bodyPr/>
        <a:lstStyle/>
        <a:p>
          <a:endParaRPr lang="en-IN" b="1"/>
        </a:p>
      </dgm:t>
    </dgm:pt>
    <dgm:pt modelId="{2050CAA6-574F-4FBC-8851-2B596701ACC2}">
      <dgm:prSet phldrT="[Text]"/>
      <dgm:spPr/>
      <dgm:t>
        <a:bodyPr/>
        <a:lstStyle/>
        <a:p>
          <a:r>
            <a:rPr lang="en-IN" b="1"/>
            <a:t>Training for learning advanced skills</a:t>
          </a:r>
        </a:p>
      </dgm:t>
    </dgm:pt>
    <dgm:pt modelId="{930A66FF-158A-4249-A489-741A68C43646}" type="parTrans" cxnId="{18DE4CEB-10A4-42A3-965B-1406F7B75FE1}">
      <dgm:prSet/>
      <dgm:spPr/>
      <dgm:t>
        <a:bodyPr/>
        <a:lstStyle/>
        <a:p>
          <a:endParaRPr lang="en-IN" b="1"/>
        </a:p>
      </dgm:t>
    </dgm:pt>
    <dgm:pt modelId="{43DF7DBE-9D1F-4787-B670-CFD62D68FCFB}" type="sibTrans" cxnId="{18DE4CEB-10A4-42A3-965B-1406F7B75FE1}">
      <dgm:prSet/>
      <dgm:spPr/>
      <dgm:t>
        <a:bodyPr/>
        <a:lstStyle/>
        <a:p>
          <a:endParaRPr lang="en-IN" b="1"/>
        </a:p>
      </dgm:t>
    </dgm:pt>
    <dgm:pt modelId="{6A40A5E9-3BFD-45C4-8F69-C99C25997162}">
      <dgm:prSet phldrT="[Text]"/>
      <dgm:spPr/>
      <dgm:t>
        <a:bodyPr/>
        <a:lstStyle/>
        <a:p>
          <a:r>
            <a:rPr lang="en-IN" b="1"/>
            <a:t>Culture</a:t>
          </a:r>
        </a:p>
      </dgm:t>
    </dgm:pt>
    <dgm:pt modelId="{BA0482F1-C2F9-4A93-B334-620D94F8D2B4}" type="parTrans" cxnId="{FA5EC99C-37B1-4F59-8B4F-D17921B3F7AB}">
      <dgm:prSet/>
      <dgm:spPr/>
      <dgm:t>
        <a:bodyPr/>
        <a:lstStyle/>
        <a:p>
          <a:endParaRPr lang="en-IN" b="1"/>
        </a:p>
      </dgm:t>
    </dgm:pt>
    <dgm:pt modelId="{2451AFE3-22A8-4343-8DE9-391CE6C09A51}" type="sibTrans" cxnId="{FA5EC99C-37B1-4F59-8B4F-D17921B3F7AB}">
      <dgm:prSet/>
      <dgm:spPr/>
      <dgm:t>
        <a:bodyPr/>
        <a:lstStyle/>
        <a:p>
          <a:endParaRPr lang="en-IN" b="1"/>
        </a:p>
      </dgm:t>
    </dgm:pt>
    <dgm:pt modelId="{F3659DC6-7F77-421B-9231-CFBB5CBA1C17}">
      <dgm:prSet phldrT="[Text]"/>
      <dgm:spPr/>
      <dgm:t>
        <a:bodyPr/>
        <a:lstStyle/>
        <a:p>
          <a:r>
            <a:rPr lang="en-IN" b="1"/>
            <a:t>Teamwork</a:t>
          </a:r>
        </a:p>
      </dgm:t>
    </dgm:pt>
    <dgm:pt modelId="{03C8F642-35D0-4058-B9E8-A67617D67A1F}" type="parTrans" cxnId="{E4CBC4C3-94E6-479E-AFBA-86E9D043A3B2}">
      <dgm:prSet/>
      <dgm:spPr/>
      <dgm:t>
        <a:bodyPr/>
        <a:lstStyle/>
        <a:p>
          <a:endParaRPr lang="en-IN" b="1"/>
        </a:p>
      </dgm:t>
    </dgm:pt>
    <dgm:pt modelId="{873B3580-97E5-459C-815C-A653B13BF89A}" type="sibTrans" cxnId="{E4CBC4C3-94E6-479E-AFBA-86E9D043A3B2}">
      <dgm:prSet/>
      <dgm:spPr/>
      <dgm:t>
        <a:bodyPr/>
        <a:lstStyle/>
        <a:p>
          <a:endParaRPr lang="en-IN" b="1"/>
        </a:p>
      </dgm:t>
    </dgm:pt>
    <dgm:pt modelId="{AE9ADC70-2CF0-4A91-A6FA-D92C842F4E91}">
      <dgm:prSet phldrT="[Text]"/>
      <dgm:spPr/>
      <dgm:t>
        <a:bodyPr/>
        <a:lstStyle/>
        <a:p>
          <a:r>
            <a:rPr lang="en-IN" b="1"/>
            <a:t>Focusing on organisational values</a:t>
          </a:r>
        </a:p>
      </dgm:t>
    </dgm:pt>
    <dgm:pt modelId="{9CB3B564-BEBC-49E7-938C-7EDC2E7A6653}" type="parTrans" cxnId="{E2809E87-E814-4440-92CF-EBA7E23D6156}">
      <dgm:prSet/>
      <dgm:spPr/>
      <dgm:t>
        <a:bodyPr/>
        <a:lstStyle/>
        <a:p>
          <a:endParaRPr lang="en-IN" b="1"/>
        </a:p>
      </dgm:t>
    </dgm:pt>
    <dgm:pt modelId="{0CEC7402-2EF4-421F-AECF-3A29769593C9}" type="sibTrans" cxnId="{E2809E87-E814-4440-92CF-EBA7E23D6156}">
      <dgm:prSet/>
      <dgm:spPr/>
      <dgm:t>
        <a:bodyPr/>
        <a:lstStyle/>
        <a:p>
          <a:endParaRPr lang="en-IN" b="1"/>
        </a:p>
      </dgm:t>
    </dgm:pt>
    <dgm:pt modelId="{94ACA8A2-B58A-4E86-8AA6-661336CF350D}" type="pres">
      <dgm:prSet presAssocID="{6CB3AD30-E3DD-4F18-B017-F765187596C5}" presName="theList" presStyleCnt="0">
        <dgm:presLayoutVars>
          <dgm:dir/>
          <dgm:animLvl val="lvl"/>
          <dgm:resizeHandles val="exact"/>
        </dgm:presLayoutVars>
      </dgm:prSet>
      <dgm:spPr/>
    </dgm:pt>
    <dgm:pt modelId="{CD268EF8-DA2B-47DA-B547-A14A2BFE085A}" type="pres">
      <dgm:prSet presAssocID="{57FAF8FD-CE57-4E36-BEC1-8F6238947998}" presName="compNode" presStyleCnt="0"/>
      <dgm:spPr/>
    </dgm:pt>
    <dgm:pt modelId="{823DC8A8-94B6-4E26-B48A-14860EF16381}" type="pres">
      <dgm:prSet presAssocID="{57FAF8FD-CE57-4E36-BEC1-8F6238947998}" presName="aNode" presStyleLbl="bgShp" presStyleIdx="0" presStyleCnt="4"/>
      <dgm:spPr/>
    </dgm:pt>
    <dgm:pt modelId="{21F39B42-0352-4A3F-995C-0EE137EDEAEC}" type="pres">
      <dgm:prSet presAssocID="{57FAF8FD-CE57-4E36-BEC1-8F6238947998}" presName="textNode" presStyleLbl="bgShp" presStyleIdx="0" presStyleCnt="4"/>
      <dgm:spPr/>
    </dgm:pt>
    <dgm:pt modelId="{8D93AD8E-4874-4CA6-9617-1AFC57128B17}" type="pres">
      <dgm:prSet presAssocID="{57FAF8FD-CE57-4E36-BEC1-8F6238947998}" presName="compChildNode" presStyleCnt="0"/>
      <dgm:spPr/>
    </dgm:pt>
    <dgm:pt modelId="{960F3565-4B09-4801-9ACF-4ACB2E822A34}" type="pres">
      <dgm:prSet presAssocID="{57FAF8FD-CE57-4E36-BEC1-8F6238947998}" presName="theInnerList" presStyleCnt="0"/>
      <dgm:spPr/>
    </dgm:pt>
    <dgm:pt modelId="{6C4CE617-9D13-457F-8ED4-B3475A7369A8}" type="pres">
      <dgm:prSet presAssocID="{E06B32D6-F91A-4F66-AE25-6E9E32ADC133}" presName="childNode" presStyleLbl="node1" presStyleIdx="0" presStyleCnt="8">
        <dgm:presLayoutVars>
          <dgm:bulletEnabled val="1"/>
        </dgm:presLayoutVars>
      </dgm:prSet>
      <dgm:spPr/>
    </dgm:pt>
    <dgm:pt modelId="{8581C368-B884-475A-8CAA-22586B576088}" type="pres">
      <dgm:prSet presAssocID="{E06B32D6-F91A-4F66-AE25-6E9E32ADC133}" presName="aSpace2" presStyleCnt="0"/>
      <dgm:spPr/>
    </dgm:pt>
    <dgm:pt modelId="{BA265658-86AA-48C8-98AF-AAB4894A1D56}" type="pres">
      <dgm:prSet presAssocID="{0F67A425-96C9-4F06-8F73-AD1D1FA27826}" presName="childNode" presStyleLbl="node1" presStyleIdx="1" presStyleCnt="8">
        <dgm:presLayoutVars>
          <dgm:bulletEnabled val="1"/>
        </dgm:presLayoutVars>
      </dgm:prSet>
      <dgm:spPr/>
    </dgm:pt>
    <dgm:pt modelId="{8B9C2049-B271-4565-BC1C-9B518AC5B5F0}" type="pres">
      <dgm:prSet presAssocID="{57FAF8FD-CE57-4E36-BEC1-8F6238947998}" presName="aSpace" presStyleCnt="0"/>
      <dgm:spPr/>
    </dgm:pt>
    <dgm:pt modelId="{4D44B58A-D905-4EBD-A773-C2D147F1D539}" type="pres">
      <dgm:prSet presAssocID="{34494DB4-3BDD-4E09-BC3C-748F643369BD}" presName="compNode" presStyleCnt="0"/>
      <dgm:spPr/>
    </dgm:pt>
    <dgm:pt modelId="{13059641-3056-4466-9B12-1F74F5A3350E}" type="pres">
      <dgm:prSet presAssocID="{34494DB4-3BDD-4E09-BC3C-748F643369BD}" presName="aNode" presStyleLbl="bgShp" presStyleIdx="1" presStyleCnt="4"/>
      <dgm:spPr/>
    </dgm:pt>
    <dgm:pt modelId="{874A2FB5-8115-4AB1-865E-ABFF656D6CC6}" type="pres">
      <dgm:prSet presAssocID="{34494DB4-3BDD-4E09-BC3C-748F643369BD}" presName="textNode" presStyleLbl="bgShp" presStyleIdx="1" presStyleCnt="4"/>
      <dgm:spPr/>
    </dgm:pt>
    <dgm:pt modelId="{91F18E38-F26D-4A6E-85D3-416CAACE4701}" type="pres">
      <dgm:prSet presAssocID="{34494DB4-3BDD-4E09-BC3C-748F643369BD}" presName="compChildNode" presStyleCnt="0"/>
      <dgm:spPr/>
    </dgm:pt>
    <dgm:pt modelId="{5F08838B-7C7C-48D7-BB3D-736C5846E1C8}" type="pres">
      <dgm:prSet presAssocID="{34494DB4-3BDD-4E09-BC3C-748F643369BD}" presName="theInnerList" presStyleCnt="0"/>
      <dgm:spPr/>
    </dgm:pt>
    <dgm:pt modelId="{6B116658-415B-4293-BBD7-91C6B704BB4A}" type="pres">
      <dgm:prSet presAssocID="{A861B732-7118-46DF-90C9-A847B487DF5F}" presName="childNode" presStyleLbl="node1" presStyleIdx="2" presStyleCnt="8">
        <dgm:presLayoutVars>
          <dgm:bulletEnabled val="1"/>
        </dgm:presLayoutVars>
      </dgm:prSet>
      <dgm:spPr/>
    </dgm:pt>
    <dgm:pt modelId="{F980EF97-21EC-4869-8B2E-2FBDD5C1F962}" type="pres">
      <dgm:prSet presAssocID="{A861B732-7118-46DF-90C9-A847B487DF5F}" presName="aSpace2" presStyleCnt="0"/>
      <dgm:spPr/>
    </dgm:pt>
    <dgm:pt modelId="{BDEC3D11-7122-4661-8190-2AEEA4687095}" type="pres">
      <dgm:prSet presAssocID="{CFAE03B8-ACA1-4377-8DD2-B5229C079373}" presName="childNode" presStyleLbl="node1" presStyleIdx="3" presStyleCnt="8">
        <dgm:presLayoutVars>
          <dgm:bulletEnabled val="1"/>
        </dgm:presLayoutVars>
      </dgm:prSet>
      <dgm:spPr/>
    </dgm:pt>
    <dgm:pt modelId="{13D07C54-8096-4EF6-A6FF-ECC99A6F055B}" type="pres">
      <dgm:prSet presAssocID="{34494DB4-3BDD-4E09-BC3C-748F643369BD}" presName="aSpace" presStyleCnt="0"/>
      <dgm:spPr/>
    </dgm:pt>
    <dgm:pt modelId="{D02F17F8-B2F5-45F2-A87F-1D211A590976}" type="pres">
      <dgm:prSet presAssocID="{7CAD891D-EF03-46A9-B394-F62108D5D753}" presName="compNode" presStyleCnt="0"/>
      <dgm:spPr/>
    </dgm:pt>
    <dgm:pt modelId="{5DE0F6EE-7C64-431F-AAB8-69208C409B74}" type="pres">
      <dgm:prSet presAssocID="{7CAD891D-EF03-46A9-B394-F62108D5D753}" presName="aNode" presStyleLbl="bgShp" presStyleIdx="2" presStyleCnt="4"/>
      <dgm:spPr/>
    </dgm:pt>
    <dgm:pt modelId="{B04AAE32-5020-4977-AFA5-8D8347237D7B}" type="pres">
      <dgm:prSet presAssocID="{7CAD891D-EF03-46A9-B394-F62108D5D753}" presName="textNode" presStyleLbl="bgShp" presStyleIdx="2" presStyleCnt="4"/>
      <dgm:spPr/>
    </dgm:pt>
    <dgm:pt modelId="{5F49A945-C2D8-4DEC-8CF8-5F5D5C80A1F8}" type="pres">
      <dgm:prSet presAssocID="{7CAD891D-EF03-46A9-B394-F62108D5D753}" presName="compChildNode" presStyleCnt="0"/>
      <dgm:spPr/>
    </dgm:pt>
    <dgm:pt modelId="{5A35D8AD-E5BB-45E7-BA7F-743FBC2ECA91}" type="pres">
      <dgm:prSet presAssocID="{7CAD891D-EF03-46A9-B394-F62108D5D753}" presName="theInnerList" presStyleCnt="0"/>
      <dgm:spPr/>
    </dgm:pt>
    <dgm:pt modelId="{02C5E15D-151D-4F6E-BC06-190B1DD10924}" type="pres">
      <dgm:prSet presAssocID="{B56BB250-8262-4178-8B92-E7E9D54DB90E}" presName="childNode" presStyleLbl="node1" presStyleIdx="4" presStyleCnt="8">
        <dgm:presLayoutVars>
          <dgm:bulletEnabled val="1"/>
        </dgm:presLayoutVars>
      </dgm:prSet>
      <dgm:spPr/>
    </dgm:pt>
    <dgm:pt modelId="{72068360-BC26-4495-B8AE-B55654AE200A}" type="pres">
      <dgm:prSet presAssocID="{B56BB250-8262-4178-8B92-E7E9D54DB90E}" presName="aSpace2" presStyleCnt="0"/>
      <dgm:spPr/>
    </dgm:pt>
    <dgm:pt modelId="{01CABCFD-663A-46AF-818F-7631EC6D39C9}" type="pres">
      <dgm:prSet presAssocID="{2050CAA6-574F-4FBC-8851-2B596701ACC2}" presName="childNode" presStyleLbl="node1" presStyleIdx="5" presStyleCnt="8">
        <dgm:presLayoutVars>
          <dgm:bulletEnabled val="1"/>
        </dgm:presLayoutVars>
      </dgm:prSet>
      <dgm:spPr/>
    </dgm:pt>
    <dgm:pt modelId="{A9F32EEA-AB23-4CE4-B3EC-27E6C1D98F48}" type="pres">
      <dgm:prSet presAssocID="{7CAD891D-EF03-46A9-B394-F62108D5D753}" presName="aSpace" presStyleCnt="0"/>
      <dgm:spPr/>
    </dgm:pt>
    <dgm:pt modelId="{D94EEEF6-2C80-4D32-9E08-BDF2DF251A04}" type="pres">
      <dgm:prSet presAssocID="{6A40A5E9-3BFD-45C4-8F69-C99C25997162}" presName="compNode" presStyleCnt="0"/>
      <dgm:spPr/>
    </dgm:pt>
    <dgm:pt modelId="{FA5B094C-083E-459B-A10B-D7E84522D869}" type="pres">
      <dgm:prSet presAssocID="{6A40A5E9-3BFD-45C4-8F69-C99C25997162}" presName="aNode" presStyleLbl="bgShp" presStyleIdx="3" presStyleCnt="4"/>
      <dgm:spPr/>
    </dgm:pt>
    <dgm:pt modelId="{55334DE4-3D33-4208-AD06-EDCED18D070C}" type="pres">
      <dgm:prSet presAssocID="{6A40A5E9-3BFD-45C4-8F69-C99C25997162}" presName="textNode" presStyleLbl="bgShp" presStyleIdx="3" presStyleCnt="4"/>
      <dgm:spPr/>
    </dgm:pt>
    <dgm:pt modelId="{4BBDC3C9-9FDF-4944-9E01-EC931A640D32}" type="pres">
      <dgm:prSet presAssocID="{6A40A5E9-3BFD-45C4-8F69-C99C25997162}" presName="compChildNode" presStyleCnt="0"/>
      <dgm:spPr/>
    </dgm:pt>
    <dgm:pt modelId="{70E151C4-D9E5-4114-A450-98A32FCCE457}" type="pres">
      <dgm:prSet presAssocID="{6A40A5E9-3BFD-45C4-8F69-C99C25997162}" presName="theInnerList" presStyleCnt="0"/>
      <dgm:spPr/>
    </dgm:pt>
    <dgm:pt modelId="{14A0C149-59FD-490A-9AB3-AA16C82A7F0E}" type="pres">
      <dgm:prSet presAssocID="{F3659DC6-7F77-421B-9231-CFBB5CBA1C17}" presName="childNode" presStyleLbl="node1" presStyleIdx="6" presStyleCnt="8">
        <dgm:presLayoutVars>
          <dgm:bulletEnabled val="1"/>
        </dgm:presLayoutVars>
      </dgm:prSet>
      <dgm:spPr/>
    </dgm:pt>
    <dgm:pt modelId="{B3F89F8A-16DD-4466-A7A0-649D7CC3B61D}" type="pres">
      <dgm:prSet presAssocID="{F3659DC6-7F77-421B-9231-CFBB5CBA1C17}" presName="aSpace2" presStyleCnt="0"/>
      <dgm:spPr/>
    </dgm:pt>
    <dgm:pt modelId="{18043F79-4AA4-4887-B4DA-2A1FDFC395C4}" type="pres">
      <dgm:prSet presAssocID="{AE9ADC70-2CF0-4A91-A6FA-D92C842F4E91}" presName="childNode" presStyleLbl="node1" presStyleIdx="7" presStyleCnt="8">
        <dgm:presLayoutVars>
          <dgm:bulletEnabled val="1"/>
        </dgm:presLayoutVars>
      </dgm:prSet>
      <dgm:spPr/>
    </dgm:pt>
  </dgm:ptLst>
  <dgm:cxnLst>
    <dgm:cxn modelId="{68628405-54EA-432C-B842-48104B82871D}" srcId="{6CB3AD30-E3DD-4F18-B017-F765187596C5}" destId="{57FAF8FD-CE57-4E36-BEC1-8F6238947998}" srcOrd="0" destOrd="0" parTransId="{D6F3D6D3-8077-42E5-999E-689A979D95E2}" sibTransId="{E18B1065-724D-4A87-A997-C11F6906D2E6}"/>
    <dgm:cxn modelId="{6B317C07-BD0D-4BCF-B210-206648DEAF43}" type="presOf" srcId="{CFAE03B8-ACA1-4377-8DD2-B5229C079373}" destId="{BDEC3D11-7122-4661-8190-2AEEA4687095}" srcOrd="0" destOrd="0" presId="urn:microsoft.com/office/officeart/2005/8/layout/lProcess2"/>
    <dgm:cxn modelId="{6A0C7518-FF59-4DFB-A338-EBEE207009DE}" srcId="{6CB3AD30-E3DD-4F18-B017-F765187596C5}" destId="{34494DB4-3BDD-4E09-BC3C-748F643369BD}" srcOrd="1" destOrd="0" parTransId="{1A9A0D15-759F-4E35-BB21-9B888AB07C03}" sibTransId="{C2C23B32-9ECC-4B8E-A801-229DB811260B}"/>
    <dgm:cxn modelId="{FC13071A-636D-4279-BF70-A68F5D0AC974}" type="presOf" srcId="{57FAF8FD-CE57-4E36-BEC1-8F6238947998}" destId="{823DC8A8-94B6-4E26-B48A-14860EF16381}" srcOrd="0" destOrd="0" presId="urn:microsoft.com/office/officeart/2005/8/layout/lProcess2"/>
    <dgm:cxn modelId="{7DFCFA1F-CAF7-4F46-8F4D-ECB95FC53DE1}" type="presOf" srcId="{6A40A5E9-3BFD-45C4-8F69-C99C25997162}" destId="{55334DE4-3D33-4208-AD06-EDCED18D070C}" srcOrd="1" destOrd="0" presId="urn:microsoft.com/office/officeart/2005/8/layout/lProcess2"/>
    <dgm:cxn modelId="{BE513E2A-A1F3-41F8-BE2B-77A88C34CA92}" srcId="{57FAF8FD-CE57-4E36-BEC1-8F6238947998}" destId="{E06B32D6-F91A-4F66-AE25-6E9E32ADC133}" srcOrd="0" destOrd="0" parTransId="{CBB36D4C-1CB4-4001-93D6-6A7F326D1A04}" sibTransId="{AC2F6CF7-8DF4-486A-B3EE-D17439B303D1}"/>
    <dgm:cxn modelId="{E0E3563A-D41D-4A59-893F-0D86B6D70727}" type="presOf" srcId="{A861B732-7118-46DF-90C9-A847B487DF5F}" destId="{6B116658-415B-4293-BBD7-91C6B704BB4A}" srcOrd="0" destOrd="0" presId="urn:microsoft.com/office/officeart/2005/8/layout/lProcess2"/>
    <dgm:cxn modelId="{90256B45-9FA5-4086-BA1C-86D90BDB9E4C}" type="presOf" srcId="{AE9ADC70-2CF0-4A91-A6FA-D92C842F4E91}" destId="{18043F79-4AA4-4887-B4DA-2A1FDFC395C4}" srcOrd="0" destOrd="0" presId="urn:microsoft.com/office/officeart/2005/8/layout/lProcess2"/>
    <dgm:cxn modelId="{22A0806B-375E-44A1-8F9E-6869EF90C191}" type="presOf" srcId="{B56BB250-8262-4178-8B92-E7E9D54DB90E}" destId="{02C5E15D-151D-4F6E-BC06-190B1DD10924}" srcOrd="0" destOrd="0" presId="urn:microsoft.com/office/officeart/2005/8/layout/lProcess2"/>
    <dgm:cxn modelId="{125A6D4E-63AC-41AF-B9C0-AA90193545F1}" type="presOf" srcId="{7CAD891D-EF03-46A9-B394-F62108D5D753}" destId="{B04AAE32-5020-4977-AFA5-8D8347237D7B}" srcOrd="1" destOrd="0" presId="urn:microsoft.com/office/officeart/2005/8/layout/lProcess2"/>
    <dgm:cxn modelId="{89EE4E6F-0234-42D7-8AA8-0A13042DD114}" srcId="{7CAD891D-EF03-46A9-B394-F62108D5D753}" destId="{B56BB250-8262-4178-8B92-E7E9D54DB90E}" srcOrd="0" destOrd="0" parTransId="{D09FD26A-74BD-4756-A26A-EB61FA43C43E}" sibTransId="{0BE3DF63-2712-4FB2-BA32-BE617372D507}"/>
    <dgm:cxn modelId="{8E8E4176-9409-4CF7-A069-6FC659B97902}" type="presOf" srcId="{57FAF8FD-CE57-4E36-BEC1-8F6238947998}" destId="{21F39B42-0352-4A3F-995C-0EE137EDEAEC}" srcOrd="1" destOrd="0" presId="urn:microsoft.com/office/officeart/2005/8/layout/lProcess2"/>
    <dgm:cxn modelId="{E2809E87-E814-4440-92CF-EBA7E23D6156}" srcId="{6A40A5E9-3BFD-45C4-8F69-C99C25997162}" destId="{AE9ADC70-2CF0-4A91-A6FA-D92C842F4E91}" srcOrd="1" destOrd="0" parTransId="{9CB3B564-BEBC-49E7-938C-7EDC2E7A6653}" sibTransId="{0CEC7402-2EF4-421F-AECF-3A29769593C9}"/>
    <dgm:cxn modelId="{F088C187-595E-489F-A9E4-69CC34D226E3}" type="presOf" srcId="{0F67A425-96C9-4F06-8F73-AD1D1FA27826}" destId="{BA265658-86AA-48C8-98AF-AAB4894A1D56}" srcOrd="0" destOrd="0" presId="urn:microsoft.com/office/officeart/2005/8/layout/lProcess2"/>
    <dgm:cxn modelId="{3130C38C-E7C5-4BC6-A85B-3260CFFEEACC}" type="presOf" srcId="{6CB3AD30-E3DD-4F18-B017-F765187596C5}" destId="{94ACA8A2-B58A-4E86-8AA6-661336CF350D}" srcOrd="0" destOrd="0" presId="urn:microsoft.com/office/officeart/2005/8/layout/lProcess2"/>
    <dgm:cxn modelId="{EDEB7D90-CD96-4735-AB49-92D9C1ECAD29}" type="presOf" srcId="{7CAD891D-EF03-46A9-B394-F62108D5D753}" destId="{5DE0F6EE-7C64-431F-AAB8-69208C409B74}" srcOrd="0" destOrd="0" presId="urn:microsoft.com/office/officeart/2005/8/layout/lProcess2"/>
    <dgm:cxn modelId="{2887EE96-BA2B-4527-821D-AAB35EEB6DB9}" type="presOf" srcId="{F3659DC6-7F77-421B-9231-CFBB5CBA1C17}" destId="{14A0C149-59FD-490A-9AB3-AA16C82A7F0E}" srcOrd="0" destOrd="0" presId="urn:microsoft.com/office/officeart/2005/8/layout/lProcess2"/>
    <dgm:cxn modelId="{B55C819C-6554-4EAC-A3B1-E0381DCD8F53}" type="presOf" srcId="{2050CAA6-574F-4FBC-8851-2B596701ACC2}" destId="{01CABCFD-663A-46AF-818F-7631EC6D39C9}" srcOrd="0" destOrd="0" presId="urn:microsoft.com/office/officeart/2005/8/layout/lProcess2"/>
    <dgm:cxn modelId="{FA5EC99C-37B1-4F59-8B4F-D17921B3F7AB}" srcId="{6CB3AD30-E3DD-4F18-B017-F765187596C5}" destId="{6A40A5E9-3BFD-45C4-8F69-C99C25997162}" srcOrd="3" destOrd="0" parTransId="{BA0482F1-C2F9-4A93-B334-620D94F8D2B4}" sibTransId="{2451AFE3-22A8-4343-8DE9-391CE6C09A51}"/>
    <dgm:cxn modelId="{78BD02A1-CB06-4D1D-8A52-D305A09752E1}" srcId="{6CB3AD30-E3DD-4F18-B017-F765187596C5}" destId="{7CAD891D-EF03-46A9-B394-F62108D5D753}" srcOrd="2" destOrd="0" parTransId="{F5E59623-E573-46D1-B588-706DD10071DC}" sibTransId="{6EEFEDA7-38E3-45D9-8803-C6EA3A529DD5}"/>
    <dgm:cxn modelId="{8D4906AE-68F2-453A-B348-8764CFA4FCF0}" srcId="{34494DB4-3BDD-4E09-BC3C-748F643369BD}" destId="{CFAE03B8-ACA1-4377-8DD2-B5229C079373}" srcOrd="1" destOrd="0" parTransId="{541AEDBF-7394-4E3D-B34E-1E417D003204}" sibTransId="{9A09F99B-16F6-4262-9A11-9876F55C1DBF}"/>
    <dgm:cxn modelId="{96B915B3-BC64-4F14-B1ED-8E995599A646}" srcId="{57FAF8FD-CE57-4E36-BEC1-8F6238947998}" destId="{0F67A425-96C9-4F06-8F73-AD1D1FA27826}" srcOrd="1" destOrd="0" parTransId="{4DD37617-22D8-48B6-B02B-DB5D9DEB7200}" sibTransId="{7CB40311-6F3E-418C-B5C5-2156F776ADF4}"/>
    <dgm:cxn modelId="{CC4B0FBE-FAD9-4A89-9C96-9D4909B228BF}" srcId="{34494DB4-3BDD-4E09-BC3C-748F643369BD}" destId="{A861B732-7118-46DF-90C9-A847B487DF5F}" srcOrd="0" destOrd="0" parTransId="{E94975A4-97F2-44E5-9E27-1B6453457106}" sibTransId="{C57BF0E9-5E4A-4834-B7E1-4AA0832C14D9}"/>
    <dgm:cxn modelId="{E4CBC4C3-94E6-479E-AFBA-86E9D043A3B2}" srcId="{6A40A5E9-3BFD-45C4-8F69-C99C25997162}" destId="{F3659DC6-7F77-421B-9231-CFBB5CBA1C17}" srcOrd="0" destOrd="0" parTransId="{03C8F642-35D0-4058-B9E8-A67617D67A1F}" sibTransId="{873B3580-97E5-459C-815C-A653B13BF89A}"/>
    <dgm:cxn modelId="{D20DD2CC-9768-40F4-A60E-92F3F0C760D0}" type="presOf" srcId="{6A40A5E9-3BFD-45C4-8F69-C99C25997162}" destId="{FA5B094C-083E-459B-A10B-D7E84522D869}" srcOrd="0" destOrd="0" presId="urn:microsoft.com/office/officeart/2005/8/layout/lProcess2"/>
    <dgm:cxn modelId="{B02A35CD-C87F-4918-A887-0C39ABEFEC56}" type="presOf" srcId="{34494DB4-3BDD-4E09-BC3C-748F643369BD}" destId="{13059641-3056-4466-9B12-1F74F5A3350E}" srcOrd="0" destOrd="0" presId="urn:microsoft.com/office/officeart/2005/8/layout/lProcess2"/>
    <dgm:cxn modelId="{9D26B0DC-11CC-48CA-B4A2-3C2553FA2806}" type="presOf" srcId="{E06B32D6-F91A-4F66-AE25-6E9E32ADC133}" destId="{6C4CE617-9D13-457F-8ED4-B3475A7369A8}" srcOrd="0" destOrd="0" presId="urn:microsoft.com/office/officeart/2005/8/layout/lProcess2"/>
    <dgm:cxn modelId="{40039AE3-CADD-47D0-A9F8-5DBE9E1A40D0}" type="presOf" srcId="{34494DB4-3BDD-4E09-BC3C-748F643369BD}" destId="{874A2FB5-8115-4AB1-865E-ABFF656D6CC6}" srcOrd="1" destOrd="0" presId="urn:microsoft.com/office/officeart/2005/8/layout/lProcess2"/>
    <dgm:cxn modelId="{18DE4CEB-10A4-42A3-965B-1406F7B75FE1}" srcId="{7CAD891D-EF03-46A9-B394-F62108D5D753}" destId="{2050CAA6-574F-4FBC-8851-2B596701ACC2}" srcOrd="1" destOrd="0" parTransId="{930A66FF-158A-4249-A489-741A68C43646}" sibTransId="{43DF7DBE-9D1F-4787-B670-CFD62D68FCFB}"/>
    <dgm:cxn modelId="{2A8C6FCC-D033-4CD4-AECC-5E822E842436}" type="presParOf" srcId="{94ACA8A2-B58A-4E86-8AA6-661336CF350D}" destId="{CD268EF8-DA2B-47DA-B547-A14A2BFE085A}" srcOrd="0" destOrd="0" presId="urn:microsoft.com/office/officeart/2005/8/layout/lProcess2"/>
    <dgm:cxn modelId="{5E1DD870-6389-4AD8-B768-A8AAA9DC0011}" type="presParOf" srcId="{CD268EF8-DA2B-47DA-B547-A14A2BFE085A}" destId="{823DC8A8-94B6-4E26-B48A-14860EF16381}" srcOrd="0" destOrd="0" presId="urn:microsoft.com/office/officeart/2005/8/layout/lProcess2"/>
    <dgm:cxn modelId="{AB901268-6485-41B3-BEFD-A9F4057E59F0}" type="presParOf" srcId="{CD268EF8-DA2B-47DA-B547-A14A2BFE085A}" destId="{21F39B42-0352-4A3F-995C-0EE137EDEAEC}" srcOrd="1" destOrd="0" presId="urn:microsoft.com/office/officeart/2005/8/layout/lProcess2"/>
    <dgm:cxn modelId="{AAE22B22-17B8-4108-9302-4D7D91C1BC3C}" type="presParOf" srcId="{CD268EF8-DA2B-47DA-B547-A14A2BFE085A}" destId="{8D93AD8E-4874-4CA6-9617-1AFC57128B17}" srcOrd="2" destOrd="0" presId="urn:microsoft.com/office/officeart/2005/8/layout/lProcess2"/>
    <dgm:cxn modelId="{202F4A2D-BEA3-47E0-A29C-ACA9B5F94412}" type="presParOf" srcId="{8D93AD8E-4874-4CA6-9617-1AFC57128B17}" destId="{960F3565-4B09-4801-9ACF-4ACB2E822A34}" srcOrd="0" destOrd="0" presId="urn:microsoft.com/office/officeart/2005/8/layout/lProcess2"/>
    <dgm:cxn modelId="{47F2CE1F-D1DD-49BE-95EE-121ACC6E5F5D}" type="presParOf" srcId="{960F3565-4B09-4801-9ACF-4ACB2E822A34}" destId="{6C4CE617-9D13-457F-8ED4-B3475A7369A8}" srcOrd="0" destOrd="0" presId="urn:microsoft.com/office/officeart/2005/8/layout/lProcess2"/>
    <dgm:cxn modelId="{7E8CFD2F-5CC0-41D4-B2ED-BC269015ADD2}" type="presParOf" srcId="{960F3565-4B09-4801-9ACF-4ACB2E822A34}" destId="{8581C368-B884-475A-8CAA-22586B576088}" srcOrd="1" destOrd="0" presId="urn:microsoft.com/office/officeart/2005/8/layout/lProcess2"/>
    <dgm:cxn modelId="{F3648F2E-41FC-4439-9E68-F5ED4CAB13DA}" type="presParOf" srcId="{960F3565-4B09-4801-9ACF-4ACB2E822A34}" destId="{BA265658-86AA-48C8-98AF-AAB4894A1D56}" srcOrd="2" destOrd="0" presId="urn:microsoft.com/office/officeart/2005/8/layout/lProcess2"/>
    <dgm:cxn modelId="{7B268942-2A80-4B37-BC51-CF2A55769AF8}" type="presParOf" srcId="{94ACA8A2-B58A-4E86-8AA6-661336CF350D}" destId="{8B9C2049-B271-4565-BC1C-9B518AC5B5F0}" srcOrd="1" destOrd="0" presId="urn:microsoft.com/office/officeart/2005/8/layout/lProcess2"/>
    <dgm:cxn modelId="{3A688EE7-83D3-43E7-B9AB-875CF27A649F}" type="presParOf" srcId="{94ACA8A2-B58A-4E86-8AA6-661336CF350D}" destId="{4D44B58A-D905-4EBD-A773-C2D147F1D539}" srcOrd="2" destOrd="0" presId="urn:microsoft.com/office/officeart/2005/8/layout/lProcess2"/>
    <dgm:cxn modelId="{2F1B2BC1-FADF-411C-891C-923EF8CD005B}" type="presParOf" srcId="{4D44B58A-D905-4EBD-A773-C2D147F1D539}" destId="{13059641-3056-4466-9B12-1F74F5A3350E}" srcOrd="0" destOrd="0" presId="urn:microsoft.com/office/officeart/2005/8/layout/lProcess2"/>
    <dgm:cxn modelId="{1AB8C43A-81A7-4842-99CC-5E5E36CEAED7}" type="presParOf" srcId="{4D44B58A-D905-4EBD-A773-C2D147F1D539}" destId="{874A2FB5-8115-4AB1-865E-ABFF656D6CC6}" srcOrd="1" destOrd="0" presId="urn:microsoft.com/office/officeart/2005/8/layout/lProcess2"/>
    <dgm:cxn modelId="{1FCDF4EB-1E3E-4A86-9408-4EC877405C86}" type="presParOf" srcId="{4D44B58A-D905-4EBD-A773-C2D147F1D539}" destId="{91F18E38-F26D-4A6E-85D3-416CAACE4701}" srcOrd="2" destOrd="0" presId="urn:microsoft.com/office/officeart/2005/8/layout/lProcess2"/>
    <dgm:cxn modelId="{27050959-4404-4414-B049-C41C3E606189}" type="presParOf" srcId="{91F18E38-F26D-4A6E-85D3-416CAACE4701}" destId="{5F08838B-7C7C-48D7-BB3D-736C5846E1C8}" srcOrd="0" destOrd="0" presId="urn:microsoft.com/office/officeart/2005/8/layout/lProcess2"/>
    <dgm:cxn modelId="{6D7282C4-F10A-47C1-9147-AB87497C3CA5}" type="presParOf" srcId="{5F08838B-7C7C-48D7-BB3D-736C5846E1C8}" destId="{6B116658-415B-4293-BBD7-91C6B704BB4A}" srcOrd="0" destOrd="0" presId="urn:microsoft.com/office/officeart/2005/8/layout/lProcess2"/>
    <dgm:cxn modelId="{5F40C6D1-DA4C-41A2-9566-3A77CF1066F2}" type="presParOf" srcId="{5F08838B-7C7C-48D7-BB3D-736C5846E1C8}" destId="{F980EF97-21EC-4869-8B2E-2FBDD5C1F962}" srcOrd="1" destOrd="0" presId="urn:microsoft.com/office/officeart/2005/8/layout/lProcess2"/>
    <dgm:cxn modelId="{D23F2259-F19C-46E8-A06D-F9A3FAFADB7C}" type="presParOf" srcId="{5F08838B-7C7C-48D7-BB3D-736C5846E1C8}" destId="{BDEC3D11-7122-4661-8190-2AEEA4687095}" srcOrd="2" destOrd="0" presId="urn:microsoft.com/office/officeart/2005/8/layout/lProcess2"/>
    <dgm:cxn modelId="{A1F01586-273E-4863-9907-5B99353AEC0C}" type="presParOf" srcId="{94ACA8A2-B58A-4E86-8AA6-661336CF350D}" destId="{13D07C54-8096-4EF6-A6FF-ECC99A6F055B}" srcOrd="3" destOrd="0" presId="urn:microsoft.com/office/officeart/2005/8/layout/lProcess2"/>
    <dgm:cxn modelId="{83AF3A79-2FB8-4DA9-8DF7-6B2187BE45C8}" type="presParOf" srcId="{94ACA8A2-B58A-4E86-8AA6-661336CF350D}" destId="{D02F17F8-B2F5-45F2-A87F-1D211A590976}" srcOrd="4" destOrd="0" presId="urn:microsoft.com/office/officeart/2005/8/layout/lProcess2"/>
    <dgm:cxn modelId="{FDB6A2D5-1DA5-4A01-89C6-9F808BAE9E67}" type="presParOf" srcId="{D02F17F8-B2F5-45F2-A87F-1D211A590976}" destId="{5DE0F6EE-7C64-431F-AAB8-69208C409B74}" srcOrd="0" destOrd="0" presId="urn:microsoft.com/office/officeart/2005/8/layout/lProcess2"/>
    <dgm:cxn modelId="{090692A6-6CC8-4FA0-A6BF-34A664E77EDF}" type="presParOf" srcId="{D02F17F8-B2F5-45F2-A87F-1D211A590976}" destId="{B04AAE32-5020-4977-AFA5-8D8347237D7B}" srcOrd="1" destOrd="0" presId="urn:microsoft.com/office/officeart/2005/8/layout/lProcess2"/>
    <dgm:cxn modelId="{84CFFD76-113E-4FF6-823E-45FE0F1C82E2}" type="presParOf" srcId="{D02F17F8-B2F5-45F2-A87F-1D211A590976}" destId="{5F49A945-C2D8-4DEC-8CF8-5F5D5C80A1F8}" srcOrd="2" destOrd="0" presId="urn:microsoft.com/office/officeart/2005/8/layout/lProcess2"/>
    <dgm:cxn modelId="{244FD867-89B3-4230-8A1D-8E1F934A6BC5}" type="presParOf" srcId="{5F49A945-C2D8-4DEC-8CF8-5F5D5C80A1F8}" destId="{5A35D8AD-E5BB-45E7-BA7F-743FBC2ECA91}" srcOrd="0" destOrd="0" presId="urn:microsoft.com/office/officeart/2005/8/layout/lProcess2"/>
    <dgm:cxn modelId="{B37E62BD-5800-4694-96E2-ECADA38F7330}" type="presParOf" srcId="{5A35D8AD-E5BB-45E7-BA7F-743FBC2ECA91}" destId="{02C5E15D-151D-4F6E-BC06-190B1DD10924}" srcOrd="0" destOrd="0" presId="urn:microsoft.com/office/officeart/2005/8/layout/lProcess2"/>
    <dgm:cxn modelId="{FE2D5804-BD3C-45CB-B51E-9A704F6EFE0F}" type="presParOf" srcId="{5A35D8AD-E5BB-45E7-BA7F-743FBC2ECA91}" destId="{72068360-BC26-4495-B8AE-B55654AE200A}" srcOrd="1" destOrd="0" presId="urn:microsoft.com/office/officeart/2005/8/layout/lProcess2"/>
    <dgm:cxn modelId="{C4488923-2343-4E3E-B746-8BC9B8ACCF43}" type="presParOf" srcId="{5A35D8AD-E5BB-45E7-BA7F-743FBC2ECA91}" destId="{01CABCFD-663A-46AF-818F-7631EC6D39C9}" srcOrd="2" destOrd="0" presId="urn:microsoft.com/office/officeart/2005/8/layout/lProcess2"/>
    <dgm:cxn modelId="{74728E6B-1BA5-4CAD-B2B7-A69F37FFDE6E}" type="presParOf" srcId="{94ACA8A2-B58A-4E86-8AA6-661336CF350D}" destId="{A9F32EEA-AB23-4CE4-B3EC-27E6C1D98F48}" srcOrd="5" destOrd="0" presId="urn:microsoft.com/office/officeart/2005/8/layout/lProcess2"/>
    <dgm:cxn modelId="{CD7BBFED-0A21-45DE-A85E-D8C62628831D}" type="presParOf" srcId="{94ACA8A2-B58A-4E86-8AA6-661336CF350D}" destId="{D94EEEF6-2C80-4D32-9E08-BDF2DF251A04}" srcOrd="6" destOrd="0" presId="urn:microsoft.com/office/officeart/2005/8/layout/lProcess2"/>
    <dgm:cxn modelId="{D84FB4FE-EFFE-4BBA-B07B-A322123DA8CD}" type="presParOf" srcId="{D94EEEF6-2C80-4D32-9E08-BDF2DF251A04}" destId="{FA5B094C-083E-459B-A10B-D7E84522D869}" srcOrd="0" destOrd="0" presId="urn:microsoft.com/office/officeart/2005/8/layout/lProcess2"/>
    <dgm:cxn modelId="{0D16934B-B56B-4D41-8253-D59C4A9B7F1E}" type="presParOf" srcId="{D94EEEF6-2C80-4D32-9E08-BDF2DF251A04}" destId="{55334DE4-3D33-4208-AD06-EDCED18D070C}" srcOrd="1" destOrd="0" presId="urn:microsoft.com/office/officeart/2005/8/layout/lProcess2"/>
    <dgm:cxn modelId="{EC8EA911-00C5-4AC9-9401-0524D49E875F}" type="presParOf" srcId="{D94EEEF6-2C80-4D32-9E08-BDF2DF251A04}" destId="{4BBDC3C9-9FDF-4944-9E01-EC931A640D32}" srcOrd="2" destOrd="0" presId="urn:microsoft.com/office/officeart/2005/8/layout/lProcess2"/>
    <dgm:cxn modelId="{9D30604F-9732-4ADC-AA64-B97FDE45DE27}" type="presParOf" srcId="{4BBDC3C9-9FDF-4944-9E01-EC931A640D32}" destId="{70E151C4-D9E5-4114-A450-98A32FCCE457}" srcOrd="0" destOrd="0" presId="urn:microsoft.com/office/officeart/2005/8/layout/lProcess2"/>
    <dgm:cxn modelId="{5DC1403D-C659-49A7-8AC4-8F4E2F6A369C}" type="presParOf" srcId="{70E151C4-D9E5-4114-A450-98A32FCCE457}" destId="{14A0C149-59FD-490A-9AB3-AA16C82A7F0E}" srcOrd="0" destOrd="0" presId="urn:microsoft.com/office/officeart/2005/8/layout/lProcess2"/>
    <dgm:cxn modelId="{BDF7DB72-BDA3-48A6-A138-95D6ED68AFBF}" type="presParOf" srcId="{70E151C4-D9E5-4114-A450-98A32FCCE457}" destId="{B3F89F8A-16DD-4466-A7A0-649D7CC3B61D}" srcOrd="1" destOrd="0" presId="urn:microsoft.com/office/officeart/2005/8/layout/lProcess2"/>
    <dgm:cxn modelId="{24B10856-B8EC-4B02-AD89-0A7AB841A96E}" type="presParOf" srcId="{70E151C4-D9E5-4114-A450-98A32FCCE457}" destId="{18043F79-4AA4-4887-B4DA-2A1FDFC395C4}" srcOrd="2" destOrd="0" presId="urn:microsoft.com/office/officeart/2005/8/layout/lProcess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23DC8A8-94B6-4E26-B48A-14860EF16381}">
      <dsp:nvSpPr>
        <dsp:cNvPr id="0" name=""/>
        <dsp:cNvSpPr/>
      </dsp:nvSpPr>
      <dsp:spPr>
        <a:xfrm>
          <a:off x="1322" y="0"/>
          <a:ext cx="1297930" cy="3200400"/>
        </a:xfrm>
        <a:prstGeom prst="roundRect">
          <a:avLst>
            <a:gd name="adj" fmla="val 10000"/>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IN" sz="1500" b="1" kern="1200"/>
            <a:t>Compensation</a:t>
          </a:r>
        </a:p>
      </dsp:txBody>
      <dsp:txXfrm>
        <a:off x="1322" y="0"/>
        <a:ext cx="1297930" cy="960120"/>
      </dsp:txXfrm>
    </dsp:sp>
    <dsp:sp modelId="{6C4CE617-9D13-457F-8ED4-B3475A7369A8}">
      <dsp:nvSpPr>
        <dsp:cNvPr id="0" name=""/>
        <dsp:cNvSpPr/>
      </dsp:nvSpPr>
      <dsp:spPr>
        <a:xfrm>
          <a:off x="131115" y="961057"/>
          <a:ext cx="1038344" cy="964964"/>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22860" rIns="30480" bIns="22860" numCol="1" spcCol="1270" anchor="ctr" anchorCtr="0">
          <a:noAutofit/>
        </a:bodyPr>
        <a:lstStyle/>
        <a:p>
          <a:pPr marL="0" lvl="0" indent="0" algn="ctr" defTabSz="533400">
            <a:lnSpc>
              <a:spcPct val="90000"/>
            </a:lnSpc>
            <a:spcBef>
              <a:spcPct val="0"/>
            </a:spcBef>
            <a:spcAft>
              <a:spcPct val="35000"/>
            </a:spcAft>
            <a:buNone/>
          </a:pPr>
          <a:r>
            <a:rPr lang="en-IN" sz="1200" b="1" kern="1200"/>
            <a:t>Incentives for extra work</a:t>
          </a:r>
        </a:p>
      </dsp:txBody>
      <dsp:txXfrm>
        <a:off x="159378" y="989320"/>
        <a:ext cx="981818" cy="908438"/>
      </dsp:txXfrm>
    </dsp:sp>
    <dsp:sp modelId="{BA265658-86AA-48C8-98AF-AAB4894A1D56}">
      <dsp:nvSpPr>
        <dsp:cNvPr id="0" name=""/>
        <dsp:cNvSpPr/>
      </dsp:nvSpPr>
      <dsp:spPr>
        <a:xfrm>
          <a:off x="131115" y="2074478"/>
          <a:ext cx="1038344" cy="964964"/>
        </a:xfrm>
        <a:prstGeom prst="roundRect">
          <a:avLst>
            <a:gd name="adj" fmla="val 10000"/>
          </a:avLst>
        </a:prstGeom>
        <a:solidFill>
          <a:schemeClr val="accent5">
            <a:hueOff val="-3046160"/>
            <a:satOff val="1731"/>
            <a:lumOff val="-1429"/>
            <a:alphaOff val="0"/>
          </a:schemeClr>
        </a:solidFill>
        <a:ln w="127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22860" rIns="30480" bIns="22860" numCol="1" spcCol="1270" anchor="ctr" anchorCtr="0">
          <a:noAutofit/>
        </a:bodyPr>
        <a:lstStyle/>
        <a:p>
          <a:pPr marL="0" lvl="0" indent="0" algn="ctr" defTabSz="533400">
            <a:lnSpc>
              <a:spcPct val="90000"/>
            </a:lnSpc>
            <a:spcBef>
              <a:spcPct val="0"/>
            </a:spcBef>
            <a:spcAft>
              <a:spcPct val="35000"/>
            </a:spcAft>
            <a:buNone/>
          </a:pPr>
          <a:r>
            <a:rPr lang="en-IN" sz="1200" b="1" kern="1200"/>
            <a:t>Increment based on performance</a:t>
          </a:r>
        </a:p>
      </dsp:txBody>
      <dsp:txXfrm>
        <a:off x="159378" y="2102741"/>
        <a:ext cx="981818" cy="908438"/>
      </dsp:txXfrm>
    </dsp:sp>
    <dsp:sp modelId="{13059641-3056-4466-9B12-1F74F5A3350E}">
      <dsp:nvSpPr>
        <dsp:cNvPr id="0" name=""/>
        <dsp:cNvSpPr/>
      </dsp:nvSpPr>
      <dsp:spPr>
        <a:xfrm>
          <a:off x="1396597" y="0"/>
          <a:ext cx="1297930" cy="3200400"/>
        </a:xfrm>
        <a:prstGeom prst="roundRect">
          <a:avLst>
            <a:gd name="adj" fmla="val 10000"/>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IN" sz="1500" b="1" kern="1200"/>
            <a:t>Benefits</a:t>
          </a:r>
        </a:p>
      </dsp:txBody>
      <dsp:txXfrm>
        <a:off x="1396597" y="0"/>
        <a:ext cx="1297930" cy="960120"/>
      </dsp:txXfrm>
    </dsp:sp>
    <dsp:sp modelId="{6B116658-415B-4293-BBD7-91C6B704BB4A}">
      <dsp:nvSpPr>
        <dsp:cNvPr id="0" name=""/>
        <dsp:cNvSpPr/>
      </dsp:nvSpPr>
      <dsp:spPr>
        <a:xfrm>
          <a:off x="1526390" y="961057"/>
          <a:ext cx="1038344" cy="964964"/>
        </a:xfrm>
        <a:prstGeom prst="roundRect">
          <a:avLst>
            <a:gd name="adj" fmla="val 10000"/>
          </a:avLst>
        </a:prstGeom>
        <a:solidFill>
          <a:schemeClr val="accent5">
            <a:hueOff val="-6092320"/>
            <a:satOff val="3463"/>
            <a:lumOff val="-2857"/>
            <a:alphaOff val="0"/>
          </a:schemeClr>
        </a:solidFill>
        <a:ln w="127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22860" rIns="30480" bIns="22860" numCol="1" spcCol="1270" anchor="ctr" anchorCtr="0">
          <a:noAutofit/>
        </a:bodyPr>
        <a:lstStyle/>
        <a:p>
          <a:pPr marL="0" lvl="0" indent="0" algn="ctr" defTabSz="533400">
            <a:lnSpc>
              <a:spcPct val="90000"/>
            </a:lnSpc>
            <a:spcBef>
              <a:spcPct val="0"/>
            </a:spcBef>
            <a:spcAft>
              <a:spcPct val="35000"/>
            </a:spcAft>
            <a:buNone/>
          </a:pPr>
          <a:r>
            <a:rPr lang="en-IN" sz="1200" b="1" kern="1200"/>
            <a:t>Health benefits </a:t>
          </a:r>
        </a:p>
      </dsp:txBody>
      <dsp:txXfrm>
        <a:off x="1554653" y="989320"/>
        <a:ext cx="981818" cy="908438"/>
      </dsp:txXfrm>
    </dsp:sp>
    <dsp:sp modelId="{BDEC3D11-7122-4661-8190-2AEEA4687095}">
      <dsp:nvSpPr>
        <dsp:cNvPr id="0" name=""/>
        <dsp:cNvSpPr/>
      </dsp:nvSpPr>
      <dsp:spPr>
        <a:xfrm>
          <a:off x="1526390" y="2074478"/>
          <a:ext cx="1038344" cy="964964"/>
        </a:xfrm>
        <a:prstGeom prst="roundRect">
          <a:avLst>
            <a:gd name="adj" fmla="val 10000"/>
          </a:avLst>
        </a:prstGeom>
        <a:solidFill>
          <a:schemeClr val="accent5">
            <a:hueOff val="-9138481"/>
            <a:satOff val="5194"/>
            <a:lumOff val="-4286"/>
            <a:alphaOff val="0"/>
          </a:schemeClr>
        </a:solidFill>
        <a:ln w="127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22860" rIns="30480" bIns="22860" numCol="1" spcCol="1270" anchor="ctr" anchorCtr="0">
          <a:noAutofit/>
        </a:bodyPr>
        <a:lstStyle/>
        <a:p>
          <a:pPr marL="0" lvl="0" indent="0" algn="ctr" defTabSz="533400">
            <a:lnSpc>
              <a:spcPct val="90000"/>
            </a:lnSpc>
            <a:spcBef>
              <a:spcPct val="0"/>
            </a:spcBef>
            <a:spcAft>
              <a:spcPct val="35000"/>
            </a:spcAft>
            <a:buNone/>
          </a:pPr>
          <a:r>
            <a:rPr lang="en-IN" sz="1200" b="1" kern="1200"/>
            <a:t>Recreational facilities</a:t>
          </a:r>
        </a:p>
      </dsp:txBody>
      <dsp:txXfrm>
        <a:off x="1554653" y="2102741"/>
        <a:ext cx="981818" cy="908438"/>
      </dsp:txXfrm>
    </dsp:sp>
    <dsp:sp modelId="{5DE0F6EE-7C64-431F-AAB8-69208C409B74}">
      <dsp:nvSpPr>
        <dsp:cNvPr id="0" name=""/>
        <dsp:cNvSpPr/>
      </dsp:nvSpPr>
      <dsp:spPr>
        <a:xfrm>
          <a:off x="2791872" y="0"/>
          <a:ext cx="1297930" cy="3200400"/>
        </a:xfrm>
        <a:prstGeom prst="roundRect">
          <a:avLst>
            <a:gd name="adj" fmla="val 10000"/>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IN" sz="1500" b="1" kern="1200"/>
            <a:t>Career</a:t>
          </a:r>
        </a:p>
      </dsp:txBody>
      <dsp:txXfrm>
        <a:off x="2791872" y="0"/>
        <a:ext cx="1297930" cy="960120"/>
      </dsp:txXfrm>
    </dsp:sp>
    <dsp:sp modelId="{02C5E15D-151D-4F6E-BC06-190B1DD10924}">
      <dsp:nvSpPr>
        <dsp:cNvPr id="0" name=""/>
        <dsp:cNvSpPr/>
      </dsp:nvSpPr>
      <dsp:spPr>
        <a:xfrm>
          <a:off x="2921665" y="961057"/>
          <a:ext cx="1038344" cy="964964"/>
        </a:xfrm>
        <a:prstGeom prst="roundRect">
          <a:avLst>
            <a:gd name="adj" fmla="val 10000"/>
          </a:avLst>
        </a:prstGeom>
        <a:solidFill>
          <a:schemeClr val="accent5">
            <a:hueOff val="-12184641"/>
            <a:satOff val="6925"/>
            <a:lumOff val="-5714"/>
            <a:alphaOff val="0"/>
          </a:schemeClr>
        </a:solidFill>
        <a:ln w="127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22860" rIns="30480" bIns="22860" numCol="1" spcCol="1270" anchor="ctr" anchorCtr="0">
          <a:noAutofit/>
        </a:bodyPr>
        <a:lstStyle/>
        <a:p>
          <a:pPr marL="0" lvl="0" indent="0" algn="ctr" defTabSz="533400">
            <a:lnSpc>
              <a:spcPct val="90000"/>
            </a:lnSpc>
            <a:spcBef>
              <a:spcPct val="0"/>
            </a:spcBef>
            <a:spcAft>
              <a:spcPct val="35000"/>
            </a:spcAft>
            <a:buNone/>
          </a:pPr>
          <a:r>
            <a:rPr lang="en-IN" sz="1200" b="1" kern="1200"/>
            <a:t>Promotion based on work quality </a:t>
          </a:r>
        </a:p>
      </dsp:txBody>
      <dsp:txXfrm>
        <a:off x="2949928" y="989320"/>
        <a:ext cx="981818" cy="908438"/>
      </dsp:txXfrm>
    </dsp:sp>
    <dsp:sp modelId="{01CABCFD-663A-46AF-818F-7631EC6D39C9}">
      <dsp:nvSpPr>
        <dsp:cNvPr id="0" name=""/>
        <dsp:cNvSpPr/>
      </dsp:nvSpPr>
      <dsp:spPr>
        <a:xfrm>
          <a:off x="2921665" y="2074478"/>
          <a:ext cx="1038344" cy="964964"/>
        </a:xfrm>
        <a:prstGeom prst="roundRect">
          <a:avLst>
            <a:gd name="adj" fmla="val 10000"/>
          </a:avLst>
        </a:prstGeom>
        <a:solidFill>
          <a:schemeClr val="accent5">
            <a:hueOff val="-15230801"/>
            <a:satOff val="8656"/>
            <a:lumOff val="-7143"/>
            <a:alphaOff val="0"/>
          </a:schemeClr>
        </a:solidFill>
        <a:ln w="127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22860" rIns="30480" bIns="22860" numCol="1" spcCol="1270" anchor="ctr" anchorCtr="0">
          <a:noAutofit/>
        </a:bodyPr>
        <a:lstStyle/>
        <a:p>
          <a:pPr marL="0" lvl="0" indent="0" algn="ctr" defTabSz="533400">
            <a:lnSpc>
              <a:spcPct val="90000"/>
            </a:lnSpc>
            <a:spcBef>
              <a:spcPct val="0"/>
            </a:spcBef>
            <a:spcAft>
              <a:spcPct val="35000"/>
            </a:spcAft>
            <a:buNone/>
          </a:pPr>
          <a:r>
            <a:rPr lang="en-IN" sz="1200" b="1" kern="1200"/>
            <a:t>Training for learning advanced skills</a:t>
          </a:r>
        </a:p>
      </dsp:txBody>
      <dsp:txXfrm>
        <a:off x="2949928" y="2102741"/>
        <a:ext cx="981818" cy="908438"/>
      </dsp:txXfrm>
    </dsp:sp>
    <dsp:sp modelId="{FA5B094C-083E-459B-A10B-D7E84522D869}">
      <dsp:nvSpPr>
        <dsp:cNvPr id="0" name=""/>
        <dsp:cNvSpPr/>
      </dsp:nvSpPr>
      <dsp:spPr>
        <a:xfrm>
          <a:off x="4187147" y="0"/>
          <a:ext cx="1297930" cy="3200400"/>
        </a:xfrm>
        <a:prstGeom prst="roundRect">
          <a:avLst>
            <a:gd name="adj" fmla="val 10000"/>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IN" sz="1500" b="1" kern="1200"/>
            <a:t>Culture</a:t>
          </a:r>
        </a:p>
      </dsp:txBody>
      <dsp:txXfrm>
        <a:off x="4187147" y="0"/>
        <a:ext cx="1297930" cy="960120"/>
      </dsp:txXfrm>
    </dsp:sp>
    <dsp:sp modelId="{14A0C149-59FD-490A-9AB3-AA16C82A7F0E}">
      <dsp:nvSpPr>
        <dsp:cNvPr id="0" name=""/>
        <dsp:cNvSpPr/>
      </dsp:nvSpPr>
      <dsp:spPr>
        <a:xfrm>
          <a:off x="4316940" y="961057"/>
          <a:ext cx="1038344" cy="964964"/>
        </a:xfrm>
        <a:prstGeom prst="roundRect">
          <a:avLst>
            <a:gd name="adj" fmla="val 10000"/>
          </a:avLst>
        </a:prstGeom>
        <a:solidFill>
          <a:schemeClr val="accent5">
            <a:hueOff val="-18276962"/>
            <a:satOff val="10388"/>
            <a:lumOff val="-8571"/>
            <a:alphaOff val="0"/>
          </a:schemeClr>
        </a:solidFill>
        <a:ln w="127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22860" rIns="30480" bIns="22860" numCol="1" spcCol="1270" anchor="ctr" anchorCtr="0">
          <a:noAutofit/>
        </a:bodyPr>
        <a:lstStyle/>
        <a:p>
          <a:pPr marL="0" lvl="0" indent="0" algn="ctr" defTabSz="533400">
            <a:lnSpc>
              <a:spcPct val="90000"/>
            </a:lnSpc>
            <a:spcBef>
              <a:spcPct val="0"/>
            </a:spcBef>
            <a:spcAft>
              <a:spcPct val="35000"/>
            </a:spcAft>
            <a:buNone/>
          </a:pPr>
          <a:r>
            <a:rPr lang="en-IN" sz="1200" b="1" kern="1200"/>
            <a:t>Teamwork</a:t>
          </a:r>
        </a:p>
      </dsp:txBody>
      <dsp:txXfrm>
        <a:off x="4345203" y="989320"/>
        <a:ext cx="981818" cy="908438"/>
      </dsp:txXfrm>
    </dsp:sp>
    <dsp:sp modelId="{18043F79-4AA4-4887-B4DA-2A1FDFC395C4}">
      <dsp:nvSpPr>
        <dsp:cNvPr id="0" name=""/>
        <dsp:cNvSpPr/>
      </dsp:nvSpPr>
      <dsp:spPr>
        <a:xfrm>
          <a:off x="4316940" y="2074478"/>
          <a:ext cx="1038344" cy="964964"/>
        </a:xfrm>
        <a:prstGeom prst="roundRect">
          <a:avLst>
            <a:gd name="adj" fmla="val 10000"/>
          </a:avLst>
        </a:prstGeom>
        <a:solidFill>
          <a:schemeClr val="accent5">
            <a:hueOff val="-21323121"/>
            <a:satOff val="12119"/>
            <a:lumOff val="-10000"/>
            <a:alphaOff val="0"/>
          </a:schemeClr>
        </a:solidFill>
        <a:ln w="127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22860" rIns="30480" bIns="22860" numCol="1" spcCol="1270" anchor="ctr" anchorCtr="0">
          <a:noAutofit/>
        </a:bodyPr>
        <a:lstStyle/>
        <a:p>
          <a:pPr marL="0" lvl="0" indent="0" algn="ctr" defTabSz="533400">
            <a:lnSpc>
              <a:spcPct val="90000"/>
            </a:lnSpc>
            <a:spcBef>
              <a:spcPct val="0"/>
            </a:spcBef>
            <a:spcAft>
              <a:spcPct val="35000"/>
            </a:spcAft>
            <a:buNone/>
          </a:pPr>
          <a:r>
            <a:rPr lang="en-IN" sz="1200" b="1" kern="1200"/>
            <a:t>Focusing on organisational values</a:t>
          </a:r>
        </a:p>
      </dsp:txBody>
      <dsp:txXfrm>
        <a:off x="4345203" y="2102741"/>
        <a:ext cx="981818" cy="908438"/>
      </dsp:txXfrm>
    </dsp:sp>
  </dsp:spTree>
</dsp:drawing>
</file>

<file path=word/diagrams/layout1.xml><?xml version="1.0" encoding="utf-8"?>
<dgm:layoutDef xmlns:dgm="http://schemas.openxmlformats.org/drawingml/2006/diagram" xmlns:a="http://schemas.openxmlformats.org/drawingml/2006/main" uniqueId="urn:microsoft.com/office/officeart/2005/8/layout/lProcess2">
  <dgm:title val=""/>
  <dgm:desc val=""/>
  <dgm:catLst>
    <dgm:cat type="list" pri="10000"/>
    <dgm:cat type="relationship" pri="13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useDef="1">
    <dgm:dataModel>
      <dgm:ptLst/>
      <dgm:bg/>
      <dgm:whole/>
    </dgm:dataModel>
  </dgm:styleData>
  <dgm:clrData useDef="1">
    <dgm:dataModel>
      <dgm:ptLst/>
      <dgm:bg/>
      <dgm:whole/>
    </dgm:dataModel>
  </dgm:clrData>
  <dgm:layoutNode name="theList">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forName="aSpace" refType="w" fact="0.075"/>
      <dgm:constr type="h" for="des" forName="aSpace2" refType="h" fact="0.1"/>
      <dgm:constr type="primFontSz" for="des" forName="textNode" op="equ"/>
      <dgm:constr type="primFontSz" for="des" forName="childNode" op="equ"/>
    </dgm:constrLst>
    <dgm:ruleLst/>
    <dgm:forEach name="aNodeForEach" axis="ch" ptType="node">
      <dgm:layoutNode name="compNode">
        <dgm:alg type="composite"/>
        <dgm:shape xmlns:r="http://schemas.openxmlformats.org/officeDocument/2006/relationships" r:blip="">
          <dgm:adjLst/>
        </dgm:shape>
        <dgm:presOf/>
        <dgm:constrLst>
          <dgm:constr type="w" for="ch" forName="aNode" refType="w"/>
          <dgm:constr type="h" for="ch" forName="aNode" refType="h"/>
          <dgm:constr type="w" for="ch" forName="textNode" refType="w"/>
          <dgm:constr type="h" for="ch" forName="textNode" refType="h" fact="0.3"/>
          <dgm:constr type="ctrX" for="ch" forName="textNode" refType="w" fact="0.5"/>
          <dgm:constr type="w" for="ch" forName="compChildNode" refType="w" fact="0.8"/>
          <dgm:constr type="h" for="ch" forName="compChildNode" refType="h" fact="0.65"/>
          <dgm:constr type="t" for="ch" forName="compChildNode" refType="h" fact="0.3"/>
          <dgm:constr type="ctrX" for="ch" forName="compChildNode" refType="w" fact="0.5"/>
        </dgm:constrLst>
        <dgm:ruleLst/>
        <dgm:layoutNode name="aNode" styleLbl="bgShp">
          <dgm:alg type="sp"/>
          <dgm:shape xmlns:r="http://schemas.openxmlformats.org/officeDocument/2006/relationships" type="roundRect" r:blip="">
            <dgm:adjLst>
              <dgm:adj idx="1" val="0.1"/>
            </dgm:adjLst>
          </dgm:shape>
          <dgm:presOf axis="self"/>
          <dgm:constrLst/>
          <dgm:ruleLst/>
        </dgm:layoutNode>
        <dgm:layoutNode name="textNode" styleLbl="bgShp">
          <dgm:alg type="tx"/>
          <dgm:shape xmlns:r="http://schemas.openxmlformats.org/officeDocument/2006/relationships" type="rect" r:blip="" hideGeom="1">
            <dgm:adjLst>
              <dgm:adj idx="1" val="0.1"/>
            </dgm:adjLst>
          </dgm:shape>
          <dgm:presOf axis="self"/>
          <dgm:constrLst>
            <dgm:constr type="primFontSz" val="65"/>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ompChildNode">
          <dgm:alg type="composite"/>
          <dgm:shape xmlns:r="http://schemas.openxmlformats.org/officeDocument/2006/relationships" r:blip="">
            <dgm:adjLst/>
          </dgm:shape>
          <dgm:presOf/>
          <dgm:constrLst>
            <dgm:constr type="w" for="des" forName="childNode" refType="w"/>
            <dgm:constr type="h" for="des" forName="childNode" refType="h"/>
          </dgm:constrLst>
          <dgm:ruleLst/>
          <dgm:layoutNode name="theInnerList">
            <dgm:alg type="lin">
              <dgm:param type="linDir" val="fromT"/>
            </dgm:alg>
            <dgm:shape xmlns:r="http://schemas.openxmlformats.org/officeDocument/2006/relationships" r:blip="">
              <dgm:adjLst/>
            </dgm:shape>
            <dgm:presOf/>
            <dgm:constrLst/>
            <dgm:ruleLst/>
            <dgm:forEach name="childNodeForEach" axis="ch" ptType="node">
              <dgm:layoutNode name="child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tMarg" refType="primFontSz" fact="0.15"/>
                  <dgm:constr type="bMarg" refType="primFontSz" fact="0.15"/>
                  <dgm:constr type="lMarg" refType="primFontSz" fact="0.2"/>
                  <dgm:constr type="rMarg" refType="primFontSz" fact="0.2"/>
                </dgm:constrLst>
                <dgm:ruleLst>
                  <dgm:rule type="primFontSz" val="5" fact="NaN" max="NaN"/>
                </dgm:ruleLst>
              </dgm:layoutNode>
              <dgm:choose name="Name3">
                <dgm:if name="Name4" axis="self" ptType="node" func="revPos" op="equ" val="1"/>
                <dgm:else name="Name5">
                  <dgm:layoutNode name="aSpace2">
                    <dgm:alg type="sp"/>
                    <dgm:shape xmlns:r="http://schemas.openxmlformats.org/officeDocument/2006/relationships" r:blip="">
                      <dgm:adjLst/>
                    </dgm:shape>
                    <dgm:presOf/>
                    <dgm:constrLst/>
                    <dgm:ruleLst/>
                  </dgm:layoutNode>
                </dgm:else>
              </dgm:choose>
            </dgm:forEach>
          </dgm:layoutNode>
        </dgm:layoutNode>
      </dgm:layoutNode>
      <dgm:choose name="Name6">
        <dgm:if name="Name7" axis="self" ptType="node" func="revPos" op="equ" val="1"/>
        <dgm:else name="Name8">
          <dgm:layoutNode name="aSpace">
            <dgm:alg type="sp"/>
            <dgm:shape xmlns:r="http://schemas.openxmlformats.org/officeDocument/2006/relationships" r:blip="">
              <dgm:adjLst/>
            </dgm:shape>
            <dgm:presOf/>
            <dgm:constrLst/>
            <dgm:ruleLst/>
          </dgm:layoutNod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Wood Type">
  <a:themeElements>
    <a:clrScheme name="Wood Type">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Wood Type">
      <a:fillStyleLst>
        <a:solidFill>
          <a:schemeClr val="phClr"/>
        </a:solidFill>
        <a:blipFill rotWithShape="1">
          <a:blip xmlns:r="http://schemas.openxmlformats.org/officeDocument/2006/relationships" r:embed="rId1">
            <a:duotone>
              <a:schemeClr val="phClr">
                <a:tint val="70000"/>
                <a:shade val="63000"/>
              </a:schemeClr>
              <a:schemeClr val="phClr">
                <a:tint val="10000"/>
                <a:satMod val="150000"/>
              </a:schemeClr>
            </a:duotone>
          </a:blip>
          <a:tile tx="0" ty="0" sx="60000" sy="59000" flip="none" algn="tl"/>
        </a:blipFill>
        <a:blipFill rotWithShape="1">
          <a:blip xmlns:r="http://schemas.openxmlformats.org/officeDocument/2006/relationships" r:embed="rId1">
            <a:duotone>
              <a:schemeClr val="phClr">
                <a:shade val="36000"/>
                <a:satMod val="120000"/>
              </a:schemeClr>
              <a:schemeClr val="phClr">
                <a:tint val="40000"/>
              </a:schemeClr>
            </a:duotone>
          </a:blip>
          <a:tile tx="0" ty="0" sx="60000" sy="59000" flip="none" algn="tl"/>
        </a:blipFill>
      </a:fillStyleLst>
      <a:lnStyleLst>
        <a:ln w="6350"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softEdge rad="12700"/>
          </a:effectLst>
        </a:effectStyle>
        <a:effectStyle>
          <a:effectLst>
            <a:outerShdw blurRad="50800" dist="19050" dir="5400000" algn="tl" rotWithShape="0">
              <a:srgbClr val="000000">
                <a:alpha val="60000"/>
              </a:srgbClr>
            </a:outerShdw>
            <a:softEdge rad="12700"/>
          </a:effectLst>
        </a:effectStyle>
      </a:effectStyleLst>
      <a:bgFillStyleLst>
        <a:solidFill>
          <a:schemeClr val="phClr"/>
        </a:solidFill>
        <a:solidFill>
          <a:schemeClr val="phClr">
            <a:shade val="97000"/>
            <a:satMod val="150000"/>
          </a:schemeClr>
        </a:solidFill>
        <a:blipFill rotWithShape="1">
          <a:blip xmlns:r="http://schemas.openxmlformats.org/officeDocument/2006/relationships" r:embed="rId1">
            <a:duotone>
              <a:schemeClr val="phClr">
                <a:tint val="75000"/>
                <a:shade val="58000"/>
                <a:satMod val="120000"/>
              </a:schemeClr>
              <a:schemeClr val="phClr">
                <a:tint val="50000"/>
                <a:shade val="96000"/>
              </a:schemeClr>
            </a:duotone>
          </a:blip>
          <a:tile tx="0" ty="0" sx="100000" sy="100000" flip="none" algn="tl"/>
        </a:blipFill>
      </a:bgFillStyleLst>
    </a:fmtScheme>
  </a:themeElements>
  <a:objectDefaults/>
  <a:extraClrSchemeLst/>
  <a:extLst>
    <a:ext uri="{05A4C25C-085E-4340-85A3-A5531E510DB2}">
      <thm15:themeFamily xmlns:thm15="http://schemas.microsoft.com/office/thememl/2012/main" name="Wood Type" id="{7ACABC62-BF99-48CF-A9DC-4DB89C7B13DC}" vid="{142A1326-48AB-42A9-8428-CB14AA30176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33106D-87A1-4D74-8DF8-97920444E0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8</Pages>
  <Words>2908</Words>
  <Characters>16577</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People Assessment 2</dc:title>
  <cp:lastModifiedBy>Laura GHitiu</cp:lastModifiedBy>
  <cp:revision>97</cp:revision>
  <dcterms:created xsi:type="dcterms:W3CDTF">2021-08-09T07:12:00Z</dcterms:created>
  <dcterms:modified xsi:type="dcterms:W3CDTF">2021-09-02T19:58:00Z</dcterms:modified>
</cp:coreProperties>
</file>