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F576F"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b/>
          <w:bCs/>
          <w:color w:val="000000"/>
          <w:kern w:val="0"/>
          <w:lang w:eastAsia="en-GB"/>
          <w14:ligatures w14:val="none"/>
        </w:rPr>
        <w:t>Critically discuss the role of juries in the investigative and judicial processes associated with crime.</w:t>
      </w:r>
    </w:p>
    <w:p w14:paraId="462A1956"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581AD42E"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 xml:space="preserve">Jury trials make up a significant amount of decision making in the judicial systems of most countries. A jury is made up of 12 individuals, selected at random who are said to “lack legal training” (Bornstein &amp; Greene 2011). The jury will be expected to scrutinise evidence in order to appraise its integrity and reliability, with the information obtained the jury will come together with a guilty or not guilty verdict. All defendants have the right to an impartial judiciary trial, however the jury procedure is said to be hindered by bias (Bornstein &amp; Greene, 2011; </w:t>
      </w:r>
      <w:r w:rsidRPr="00E86311">
        <w:rPr>
          <w:rFonts w:ascii="Arial" w:eastAsia="Times New Roman" w:hAnsi="Arial" w:cs="Arial"/>
          <w:color w:val="000000"/>
          <w:kern w:val="0"/>
          <w:shd w:val="clear" w:color="auto" w:fill="FFFFFF"/>
          <w:lang w:eastAsia="en-GB"/>
          <w14:ligatures w14:val="none"/>
        </w:rPr>
        <w:t>Curley et al., 2022). </w:t>
      </w:r>
    </w:p>
    <w:p w14:paraId="184ABDAF"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065B954E"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According to Jackson and Kovalev (2006) in contrast to other legal traditions, including those found in large parts of continental Europe, the countries which adhere to the English legal system use juries which consist of randomly chosen civilians or lay judges who are appointed by political figures or chosen through local elections. Within the United States of America there is a similar selection process in which potential jurors are sourced by each court from the voter lists of their respective states. In situations where voter lists are insufficient for providing the court and defendants with an adequate representation within the community, the courts will supplement voter lists with data from additional sources, such as the district's license driving list. However in the US a qualifying questionnaire is delivered to the randomly chosen parties, who then have ten days to return it and submit it to the court, or they can fill it out online.</w:t>
      </w:r>
    </w:p>
    <w:p w14:paraId="027B83B1"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5777D32C"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 xml:space="preserve">Similarly in both the United Kingdom and the United States of America’s judicial process, if you are summoned for jury duty you must attend, however this does not mean you are definitely on the jury for this case. A significant difference would be that in the US you must be qualified to become a juror and are later questioned by the judge on your suitability for the jury and whether you as a potential juror have any conflicts with the case, this is a process called </w:t>
      </w:r>
      <w:proofErr w:type="spellStart"/>
      <w:r w:rsidRPr="00E86311">
        <w:rPr>
          <w:rFonts w:ascii="Arial" w:eastAsia="Times New Roman" w:hAnsi="Arial" w:cs="Arial"/>
          <w:color w:val="000000"/>
          <w:kern w:val="0"/>
          <w:lang w:eastAsia="en-GB"/>
          <w14:ligatures w14:val="none"/>
        </w:rPr>
        <w:t>voir</w:t>
      </w:r>
      <w:proofErr w:type="spellEnd"/>
      <w:r w:rsidRPr="00E86311">
        <w:rPr>
          <w:rFonts w:ascii="Arial" w:eastAsia="Times New Roman" w:hAnsi="Arial" w:cs="Arial"/>
          <w:color w:val="000000"/>
          <w:kern w:val="0"/>
          <w:lang w:eastAsia="en-GB"/>
          <w14:ligatures w14:val="none"/>
        </w:rPr>
        <w:t xml:space="preserve"> dire (U.S Courts, 2016).</w:t>
      </w:r>
    </w:p>
    <w:p w14:paraId="2AED2FD5"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6850B79F"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The United States jury system enters a stage called deliberation up to 48 hours after the individual has been charged, deliberation is a term used to describe the procedure of determining the vital question of whether a person is guilty or not guilty. In the midst of this procedure, only the judges and lawyers have access to communication with the jury. The jury is required to write a note to the judge with any legal questions they may have, and the judge will read its contents in front of the courtroom. In order to find the defendant guilty in federal criminal proceedings, the jury must come to a unanimous verdict unlike in the United Kingdom where the Criminal Justice Act of 1967 states that the jury might decide by a majority of at least 10 out of twelve votes, all rulings in the United Kingdom were required to be unanimous until 1976 (Zander 2001; U.S Department of Justice, 2014).</w:t>
      </w:r>
    </w:p>
    <w:p w14:paraId="7BA14645"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7511BA67"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Once a verdict has been decided upon, the United States law requires the defendant, lawyers and the judge to all be informed at once, therefore making everyone present and allows the jury's verdict to be read out. In most cases, the defendant is allowed to return home provided they are found not guilty. A US Marshal will be of service in the courtroom during a trial to shield the prosecution and judge from possible danger (U.S Department of Justice, 2014).</w:t>
      </w:r>
    </w:p>
    <w:p w14:paraId="39541ADB" w14:textId="77777777" w:rsidR="00413F63" w:rsidRDefault="00413F63" w:rsidP="00E86311">
      <w:pPr>
        <w:shd w:val="clear" w:color="auto" w:fill="FFFFFF"/>
        <w:spacing w:after="0" w:line="240" w:lineRule="auto"/>
        <w:rPr>
          <w:rFonts w:ascii="Arial" w:eastAsia="Times New Roman" w:hAnsi="Arial" w:cs="Arial"/>
          <w:color w:val="000000"/>
          <w:kern w:val="0"/>
          <w:lang w:eastAsia="en-GB"/>
          <w14:ligatures w14:val="none"/>
        </w:rPr>
      </w:pPr>
    </w:p>
    <w:p w14:paraId="4428ECA4" w14:textId="0457DA08" w:rsidR="00E86311" w:rsidRDefault="00E86311" w:rsidP="00E86311">
      <w:pPr>
        <w:shd w:val="clear" w:color="auto" w:fill="FFFFFF"/>
        <w:spacing w:after="0" w:line="240" w:lineRule="auto"/>
        <w:rPr>
          <w:rFonts w:ascii="Arial" w:eastAsia="Times New Roman" w:hAnsi="Arial" w:cs="Arial"/>
          <w:color w:val="000000"/>
          <w:kern w:val="0"/>
          <w:lang w:eastAsia="en-GB"/>
          <w14:ligatures w14:val="none"/>
        </w:rPr>
      </w:pPr>
      <w:r w:rsidRPr="00E86311">
        <w:rPr>
          <w:rFonts w:ascii="Arial" w:eastAsia="Times New Roman" w:hAnsi="Arial" w:cs="Arial"/>
          <w:color w:val="000000"/>
          <w:kern w:val="0"/>
          <w:lang w:eastAsia="en-GB"/>
          <w14:ligatures w14:val="none"/>
        </w:rPr>
        <w:t xml:space="preserve">In contrast to the United States, the United Kingdom’s jury will sometimes have documents or physical evidence called `exhibits’ within the jury room. The judge will decide with counsel what exhibits the jury should take into the jury room. But regardless the jury are entitled to have any of the exhibits presented and are entitled to ask for them. The jury do not see the witness statements unless in the rare case that the witness statements become a part of the exhibits and should they ask for them, the request would be denied to attempt to eliminate </w:t>
      </w:r>
      <w:r w:rsidRPr="00E86311">
        <w:rPr>
          <w:rFonts w:ascii="Arial" w:eastAsia="Times New Roman" w:hAnsi="Arial" w:cs="Arial"/>
          <w:color w:val="000000"/>
          <w:kern w:val="0"/>
          <w:lang w:eastAsia="en-GB"/>
          <w14:ligatures w14:val="none"/>
        </w:rPr>
        <w:lastRenderedPageBreak/>
        <w:t>conflict. The jury are not permitted to take audio or video tapes they have heard in the trial into the jury room (Zander 2001).</w:t>
      </w:r>
    </w:p>
    <w:p w14:paraId="410DB236" w14:textId="77777777" w:rsidR="00413F63" w:rsidRPr="00E86311" w:rsidRDefault="00413F63" w:rsidP="00E86311">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710B26B8" w14:textId="77777777" w:rsidR="00E86311" w:rsidRPr="00E86311" w:rsidRDefault="00E86311" w:rsidP="00E86311">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For each charge, the jury must select whether they find the defendant guilty or not guilty. They are not encouraged to provide an explanation for their choice, therefore in most cases they choose not to. Regardless of a judge's own opinion about the jury's decision or whether or not they believe it to be an irrational decision, the judge must accept and record the jury's verdict; this approach has both advantages and disadvantages within the jury system (Zander 2001).</w:t>
      </w:r>
    </w:p>
    <w:p w14:paraId="53D94433"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511A2CF9"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shd w:val="clear" w:color="auto" w:fill="FFFFFF"/>
          <w:lang w:eastAsia="en-GB"/>
          <w14:ligatures w14:val="none"/>
        </w:rPr>
        <w:t>Bias can best be described as “any tendency which prevents unprejudiced consideration of a question”(Pannucci &amp; Wilkins, 2011).</w:t>
      </w:r>
      <w:r w:rsidRPr="00E86311">
        <w:rPr>
          <w:rFonts w:ascii="Arial" w:eastAsia="Times New Roman" w:hAnsi="Arial" w:cs="Arial"/>
          <w:color w:val="000000"/>
          <w:kern w:val="0"/>
          <w:lang w:eastAsia="en-GB"/>
          <w14:ligatures w14:val="none"/>
        </w:rPr>
        <w:t xml:space="preserve"> Biases are within us all, we all have our own biases for example on our upbringing, however, some individuals have formed strong biases surrounding peoples race or sexuality or even appearance.</w:t>
      </w:r>
    </w:p>
    <w:p w14:paraId="743C1B21"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40E9B68D"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The disproportionate results of a bias can be explained by the explicit and implicit racial prejudices of legal actors (Cohn et al., 2009). In particular, juries frequently create prejudiced decisions and impose harsher sentences on defendants who belong to a different racial group (T. L. Mitchell et al., 2005; Sweeney &amp; Haney, 1992). According to Dovidio et al. (1997), a correlation between the general public's perception of Black individuals and their perceived accountability exists, as well as recommendations for the death sentence. According to Baldus et al. (1983, 2002), there is also a racial interaction between the victim and the perpetrator that results in significantly lengthier sentences for Black defendants when the victim is White. </w:t>
      </w:r>
    </w:p>
    <w:p w14:paraId="610D18E9"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4E818CBE"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While certain verdicts and sentence choices can be explained by explicit racial prejudices, unequal outcomes can also be explained by implicit viewpoints. There is a prevalent implicit stereotype that associates being Black with guilt (Levinson et al., 2010). According to Kang et al. (2011), juries' evaluation of the evidence and their conviction that the defendant was guilty can be influenced by minimal modification of the defendant's skin tone. Studies from various researchers</w:t>
      </w:r>
      <w:r w:rsidRPr="00E86311">
        <w:rPr>
          <w:rFonts w:ascii="Arial" w:eastAsia="Times New Roman" w:hAnsi="Arial" w:cs="Arial"/>
          <w:color w:val="000000"/>
          <w:kern w:val="0"/>
          <w:shd w:val="clear" w:color="auto" w:fill="FFFFFF"/>
          <w:lang w:eastAsia="en-GB"/>
          <w14:ligatures w14:val="none"/>
        </w:rPr>
        <w:t xml:space="preserve"> have shown that jury deliberations lessen the bias of White jurors, other research by (Bernard, 1979; Dovidio et al., 1997) has found no impact. Comparably, other studies have shown that jury prejudice in verdict judgments is decreased when judges provide guidelines that contain a warning not to depend on bias (Pfeifer &amp; </w:t>
      </w:r>
      <w:proofErr w:type="spellStart"/>
      <w:r w:rsidRPr="00E86311">
        <w:rPr>
          <w:rFonts w:ascii="Arial" w:eastAsia="Times New Roman" w:hAnsi="Arial" w:cs="Arial"/>
          <w:color w:val="000000"/>
          <w:kern w:val="0"/>
          <w:shd w:val="clear" w:color="auto" w:fill="FFFFFF"/>
          <w:lang w:eastAsia="en-GB"/>
          <w14:ligatures w14:val="none"/>
        </w:rPr>
        <w:t>Ogloff</w:t>
      </w:r>
      <w:proofErr w:type="spellEnd"/>
      <w:r w:rsidRPr="00E86311">
        <w:rPr>
          <w:rFonts w:ascii="Arial" w:eastAsia="Times New Roman" w:hAnsi="Arial" w:cs="Arial"/>
          <w:color w:val="000000"/>
          <w:kern w:val="0"/>
          <w:shd w:val="clear" w:color="auto" w:fill="FFFFFF"/>
          <w:lang w:eastAsia="en-GB"/>
          <w14:ligatures w14:val="none"/>
        </w:rPr>
        <w:t>, 1991). Though juries typically have a limited knowledge of judges' guidelines, this strategy might not be totally efficient given that decreasing prejudice requires an awareness of the content and material of the guidelines (Hill &amp; Pfeifer, 1992).</w:t>
      </w:r>
    </w:p>
    <w:p w14:paraId="5B0136A7"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589A9882"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Once the nature of the offence was taken into account, Mustard (2001) discovered that judges who strayed from federal guidelines tended to sentence Black and Hispanic defendants to lengthier terms than White defendants. When defendants were primed with Black jurors with implicit biases in favour of Black people, they were treated less harshly (Kang et al., 2011).</w:t>
      </w:r>
    </w:p>
    <w:p w14:paraId="3DD98606"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5CF76301"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Studies investigating how the defendant's race affects specific juror decisions have yielded contradictory outcomes that are challenging to integrate, primarily attributed to the fact that the said studies are generalised and typically not based on any particular theory (Bodenhausen &amp; Lichtenstein, 1987; Wittenbrink, Gist, &amp; Hilton, 1997). </w:t>
      </w:r>
    </w:p>
    <w:p w14:paraId="199DFA80"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5C9FD1DF"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 xml:space="preserve">Sommers and Ellsworth proposed that race-relevant prosecution evidence reveals numerous White jurors' feel uneasy with regard to steering clear of prejudice or demonstrating signs of prejudice (Gaertner &amp; Dovidio, 1986; Kinder &amp; Sears, 1981). Nonetheless, White juries frequently are more critical of a Black defendant compared to a White defendant despite the </w:t>
      </w:r>
      <w:r w:rsidRPr="00E86311">
        <w:rPr>
          <w:rFonts w:ascii="Arial" w:eastAsia="Times New Roman" w:hAnsi="Arial" w:cs="Arial"/>
          <w:color w:val="000000"/>
          <w:kern w:val="0"/>
          <w:lang w:eastAsia="en-GB"/>
          <w14:ligatures w14:val="none"/>
        </w:rPr>
        <w:lastRenderedPageBreak/>
        <w:t>absence of racially charged trial material, although the jury is allegedly not as concerned about racism (Sommers &amp; Ellsworth, 2000, 2001). </w:t>
      </w:r>
    </w:p>
    <w:p w14:paraId="7A433BE3"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005D788B"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 xml:space="preserve">This theory has received some indirect support from other investigations. Fein et al. (1997) reported that a racially discriminatory article regarding a Black defendant caused White mock jury members to return tougher judgements in a retrial; however, the newspaper's bias influence vanished once it became apparent that the representation had been driven by race. Pfeifer and </w:t>
      </w:r>
      <w:proofErr w:type="spellStart"/>
      <w:r w:rsidRPr="00E86311">
        <w:rPr>
          <w:rFonts w:ascii="Arial" w:eastAsia="Times New Roman" w:hAnsi="Arial" w:cs="Arial"/>
          <w:color w:val="000000"/>
          <w:kern w:val="0"/>
          <w:lang w:eastAsia="en-GB"/>
          <w14:ligatures w14:val="none"/>
        </w:rPr>
        <w:t>Ogloff</w:t>
      </w:r>
      <w:proofErr w:type="spellEnd"/>
      <w:r w:rsidRPr="00E86311">
        <w:rPr>
          <w:rFonts w:ascii="Arial" w:eastAsia="Times New Roman" w:hAnsi="Arial" w:cs="Arial"/>
          <w:color w:val="000000"/>
          <w:kern w:val="0"/>
          <w:lang w:eastAsia="en-GB"/>
          <w14:ligatures w14:val="none"/>
        </w:rPr>
        <w:t xml:space="preserve"> (1991) discovered that comparable results were obtained when judges were instructed to provide a decision "free from sympathy or prejudice," which eliminated White jurors' propensity to treat Black defendants harsher compared to White defendants (Sweeney &amp; Haney, 1992; Johnson, Whitestone, Jackson, &amp; Gatto, 1995).</w:t>
      </w:r>
    </w:p>
    <w:p w14:paraId="1CE61064"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410F8008" w14:textId="7BE91FA4"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 xml:space="preserve">In order for a defendant to get a fair trial, the court must be able to prevent external variables from swaying the verdict. Examined to differing degrees are two </w:t>
      </w:r>
      <w:r w:rsidR="00413F63" w:rsidRPr="00E86311">
        <w:rPr>
          <w:rFonts w:ascii="Arial" w:eastAsia="Times New Roman" w:hAnsi="Arial" w:cs="Arial"/>
          <w:color w:val="000000"/>
          <w:kern w:val="0"/>
          <w:lang w:eastAsia="en-GB"/>
          <w14:ligatures w14:val="none"/>
        </w:rPr>
        <w:t>extra-legal</w:t>
      </w:r>
      <w:r w:rsidRPr="00E86311">
        <w:rPr>
          <w:rFonts w:ascii="Arial" w:eastAsia="Times New Roman" w:hAnsi="Arial" w:cs="Arial"/>
          <w:color w:val="000000"/>
          <w:kern w:val="0"/>
          <w:lang w:eastAsia="en-GB"/>
          <w14:ligatures w14:val="none"/>
        </w:rPr>
        <w:t xml:space="preserve"> variables: the defendant's age and gender. Investigations regarding the impact of defendant gender upon juror actions is currently being extensively studied (</w:t>
      </w:r>
      <w:proofErr w:type="spellStart"/>
      <w:r w:rsidRPr="00E86311">
        <w:rPr>
          <w:rFonts w:ascii="Arial" w:eastAsia="Times New Roman" w:hAnsi="Arial" w:cs="Arial"/>
          <w:color w:val="000000"/>
          <w:kern w:val="0"/>
          <w:lang w:eastAsia="en-GB"/>
          <w14:ligatures w14:val="none"/>
        </w:rPr>
        <w:t>Cutroni</w:t>
      </w:r>
      <w:proofErr w:type="spellEnd"/>
      <w:r w:rsidRPr="00E86311">
        <w:rPr>
          <w:rFonts w:ascii="Arial" w:eastAsia="Times New Roman" w:hAnsi="Arial" w:cs="Arial"/>
          <w:color w:val="000000"/>
          <w:kern w:val="0"/>
          <w:lang w:eastAsia="en-GB"/>
          <w14:ligatures w14:val="none"/>
        </w:rPr>
        <w:t xml:space="preserve"> &amp; Anderson, 2020; Doerner &amp; Demuth, 2010, 2014). However, to date, there has been little to no study on the age of defendants, especially older defendants, in addition the findings appear to be inconsistent (Bergeron &amp; McKelvie, 2004; Sheahan et al., 2021). </w:t>
      </w:r>
    </w:p>
    <w:p w14:paraId="0AAF8182"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0A082076"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The discriminatory treatment of men and women is known as gender bias, and its implications could be classified as impartial, favourable, or unfavourable (Lenhart, 1993). A study was conducted in the attempt to explore gender bias’, in the study there were 45 forensic doctors with expertise in mental health conditions, half of those forensic doctors were informed they were examining a male defendant, while the other half were informed the criminal was female. The results had found that there were substantial gender differences related to legal insanity decisions. They also reported that women defendants had a greater risk of being found legally insane in addition to being sent to a hospital in contrast to jail (</w:t>
      </w:r>
      <w:proofErr w:type="spellStart"/>
      <w:r w:rsidRPr="00E86311">
        <w:rPr>
          <w:rFonts w:ascii="Arial" w:eastAsia="Times New Roman" w:hAnsi="Arial" w:cs="Arial"/>
          <w:color w:val="000000"/>
          <w:kern w:val="0"/>
          <w:lang w:eastAsia="en-GB"/>
          <w14:ligatures w14:val="none"/>
        </w:rPr>
        <w:t>Yourstone</w:t>
      </w:r>
      <w:proofErr w:type="spellEnd"/>
      <w:r w:rsidRPr="00E86311">
        <w:rPr>
          <w:rFonts w:ascii="Arial" w:eastAsia="Times New Roman" w:hAnsi="Arial" w:cs="Arial"/>
          <w:color w:val="000000"/>
          <w:kern w:val="0"/>
          <w:lang w:eastAsia="en-GB"/>
          <w14:ligatures w14:val="none"/>
        </w:rPr>
        <w:t xml:space="preserve"> et al 2008).</w:t>
      </w:r>
    </w:p>
    <w:p w14:paraId="74D2063C"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384634EB"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Additionally, according to research by Kothari et al. (2014), there is a lack of statistical significance observed between the likelihood of referrals for female and male eligible offenders to Mental Health Recovery Court, a project aimed at diverting mentally ill prisoners from jails and into treatment facilities. </w:t>
      </w:r>
    </w:p>
    <w:p w14:paraId="7868DE6E"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6A2A119A"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 xml:space="preserve">Cases from the real world show that outside variables can have a profound impact on a person's life. A case in point is the 2014 murder trial of Curtis Reeves, who shot and murdered Chad </w:t>
      </w:r>
      <w:proofErr w:type="spellStart"/>
      <w:r w:rsidRPr="00E86311">
        <w:rPr>
          <w:rFonts w:ascii="Arial" w:eastAsia="Times New Roman" w:hAnsi="Arial" w:cs="Arial"/>
          <w:color w:val="000000"/>
          <w:kern w:val="0"/>
          <w:lang w:eastAsia="en-GB"/>
          <w14:ligatures w14:val="none"/>
        </w:rPr>
        <w:t>Oulsen</w:t>
      </w:r>
      <w:proofErr w:type="spellEnd"/>
      <w:r w:rsidRPr="00E86311">
        <w:rPr>
          <w:rFonts w:ascii="Arial" w:eastAsia="Times New Roman" w:hAnsi="Arial" w:cs="Arial"/>
          <w:color w:val="000000"/>
          <w:kern w:val="0"/>
          <w:lang w:eastAsia="en-GB"/>
          <w14:ligatures w14:val="none"/>
        </w:rPr>
        <w:t xml:space="preserve"> in a Florida theatre. Richard Escobar, Reeves' defence lawyer, emphasised in front of the jury and the public throughout the trial that his client was elderly and fragile, saying, "It may not be what I would have done, or you would have done, but you have to realise how Mr. Reeves was at the time... He was 71, in declining health and a decorated officer” (Dawson, 2022, para. 11). At the end of the trial, Reeves, who was 79 years old, was found not guilty when he presented the defence argument that he was acting in self-defence (Dawson, 2022).</w:t>
      </w:r>
    </w:p>
    <w:p w14:paraId="6AF233A9"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68B4B7C1" w14:textId="1D7A63C0"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 xml:space="preserve">According to Iversen et al. (2009), ageism refers to attitudes, behaviours, and stereotypes that are </w:t>
      </w:r>
      <w:r w:rsidR="00CE107B" w:rsidRPr="00E86311">
        <w:rPr>
          <w:rFonts w:ascii="Arial" w:eastAsia="Times New Roman" w:hAnsi="Arial" w:cs="Arial"/>
          <w:color w:val="000000"/>
          <w:kern w:val="0"/>
          <w:lang w:eastAsia="en-GB"/>
          <w14:ligatures w14:val="none"/>
        </w:rPr>
        <w:t>bias</w:t>
      </w:r>
      <w:r w:rsidR="00CE107B">
        <w:rPr>
          <w:rFonts w:ascii="Arial" w:eastAsia="Times New Roman" w:hAnsi="Arial" w:cs="Arial"/>
          <w:color w:val="000000"/>
          <w:kern w:val="0"/>
          <w:lang w:eastAsia="en-GB"/>
          <w14:ligatures w14:val="none"/>
        </w:rPr>
        <w:t>e</w:t>
      </w:r>
      <w:r w:rsidR="00CE107B" w:rsidRPr="00E86311">
        <w:rPr>
          <w:rFonts w:ascii="Arial" w:eastAsia="Times New Roman" w:hAnsi="Arial" w:cs="Arial"/>
          <w:color w:val="000000"/>
          <w:kern w:val="0"/>
          <w:lang w:eastAsia="en-GB"/>
          <w14:ligatures w14:val="none"/>
        </w:rPr>
        <w:t>d</w:t>
      </w:r>
      <w:r w:rsidRPr="00E86311">
        <w:rPr>
          <w:rFonts w:ascii="Arial" w:eastAsia="Times New Roman" w:hAnsi="Arial" w:cs="Arial"/>
          <w:color w:val="000000"/>
          <w:kern w:val="0"/>
          <w:lang w:eastAsia="en-GB"/>
          <w14:ligatures w14:val="none"/>
        </w:rPr>
        <w:t xml:space="preserve"> and based only on an individual's chronological age. Ageism may be caused by the notion that people in their latter years are less important or interesting to society.</w:t>
      </w:r>
    </w:p>
    <w:p w14:paraId="77FA4D8A"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587D8C96"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 xml:space="preserve">Overly accommodating behaviour, such as aiding too much, is a prevalent result of benevolent ageism, which has its roots in the misconception that older people are inept but kind (Fiske et al., 2002). It is prevalent for older persons to encounter benevolent ageism (Chasteen et al., 2021a). On the other hand, hostile ageism, which stems from the misconception that elderly people are incompetent or unkind, frequently takes the form of </w:t>
      </w:r>
      <w:r w:rsidRPr="00E86311">
        <w:rPr>
          <w:rFonts w:ascii="Arial" w:eastAsia="Times New Roman" w:hAnsi="Arial" w:cs="Arial"/>
          <w:color w:val="000000"/>
          <w:kern w:val="0"/>
          <w:lang w:eastAsia="en-GB"/>
          <w14:ligatures w14:val="none"/>
        </w:rPr>
        <w:lastRenderedPageBreak/>
        <w:t xml:space="preserve">condescending discrimination, where elderly people may be mistreated or ignored (Cuddy et al., 2008; Fiske et al., 2002). (Cary et al., 2017). Despite having distinct appearances, ageism in any form can have a negative impact on an older person's physical and emotional well-being (Chrisler et al., 2016; Dionigi, 2015; </w:t>
      </w:r>
      <w:proofErr w:type="spellStart"/>
      <w:r w:rsidRPr="00E86311">
        <w:rPr>
          <w:rFonts w:ascii="Arial" w:eastAsia="Times New Roman" w:hAnsi="Arial" w:cs="Arial"/>
          <w:color w:val="000000"/>
          <w:kern w:val="0"/>
          <w:lang w:eastAsia="en-GB"/>
          <w14:ligatures w14:val="none"/>
        </w:rPr>
        <w:t>Marchiondo</w:t>
      </w:r>
      <w:proofErr w:type="spellEnd"/>
      <w:r w:rsidRPr="00E86311">
        <w:rPr>
          <w:rFonts w:ascii="Arial" w:eastAsia="Times New Roman" w:hAnsi="Arial" w:cs="Arial"/>
          <w:color w:val="000000"/>
          <w:kern w:val="0"/>
          <w:lang w:eastAsia="en-GB"/>
          <w14:ligatures w14:val="none"/>
        </w:rPr>
        <w:t xml:space="preserve"> et al., 2019; Sargent-Cox et al., 2012).</w:t>
      </w:r>
    </w:p>
    <w:p w14:paraId="63872E3B"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5405822C"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 xml:space="preserve">Whilst ageism was originally associated with prejudices against the elderly, it is now more frequently used to describe attitudes towards people of all ages, including those who are young (LORETTO et al., 2000; Finkelstein et al., 2013). Alternatively, </w:t>
      </w:r>
      <w:proofErr w:type="spellStart"/>
      <w:r w:rsidRPr="00E86311">
        <w:rPr>
          <w:rFonts w:ascii="Arial" w:eastAsia="Times New Roman" w:hAnsi="Arial" w:cs="Arial"/>
          <w:color w:val="000000"/>
          <w:kern w:val="0"/>
          <w:lang w:eastAsia="en-GB"/>
          <w14:ligatures w14:val="none"/>
        </w:rPr>
        <w:t>childism</w:t>
      </w:r>
      <w:proofErr w:type="spellEnd"/>
      <w:r w:rsidRPr="00E86311">
        <w:rPr>
          <w:rFonts w:ascii="Arial" w:eastAsia="Times New Roman" w:hAnsi="Arial" w:cs="Arial"/>
          <w:color w:val="000000"/>
          <w:kern w:val="0"/>
          <w:lang w:eastAsia="en-GB"/>
          <w14:ligatures w14:val="none"/>
        </w:rPr>
        <w:t xml:space="preserve"> is a term used in the literature to refer to a certain type of bias against children, while reverse ageism is typically used to refer to ageism aimed against younger adults, who are typically characterised as those in their 20s and 30s (Raymer et al., 2017).</w:t>
      </w:r>
    </w:p>
    <w:p w14:paraId="725FABAC"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5B49CF95"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 xml:space="preserve">Ageism comes into place in real life when the media are frequently accused of perpetuating negative stereotypes surrounding older individuals, which in turn reinforces ageist beliefs (Fealy et al. 2012; Koskinen et al. 2014). International research revealed that </w:t>
      </w:r>
      <w:proofErr w:type="spellStart"/>
      <w:r w:rsidRPr="00E86311">
        <w:rPr>
          <w:rFonts w:ascii="Arial" w:eastAsia="Times New Roman" w:hAnsi="Arial" w:cs="Arial"/>
          <w:color w:val="000000"/>
          <w:kern w:val="0"/>
          <w:lang w:eastAsia="en-GB"/>
          <w14:ligatures w14:val="none"/>
        </w:rPr>
        <w:t>biassed</w:t>
      </w:r>
      <w:proofErr w:type="spellEnd"/>
      <w:r w:rsidRPr="00E86311">
        <w:rPr>
          <w:rFonts w:ascii="Arial" w:eastAsia="Times New Roman" w:hAnsi="Arial" w:cs="Arial"/>
          <w:color w:val="000000"/>
          <w:kern w:val="0"/>
          <w:lang w:eastAsia="en-GB"/>
          <w14:ligatures w14:val="none"/>
        </w:rPr>
        <w:t xml:space="preserve"> media portrayals of older individuals are comparable, focusing on old age and physical dependability and presenting the population via a biological viewpoint (Phelan 2018; Wilińska and </w:t>
      </w:r>
      <w:proofErr w:type="spellStart"/>
      <w:r w:rsidRPr="00E86311">
        <w:rPr>
          <w:rFonts w:ascii="Arial" w:eastAsia="Times New Roman" w:hAnsi="Arial" w:cs="Arial"/>
          <w:color w:val="000000"/>
          <w:kern w:val="0"/>
          <w:lang w:eastAsia="en-GB"/>
          <w14:ligatures w14:val="none"/>
        </w:rPr>
        <w:t>Cedersund</w:t>
      </w:r>
      <w:proofErr w:type="spellEnd"/>
      <w:r w:rsidRPr="00E86311">
        <w:rPr>
          <w:rFonts w:ascii="Arial" w:eastAsia="Times New Roman" w:hAnsi="Arial" w:cs="Arial"/>
          <w:color w:val="000000"/>
          <w:kern w:val="0"/>
          <w:lang w:eastAsia="en-GB"/>
          <w14:ligatures w14:val="none"/>
        </w:rPr>
        <w:t xml:space="preserve"> 2010; Zhang and Harwood 2004). Vulnerability has frequently been associated with age and is said to be problem oriented according to the Chinese media (Chen 2015). </w:t>
      </w:r>
    </w:p>
    <w:p w14:paraId="39AD68C3"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4C98CE51"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To conclude, it is evident that the United States of America and the United Kingdom have very different approaches on how they tackle their legal system, for example their recruitment process or even the amount of votes required to reach a verdict. The selection of the jury is crucial to determine unbiased members who are wholly honest and unbiased in their decision making within the court. Biases are a detrimental factor affecting how the judicial process is carried out and how a verdict is reached, and are significant to achieving or not achieving justice for the defendants; biases such as gender, age or even race can cause a jury's decision to sway. </w:t>
      </w:r>
    </w:p>
    <w:p w14:paraId="1D2FCC39"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p>
    <w:p w14:paraId="4DBA7588" w14:textId="77777777" w:rsidR="00E86311" w:rsidRPr="00E86311" w:rsidRDefault="00E86311" w:rsidP="00E86311">
      <w:pPr>
        <w:spacing w:after="0" w:line="240" w:lineRule="auto"/>
        <w:rPr>
          <w:rFonts w:ascii="Times New Roman" w:eastAsia="Times New Roman" w:hAnsi="Times New Roman" w:cs="Times New Roman"/>
          <w:kern w:val="0"/>
          <w:sz w:val="24"/>
          <w:szCs w:val="24"/>
          <w:lang w:eastAsia="en-GB"/>
          <w14:ligatures w14:val="none"/>
        </w:rPr>
      </w:pPr>
      <w:r w:rsidRPr="00E86311">
        <w:rPr>
          <w:rFonts w:ascii="Arial" w:eastAsia="Times New Roman" w:hAnsi="Arial" w:cs="Arial"/>
          <w:color w:val="000000"/>
          <w:kern w:val="0"/>
          <w:lang w:eastAsia="en-GB"/>
          <w14:ligatures w14:val="none"/>
        </w:rPr>
        <w:t xml:space="preserve">There is extensive evidence to suggest that racial, age and gender based biases can alter decision making processes with detrimental impacts on the culpability of a defendant leading to miscarriages of justice. There is however, contradictory evidence indicating that these biases are nothing more than that, and will therefore not impact upon an individuals’ ability to make a credible decision to seek justice in a court of law. Continuous monitoring and psychological research must be in place to avoid any potential to influence a person’s decision making in the justice process. These studies can help inform procedures in the criminal justice system in order to improve the integrity of an individual in a jury’s deliberation. The US procedures of qualifying jurors before they sit on the jury is an option that could be considered by the UK system, allowing participation only when potential jurors are questioned before any approval for any court case. This will help determine suitability to a case and potentially improve the role of the jury in the UK criminal justice system. </w:t>
      </w:r>
    </w:p>
    <w:p w14:paraId="44D696EB" w14:textId="77777777" w:rsidR="00063AC0" w:rsidRDefault="00063AC0"/>
    <w:p w14:paraId="7A816EB6" w14:textId="77777777" w:rsidR="005A60A1" w:rsidRDefault="005A60A1"/>
    <w:p w14:paraId="43588316" w14:textId="77777777" w:rsidR="005A60A1" w:rsidRDefault="005A60A1"/>
    <w:p w14:paraId="49654414" w14:textId="77777777" w:rsidR="005A60A1" w:rsidRDefault="005A60A1"/>
    <w:p w14:paraId="6C45D961" w14:textId="77777777" w:rsidR="005A60A1" w:rsidRDefault="005A60A1"/>
    <w:p w14:paraId="047592E7" w14:textId="77777777" w:rsidR="005A60A1" w:rsidRDefault="005A60A1"/>
    <w:p w14:paraId="3E630CBB" w14:textId="77777777" w:rsidR="005A60A1" w:rsidRDefault="005A60A1"/>
    <w:p w14:paraId="18931F69" w14:textId="77777777" w:rsidR="00721EA2" w:rsidRPr="00754D9C" w:rsidRDefault="00721EA2" w:rsidP="00B53CC0">
      <w:pPr>
        <w:pStyle w:val="NormalWeb"/>
        <w:spacing w:before="0" w:beforeAutospacing="0" w:after="0" w:afterAutospacing="0"/>
        <w:ind w:left="720" w:hanging="720"/>
        <w:rPr>
          <w:rFonts w:ascii="Arial" w:hAnsi="Arial" w:cs="Arial"/>
          <w:b/>
          <w:bCs/>
          <w:sz w:val="22"/>
          <w:szCs w:val="22"/>
        </w:rPr>
      </w:pPr>
      <w:r w:rsidRPr="00754D9C">
        <w:rPr>
          <w:rFonts w:ascii="Arial" w:hAnsi="Arial" w:cs="Arial"/>
          <w:b/>
          <w:bCs/>
          <w:sz w:val="22"/>
          <w:szCs w:val="22"/>
        </w:rPr>
        <w:lastRenderedPageBreak/>
        <w:t>Reference list</w:t>
      </w:r>
    </w:p>
    <w:p w14:paraId="37C68A85" w14:textId="77777777" w:rsidR="00721EA2" w:rsidRDefault="00721EA2" w:rsidP="00B53CC0">
      <w:pPr>
        <w:pStyle w:val="NormalWeb"/>
        <w:spacing w:before="0" w:beforeAutospacing="0" w:after="0" w:afterAutospacing="0"/>
        <w:ind w:left="720" w:hanging="720"/>
        <w:rPr>
          <w:rFonts w:ascii="Arial" w:hAnsi="Arial" w:cs="Arial"/>
          <w:sz w:val="22"/>
          <w:szCs w:val="22"/>
        </w:rPr>
      </w:pPr>
    </w:p>
    <w:p w14:paraId="3F93770A" w14:textId="5F28B5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Amy J.C. Cuddy, Fiske, S. T., &amp; Glick, P. (2008). Warmth and Competence as Universal Dimensions of Social Perception: The Stereotype Content Model and the BIAS Map. In </w:t>
      </w:r>
      <w:r w:rsidRPr="00B53CC0">
        <w:rPr>
          <w:rFonts w:ascii="Arial" w:hAnsi="Arial" w:cs="Arial"/>
          <w:i/>
          <w:iCs/>
          <w:sz w:val="22"/>
          <w:szCs w:val="22"/>
        </w:rPr>
        <w:t>Advances in Experimental Social Psychology</w:t>
      </w:r>
      <w:r w:rsidRPr="00B53CC0">
        <w:rPr>
          <w:rFonts w:ascii="Arial" w:hAnsi="Arial" w:cs="Arial"/>
          <w:sz w:val="22"/>
          <w:szCs w:val="22"/>
        </w:rPr>
        <w:t xml:space="preserve"> (pp. 61–149). Science Direct. https://doi.org/10.1016/s0065-2601(07)00002-0</w:t>
      </w:r>
    </w:p>
    <w:p w14:paraId="174A88C9"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Anwar, S., Bayer, P., &amp; Hjalmarsson, R. (2018). Politics in the Courtroom: Political Ideology and Jury Decision Making. </w:t>
      </w:r>
      <w:r w:rsidRPr="00B53CC0">
        <w:rPr>
          <w:rFonts w:ascii="Arial" w:hAnsi="Arial" w:cs="Arial"/>
          <w:i/>
          <w:iCs/>
          <w:sz w:val="22"/>
          <w:szCs w:val="22"/>
        </w:rPr>
        <w:t>Journal of the European Economic Association</w:t>
      </w:r>
      <w:r w:rsidRPr="00B53CC0">
        <w:rPr>
          <w:rFonts w:ascii="Arial" w:hAnsi="Arial" w:cs="Arial"/>
          <w:sz w:val="22"/>
          <w:szCs w:val="22"/>
        </w:rPr>
        <w:t xml:space="preserve">, </w:t>
      </w:r>
      <w:r w:rsidRPr="00B53CC0">
        <w:rPr>
          <w:rFonts w:ascii="Arial" w:hAnsi="Arial" w:cs="Arial"/>
          <w:i/>
          <w:iCs/>
          <w:sz w:val="22"/>
          <w:szCs w:val="22"/>
        </w:rPr>
        <w:t>17</w:t>
      </w:r>
      <w:r w:rsidRPr="00B53CC0">
        <w:rPr>
          <w:rFonts w:ascii="Arial" w:hAnsi="Arial" w:cs="Arial"/>
          <w:sz w:val="22"/>
          <w:szCs w:val="22"/>
        </w:rPr>
        <w:t>(3), 834–875. Oxford Academic. https://doi.org/10.1093/jeea/jvy013</w:t>
      </w:r>
    </w:p>
    <w:p w14:paraId="216E4BCE"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Baldus, D. C., Pulaski, C., &amp; Woodworth, G. (1983). Comparative Review of Death Sentences: An Empirical Study of the Georgia Experience. </w:t>
      </w:r>
      <w:r w:rsidRPr="00B53CC0">
        <w:rPr>
          <w:rFonts w:ascii="Arial" w:hAnsi="Arial" w:cs="Arial"/>
          <w:i/>
          <w:iCs/>
          <w:sz w:val="22"/>
          <w:szCs w:val="22"/>
        </w:rPr>
        <w:t>The Journal of Criminal Law and Criminology (1973)</w:t>
      </w:r>
      <w:r w:rsidRPr="00B53CC0">
        <w:rPr>
          <w:rFonts w:ascii="Arial" w:hAnsi="Arial" w:cs="Arial"/>
          <w:sz w:val="22"/>
          <w:szCs w:val="22"/>
        </w:rPr>
        <w:t xml:space="preserve">, </w:t>
      </w:r>
      <w:r w:rsidRPr="00B53CC0">
        <w:rPr>
          <w:rFonts w:ascii="Arial" w:hAnsi="Arial" w:cs="Arial"/>
          <w:i/>
          <w:iCs/>
          <w:sz w:val="22"/>
          <w:szCs w:val="22"/>
        </w:rPr>
        <w:t>74</w:t>
      </w:r>
      <w:r w:rsidRPr="00B53CC0">
        <w:rPr>
          <w:rFonts w:ascii="Arial" w:hAnsi="Arial" w:cs="Arial"/>
          <w:sz w:val="22"/>
          <w:szCs w:val="22"/>
        </w:rPr>
        <w:t>(3), 661–753. JSTOR. https://doi.org/10.2307/1143133</w:t>
      </w:r>
    </w:p>
    <w:p w14:paraId="1F5EEDF0"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Baldus, D. C., Woodworth, G., &amp; Grosso, C. M. (2003). A Legal and Empirical Analysis of the Nebraska Experience. In </w:t>
      </w:r>
      <w:r w:rsidRPr="00B53CC0">
        <w:rPr>
          <w:rFonts w:ascii="Arial" w:hAnsi="Arial" w:cs="Arial"/>
          <w:i/>
          <w:iCs/>
          <w:sz w:val="22"/>
          <w:szCs w:val="22"/>
        </w:rPr>
        <w:t>Arbitrariness and Discrimination in the Administration of the Death Penalty</w:t>
      </w:r>
      <w:r w:rsidRPr="00B53CC0">
        <w:rPr>
          <w:rFonts w:ascii="Arial" w:hAnsi="Arial" w:cs="Arial"/>
          <w:sz w:val="22"/>
          <w:szCs w:val="22"/>
        </w:rPr>
        <w:t xml:space="preserve"> (pp. 495–532). University of Iowa. https://heinonline.org/HOL/LandingPage?handle=hein.journals/nebklr81&amp;div=17&amp;id=&amp;page=</w:t>
      </w:r>
    </w:p>
    <w:p w14:paraId="17DACA56"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Bennet, J. M., </w:t>
      </w:r>
      <w:proofErr w:type="spellStart"/>
      <w:r w:rsidRPr="00B53CC0">
        <w:rPr>
          <w:rFonts w:ascii="Arial" w:hAnsi="Arial" w:cs="Arial"/>
          <w:sz w:val="22"/>
          <w:szCs w:val="22"/>
        </w:rPr>
        <w:t>Carbado</w:t>
      </w:r>
      <w:proofErr w:type="spellEnd"/>
      <w:r w:rsidRPr="00B53CC0">
        <w:rPr>
          <w:rFonts w:ascii="Arial" w:hAnsi="Arial" w:cs="Arial"/>
          <w:sz w:val="22"/>
          <w:szCs w:val="22"/>
        </w:rPr>
        <w:t xml:space="preserve">, D., Casey, P., Dasgupta, N., </w:t>
      </w:r>
      <w:proofErr w:type="spellStart"/>
      <w:r w:rsidRPr="00B53CC0">
        <w:rPr>
          <w:rFonts w:ascii="Arial" w:hAnsi="Arial" w:cs="Arial"/>
          <w:sz w:val="22"/>
          <w:szCs w:val="22"/>
        </w:rPr>
        <w:t>Faigman</w:t>
      </w:r>
      <w:proofErr w:type="spellEnd"/>
      <w:r w:rsidRPr="00B53CC0">
        <w:rPr>
          <w:rFonts w:ascii="Arial" w:hAnsi="Arial" w:cs="Arial"/>
          <w:sz w:val="22"/>
          <w:szCs w:val="22"/>
        </w:rPr>
        <w:t xml:space="preserve">, D., Godsil, R., Greenwald, A. G., Levinson, J., &amp; Mnookin, J. (2012). Implicit Bias in the courtroom [Review of </w:t>
      </w:r>
      <w:r w:rsidRPr="00B53CC0">
        <w:rPr>
          <w:rFonts w:ascii="Arial" w:hAnsi="Arial" w:cs="Arial"/>
          <w:i/>
          <w:iCs/>
          <w:sz w:val="22"/>
          <w:szCs w:val="22"/>
        </w:rPr>
        <w:t>Implicit Bias in the courtroom</w:t>
      </w:r>
      <w:r w:rsidRPr="00B53CC0">
        <w:rPr>
          <w:rFonts w:ascii="Arial" w:hAnsi="Arial" w:cs="Arial"/>
          <w:sz w:val="22"/>
          <w:szCs w:val="22"/>
        </w:rPr>
        <w:t xml:space="preserve">, by J. Kang]. </w:t>
      </w:r>
      <w:proofErr w:type="spellStart"/>
      <w:r w:rsidRPr="00B53CC0">
        <w:rPr>
          <w:rFonts w:ascii="Arial" w:hAnsi="Arial" w:cs="Arial"/>
          <w:i/>
          <w:iCs/>
          <w:sz w:val="22"/>
          <w:szCs w:val="22"/>
        </w:rPr>
        <w:t>HeinOnline</w:t>
      </w:r>
      <w:proofErr w:type="spellEnd"/>
      <w:r w:rsidRPr="00B53CC0">
        <w:rPr>
          <w:rFonts w:ascii="Arial" w:hAnsi="Arial" w:cs="Arial"/>
          <w:sz w:val="22"/>
          <w:szCs w:val="22"/>
        </w:rPr>
        <w:t xml:space="preserve">, </w:t>
      </w:r>
      <w:r w:rsidRPr="00B53CC0">
        <w:rPr>
          <w:rFonts w:ascii="Arial" w:hAnsi="Arial" w:cs="Arial"/>
          <w:i/>
          <w:iCs/>
          <w:sz w:val="22"/>
          <w:szCs w:val="22"/>
        </w:rPr>
        <w:t>1</w:t>
      </w:r>
      <w:r w:rsidRPr="00B53CC0">
        <w:rPr>
          <w:rFonts w:ascii="Arial" w:hAnsi="Arial" w:cs="Arial"/>
          <w:sz w:val="22"/>
          <w:szCs w:val="22"/>
        </w:rPr>
        <w:t>, 1. https://heinonline.org/HOL/LandingPage?handle=hein.journals/uclalr59&amp;div=34&amp;id=&amp;page=</w:t>
      </w:r>
    </w:p>
    <w:p w14:paraId="3F90F6EC"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Bergeron, C. E., &amp; Mckelvie, S. J. (2004). Effects of Defendant Age on Severity of Punishment for Different Crimes. </w:t>
      </w:r>
      <w:r w:rsidRPr="00B53CC0">
        <w:rPr>
          <w:rFonts w:ascii="Arial" w:hAnsi="Arial" w:cs="Arial"/>
          <w:i/>
          <w:iCs/>
          <w:sz w:val="22"/>
          <w:szCs w:val="22"/>
        </w:rPr>
        <w:t>The Journal of Social Psychology</w:t>
      </w:r>
      <w:r w:rsidRPr="00B53CC0">
        <w:rPr>
          <w:rFonts w:ascii="Arial" w:hAnsi="Arial" w:cs="Arial"/>
          <w:sz w:val="22"/>
          <w:szCs w:val="22"/>
        </w:rPr>
        <w:t xml:space="preserve">, </w:t>
      </w:r>
      <w:r w:rsidRPr="00B53CC0">
        <w:rPr>
          <w:rFonts w:ascii="Arial" w:hAnsi="Arial" w:cs="Arial"/>
          <w:i/>
          <w:iCs/>
          <w:sz w:val="22"/>
          <w:szCs w:val="22"/>
        </w:rPr>
        <w:t>144</w:t>
      </w:r>
      <w:r w:rsidRPr="00B53CC0">
        <w:rPr>
          <w:rFonts w:ascii="Arial" w:hAnsi="Arial" w:cs="Arial"/>
          <w:sz w:val="22"/>
          <w:szCs w:val="22"/>
        </w:rPr>
        <w:t>(1), 75–90. Taylor &amp; Francis Online. https://doi.org/10.3200/socp.144.1.75-90</w:t>
      </w:r>
    </w:p>
    <w:p w14:paraId="375D7F9F"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Bodenhausen, G. V., &amp; Lichtenstein, M. (1987). Social stereotypes and information-processing strategies: The impact of task complexity. </w:t>
      </w:r>
      <w:r w:rsidRPr="00B53CC0">
        <w:rPr>
          <w:rFonts w:ascii="Arial" w:hAnsi="Arial" w:cs="Arial"/>
          <w:i/>
          <w:iCs/>
          <w:sz w:val="22"/>
          <w:szCs w:val="22"/>
        </w:rPr>
        <w:t>Journal of Personality and Social Psychology</w:t>
      </w:r>
      <w:r w:rsidRPr="00B53CC0">
        <w:rPr>
          <w:rFonts w:ascii="Arial" w:hAnsi="Arial" w:cs="Arial"/>
          <w:sz w:val="22"/>
          <w:szCs w:val="22"/>
        </w:rPr>
        <w:t xml:space="preserve">, </w:t>
      </w:r>
      <w:r w:rsidRPr="00B53CC0">
        <w:rPr>
          <w:rFonts w:ascii="Arial" w:hAnsi="Arial" w:cs="Arial"/>
          <w:i/>
          <w:iCs/>
          <w:sz w:val="22"/>
          <w:szCs w:val="22"/>
        </w:rPr>
        <w:t>52</w:t>
      </w:r>
      <w:r w:rsidRPr="00B53CC0">
        <w:rPr>
          <w:rFonts w:ascii="Arial" w:hAnsi="Arial" w:cs="Arial"/>
          <w:sz w:val="22"/>
          <w:szCs w:val="22"/>
        </w:rPr>
        <w:t xml:space="preserve">(5), 871–880. APA </w:t>
      </w:r>
      <w:proofErr w:type="spellStart"/>
      <w:r w:rsidRPr="00B53CC0">
        <w:rPr>
          <w:rFonts w:ascii="Arial" w:hAnsi="Arial" w:cs="Arial"/>
          <w:sz w:val="22"/>
          <w:szCs w:val="22"/>
        </w:rPr>
        <w:t>PsycNet</w:t>
      </w:r>
      <w:proofErr w:type="spellEnd"/>
      <w:r w:rsidRPr="00B53CC0">
        <w:rPr>
          <w:rFonts w:ascii="Arial" w:hAnsi="Arial" w:cs="Arial"/>
          <w:sz w:val="22"/>
          <w:szCs w:val="22"/>
        </w:rPr>
        <w:t>. https://doi.org/10.1037/0022-3514.52.5.871</w:t>
      </w:r>
    </w:p>
    <w:p w14:paraId="18F5BFF8"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Bornstein, B. H., &amp; Greene, E. (2011). Jury Decision Making: Implications For and From Psychology. </w:t>
      </w:r>
      <w:r w:rsidRPr="00B53CC0">
        <w:rPr>
          <w:rFonts w:ascii="Arial" w:hAnsi="Arial" w:cs="Arial"/>
          <w:i/>
          <w:iCs/>
          <w:sz w:val="22"/>
          <w:szCs w:val="22"/>
        </w:rPr>
        <w:t>Current Directions in Psychological Science</w:t>
      </w:r>
      <w:r w:rsidRPr="00B53CC0">
        <w:rPr>
          <w:rFonts w:ascii="Arial" w:hAnsi="Arial" w:cs="Arial"/>
          <w:sz w:val="22"/>
          <w:szCs w:val="22"/>
        </w:rPr>
        <w:t xml:space="preserve">, </w:t>
      </w:r>
      <w:r w:rsidRPr="00B53CC0">
        <w:rPr>
          <w:rFonts w:ascii="Arial" w:hAnsi="Arial" w:cs="Arial"/>
          <w:i/>
          <w:iCs/>
          <w:sz w:val="22"/>
          <w:szCs w:val="22"/>
        </w:rPr>
        <w:t>20</w:t>
      </w:r>
      <w:r w:rsidRPr="00B53CC0">
        <w:rPr>
          <w:rFonts w:ascii="Arial" w:hAnsi="Arial" w:cs="Arial"/>
          <w:sz w:val="22"/>
          <w:szCs w:val="22"/>
        </w:rPr>
        <w:t>(1), 63–67. Association of psychological science. https://doi.org/10.1177/0963721410397282</w:t>
      </w:r>
    </w:p>
    <w:p w14:paraId="26D25254"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Cary, L. A., Chasteen, A. L., &amp; Remedios, J. (2016). The Ambivalent Ageism Scale: Developing and Validating a Scale to Measure Benevolent and Hostile Ageism. </w:t>
      </w:r>
      <w:r w:rsidRPr="00B53CC0">
        <w:rPr>
          <w:rFonts w:ascii="Arial" w:hAnsi="Arial" w:cs="Arial"/>
          <w:i/>
          <w:iCs/>
          <w:sz w:val="22"/>
          <w:szCs w:val="22"/>
        </w:rPr>
        <w:t>The Gerontologist</w:t>
      </w:r>
      <w:r w:rsidRPr="00B53CC0">
        <w:rPr>
          <w:rFonts w:ascii="Arial" w:hAnsi="Arial" w:cs="Arial"/>
          <w:sz w:val="22"/>
          <w:szCs w:val="22"/>
        </w:rPr>
        <w:t xml:space="preserve">, </w:t>
      </w:r>
      <w:r w:rsidRPr="00B53CC0">
        <w:rPr>
          <w:rFonts w:ascii="Arial" w:hAnsi="Arial" w:cs="Arial"/>
          <w:i/>
          <w:iCs/>
          <w:sz w:val="22"/>
          <w:szCs w:val="22"/>
        </w:rPr>
        <w:t>57</w:t>
      </w:r>
      <w:r w:rsidRPr="00B53CC0">
        <w:rPr>
          <w:rFonts w:ascii="Arial" w:hAnsi="Arial" w:cs="Arial"/>
          <w:sz w:val="22"/>
          <w:szCs w:val="22"/>
        </w:rPr>
        <w:t>(2), gnw118. Oxford Academic. https://doi.org/10.1093/geront/gnw118</w:t>
      </w:r>
    </w:p>
    <w:p w14:paraId="6DAD340F"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Chasteen, A. L., </w:t>
      </w:r>
      <w:proofErr w:type="spellStart"/>
      <w:r w:rsidRPr="00B53CC0">
        <w:rPr>
          <w:rFonts w:ascii="Arial" w:hAnsi="Arial" w:cs="Arial"/>
          <w:sz w:val="22"/>
          <w:szCs w:val="22"/>
        </w:rPr>
        <w:t>Horhota</w:t>
      </w:r>
      <w:proofErr w:type="spellEnd"/>
      <w:r w:rsidRPr="00B53CC0">
        <w:rPr>
          <w:rFonts w:ascii="Arial" w:hAnsi="Arial" w:cs="Arial"/>
          <w:sz w:val="22"/>
          <w:szCs w:val="22"/>
        </w:rPr>
        <w:t xml:space="preserve">, M., &amp; Crumley-Branyon, J. J. (2020). Overlooked and underestimated: Experiences of ageism in young, middle-aged, and older adults. </w:t>
      </w:r>
      <w:r w:rsidRPr="00B53CC0">
        <w:rPr>
          <w:rFonts w:ascii="Arial" w:hAnsi="Arial" w:cs="Arial"/>
          <w:i/>
          <w:iCs/>
          <w:sz w:val="22"/>
          <w:szCs w:val="22"/>
        </w:rPr>
        <w:t>The Journals of Gerontology: Series B</w:t>
      </w:r>
      <w:r w:rsidRPr="00B53CC0">
        <w:rPr>
          <w:rFonts w:ascii="Arial" w:hAnsi="Arial" w:cs="Arial"/>
          <w:sz w:val="22"/>
          <w:szCs w:val="22"/>
        </w:rPr>
        <w:t xml:space="preserve">, </w:t>
      </w:r>
      <w:r w:rsidRPr="00B53CC0">
        <w:rPr>
          <w:rFonts w:ascii="Arial" w:hAnsi="Arial" w:cs="Arial"/>
          <w:i/>
          <w:iCs/>
          <w:sz w:val="22"/>
          <w:szCs w:val="22"/>
        </w:rPr>
        <w:t>76</w:t>
      </w:r>
      <w:r w:rsidRPr="00B53CC0">
        <w:rPr>
          <w:rFonts w:ascii="Arial" w:hAnsi="Arial" w:cs="Arial"/>
          <w:sz w:val="22"/>
          <w:szCs w:val="22"/>
        </w:rPr>
        <w:t>(7), 1323–1328. Oxford Academic. https://doi.org/10.1093/geronb/gbaa043</w:t>
      </w:r>
    </w:p>
    <w:p w14:paraId="28B31198"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Cheung, J. C., &amp; Kwan, A. Y. (2011). The Utility of Enhancing Filial Piety for Elder Care in China. </w:t>
      </w:r>
      <w:r w:rsidRPr="00B53CC0">
        <w:rPr>
          <w:rFonts w:ascii="Arial" w:hAnsi="Arial" w:cs="Arial"/>
          <w:i/>
          <w:iCs/>
          <w:sz w:val="22"/>
          <w:szCs w:val="22"/>
        </w:rPr>
        <w:t>Aging in China</w:t>
      </w:r>
      <w:r w:rsidRPr="00B53CC0">
        <w:rPr>
          <w:rFonts w:ascii="Arial" w:hAnsi="Arial" w:cs="Arial"/>
          <w:sz w:val="22"/>
          <w:szCs w:val="22"/>
        </w:rPr>
        <w:t xml:space="preserve">, </w:t>
      </w:r>
      <w:r w:rsidRPr="00B53CC0">
        <w:rPr>
          <w:rFonts w:ascii="Arial" w:hAnsi="Arial" w:cs="Arial"/>
          <w:i/>
          <w:iCs/>
          <w:sz w:val="22"/>
          <w:szCs w:val="22"/>
        </w:rPr>
        <w:t>1</w:t>
      </w:r>
      <w:r w:rsidRPr="00B53CC0">
        <w:rPr>
          <w:rFonts w:ascii="Arial" w:hAnsi="Arial" w:cs="Arial"/>
          <w:sz w:val="22"/>
          <w:szCs w:val="22"/>
        </w:rPr>
        <w:t>(7), 127–145. Springer Link. https://doi.org/10.1007/978-1-4419-8351-0_8</w:t>
      </w:r>
    </w:p>
    <w:p w14:paraId="78B6CEA7"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Chrisler, J. C., Barney, A., &amp; Palatino, B. (2016). Ageism can be Hazardous to Women’s Health: Ageism, Sexism, and Stereotypes of Older Women in the Healthcare System. </w:t>
      </w:r>
      <w:r w:rsidRPr="00B53CC0">
        <w:rPr>
          <w:rFonts w:ascii="Arial" w:hAnsi="Arial" w:cs="Arial"/>
          <w:i/>
          <w:iCs/>
          <w:sz w:val="22"/>
          <w:szCs w:val="22"/>
        </w:rPr>
        <w:t>Journal of Social Issues</w:t>
      </w:r>
      <w:r w:rsidRPr="00B53CC0">
        <w:rPr>
          <w:rFonts w:ascii="Arial" w:hAnsi="Arial" w:cs="Arial"/>
          <w:sz w:val="22"/>
          <w:szCs w:val="22"/>
        </w:rPr>
        <w:t xml:space="preserve">, </w:t>
      </w:r>
      <w:r w:rsidRPr="00B53CC0">
        <w:rPr>
          <w:rFonts w:ascii="Arial" w:hAnsi="Arial" w:cs="Arial"/>
          <w:i/>
          <w:iCs/>
          <w:sz w:val="22"/>
          <w:szCs w:val="22"/>
        </w:rPr>
        <w:t>72</w:t>
      </w:r>
      <w:r w:rsidRPr="00B53CC0">
        <w:rPr>
          <w:rFonts w:ascii="Arial" w:hAnsi="Arial" w:cs="Arial"/>
          <w:sz w:val="22"/>
          <w:szCs w:val="22"/>
        </w:rPr>
        <w:t>(1), 86–104. SPSSI. https://doi.org/10.1111/josi.12157</w:t>
      </w:r>
    </w:p>
    <w:p w14:paraId="1822E617"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Cohn, E. S., Bucolo, D., Pride, M., &amp; Sommers, S. R. (2009). Reducing White Juror Bias: The Role of Race Salience and Racial Attitudes. </w:t>
      </w:r>
      <w:r w:rsidRPr="00B53CC0">
        <w:rPr>
          <w:rFonts w:ascii="Arial" w:hAnsi="Arial" w:cs="Arial"/>
          <w:i/>
          <w:iCs/>
          <w:sz w:val="22"/>
          <w:szCs w:val="22"/>
        </w:rPr>
        <w:t>Journal of Applied Social Psychology</w:t>
      </w:r>
      <w:r w:rsidRPr="00B53CC0">
        <w:rPr>
          <w:rFonts w:ascii="Arial" w:hAnsi="Arial" w:cs="Arial"/>
          <w:sz w:val="22"/>
          <w:szCs w:val="22"/>
        </w:rPr>
        <w:t xml:space="preserve">, </w:t>
      </w:r>
      <w:r w:rsidRPr="00B53CC0">
        <w:rPr>
          <w:rFonts w:ascii="Arial" w:hAnsi="Arial" w:cs="Arial"/>
          <w:i/>
          <w:iCs/>
          <w:sz w:val="22"/>
          <w:szCs w:val="22"/>
        </w:rPr>
        <w:t>39</w:t>
      </w:r>
      <w:r w:rsidRPr="00B53CC0">
        <w:rPr>
          <w:rFonts w:ascii="Arial" w:hAnsi="Arial" w:cs="Arial"/>
          <w:sz w:val="22"/>
          <w:szCs w:val="22"/>
        </w:rPr>
        <w:t>(8), 1953–1973. Wiley Online. https://doi.org/10.1111/j.1559-1816.2009.00511.x</w:t>
      </w:r>
    </w:p>
    <w:p w14:paraId="0DE1B8EE"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Curley, L. J., Munro, J., &amp; Dror, I. E. (2022). Cognitive and human factors in legal layperson decision making: Sources of bias in juror decision making. </w:t>
      </w:r>
      <w:r w:rsidRPr="00B53CC0">
        <w:rPr>
          <w:rFonts w:ascii="Arial" w:hAnsi="Arial" w:cs="Arial"/>
          <w:i/>
          <w:iCs/>
          <w:sz w:val="22"/>
          <w:szCs w:val="22"/>
        </w:rPr>
        <w:t>Medicine, Science and the Law</w:t>
      </w:r>
      <w:r w:rsidRPr="00B53CC0">
        <w:rPr>
          <w:rFonts w:ascii="Arial" w:hAnsi="Arial" w:cs="Arial"/>
          <w:sz w:val="22"/>
          <w:szCs w:val="22"/>
        </w:rPr>
        <w:t xml:space="preserve">, </w:t>
      </w:r>
      <w:r w:rsidRPr="00B53CC0">
        <w:rPr>
          <w:rFonts w:ascii="Arial" w:hAnsi="Arial" w:cs="Arial"/>
          <w:i/>
          <w:iCs/>
          <w:sz w:val="22"/>
          <w:szCs w:val="22"/>
        </w:rPr>
        <w:t>62</w:t>
      </w:r>
      <w:r w:rsidRPr="00B53CC0">
        <w:rPr>
          <w:rFonts w:ascii="Arial" w:hAnsi="Arial" w:cs="Arial"/>
          <w:sz w:val="22"/>
          <w:szCs w:val="22"/>
        </w:rPr>
        <w:t>(3), 002580242210806. PubMed Central. https://doi.org/10.1177/00258024221080655</w:t>
      </w:r>
    </w:p>
    <w:p w14:paraId="27803B42"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proofErr w:type="spellStart"/>
      <w:r w:rsidRPr="00B53CC0">
        <w:rPr>
          <w:rFonts w:ascii="Arial" w:hAnsi="Arial" w:cs="Arial"/>
          <w:sz w:val="22"/>
          <w:szCs w:val="22"/>
        </w:rPr>
        <w:lastRenderedPageBreak/>
        <w:t>Cutroni</w:t>
      </w:r>
      <w:proofErr w:type="spellEnd"/>
      <w:r w:rsidRPr="00B53CC0">
        <w:rPr>
          <w:rFonts w:ascii="Arial" w:hAnsi="Arial" w:cs="Arial"/>
          <w:sz w:val="22"/>
          <w:szCs w:val="22"/>
        </w:rPr>
        <w:t xml:space="preserve">, L., &amp; Anderson, J. (2020). Lady Injustice: The Moderating Effect of Ambivalent Sexism in a Mock Case of Intimate Partner Homicide. </w:t>
      </w:r>
      <w:r w:rsidRPr="00B53CC0">
        <w:rPr>
          <w:rFonts w:ascii="Arial" w:hAnsi="Arial" w:cs="Arial"/>
          <w:i/>
          <w:iCs/>
          <w:sz w:val="22"/>
          <w:szCs w:val="22"/>
        </w:rPr>
        <w:t xml:space="preserve">Criminal Justice and </w:t>
      </w:r>
      <w:proofErr w:type="spellStart"/>
      <w:r w:rsidRPr="00B53CC0">
        <w:rPr>
          <w:rFonts w:ascii="Arial" w:hAnsi="Arial" w:cs="Arial"/>
          <w:i/>
          <w:iCs/>
          <w:sz w:val="22"/>
          <w:szCs w:val="22"/>
        </w:rPr>
        <w:t>Behavior</w:t>
      </w:r>
      <w:proofErr w:type="spellEnd"/>
      <w:r w:rsidRPr="00B53CC0">
        <w:rPr>
          <w:rFonts w:ascii="Arial" w:hAnsi="Arial" w:cs="Arial"/>
          <w:sz w:val="22"/>
          <w:szCs w:val="22"/>
        </w:rPr>
        <w:t xml:space="preserve">, </w:t>
      </w:r>
      <w:r w:rsidRPr="00B53CC0">
        <w:rPr>
          <w:rFonts w:ascii="Arial" w:hAnsi="Arial" w:cs="Arial"/>
          <w:i/>
          <w:iCs/>
          <w:sz w:val="22"/>
          <w:szCs w:val="22"/>
        </w:rPr>
        <w:t>48</w:t>
      </w:r>
      <w:r w:rsidRPr="00B53CC0">
        <w:rPr>
          <w:rFonts w:ascii="Arial" w:hAnsi="Arial" w:cs="Arial"/>
          <w:sz w:val="22"/>
          <w:szCs w:val="22"/>
        </w:rPr>
        <w:t>(3), 009385482096770. Sage Journals. https://doi.org/10.1177/0093854820967704</w:t>
      </w:r>
    </w:p>
    <w:p w14:paraId="7D6E20AC"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Dawson, A. (2022). Curtis reeves trial: All you need to know about the Pasco </w:t>
      </w:r>
      <w:proofErr w:type="spellStart"/>
      <w:r w:rsidRPr="00B53CC0">
        <w:rPr>
          <w:rFonts w:ascii="Arial" w:hAnsi="Arial" w:cs="Arial"/>
          <w:sz w:val="22"/>
          <w:szCs w:val="22"/>
        </w:rPr>
        <w:t>theater</w:t>
      </w:r>
      <w:proofErr w:type="spellEnd"/>
      <w:r w:rsidRPr="00B53CC0">
        <w:rPr>
          <w:rFonts w:ascii="Arial" w:hAnsi="Arial" w:cs="Arial"/>
          <w:sz w:val="22"/>
          <w:szCs w:val="22"/>
        </w:rPr>
        <w:t xml:space="preserve"> shooting. </w:t>
      </w:r>
    </w:p>
    <w:p w14:paraId="04E8748D"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de la Fuente-Núñez, V., Cohn-Schwartz, E., Roy, S., &amp; Ayalon, L. (2021). Scoping Review on Ageism against Younger Populations. </w:t>
      </w:r>
      <w:r w:rsidRPr="00B53CC0">
        <w:rPr>
          <w:rFonts w:ascii="Arial" w:hAnsi="Arial" w:cs="Arial"/>
          <w:i/>
          <w:iCs/>
          <w:sz w:val="22"/>
          <w:szCs w:val="22"/>
        </w:rPr>
        <w:t>International Journal of Environmental Research and Public Health</w:t>
      </w:r>
      <w:r w:rsidRPr="00B53CC0">
        <w:rPr>
          <w:rFonts w:ascii="Arial" w:hAnsi="Arial" w:cs="Arial"/>
          <w:sz w:val="22"/>
          <w:szCs w:val="22"/>
        </w:rPr>
        <w:t xml:space="preserve">, </w:t>
      </w:r>
      <w:r w:rsidRPr="00B53CC0">
        <w:rPr>
          <w:rFonts w:ascii="Arial" w:hAnsi="Arial" w:cs="Arial"/>
          <w:i/>
          <w:iCs/>
          <w:sz w:val="22"/>
          <w:szCs w:val="22"/>
        </w:rPr>
        <w:t>18</w:t>
      </w:r>
      <w:r w:rsidRPr="00B53CC0">
        <w:rPr>
          <w:rFonts w:ascii="Arial" w:hAnsi="Arial" w:cs="Arial"/>
          <w:sz w:val="22"/>
          <w:szCs w:val="22"/>
        </w:rPr>
        <w:t>(8), 3988. PubMed Central. https://doi.org/10.3390/ijerph18083988</w:t>
      </w:r>
    </w:p>
    <w:p w14:paraId="64CC07AF"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Dictionary.com. (2019). </w:t>
      </w:r>
      <w:r w:rsidRPr="00B53CC0">
        <w:rPr>
          <w:rFonts w:ascii="Arial" w:hAnsi="Arial" w:cs="Arial"/>
          <w:i/>
          <w:iCs/>
          <w:sz w:val="22"/>
          <w:szCs w:val="22"/>
        </w:rPr>
        <w:t>the definition of bias</w:t>
      </w:r>
      <w:r w:rsidRPr="00B53CC0">
        <w:rPr>
          <w:rFonts w:ascii="Arial" w:hAnsi="Arial" w:cs="Arial"/>
          <w:sz w:val="22"/>
          <w:szCs w:val="22"/>
        </w:rPr>
        <w:t>. Www.dictionary.com. https://www.dictionary.com/browse/bias</w:t>
      </w:r>
    </w:p>
    <w:p w14:paraId="024FA2D7"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Dionigi, R. A. (2015). Stereotypes of Aging: Their Effects on the Health of Older Adults. </w:t>
      </w:r>
      <w:r w:rsidRPr="00B53CC0">
        <w:rPr>
          <w:rFonts w:ascii="Arial" w:hAnsi="Arial" w:cs="Arial"/>
          <w:i/>
          <w:iCs/>
          <w:sz w:val="22"/>
          <w:szCs w:val="22"/>
        </w:rPr>
        <w:t>Journal of Geriatrics</w:t>
      </w:r>
      <w:r w:rsidRPr="00B53CC0">
        <w:rPr>
          <w:rFonts w:ascii="Arial" w:hAnsi="Arial" w:cs="Arial"/>
          <w:sz w:val="22"/>
          <w:szCs w:val="22"/>
        </w:rPr>
        <w:t xml:space="preserve">, </w:t>
      </w:r>
      <w:r w:rsidRPr="00B53CC0">
        <w:rPr>
          <w:rFonts w:ascii="Arial" w:hAnsi="Arial" w:cs="Arial"/>
          <w:i/>
          <w:iCs/>
          <w:sz w:val="22"/>
          <w:szCs w:val="22"/>
        </w:rPr>
        <w:t>2015</w:t>
      </w:r>
      <w:r w:rsidRPr="00B53CC0">
        <w:rPr>
          <w:rFonts w:ascii="Arial" w:hAnsi="Arial" w:cs="Arial"/>
          <w:sz w:val="22"/>
          <w:szCs w:val="22"/>
        </w:rPr>
        <w:t xml:space="preserve">(1), 1–9. </w:t>
      </w:r>
      <w:proofErr w:type="spellStart"/>
      <w:r w:rsidRPr="00B53CC0">
        <w:rPr>
          <w:rFonts w:ascii="Arial" w:hAnsi="Arial" w:cs="Arial"/>
          <w:sz w:val="22"/>
          <w:szCs w:val="22"/>
        </w:rPr>
        <w:t>Hindawi</w:t>
      </w:r>
      <w:proofErr w:type="spellEnd"/>
      <w:r w:rsidRPr="00B53CC0">
        <w:rPr>
          <w:rFonts w:ascii="Arial" w:hAnsi="Arial" w:cs="Arial"/>
          <w:sz w:val="22"/>
          <w:szCs w:val="22"/>
        </w:rPr>
        <w:t>. https://doi.org/10.1155/2015/954027</w:t>
      </w:r>
    </w:p>
    <w:p w14:paraId="4426B28D"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Doerner, J. K., &amp; Demuth, S. (2010). The Independent and Joint Effects of Race/Ethnicity, Gender, and Age on Sentencing Outcomes in U.S. Federal Courts. </w:t>
      </w:r>
      <w:r w:rsidRPr="00B53CC0">
        <w:rPr>
          <w:rFonts w:ascii="Arial" w:hAnsi="Arial" w:cs="Arial"/>
          <w:i/>
          <w:iCs/>
          <w:sz w:val="22"/>
          <w:szCs w:val="22"/>
        </w:rPr>
        <w:t>Justice Quarterly</w:t>
      </w:r>
      <w:r w:rsidRPr="00B53CC0">
        <w:rPr>
          <w:rFonts w:ascii="Arial" w:hAnsi="Arial" w:cs="Arial"/>
          <w:sz w:val="22"/>
          <w:szCs w:val="22"/>
        </w:rPr>
        <w:t xml:space="preserve">, </w:t>
      </w:r>
      <w:r w:rsidRPr="00B53CC0">
        <w:rPr>
          <w:rFonts w:ascii="Arial" w:hAnsi="Arial" w:cs="Arial"/>
          <w:i/>
          <w:iCs/>
          <w:sz w:val="22"/>
          <w:szCs w:val="22"/>
        </w:rPr>
        <w:t>27</w:t>
      </w:r>
      <w:r w:rsidRPr="00B53CC0">
        <w:rPr>
          <w:rFonts w:ascii="Arial" w:hAnsi="Arial" w:cs="Arial"/>
          <w:sz w:val="22"/>
          <w:szCs w:val="22"/>
        </w:rPr>
        <w:t>(1), 1–27. Taylor &amp; Francis Online. https://doi.org/10.1080/07418820902926197</w:t>
      </w:r>
    </w:p>
    <w:p w14:paraId="1B9C97A8"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Doerner, J. K., &amp; Demuth, S. (2012). Gender and Sentencing in the Federal Courts. </w:t>
      </w:r>
      <w:r w:rsidRPr="00B53CC0">
        <w:rPr>
          <w:rFonts w:ascii="Arial" w:hAnsi="Arial" w:cs="Arial"/>
          <w:i/>
          <w:iCs/>
          <w:sz w:val="22"/>
          <w:szCs w:val="22"/>
        </w:rPr>
        <w:t>Criminal Justice Policy Review</w:t>
      </w:r>
      <w:r w:rsidRPr="00B53CC0">
        <w:rPr>
          <w:rFonts w:ascii="Arial" w:hAnsi="Arial" w:cs="Arial"/>
          <w:sz w:val="22"/>
          <w:szCs w:val="22"/>
        </w:rPr>
        <w:t xml:space="preserve">, </w:t>
      </w:r>
      <w:r w:rsidRPr="00B53CC0">
        <w:rPr>
          <w:rFonts w:ascii="Arial" w:hAnsi="Arial" w:cs="Arial"/>
          <w:i/>
          <w:iCs/>
          <w:sz w:val="22"/>
          <w:szCs w:val="22"/>
        </w:rPr>
        <w:t>25</w:t>
      </w:r>
      <w:r w:rsidRPr="00B53CC0">
        <w:rPr>
          <w:rFonts w:ascii="Arial" w:hAnsi="Arial" w:cs="Arial"/>
          <w:sz w:val="22"/>
          <w:szCs w:val="22"/>
        </w:rPr>
        <w:t>(2), 242–269. Sage Journals. https://doi.org/10.1177/0887403412466877</w:t>
      </w:r>
    </w:p>
    <w:p w14:paraId="6172B6A3"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Dovidio, J. F., Kawakami, K., Johnson, C., Johnson, B., &amp; Howard, A. (1997). On the Nature of Prejudice: Automatic and Controlled Processes. </w:t>
      </w:r>
      <w:r w:rsidRPr="00B53CC0">
        <w:rPr>
          <w:rFonts w:ascii="Arial" w:hAnsi="Arial" w:cs="Arial"/>
          <w:i/>
          <w:iCs/>
          <w:sz w:val="22"/>
          <w:szCs w:val="22"/>
        </w:rPr>
        <w:t>Journal of Experimental Social Psychology</w:t>
      </w:r>
      <w:r w:rsidRPr="00B53CC0">
        <w:rPr>
          <w:rFonts w:ascii="Arial" w:hAnsi="Arial" w:cs="Arial"/>
          <w:sz w:val="22"/>
          <w:szCs w:val="22"/>
        </w:rPr>
        <w:t xml:space="preserve">, </w:t>
      </w:r>
      <w:r w:rsidRPr="00B53CC0">
        <w:rPr>
          <w:rFonts w:ascii="Arial" w:hAnsi="Arial" w:cs="Arial"/>
          <w:i/>
          <w:iCs/>
          <w:sz w:val="22"/>
          <w:szCs w:val="22"/>
        </w:rPr>
        <w:t>33</w:t>
      </w:r>
      <w:r w:rsidRPr="00B53CC0">
        <w:rPr>
          <w:rFonts w:ascii="Arial" w:hAnsi="Arial" w:cs="Arial"/>
          <w:sz w:val="22"/>
          <w:szCs w:val="22"/>
        </w:rPr>
        <w:t>(5), 510–540. Science Direct. https://doi.org/10.1006/jesp.1997.1331</w:t>
      </w:r>
    </w:p>
    <w:p w14:paraId="08D5644F"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FEALY, G., </w:t>
      </w:r>
      <w:proofErr w:type="spellStart"/>
      <w:r w:rsidRPr="00B53CC0">
        <w:rPr>
          <w:rFonts w:ascii="Arial" w:hAnsi="Arial" w:cs="Arial"/>
          <w:sz w:val="22"/>
          <w:szCs w:val="22"/>
        </w:rPr>
        <w:t>McNAMARA</w:t>
      </w:r>
      <w:proofErr w:type="spellEnd"/>
      <w:r w:rsidRPr="00B53CC0">
        <w:rPr>
          <w:rFonts w:ascii="Arial" w:hAnsi="Arial" w:cs="Arial"/>
          <w:sz w:val="22"/>
          <w:szCs w:val="22"/>
        </w:rPr>
        <w:t xml:space="preserve">, M., TREACY, M. P., &amp; LYONS, I. (2011). Constructing ageing and age identities: a case study of newspaper discourses. </w:t>
      </w:r>
      <w:r w:rsidRPr="00B53CC0">
        <w:rPr>
          <w:rFonts w:ascii="Arial" w:hAnsi="Arial" w:cs="Arial"/>
          <w:i/>
          <w:iCs/>
          <w:sz w:val="22"/>
          <w:szCs w:val="22"/>
        </w:rPr>
        <w:t>Ageing and Society</w:t>
      </w:r>
      <w:r w:rsidRPr="00B53CC0">
        <w:rPr>
          <w:rFonts w:ascii="Arial" w:hAnsi="Arial" w:cs="Arial"/>
          <w:sz w:val="22"/>
          <w:szCs w:val="22"/>
        </w:rPr>
        <w:t xml:space="preserve">, </w:t>
      </w:r>
      <w:r w:rsidRPr="00B53CC0">
        <w:rPr>
          <w:rFonts w:ascii="Arial" w:hAnsi="Arial" w:cs="Arial"/>
          <w:i/>
          <w:iCs/>
          <w:sz w:val="22"/>
          <w:szCs w:val="22"/>
        </w:rPr>
        <w:t>32</w:t>
      </w:r>
      <w:r w:rsidRPr="00B53CC0">
        <w:rPr>
          <w:rFonts w:ascii="Arial" w:hAnsi="Arial" w:cs="Arial"/>
          <w:sz w:val="22"/>
          <w:szCs w:val="22"/>
        </w:rPr>
        <w:t>(01), 85–102. Cambridge University Press. https://doi.org/10.1017/s0144686x11000092</w:t>
      </w:r>
    </w:p>
    <w:p w14:paraId="7D75DD0C"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Fein, S., Morgan, S. J., Norton, M. I., &amp; Sommers, S. R. (1997). Hype and Suspicion: The Effects of Pretrial Publicity, Race, and Suspicion on Jurors’ Verdicts. </w:t>
      </w:r>
      <w:r w:rsidRPr="00B53CC0">
        <w:rPr>
          <w:rFonts w:ascii="Arial" w:hAnsi="Arial" w:cs="Arial"/>
          <w:i/>
          <w:iCs/>
          <w:sz w:val="22"/>
          <w:szCs w:val="22"/>
        </w:rPr>
        <w:t>Journal of Social Issues</w:t>
      </w:r>
      <w:r w:rsidRPr="00B53CC0">
        <w:rPr>
          <w:rFonts w:ascii="Arial" w:hAnsi="Arial" w:cs="Arial"/>
          <w:sz w:val="22"/>
          <w:szCs w:val="22"/>
        </w:rPr>
        <w:t xml:space="preserve">, </w:t>
      </w:r>
      <w:r w:rsidRPr="00B53CC0">
        <w:rPr>
          <w:rFonts w:ascii="Arial" w:hAnsi="Arial" w:cs="Arial"/>
          <w:i/>
          <w:iCs/>
          <w:sz w:val="22"/>
          <w:szCs w:val="22"/>
        </w:rPr>
        <w:t>53</w:t>
      </w:r>
      <w:r w:rsidRPr="00B53CC0">
        <w:rPr>
          <w:rFonts w:ascii="Arial" w:hAnsi="Arial" w:cs="Arial"/>
          <w:sz w:val="22"/>
          <w:szCs w:val="22"/>
        </w:rPr>
        <w:t xml:space="preserve">(3), 487–502. APA </w:t>
      </w:r>
      <w:proofErr w:type="spellStart"/>
      <w:r w:rsidRPr="00B53CC0">
        <w:rPr>
          <w:rFonts w:ascii="Arial" w:hAnsi="Arial" w:cs="Arial"/>
          <w:sz w:val="22"/>
          <w:szCs w:val="22"/>
        </w:rPr>
        <w:t>PsycNet</w:t>
      </w:r>
      <w:proofErr w:type="spellEnd"/>
      <w:r w:rsidRPr="00B53CC0">
        <w:rPr>
          <w:rFonts w:ascii="Arial" w:hAnsi="Arial" w:cs="Arial"/>
          <w:sz w:val="22"/>
          <w:szCs w:val="22"/>
        </w:rPr>
        <w:t>. https://doi.org/10.1111/0022-4537.00030</w:t>
      </w:r>
    </w:p>
    <w:p w14:paraId="2DAE17F6"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Finkelstein, L. M., Ryan, K. M., &amp; King, E. B. (2013). What do the young (old) people think of me? Content and accuracy of age-based </w:t>
      </w:r>
      <w:proofErr w:type="spellStart"/>
      <w:r w:rsidRPr="00B53CC0">
        <w:rPr>
          <w:rFonts w:ascii="Arial" w:hAnsi="Arial" w:cs="Arial"/>
          <w:sz w:val="22"/>
          <w:szCs w:val="22"/>
        </w:rPr>
        <w:t>metastereotypes</w:t>
      </w:r>
      <w:proofErr w:type="spellEnd"/>
      <w:r w:rsidRPr="00B53CC0">
        <w:rPr>
          <w:rFonts w:ascii="Arial" w:hAnsi="Arial" w:cs="Arial"/>
          <w:sz w:val="22"/>
          <w:szCs w:val="22"/>
        </w:rPr>
        <w:t xml:space="preserve">. </w:t>
      </w:r>
      <w:r w:rsidRPr="00B53CC0">
        <w:rPr>
          <w:rFonts w:ascii="Arial" w:hAnsi="Arial" w:cs="Arial"/>
          <w:i/>
          <w:iCs/>
          <w:sz w:val="22"/>
          <w:szCs w:val="22"/>
        </w:rPr>
        <w:t>European Journal of Work and Organizational Psychology</w:t>
      </w:r>
      <w:r w:rsidRPr="00B53CC0">
        <w:rPr>
          <w:rFonts w:ascii="Arial" w:hAnsi="Arial" w:cs="Arial"/>
          <w:sz w:val="22"/>
          <w:szCs w:val="22"/>
        </w:rPr>
        <w:t xml:space="preserve">, </w:t>
      </w:r>
      <w:r w:rsidRPr="00B53CC0">
        <w:rPr>
          <w:rFonts w:ascii="Arial" w:hAnsi="Arial" w:cs="Arial"/>
          <w:i/>
          <w:iCs/>
          <w:sz w:val="22"/>
          <w:szCs w:val="22"/>
        </w:rPr>
        <w:t>22</w:t>
      </w:r>
      <w:r w:rsidRPr="00B53CC0">
        <w:rPr>
          <w:rFonts w:ascii="Arial" w:hAnsi="Arial" w:cs="Arial"/>
          <w:sz w:val="22"/>
          <w:szCs w:val="22"/>
        </w:rPr>
        <w:t>(6), 633–657. Taylor &amp; Francis Online. https://doi.org/10.1080/1359432x.2012.673279</w:t>
      </w:r>
    </w:p>
    <w:p w14:paraId="0ADA02ED"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Fiske, S. T., Cuddy, A. J. C., Glick, P., &amp; Xu, J. (2002). A model of (often mixed) stereotype content: Competence and warmth respectively follow from perceived status and competition. </w:t>
      </w:r>
      <w:r w:rsidRPr="00B53CC0">
        <w:rPr>
          <w:rFonts w:ascii="Arial" w:hAnsi="Arial" w:cs="Arial"/>
          <w:i/>
          <w:iCs/>
          <w:sz w:val="22"/>
          <w:szCs w:val="22"/>
        </w:rPr>
        <w:t>Journal of Personality and Social Psychology</w:t>
      </w:r>
      <w:r w:rsidRPr="00B53CC0">
        <w:rPr>
          <w:rFonts w:ascii="Arial" w:hAnsi="Arial" w:cs="Arial"/>
          <w:sz w:val="22"/>
          <w:szCs w:val="22"/>
        </w:rPr>
        <w:t xml:space="preserve">, </w:t>
      </w:r>
      <w:r w:rsidRPr="00B53CC0">
        <w:rPr>
          <w:rFonts w:ascii="Arial" w:hAnsi="Arial" w:cs="Arial"/>
          <w:i/>
          <w:iCs/>
          <w:sz w:val="22"/>
          <w:szCs w:val="22"/>
        </w:rPr>
        <w:t>82</w:t>
      </w:r>
      <w:r w:rsidRPr="00B53CC0">
        <w:rPr>
          <w:rFonts w:ascii="Arial" w:hAnsi="Arial" w:cs="Arial"/>
          <w:sz w:val="22"/>
          <w:szCs w:val="22"/>
        </w:rPr>
        <w:t xml:space="preserve">(6), 878–902. APA </w:t>
      </w:r>
      <w:proofErr w:type="spellStart"/>
      <w:r w:rsidRPr="00B53CC0">
        <w:rPr>
          <w:rFonts w:ascii="Arial" w:hAnsi="Arial" w:cs="Arial"/>
          <w:sz w:val="22"/>
          <w:szCs w:val="22"/>
        </w:rPr>
        <w:t>PsycNet</w:t>
      </w:r>
      <w:proofErr w:type="spellEnd"/>
      <w:r w:rsidRPr="00B53CC0">
        <w:rPr>
          <w:rFonts w:ascii="Arial" w:hAnsi="Arial" w:cs="Arial"/>
          <w:sz w:val="22"/>
          <w:szCs w:val="22"/>
        </w:rPr>
        <w:t>. https://doi.org/10.1037/0022-3514.82.6.878</w:t>
      </w:r>
    </w:p>
    <w:p w14:paraId="68AEE74E"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Foley, L. A., &amp; Pigott, M. A. (2002). Race, </w:t>
      </w:r>
      <w:proofErr w:type="spellStart"/>
      <w:r w:rsidRPr="00B53CC0">
        <w:rPr>
          <w:rFonts w:ascii="Arial" w:hAnsi="Arial" w:cs="Arial"/>
          <w:sz w:val="22"/>
          <w:szCs w:val="22"/>
        </w:rPr>
        <w:t>self presentation</w:t>
      </w:r>
      <w:proofErr w:type="spellEnd"/>
      <w:r w:rsidRPr="00B53CC0">
        <w:rPr>
          <w:rFonts w:ascii="Arial" w:hAnsi="Arial" w:cs="Arial"/>
          <w:sz w:val="22"/>
          <w:szCs w:val="22"/>
        </w:rPr>
        <w:t xml:space="preserve"> and reverse discrimination in jury decisions. </w:t>
      </w:r>
      <w:r w:rsidRPr="00B53CC0">
        <w:rPr>
          <w:rFonts w:ascii="Arial" w:hAnsi="Arial" w:cs="Arial"/>
          <w:i/>
          <w:iCs/>
          <w:sz w:val="22"/>
          <w:szCs w:val="22"/>
        </w:rPr>
        <w:t>American Journal of Forensic Psychology</w:t>
      </w:r>
      <w:r w:rsidRPr="00B53CC0">
        <w:rPr>
          <w:rFonts w:ascii="Arial" w:hAnsi="Arial" w:cs="Arial"/>
          <w:sz w:val="22"/>
          <w:szCs w:val="22"/>
        </w:rPr>
        <w:t xml:space="preserve">. </w:t>
      </w:r>
    </w:p>
    <w:p w14:paraId="18EC97CB"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Gaertner, S. L., &amp; Dovidio, J. F. (1986). The aversive form of racism. In J. F. Dovidio &amp; S. L. Gaertner (Eds.), </w:t>
      </w:r>
      <w:r w:rsidRPr="00B53CC0">
        <w:rPr>
          <w:rStyle w:val="Emphasis"/>
          <w:rFonts w:ascii="Arial" w:hAnsi="Arial" w:cs="Arial"/>
          <w:sz w:val="22"/>
          <w:szCs w:val="22"/>
        </w:rPr>
        <w:t>Prejudice, discrimination, and racism</w:t>
      </w:r>
      <w:r w:rsidRPr="00B53CC0">
        <w:rPr>
          <w:rFonts w:ascii="Arial" w:hAnsi="Arial" w:cs="Arial"/>
          <w:sz w:val="22"/>
          <w:szCs w:val="22"/>
        </w:rPr>
        <w:t xml:space="preserve"> (pp. 61–89). Academic Press. </w:t>
      </w:r>
    </w:p>
    <w:p w14:paraId="47881545"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Gans, H. M., </w:t>
      </w:r>
      <w:proofErr w:type="spellStart"/>
      <w:r w:rsidRPr="00B53CC0">
        <w:rPr>
          <w:rFonts w:ascii="Arial" w:hAnsi="Arial" w:cs="Arial"/>
          <w:sz w:val="22"/>
          <w:szCs w:val="22"/>
        </w:rPr>
        <w:t>Horhota</w:t>
      </w:r>
      <w:proofErr w:type="spellEnd"/>
      <w:r w:rsidRPr="00B53CC0">
        <w:rPr>
          <w:rFonts w:ascii="Arial" w:hAnsi="Arial" w:cs="Arial"/>
          <w:sz w:val="22"/>
          <w:szCs w:val="22"/>
        </w:rPr>
        <w:t xml:space="preserve">, M., &amp; Diehl, M. (2023). Ageism against Older Adults: How do Intersecting Identities Influence Perceptions of Ageist </w:t>
      </w:r>
      <w:proofErr w:type="spellStart"/>
      <w:r w:rsidRPr="00B53CC0">
        <w:rPr>
          <w:rFonts w:ascii="Arial" w:hAnsi="Arial" w:cs="Arial"/>
          <w:sz w:val="22"/>
          <w:szCs w:val="22"/>
        </w:rPr>
        <w:t>Behaviors</w:t>
      </w:r>
      <w:proofErr w:type="spellEnd"/>
      <w:r w:rsidRPr="00B53CC0">
        <w:rPr>
          <w:rFonts w:ascii="Arial" w:hAnsi="Arial" w:cs="Arial"/>
          <w:sz w:val="22"/>
          <w:szCs w:val="22"/>
        </w:rPr>
        <w:t xml:space="preserve">? </w:t>
      </w:r>
      <w:r w:rsidRPr="00B53CC0">
        <w:rPr>
          <w:rFonts w:ascii="Arial" w:hAnsi="Arial" w:cs="Arial"/>
          <w:i/>
          <w:iCs/>
          <w:sz w:val="22"/>
          <w:szCs w:val="22"/>
        </w:rPr>
        <w:t xml:space="preserve">Ageism against Older Adults: How Do Intersecting Identities Influence Perceptions of Ageist </w:t>
      </w:r>
      <w:proofErr w:type="spellStart"/>
      <w:r w:rsidRPr="00B53CC0">
        <w:rPr>
          <w:rFonts w:ascii="Arial" w:hAnsi="Arial" w:cs="Arial"/>
          <w:i/>
          <w:iCs/>
          <w:sz w:val="22"/>
          <w:szCs w:val="22"/>
        </w:rPr>
        <w:t>Behaviors</w:t>
      </w:r>
      <w:proofErr w:type="spellEnd"/>
      <w:r w:rsidRPr="00B53CC0">
        <w:rPr>
          <w:rFonts w:ascii="Arial" w:hAnsi="Arial" w:cs="Arial"/>
          <w:i/>
          <w:iCs/>
          <w:sz w:val="22"/>
          <w:szCs w:val="22"/>
        </w:rPr>
        <w:t>?</w:t>
      </w:r>
      <w:r w:rsidRPr="00B53CC0">
        <w:rPr>
          <w:rFonts w:ascii="Arial" w:hAnsi="Arial" w:cs="Arial"/>
          <w:sz w:val="22"/>
          <w:szCs w:val="22"/>
        </w:rPr>
        <w:t xml:space="preserve">, </w:t>
      </w:r>
      <w:r w:rsidRPr="00B53CC0">
        <w:rPr>
          <w:rFonts w:ascii="Arial" w:hAnsi="Arial" w:cs="Arial"/>
          <w:i/>
          <w:iCs/>
          <w:sz w:val="22"/>
          <w:szCs w:val="22"/>
        </w:rPr>
        <w:t>42</w:t>
      </w:r>
      <w:r w:rsidRPr="00B53CC0">
        <w:rPr>
          <w:rFonts w:ascii="Arial" w:hAnsi="Arial" w:cs="Arial"/>
          <w:sz w:val="22"/>
          <w:szCs w:val="22"/>
        </w:rPr>
        <w:t>(6), 1191–1199. Sage Journals. https://doi.org/10.1177/07334648231161937</w:t>
      </w:r>
    </w:p>
    <w:p w14:paraId="4AA4DFB1"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Iversen, T. N., Larsen, L., &amp; Solem, P. E. (2009). A conceptual analysis of Ageism. </w:t>
      </w:r>
      <w:r w:rsidRPr="00B53CC0">
        <w:rPr>
          <w:rFonts w:ascii="Arial" w:hAnsi="Arial" w:cs="Arial"/>
          <w:i/>
          <w:iCs/>
          <w:sz w:val="22"/>
          <w:szCs w:val="22"/>
        </w:rPr>
        <w:t>Nordic Psychology</w:t>
      </w:r>
      <w:r w:rsidRPr="00B53CC0">
        <w:rPr>
          <w:rFonts w:ascii="Arial" w:hAnsi="Arial" w:cs="Arial"/>
          <w:sz w:val="22"/>
          <w:szCs w:val="22"/>
        </w:rPr>
        <w:t xml:space="preserve">, </w:t>
      </w:r>
      <w:r w:rsidRPr="00B53CC0">
        <w:rPr>
          <w:rFonts w:ascii="Arial" w:hAnsi="Arial" w:cs="Arial"/>
          <w:i/>
          <w:iCs/>
          <w:sz w:val="22"/>
          <w:szCs w:val="22"/>
        </w:rPr>
        <w:t>61</w:t>
      </w:r>
      <w:r w:rsidRPr="00B53CC0">
        <w:rPr>
          <w:rFonts w:ascii="Arial" w:hAnsi="Arial" w:cs="Arial"/>
          <w:sz w:val="22"/>
          <w:szCs w:val="22"/>
        </w:rPr>
        <w:t>(3), 4–22. Taylor &amp; Francis Online. https://doi.org/10.1027/1901-2276.61.3.4</w:t>
      </w:r>
    </w:p>
    <w:p w14:paraId="32266B29"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Jackson, J. D., &amp; Kovalev, N. P. (2006). Lay adjudication and human rights in Europe. </w:t>
      </w:r>
      <w:r w:rsidRPr="00B53CC0">
        <w:rPr>
          <w:rFonts w:ascii="Arial" w:hAnsi="Arial" w:cs="Arial"/>
          <w:i/>
          <w:iCs/>
          <w:sz w:val="22"/>
          <w:szCs w:val="22"/>
        </w:rPr>
        <w:t>Colum. J. Eur. L.</w:t>
      </w:r>
      <w:r w:rsidRPr="00B53CC0">
        <w:rPr>
          <w:rFonts w:ascii="Arial" w:hAnsi="Arial" w:cs="Arial"/>
          <w:sz w:val="22"/>
          <w:szCs w:val="22"/>
        </w:rPr>
        <w:t>, </w:t>
      </w:r>
      <w:r w:rsidRPr="00B53CC0">
        <w:rPr>
          <w:rFonts w:ascii="Arial" w:hAnsi="Arial" w:cs="Arial"/>
          <w:i/>
          <w:iCs/>
          <w:sz w:val="22"/>
          <w:szCs w:val="22"/>
        </w:rPr>
        <w:t>13</w:t>
      </w:r>
      <w:r w:rsidRPr="00B53CC0">
        <w:rPr>
          <w:rFonts w:ascii="Arial" w:hAnsi="Arial" w:cs="Arial"/>
          <w:sz w:val="22"/>
          <w:szCs w:val="22"/>
        </w:rPr>
        <w:t xml:space="preserve">, 83. </w:t>
      </w:r>
    </w:p>
    <w:p w14:paraId="06E9BFEA"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Johnson, J. D., Whitestone, E., Jackson, L. A., &amp; Gatto, L. (1995). Justice is Still Not </w:t>
      </w:r>
      <w:proofErr w:type="spellStart"/>
      <w:r w:rsidRPr="00B53CC0">
        <w:rPr>
          <w:rFonts w:ascii="Arial" w:hAnsi="Arial" w:cs="Arial"/>
          <w:sz w:val="22"/>
          <w:szCs w:val="22"/>
        </w:rPr>
        <w:t>Colorblind</w:t>
      </w:r>
      <w:proofErr w:type="spellEnd"/>
      <w:r w:rsidRPr="00B53CC0">
        <w:rPr>
          <w:rFonts w:ascii="Arial" w:hAnsi="Arial" w:cs="Arial"/>
          <w:sz w:val="22"/>
          <w:szCs w:val="22"/>
        </w:rPr>
        <w:t xml:space="preserve">: Differential Racial Effects of Exposure to Inadmissible Evidence. </w:t>
      </w:r>
      <w:r w:rsidRPr="00B53CC0">
        <w:rPr>
          <w:rFonts w:ascii="Arial" w:hAnsi="Arial" w:cs="Arial"/>
          <w:i/>
          <w:iCs/>
          <w:sz w:val="22"/>
          <w:szCs w:val="22"/>
        </w:rPr>
        <w:lastRenderedPageBreak/>
        <w:t>Personality and Social Psychology Bulletin</w:t>
      </w:r>
      <w:r w:rsidRPr="00B53CC0">
        <w:rPr>
          <w:rFonts w:ascii="Arial" w:hAnsi="Arial" w:cs="Arial"/>
          <w:sz w:val="22"/>
          <w:szCs w:val="22"/>
        </w:rPr>
        <w:t xml:space="preserve">, </w:t>
      </w:r>
      <w:r w:rsidRPr="00B53CC0">
        <w:rPr>
          <w:rFonts w:ascii="Arial" w:hAnsi="Arial" w:cs="Arial"/>
          <w:i/>
          <w:iCs/>
          <w:sz w:val="22"/>
          <w:szCs w:val="22"/>
        </w:rPr>
        <w:t>21</w:t>
      </w:r>
      <w:r w:rsidRPr="00B53CC0">
        <w:rPr>
          <w:rFonts w:ascii="Arial" w:hAnsi="Arial" w:cs="Arial"/>
          <w:sz w:val="22"/>
          <w:szCs w:val="22"/>
        </w:rPr>
        <w:t xml:space="preserve">(9), 893–898. APA </w:t>
      </w:r>
      <w:proofErr w:type="spellStart"/>
      <w:r w:rsidRPr="00B53CC0">
        <w:rPr>
          <w:rFonts w:ascii="Arial" w:hAnsi="Arial" w:cs="Arial"/>
          <w:sz w:val="22"/>
          <w:szCs w:val="22"/>
        </w:rPr>
        <w:t>PsycNet</w:t>
      </w:r>
      <w:proofErr w:type="spellEnd"/>
      <w:r w:rsidRPr="00B53CC0">
        <w:rPr>
          <w:rFonts w:ascii="Arial" w:hAnsi="Arial" w:cs="Arial"/>
          <w:sz w:val="22"/>
          <w:szCs w:val="22"/>
        </w:rPr>
        <w:t>. https://doi.org/10.1177/0146167295219003</w:t>
      </w:r>
    </w:p>
    <w:p w14:paraId="50743A71"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Kang, H., &amp; Kim, H. (2022). Ageism and Psychological Well-Being among Older Adults: a Systematic Review. </w:t>
      </w:r>
      <w:r w:rsidRPr="00B53CC0">
        <w:rPr>
          <w:rFonts w:ascii="Arial" w:hAnsi="Arial" w:cs="Arial"/>
          <w:i/>
          <w:iCs/>
          <w:sz w:val="22"/>
          <w:szCs w:val="22"/>
        </w:rPr>
        <w:t>Gerontology and Geriatric Medicine</w:t>
      </w:r>
      <w:r w:rsidRPr="00B53CC0">
        <w:rPr>
          <w:rFonts w:ascii="Arial" w:hAnsi="Arial" w:cs="Arial"/>
          <w:sz w:val="22"/>
          <w:szCs w:val="22"/>
        </w:rPr>
        <w:t xml:space="preserve">, </w:t>
      </w:r>
      <w:r w:rsidRPr="00B53CC0">
        <w:rPr>
          <w:rFonts w:ascii="Arial" w:hAnsi="Arial" w:cs="Arial"/>
          <w:i/>
          <w:iCs/>
          <w:sz w:val="22"/>
          <w:szCs w:val="22"/>
        </w:rPr>
        <w:t>8</w:t>
      </w:r>
      <w:r w:rsidRPr="00B53CC0">
        <w:rPr>
          <w:rFonts w:ascii="Arial" w:hAnsi="Arial" w:cs="Arial"/>
          <w:sz w:val="22"/>
          <w:szCs w:val="22"/>
        </w:rPr>
        <w:t>(8), 3–11. PubMed Central. https://doi.org/10.1177/23337214221087023</w:t>
      </w:r>
    </w:p>
    <w:p w14:paraId="15F2D101"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Kinder, D. R., &amp; Sears, D. O. (1981). Prejudice and politics: Symbolic racism versus racial threats to the good life. </w:t>
      </w:r>
      <w:r w:rsidRPr="00B53CC0">
        <w:rPr>
          <w:rFonts w:ascii="Arial" w:hAnsi="Arial" w:cs="Arial"/>
          <w:i/>
          <w:iCs/>
          <w:sz w:val="22"/>
          <w:szCs w:val="22"/>
        </w:rPr>
        <w:t>Journal of Personality and Social Psychology</w:t>
      </w:r>
      <w:r w:rsidRPr="00B53CC0">
        <w:rPr>
          <w:rFonts w:ascii="Arial" w:hAnsi="Arial" w:cs="Arial"/>
          <w:sz w:val="22"/>
          <w:szCs w:val="22"/>
        </w:rPr>
        <w:t xml:space="preserve">, </w:t>
      </w:r>
      <w:r w:rsidRPr="00B53CC0">
        <w:rPr>
          <w:rFonts w:ascii="Arial" w:hAnsi="Arial" w:cs="Arial"/>
          <w:i/>
          <w:iCs/>
          <w:sz w:val="22"/>
          <w:szCs w:val="22"/>
        </w:rPr>
        <w:t>40</w:t>
      </w:r>
      <w:r w:rsidRPr="00B53CC0">
        <w:rPr>
          <w:rFonts w:ascii="Arial" w:hAnsi="Arial" w:cs="Arial"/>
          <w:sz w:val="22"/>
          <w:szCs w:val="22"/>
        </w:rPr>
        <w:t xml:space="preserve">(3), 414–431. APA </w:t>
      </w:r>
      <w:proofErr w:type="spellStart"/>
      <w:r w:rsidRPr="00B53CC0">
        <w:rPr>
          <w:rFonts w:ascii="Arial" w:hAnsi="Arial" w:cs="Arial"/>
          <w:sz w:val="22"/>
          <w:szCs w:val="22"/>
        </w:rPr>
        <w:t>PsycNet</w:t>
      </w:r>
      <w:proofErr w:type="spellEnd"/>
      <w:r w:rsidRPr="00B53CC0">
        <w:rPr>
          <w:rFonts w:ascii="Arial" w:hAnsi="Arial" w:cs="Arial"/>
          <w:sz w:val="22"/>
          <w:szCs w:val="22"/>
        </w:rPr>
        <w:t>. https://doi.org/10.1037/0022-3514.40.3.414</w:t>
      </w:r>
    </w:p>
    <w:p w14:paraId="1F48BF93"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Kirshenbaum, J. M., &amp; Miller, M. K. (2020). Judges’ experiences with mitigating jurors’ implicit biases. </w:t>
      </w:r>
      <w:r w:rsidRPr="00B53CC0">
        <w:rPr>
          <w:rFonts w:ascii="Arial" w:hAnsi="Arial" w:cs="Arial"/>
          <w:i/>
          <w:iCs/>
          <w:sz w:val="22"/>
          <w:szCs w:val="22"/>
        </w:rPr>
        <w:t>Psychiatry, Psychology and Law</w:t>
      </w:r>
      <w:r w:rsidRPr="00B53CC0">
        <w:rPr>
          <w:rFonts w:ascii="Arial" w:hAnsi="Arial" w:cs="Arial"/>
          <w:sz w:val="22"/>
          <w:szCs w:val="22"/>
        </w:rPr>
        <w:t xml:space="preserve">, </w:t>
      </w:r>
      <w:r w:rsidRPr="00B53CC0">
        <w:rPr>
          <w:rFonts w:ascii="Arial" w:hAnsi="Arial" w:cs="Arial"/>
          <w:i/>
          <w:iCs/>
          <w:sz w:val="22"/>
          <w:szCs w:val="22"/>
        </w:rPr>
        <w:t>28</w:t>
      </w:r>
      <w:r w:rsidRPr="00B53CC0">
        <w:rPr>
          <w:rFonts w:ascii="Arial" w:hAnsi="Arial" w:cs="Arial"/>
          <w:sz w:val="22"/>
          <w:szCs w:val="22"/>
        </w:rPr>
        <w:t>(5), 1–11. PubMed central. https://doi.org/10.1080/13218719.2020.1837029</w:t>
      </w:r>
    </w:p>
    <w:p w14:paraId="44EA2452"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Koskinen, S., Salminen, L., &amp; Leino-</w:t>
      </w:r>
      <w:proofErr w:type="spellStart"/>
      <w:r w:rsidRPr="00B53CC0">
        <w:rPr>
          <w:rFonts w:ascii="Arial" w:hAnsi="Arial" w:cs="Arial"/>
          <w:sz w:val="22"/>
          <w:szCs w:val="22"/>
        </w:rPr>
        <w:t>Kilpi</w:t>
      </w:r>
      <w:proofErr w:type="spellEnd"/>
      <w:r w:rsidRPr="00B53CC0">
        <w:rPr>
          <w:rFonts w:ascii="Arial" w:hAnsi="Arial" w:cs="Arial"/>
          <w:sz w:val="22"/>
          <w:szCs w:val="22"/>
        </w:rPr>
        <w:t xml:space="preserve">, H. (2014). Media portrayal of older people as illustrated in Finnish newspapers. </w:t>
      </w:r>
      <w:r w:rsidRPr="00B53CC0">
        <w:rPr>
          <w:rFonts w:ascii="Arial" w:hAnsi="Arial" w:cs="Arial"/>
          <w:i/>
          <w:iCs/>
          <w:sz w:val="22"/>
          <w:szCs w:val="22"/>
        </w:rPr>
        <w:t>International Journal of Qualitative Studies on Health and Well-Being</w:t>
      </w:r>
      <w:r w:rsidRPr="00B53CC0">
        <w:rPr>
          <w:rFonts w:ascii="Arial" w:hAnsi="Arial" w:cs="Arial"/>
          <w:sz w:val="22"/>
          <w:szCs w:val="22"/>
        </w:rPr>
        <w:t xml:space="preserve">, </w:t>
      </w:r>
      <w:r w:rsidRPr="00B53CC0">
        <w:rPr>
          <w:rFonts w:ascii="Arial" w:hAnsi="Arial" w:cs="Arial"/>
          <w:i/>
          <w:iCs/>
          <w:sz w:val="22"/>
          <w:szCs w:val="22"/>
        </w:rPr>
        <w:t>9</w:t>
      </w:r>
      <w:r w:rsidRPr="00B53CC0">
        <w:rPr>
          <w:rFonts w:ascii="Arial" w:hAnsi="Arial" w:cs="Arial"/>
          <w:sz w:val="22"/>
          <w:szCs w:val="22"/>
        </w:rPr>
        <w:t>(1), 25304. Taylor &amp; Francis Online. https://doi.org/10.3402/qhw.v9.25304</w:t>
      </w:r>
    </w:p>
    <w:p w14:paraId="65804749"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Kothari, C. L., Butkiewicz, R., Williams, E. R., Jacobson, C., Morse, D. S., &amp; Cerulli, C. (2014). Does gender matter? Exploring mental health recovery court legal and health outcomes. </w:t>
      </w:r>
      <w:r w:rsidRPr="00B53CC0">
        <w:rPr>
          <w:rFonts w:ascii="Arial" w:hAnsi="Arial" w:cs="Arial"/>
          <w:i/>
          <w:iCs/>
          <w:sz w:val="22"/>
          <w:szCs w:val="22"/>
        </w:rPr>
        <w:t>Health &amp; Justice</w:t>
      </w:r>
      <w:r w:rsidRPr="00B53CC0">
        <w:rPr>
          <w:rFonts w:ascii="Arial" w:hAnsi="Arial" w:cs="Arial"/>
          <w:sz w:val="22"/>
          <w:szCs w:val="22"/>
        </w:rPr>
        <w:t xml:space="preserve">, </w:t>
      </w:r>
      <w:r w:rsidRPr="00B53CC0">
        <w:rPr>
          <w:rFonts w:ascii="Arial" w:hAnsi="Arial" w:cs="Arial"/>
          <w:i/>
          <w:iCs/>
          <w:sz w:val="22"/>
          <w:szCs w:val="22"/>
        </w:rPr>
        <w:t>2</w:t>
      </w:r>
      <w:r w:rsidRPr="00B53CC0">
        <w:rPr>
          <w:rFonts w:ascii="Arial" w:hAnsi="Arial" w:cs="Arial"/>
          <w:sz w:val="22"/>
          <w:szCs w:val="22"/>
        </w:rPr>
        <w:t>(1), 60–87. SpringerLink. https://doi.org/10.1186/s40352-014-0012-0</w:t>
      </w:r>
    </w:p>
    <w:p w14:paraId="053BB223"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Lenhart, S. (1993). Gender discrimination: a health and career development problem for women physicians. </w:t>
      </w:r>
      <w:r w:rsidRPr="00B53CC0">
        <w:rPr>
          <w:rFonts w:ascii="Arial" w:hAnsi="Arial" w:cs="Arial"/>
          <w:i/>
          <w:iCs/>
          <w:sz w:val="22"/>
          <w:szCs w:val="22"/>
        </w:rPr>
        <w:t>Journal of the American Medical Women’s Association (1972)</w:t>
      </w:r>
      <w:r w:rsidRPr="00B53CC0">
        <w:rPr>
          <w:rFonts w:ascii="Arial" w:hAnsi="Arial" w:cs="Arial"/>
          <w:sz w:val="22"/>
          <w:szCs w:val="22"/>
        </w:rPr>
        <w:t xml:space="preserve">, </w:t>
      </w:r>
      <w:r w:rsidRPr="00B53CC0">
        <w:rPr>
          <w:rFonts w:ascii="Arial" w:hAnsi="Arial" w:cs="Arial"/>
          <w:i/>
          <w:iCs/>
          <w:sz w:val="22"/>
          <w:szCs w:val="22"/>
        </w:rPr>
        <w:t>48</w:t>
      </w:r>
      <w:r w:rsidRPr="00B53CC0">
        <w:rPr>
          <w:rFonts w:ascii="Arial" w:hAnsi="Arial" w:cs="Arial"/>
          <w:sz w:val="22"/>
          <w:szCs w:val="22"/>
        </w:rPr>
        <w:t>(5), 155–159. PubMed. https://doi.org/10678206</w:t>
      </w:r>
    </w:p>
    <w:p w14:paraId="5E2D8A6E"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Levinson, J. D., Cai, H., &amp; Young, D. (2011). </w:t>
      </w:r>
      <w:r w:rsidRPr="00B53CC0">
        <w:rPr>
          <w:rFonts w:ascii="Arial" w:hAnsi="Arial" w:cs="Arial"/>
          <w:i/>
          <w:iCs/>
          <w:sz w:val="22"/>
          <w:szCs w:val="22"/>
        </w:rPr>
        <w:t>Guilty by Implicit Racial Bias: The Guilty/Not Guilty Implicit Association Test</w:t>
      </w:r>
      <w:r w:rsidRPr="00B53CC0">
        <w:rPr>
          <w:rFonts w:ascii="Arial" w:hAnsi="Arial" w:cs="Arial"/>
          <w:sz w:val="22"/>
          <w:szCs w:val="22"/>
        </w:rPr>
        <w:t xml:space="preserve"> (pp. 1–187) [Dissertation]. https://heinonline.org/HOL/LandingPage?handle=hein.journals/osjcl8&amp;div=12&amp;id=&amp;page=</w:t>
      </w:r>
    </w:p>
    <w:p w14:paraId="14249420"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Liang, J., Crowther, T. W., Picard, N., Wiser, S., Zhou, M., Alberti, G., Schulze, E.-D., McGuire, A. D., </w:t>
      </w:r>
      <w:proofErr w:type="spellStart"/>
      <w:r w:rsidRPr="00B53CC0">
        <w:rPr>
          <w:rFonts w:ascii="Arial" w:hAnsi="Arial" w:cs="Arial"/>
          <w:sz w:val="22"/>
          <w:szCs w:val="22"/>
        </w:rPr>
        <w:t>Bozzato</w:t>
      </w:r>
      <w:proofErr w:type="spellEnd"/>
      <w:r w:rsidRPr="00B53CC0">
        <w:rPr>
          <w:rFonts w:ascii="Arial" w:hAnsi="Arial" w:cs="Arial"/>
          <w:sz w:val="22"/>
          <w:szCs w:val="22"/>
        </w:rPr>
        <w:t xml:space="preserve">, F., </w:t>
      </w:r>
      <w:proofErr w:type="spellStart"/>
      <w:r w:rsidRPr="00B53CC0">
        <w:rPr>
          <w:rFonts w:ascii="Arial" w:hAnsi="Arial" w:cs="Arial"/>
          <w:sz w:val="22"/>
          <w:szCs w:val="22"/>
        </w:rPr>
        <w:t>Pretzsch</w:t>
      </w:r>
      <w:proofErr w:type="spellEnd"/>
      <w:r w:rsidRPr="00B53CC0">
        <w:rPr>
          <w:rFonts w:ascii="Arial" w:hAnsi="Arial" w:cs="Arial"/>
          <w:sz w:val="22"/>
          <w:szCs w:val="22"/>
        </w:rPr>
        <w:t xml:space="preserve">, H., de-Miguel, S., Paquette, A., </w:t>
      </w:r>
      <w:proofErr w:type="spellStart"/>
      <w:r w:rsidRPr="00B53CC0">
        <w:rPr>
          <w:rFonts w:ascii="Arial" w:hAnsi="Arial" w:cs="Arial"/>
          <w:sz w:val="22"/>
          <w:szCs w:val="22"/>
        </w:rPr>
        <w:t>Hérault</w:t>
      </w:r>
      <w:proofErr w:type="spellEnd"/>
      <w:r w:rsidRPr="00B53CC0">
        <w:rPr>
          <w:rFonts w:ascii="Arial" w:hAnsi="Arial" w:cs="Arial"/>
          <w:sz w:val="22"/>
          <w:szCs w:val="22"/>
        </w:rPr>
        <w:t xml:space="preserve">, B., Scherer-Lorenzen, M., Barrett, C. B., Glick, H. B., Hengeveld, G. M., </w:t>
      </w:r>
      <w:proofErr w:type="spellStart"/>
      <w:r w:rsidRPr="00B53CC0">
        <w:rPr>
          <w:rFonts w:ascii="Arial" w:hAnsi="Arial" w:cs="Arial"/>
          <w:sz w:val="22"/>
          <w:szCs w:val="22"/>
        </w:rPr>
        <w:t>Nabuurs</w:t>
      </w:r>
      <w:proofErr w:type="spellEnd"/>
      <w:r w:rsidRPr="00B53CC0">
        <w:rPr>
          <w:rFonts w:ascii="Arial" w:hAnsi="Arial" w:cs="Arial"/>
          <w:sz w:val="22"/>
          <w:szCs w:val="22"/>
        </w:rPr>
        <w:t xml:space="preserve">, G.-J., Pfautsch, S., &amp; Viana, H. (2016). Positive biodiversity-productivity relationship predominant in global forests. </w:t>
      </w:r>
      <w:r w:rsidRPr="00B53CC0">
        <w:rPr>
          <w:rFonts w:ascii="Arial" w:hAnsi="Arial" w:cs="Arial"/>
          <w:i/>
          <w:iCs/>
          <w:sz w:val="22"/>
          <w:szCs w:val="22"/>
        </w:rPr>
        <w:t>Science</w:t>
      </w:r>
      <w:r w:rsidRPr="00B53CC0">
        <w:rPr>
          <w:rFonts w:ascii="Arial" w:hAnsi="Arial" w:cs="Arial"/>
          <w:sz w:val="22"/>
          <w:szCs w:val="22"/>
        </w:rPr>
        <w:t xml:space="preserve">, </w:t>
      </w:r>
      <w:r w:rsidRPr="00B53CC0">
        <w:rPr>
          <w:rFonts w:ascii="Arial" w:hAnsi="Arial" w:cs="Arial"/>
          <w:i/>
          <w:iCs/>
          <w:sz w:val="22"/>
          <w:szCs w:val="22"/>
        </w:rPr>
        <w:t>354</w:t>
      </w:r>
      <w:r w:rsidRPr="00B53CC0">
        <w:rPr>
          <w:rFonts w:ascii="Arial" w:hAnsi="Arial" w:cs="Arial"/>
          <w:sz w:val="22"/>
          <w:szCs w:val="22"/>
        </w:rPr>
        <w:t>(6309). Science. https://doi.org/10.1126/science.aaf8957</w:t>
      </w:r>
    </w:p>
    <w:p w14:paraId="5A535442"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LORETTO, W., DUNCAN, C., &amp; WHITE, P. J. (2000). Ageism and employment: controversies, ambiguities and younger people’s perceptions. </w:t>
      </w:r>
      <w:r w:rsidRPr="00B53CC0">
        <w:rPr>
          <w:rFonts w:ascii="Arial" w:hAnsi="Arial" w:cs="Arial"/>
          <w:i/>
          <w:iCs/>
          <w:sz w:val="22"/>
          <w:szCs w:val="22"/>
        </w:rPr>
        <w:t>Ageing and Society</w:t>
      </w:r>
      <w:r w:rsidRPr="00B53CC0">
        <w:rPr>
          <w:rFonts w:ascii="Arial" w:hAnsi="Arial" w:cs="Arial"/>
          <w:sz w:val="22"/>
          <w:szCs w:val="22"/>
        </w:rPr>
        <w:t xml:space="preserve">, </w:t>
      </w:r>
      <w:r w:rsidRPr="00B53CC0">
        <w:rPr>
          <w:rFonts w:ascii="Arial" w:hAnsi="Arial" w:cs="Arial"/>
          <w:i/>
          <w:iCs/>
          <w:sz w:val="22"/>
          <w:szCs w:val="22"/>
        </w:rPr>
        <w:t>20</w:t>
      </w:r>
      <w:r w:rsidRPr="00B53CC0">
        <w:rPr>
          <w:rFonts w:ascii="Arial" w:hAnsi="Arial" w:cs="Arial"/>
          <w:sz w:val="22"/>
          <w:szCs w:val="22"/>
        </w:rPr>
        <w:t>(3), 279–302. Cambridge University press. https://doi.org/10.1017/s0144686x00007741</w:t>
      </w:r>
    </w:p>
    <w:p w14:paraId="49D45080"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proofErr w:type="spellStart"/>
      <w:r w:rsidRPr="00B53CC0">
        <w:rPr>
          <w:rFonts w:ascii="Arial" w:hAnsi="Arial" w:cs="Arial"/>
          <w:sz w:val="22"/>
          <w:szCs w:val="22"/>
        </w:rPr>
        <w:t>Marchiondo</w:t>
      </w:r>
      <w:proofErr w:type="spellEnd"/>
      <w:r w:rsidRPr="00B53CC0">
        <w:rPr>
          <w:rFonts w:ascii="Arial" w:hAnsi="Arial" w:cs="Arial"/>
          <w:sz w:val="22"/>
          <w:szCs w:val="22"/>
        </w:rPr>
        <w:t xml:space="preserve">, L. A., Gonzales, E., &amp; Williams, L. J. (2017). Trajectories of Perceived Workplace Age Discrimination and Long-Term Associations With Mental, Self-Rated, and Occupational Health. </w:t>
      </w:r>
      <w:r w:rsidRPr="00B53CC0">
        <w:rPr>
          <w:rFonts w:ascii="Arial" w:hAnsi="Arial" w:cs="Arial"/>
          <w:i/>
          <w:iCs/>
          <w:sz w:val="22"/>
          <w:szCs w:val="22"/>
        </w:rPr>
        <w:t>The Journals of Gerontology: Series B</w:t>
      </w:r>
      <w:r w:rsidRPr="00B53CC0">
        <w:rPr>
          <w:rFonts w:ascii="Arial" w:hAnsi="Arial" w:cs="Arial"/>
          <w:sz w:val="22"/>
          <w:szCs w:val="22"/>
        </w:rPr>
        <w:t xml:space="preserve">, </w:t>
      </w:r>
      <w:r w:rsidRPr="00B53CC0">
        <w:rPr>
          <w:rFonts w:ascii="Arial" w:hAnsi="Arial" w:cs="Arial"/>
          <w:i/>
          <w:iCs/>
          <w:sz w:val="22"/>
          <w:szCs w:val="22"/>
        </w:rPr>
        <w:t>74</w:t>
      </w:r>
      <w:r w:rsidRPr="00B53CC0">
        <w:rPr>
          <w:rFonts w:ascii="Arial" w:hAnsi="Arial" w:cs="Arial"/>
          <w:sz w:val="22"/>
          <w:szCs w:val="22"/>
        </w:rPr>
        <w:t>(4), 655–663. Oxford Academic. https://doi.org/10.1093/geronb/gbx095</w:t>
      </w:r>
    </w:p>
    <w:p w14:paraId="7121273F"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Mitchell, T. L., Haw, R. M., Pfeifer, J. E., &amp; Meissner, C. A. (2005). Racial Bias in Mock Juror Decision-Making: A Meta-Analytic Review of Defendant Treatment. </w:t>
      </w:r>
      <w:r w:rsidRPr="00B53CC0">
        <w:rPr>
          <w:rFonts w:ascii="Arial" w:hAnsi="Arial" w:cs="Arial"/>
          <w:i/>
          <w:iCs/>
          <w:sz w:val="22"/>
          <w:szCs w:val="22"/>
        </w:rPr>
        <w:t xml:space="preserve">Law and Human </w:t>
      </w:r>
      <w:proofErr w:type="spellStart"/>
      <w:r w:rsidRPr="00B53CC0">
        <w:rPr>
          <w:rFonts w:ascii="Arial" w:hAnsi="Arial" w:cs="Arial"/>
          <w:i/>
          <w:iCs/>
          <w:sz w:val="22"/>
          <w:szCs w:val="22"/>
        </w:rPr>
        <w:t>Behavior</w:t>
      </w:r>
      <w:proofErr w:type="spellEnd"/>
      <w:r w:rsidRPr="00B53CC0">
        <w:rPr>
          <w:rFonts w:ascii="Arial" w:hAnsi="Arial" w:cs="Arial"/>
          <w:sz w:val="22"/>
          <w:szCs w:val="22"/>
        </w:rPr>
        <w:t xml:space="preserve">, </w:t>
      </w:r>
      <w:r w:rsidRPr="00B53CC0">
        <w:rPr>
          <w:rFonts w:ascii="Arial" w:hAnsi="Arial" w:cs="Arial"/>
          <w:i/>
          <w:iCs/>
          <w:sz w:val="22"/>
          <w:szCs w:val="22"/>
        </w:rPr>
        <w:t>29</w:t>
      </w:r>
      <w:r w:rsidRPr="00B53CC0">
        <w:rPr>
          <w:rFonts w:ascii="Arial" w:hAnsi="Arial" w:cs="Arial"/>
          <w:sz w:val="22"/>
          <w:szCs w:val="22"/>
        </w:rPr>
        <w:t>(6), 621–637. Springer Link. https://doi.org/10.1007/s10979-005-8122-9</w:t>
      </w:r>
    </w:p>
    <w:p w14:paraId="1FEB998B"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Moore, A. (2018). “I Knew You Were Trouble”: Considering </w:t>
      </w:r>
      <w:proofErr w:type="spellStart"/>
      <w:r w:rsidRPr="00B53CC0">
        <w:rPr>
          <w:rFonts w:ascii="Arial" w:hAnsi="Arial" w:cs="Arial"/>
          <w:sz w:val="22"/>
          <w:szCs w:val="22"/>
        </w:rPr>
        <w:t>Childism</w:t>
      </w:r>
      <w:proofErr w:type="spellEnd"/>
      <w:r w:rsidRPr="00B53CC0">
        <w:rPr>
          <w:rFonts w:ascii="Arial" w:hAnsi="Arial" w:cs="Arial"/>
          <w:sz w:val="22"/>
          <w:szCs w:val="22"/>
        </w:rPr>
        <w:t xml:space="preserve">(s), Shame Resilience, and Adult Caretaker Characters Surrounding YA Rape Survivor Protagonists. </w:t>
      </w:r>
      <w:r w:rsidRPr="00B53CC0">
        <w:rPr>
          <w:rFonts w:ascii="Arial" w:hAnsi="Arial" w:cs="Arial"/>
          <w:i/>
          <w:iCs/>
          <w:sz w:val="22"/>
          <w:szCs w:val="22"/>
        </w:rPr>
        <w:t>New Review of Children’s Literature and Librarianship</w:t>
      </w:r>
      <w:r w:rsidRPr="00B53CC0">
        <w:rPr>
          <w:rFonts w:ascii="Arial" w:hAnsi="Arial" w:cs="Arial"/>
          <w:sz w:val="22"/>
          <w:szCs w:val="22"/>
        </w:rPr>
        <w:t xml:space="preserve">, </w:t>
      </w:r>
      <w:r w:rsidRPr="00B53CC0">
        <w:rPr>
          <w:rFonts w:ascii="Arial" w:hAnsi="Arial" w:cs="Arial"/>
          <w:i/>
          <w:iCs/>
          <w:sz w:val="22"/>
          <w:szCs w:val="22"/>
        </w:rPr>
        <w:t>24</w:t>
      </w:r>
      <w:r w:rsidRPr="00B53CC0">
        <w:rPr>
          <w:rFonts w:ascii="Arial" w:hAnsi="Arial" w:cs="Arial"/>
          <w:sz w:val="22"/>
          <w:szCs w:val="22"/>
        </w:rPr>
        <w:t>(2), 144–166. Taylor &amp; Francis Online. https://doi.org/10.1080/13614541.2018.1535778</w:t>
      </w:r>
    </w:p>
    <w:p w14:paraId="2C6E3480"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Mustard, David B. (2001). Racial, Ethnic, and Gender Disparities in Sentencing: Evidence from the U.S. Federal Courts. </w:t>
      </w:r>
      <w:r w:rsidRPr="00B53CC0">
        <w:rPr>
          <w:rFonts w:ascii="Arial" w:hAnsi="Arial" w:cs="Arial"/>
          <w:i/>
          <w:iCs/>
          <w:sz w:val="22"/>
          <w:szCs w:val="22"/>
        </w:rPr>
        <w:t>The Journal of Law and Economics</w:t>
      </w:r>
      <w:r w:rsidRPr="00B53CC0">
        <w:rPr>
          <w:rFonts w:ascii="Arial" w:hAnsi="Arial" w:cs="Arial"/>
          <w:sz w:val="22"/>
          <w:szCs w:val="22"/>
        </w:rPr>
        <w:t xml:space="preserve">, </w:t>
      </w:r>
      <w:r w:rsidRPr="00B53CC0">
        <w:rPr>
          <w:rFonts w:ascii="Arial" w:hAnsi="Arial" w:cs="Arial"/>
          <w:i/>
          <w:iCs/>
          <w:sz w:val="22"/>
          <w:szCs w:val="22"/>
        </w:rPr>
        <w:t>44</w:t>
      </w:r>
      <w:r w:rsidRPr="00B53CC0">
        <w:rPr>
          <w:rFonts w:ascii="Arial" w:hAnsi="Arial" w:cs="Arial"/>
          <w:sz w:val="22"/>
          <w:szCs w:val="22"/>
        </w:rPr>
        <w:t>(1), 285–314. The University of Chicago press journals. https://doi.org/10.1086/320276</w:t>
      </w:r>
    </w:p>
    <w:p w14:paraId="1AE0E586"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Pannucci, C. J., &amp; Wilkins, E. G. (2011). Identifying and Avoiding Bias in Research. </w:t>
      </w:r>
      <w:r w:rsidRPr="00B53CC0">
        <w:rPr>
          <w:rFonts w:ascii="Arial" w:hAnsi="Arial" w:cs="Arial"/>
          <w:i/>
          <w:iCs/>
          <w:sz w:val="22"/>
          <w:szCs w:val="22"/>
        </w:rPr>
        <w:t>Plastic and Reconstructive Surgery</w:t>
      </w:r>
      <w:r w:rsidRPr="00B53CC0">
        <w:rPr>
          <w:rFonts w:ascii="Arial" w:hAnsi="Arial" w:cs="Arial"/>
          <w:sz w:val="22"/>
          <w:szCs w:val="22"/>
        </w:rPr>
        <w:t xml:space="preserve">, </w:t>
      </w:r>
      <w:r w:rsidRPr="00B53CC0">
        <w:rPr>
          <w:rFonts w:ascii="Arial" w:hAnsi="Arial" w:cs="Arial"/>
          <w:i/>
          <w:iCs/>
          <w:sz w:val="22"/>
          <w:szCs w:val="22"/>
        </w:rPr>
        <w:t>126</w:t>
      </w:r>
      <w:r w:rsidRPr="00B53CC0">
        <w:rPr>
          <w:rFonts w:ascii="Arial" w:hAnsi="Arial" w:cs="Arial"/>
          <w:sz w:val="22"/>
          <w:szCs w:val="22"/>
        </w:rPr>
        <w:t>(2), 619–625. https://doi.org/10.1097/prs.0b013e3181de24bc</w:t>
      </w:r>
    </w:p>
    <w:p w14:paraId="40D2030C"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lastRenderedPageBreak/>
        <w:t xml:space="preserve">Pfeifer, J. E., &amp; </w:t>
      </w:r>
      <w:proofErr w:type="spellStart"/>
      <w:r w:rsidRPr="00B53CC0">
        <w:rPr>
          <w:rFonts w:ascii="Arial" w:hAnsi="Arial" w:cs="Arial"/>
          <w:sz w:val="22"/>
          <w:szCs w:val="22"/>
        </w:rPr>
        <w:t>Ogloff</w:t>
      </w:r>
      <w:proofErr w:type="spellEnd"/>
      <w:r w:rsidRPr="00B53CC0">
        <w:rPr>
          <w:rFonts w:ascii="Arial" w:hAnsi="Arial" w:cs="Arial"/>
          <w:sz w:val="22"/>
          <w:szCs w:val="22"/>
        </w:rPr>
        <w:t xml:space="preserve">, J. R. P. (1991). Ambiguity and Guilt Determinations: A Modern Racism Perspective1. </w:t>
      </w:r>
      <w:r w:rsidRPr="00B53CC0">
        <w:rPr>
          <w:rFonts w:ascii="Arial" w:hAnsi="Arial" w:cs="Arial"/>
          <w:i/>
          <w:iCs/>
          <w:sz w:val="22"/>
          <w:szCs w:val="22"/>
        </w:rPr>
        <w:t>Journal of Applied Social Psychology</w:t>
      </w:r>
      <w:r w:rsidRPr="00B53CC0">
        <w:rPr>
          <w:rFonts w:ascii="Arial" w:hAnsi="Arial" w:cs="Arial"/>
          <w:sz w:val="22"/>
          <w:szCs w:val="22"/>
        </w:rPr>
        <w:t xml:space="preserve">, </w:t>
      </w:r>
      <w:r w:rsidRPr="00B53CC0">
        <w:rPr>
          <w:rFonts w:ascii="Arial" w:hAnsi="Arial" w:cs="Arial"/>
          <w:i/>
          <w:iCs/>
          <w:sz w:val="22"/>
          <w:szCs w:val="22"/>
        </w:rPr>
        <w:t>21</w:t>
      </w:r>
      <w:r w:rsidRPr="00B53CC0">
        <w:rPr>
          <w:rFonts w:ascii="Arial" w:hAnsi="Arial" w:cs="Arial"/>
          <w:sz w:val="22"/>
          <w:szCs w:val="22"/>
        </w:rPr>
        <w:t>(21), 1713–1725. Wiley Online. https://doi.org/10.1111/j.1559-1816.1991.tb00500.x</w:t>
      </w:r>
    </w:p>
    <w:p w14:paraId="53CBB422"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Pritchard-Jones, L. (2016). The good, the bad, and the “vulnerable older adult.” </w:t>
      </w:r>
      <w:r w:rsidRPr="00B53CC0">
        <w:rPr>
          <w:rFonts w:ascii="Arial" w:hAnsi="Arial" w:cs="Arial"/>
          <w:i/>
          <w:iCs/>
          <w:sz w:val="22"/>
          <w:szCs w:val="22"/>
        </w:rPr>
        <w:t>Journal of Social Welfare and Family Law</w:t>
      </w:r>
      <w:r w:rsidRPr="00B53CC0">
        <w:rPr>
          <w:rFonts w:ascii="Arial" w:hAnsi="Arial" w:cs="Arial"/>
          <w:sz w:val="22"/>
          <w:szCs w:val="22"/>
        </w:rPr>
        <w:t xml:space="preserve">, </w:t>
      </w:r>
      <w:r w:rsidRPr="00B53CC0">
        <w:rPr>
          <w:rFonts w:ascii="Arial" w:hAnsi="Arial" w:cs="Arial"/>
          <w:i/>
          <w:iCs/>
          <w:sz w:val="22"/>
          <w:szCs w:val="22"/>
        </w:rPr>
        <w:t>38</w:t>
      </w:r>
      <w:r w:rsidRPr="00B53CC0">
        <w:rPr>
          <w:rFonts w:ascii="Arial" w:hAnsi="Arial" w:cs="Arial"/>
          <w:sz w:val="22"/>
          <w:szCs w:val="22"/>
        </w:rPr>
        <w:t>(1), 51–72. Taylor &amp; Francis Online. https://doi.org/10.1080/09649069.2016.1145838</w:t>
      </w:r>
    </w:p>
    <w:p w14:paraId="48CA4ED9"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Raymer, M., Reed, M., Spiegel, M., &amp; </w:t>
      </w:r>
      <w:proofErr w:type="spellStart"/>
      <w:r w:rsidRPr="00B53CC0">
        <w:rPr>
          <w:rFonts w:ascii="Arial" w:hAnsi="Arial" w:cs="Arial"/>
          <w:sz w:val="22"/>
          <w:szCs w:val="22"/>
        </w:rPr>
        <w:t>Purvanova</w:t>
      </w:r>
      <w:proofErr w:type="spellEnd"/>
      <w:r w:rsidRPr="00B53CC0">
        <w:rPr>
          <w:rFonts w:ascii="Arial" w:hAnsi="Arial" w:cs="Arial"/>
          <w:sz w:val="22"/>
          <w:szCs w:val="22"/>
        </w:rPr>
        <w:t xml:space="preserve">, R. K. (2017). An examination of generational stereotypes as a path towards reverse ageism. </w:t>
      </w:r>
      <w:r w:rsidRPr="00B53CC0">
        <w:rPr>
          <w:rFonts w:ascii="Arial" w:hAnsi="Arial" w:cs="Arial"/>
          <w:i/>
          <w:iCs/>
          <w:sz w:val="22"/>
          <w:szCs w:val="22"/>
        </w:rPr>
        <w:t>The Psychologist-Manager Journal</w:t>
      </w:r>
      <w:r w:rsidRPr="00B53CC0">
        <w:rPr>
          <w:rFonts w:ascii="Arial" w:hAnsi="Arial" w:cs="Arial"/>
          <w:sz w:val="22"/>
          <w:szCs w:val="22"/>
        </w:rPr>
        <w:t xml:space="preserve">, </w:t>
      </w:r>
      <w:r w:rsidRPr="00B53CC0">
        <w:rPr>
          <w:rFonts w:ascii="Arial" w:hAnsi="Arial" w:cs="Arial"/>
          <w:i/>
          <w:iCs/>
          <w:sz w:val="22"/>
          <w:szCs w:val="22"/>
        </w:rPr>
        <w:t>20</w:t>
      </w:r>
      <w:r w:rsidRPr="00B53CC0">
        <w:rPr>
          <w:rFonts w:ascii="Arial" w:hAnsi="Arial" w:cs="Arial"/>
          <w:sz w:val="22"/>
          <w:szCs w:val="22"/>
        </w:rPr>
        <w:t xml:space="preserve">(3), 148–175. APA </w:t>
      </w:r>
      <w:proofErr w:type="spellStart"/>
      <w:r w:rsidRPr="00B53CC0">
        <w:rPr>
          <w:rFonts w:ascii="Arial" w:hAnsi="Arial" w:cs="Arial"/>
          <w:sz w:val="22"/>
          <w:szCs w:val="22"/>
        </w:rPr>
        <w:t>PsycNet</w:t>
      </w:r>
      <w:proofErr w:type="spellEnd"/>
      <w:r w:rsidRPr="00B53CC0">
        <w:rPr>
          <w:rFonts w:ascii="Arial" w:hAnsi="Arial" w:cs="Arial"/>
          <w:sz w:val="22"/>
          <w:szCs w:val="22"/>
        </w:rPr>
        <w:t>. https://doi.org/10.1037/mgr0000057</w:t>
      </w:r>
    </w:p>
    <w:p w14:paraId="143FB426"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Ruiz-Cantero, M. T., Vives-Cases, C., </w:t>
      </w:r>
      <w:proofErr w:type="spellStart"/>
      <w:r w:rsidRPr="00B53CC0">
        <w:rPr>
          <w:rFonts w:ascii="Arial" w:hAnsi="Arial" w:cs="Arial"/>
          <w:sz w:val="22"/>
          <w:szCs w:val="22"/>
        </w:rPr>
        <w:t>Artazcoz</w:t>
      </w:r>
      <w:proofErr w:type="spellEnd"/>
      <w:r w:rsidRPr="00B53CC0">
        <w:rPr>
          <w:rFonts w:ascii="Arial" w:hAnsi="Arial" w:cs="Arial"/>
          <w:sz w:val="22"/>
          <w:szCs w:val="22"/>
        </w:rPr>
        <w:t xml:space="preserve">, L., Delgado, A., Garcia Calvente, M. d. M., </w:t>
      </w:r>
      <w:proofErr w:type="spellStart"/>
      <w:r w:rsidRPr="00B53CC0">
        <w:rPr>
          <w:rFonts w:ascii="Arial" w:hAnsi="Arial" w:cs="Arial"/>
          <w:sz w:val="22"/>
          <w:szCs w:val="22"/>
        </w:rPr>
        <w:t>Miqueo</w:t>
      </w:r>
      <w:proofErr w:type="spellEnd"/>
      <w:r w:rsidRPr="00B53CC0">
        <w:rPr>
          <w:rFonts w:ascii="Arial" w:hAnsi="Arial" w:cs="Arial"/>
          <w:sz w:val="22"/>
          <w:szCs w:val="22"/>
        </w:rPr>
        <w:t xml:space="preserve">, C., Montero, I., Ortiz, R., Ronda, E., Ruiz, I., &amp; Valls, C. (2007). A framework to analyse gender bias in epidemiological research. </w:t>
      </w:r>
      <w:r w:rsidRPr="00B53CC0">
        <w:rPr>
          <w:rFonts w:ascii="Arial" w:hAnsi="Arial" w:cs="Arial"/>
          <w:i/>
          <w:iCs/>
          <w:sz w:val="22"/>
          <w:szCs w:val="22"/>
        </w:rPr>
        <w:t>Journal of Epidemiology &amp; Community Health</w:t>
      </w:r>
      <w:r w:rsidRPr="00B53CC0">
        <w:rPr>
          <w:rFonts w:ascii="Arial" w:hAnsi="Arial" w:cs="Arial"/>
          <w:sz w:val="22"/>
          <w:szCs w:val="22"/>
        </w:rPr>
        <w:t xml:space="preserve">, </w:t>
      </w:r>
      <w:r w:rsidRPr="00B53CC0">
        <w:rPr>
          <w:rFonts w:ascii="Arial" w:hAnsi="Arial" w:cs="Arial"/>
          <w:i/>
          <w:iCs/>
          <w:sz w:val="22"/>
          <w:szCs w:val="22"/>
        </w:rPr>
        <w:t>61</w:t>
      </w:r>
      <w:r w:rsidRPr="00B53CC0">
        <w:rPr>
          <w:rFonts w:ascii="Arial" w:hAnsi="Arial" w:cs="Arial"/>
          <w:sz w:val="22"/>
          <w:szCs w:val="22"/>
        </w:rPr>
        <w:t>(Supplement 2), ii46–ii53. PubMed Central. https://doi.org/10.1136/jech.2007.062034</w:t>
      </w:r>
    </w:p>
    <w:p w14:paraId="6AEEDD0F"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Ruva, C. L., Smith, K. D., &amp; Sykes, E. C. (2023). Gender, Generations, and Guilt: Defendant Gender and Age Affect Jurors’ Decisions and Perceptions in an Intimate Partner Homicide Trial. </w:t>
      </w:r>
      <w:r w:rsidRPr="00B53CC0">
        <w:rPr>
          <w:rFonts w:ascii="Arial" w:hAnsi="Arial" w:cs="Arial"/>
          <w:i/>
          <w:iCs/>
          <w:sz w:val="22"/>
          <w:szCs w:val="22"/>
        </w:rPr>
        <w:t>Journal of Interpersonal Violence</w:t>
      </w:r>
      <w:r w:rsidRPr="00B53CC0">
        <w:rPr>
          <w:rFonts w:ascii="Arial" w:hAnsi="Arial" w:cs="Arial"/>
          <w:sz w:val="22"/>
          <w:szCs w:val="22"/>
        </w:rPr>
        <w:t xml:space="preserve">, </w:t>
      </w:r>
      <w:r w:rsidRPr="00B53CC0">
        <w:rPr>
          <w:rFonts w:ascii="Arial" w:hAnsi="Arial" w:cs="Arial"/>
          <w:i/>
          <w:iCs/>
          <w:sz w:val="22"/>
          <w:szCs w:val="22"/>
        </w:rPr>
        <w:t>1</w:t>
      </w:r>
      <w:r w:rsidRPr="00B53CC0">
        <w:rPr>
          <w:rFonts w:ascii="Arial" w:hAnsi="Arial" w:cs="Arial"/>
          <w:sz w:val="22"/>
          <w:szCs w:val="22"/>
        </w:rPr>
        <w:t>(1), 1–25. Sage Journals. https://doi.org/10.1177/08862605231191227</w:t>
      </w:r>
    </w:p>
    <w:p w14:paraId="68A37EAF"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Sargent-Cox, K. A., Anstey, K. J., &amp; Luszcz, M. A. (2012). The relationship between change in self-perceptions of aging and physical functioning in older adults. </w:t>
      </w:r>
      <w:r w:rsidRPr="00B53CC0">
        <w:rPr>
          <w:rFonts w:ascii="Arial" w:hAnsi="Arial" w:cs="Arial"/>
          <w:i/>
          <w:iCs/>
          <w:sz w:val="22"/>
          <w:szCs w:val="22"/>
        </w:rPr>
        <w:t>Psychology and Aging</w:t>
      </w:r>
      <w:r w:rsidRPr="00B53CC0">
        <w:rPr>
          <w:rFonts w:ascii="Arial" w:hAnsi="Arial" w:cs="Arial"/>
          <w:sz w:val="22"/>
          <w:szCs w:val="22"/>
        </w:rPr>
        <w:t xml:space="preserve">, </w:t>
      </w:r>
      <w:r w:rsidRPr="00B53CC0">
        <w:rPr>
          <w:rFonts w:ascii="Arial" w:hAnsi="Arial" w:cs="Arial"/>
          <w:i/>
          <w:iCs/>
          <w:sz w:val="22"/>
          <w:szCs w:val="22"/>
        </w:rPr>
        <w:t>27</w:t>
      </w:r>
      <w:r w:rsidRPr="00B53CC0">
        <w:rPr>
          <w:rFonts w:ascii="Arial" w:hAnsi="Arial" w:cs="Arial"/>
          <w:sz w:val="22"/>
          <w:szCs w:val="22"/>
        </w:rPr>
        <w:t xml:space="preserve">(3), 750–760. APA </w:t>
      </w:r>
      <w:proofErr w:type="spellStart"/>
      <w:r w:rsidRPr="00B53CC0">
        <w:rPr>
          <w:rFonts w:ascii="Arial" w:hAnsi="Arial" w:cs="Arial"/>
          <w:sz w:val="22"/>
          <w:szCs w:val="22"/>
        </w:rPr>
        <w:t>PsycNet</w:t>
      </w:r>
      <w:proofErr w:type="spellEnd"/>
      <w:r w:rsidRPr="00B53CC0">
        <w:rPr>
          <w:rFonts w:ascii="Arial" w:hAnsi="Arial" w:cs="Arial"/>
          <w:sz w:val="22"/>
          <w:szCs w:val="22"/>
        </w:rPr>
        <w:t>. https://doi.org/10.1037/a0027578</w:t>
      </w:r>
    </w:p>
    <w:p w14:paraId="633FF1B0"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Schiøth, M. R., </w:t>
      </w:r>
      <w:proofErr w:type="spellStart"/>
      <w:r w:rsidRPr="00B53CC0">
        <w:rPr>
          <w:rFonts w:ascii="Arial" w:hAnsi="Arial" w:cs="Arial"/>
          <w:sz w:val="22"/>
          <w:szCs w:val="22"/>
        </w:rPr>
        <w:t>Sestoft</w:t>
      </w:r>
      <w:proofErr w:type="spellEnd"/>
      <w:r w:rsidRPr="00B53CC0">
        <w:rPr>
          <w:rFonts w:ascii="Arial" w:hAnsi="Arial" w:cs="Arial"/>
          <w:sz w:val="22"/>
          <w:szCs w:val="22"/>
        </w:rPr>
        <w:t xml:space="preserve">, D., &amp; Lykke Mortensen, E. (2022). Gender differences vs gender bias in forensic psychiatric assessment of non-psychotic mentally disturbed violent defendants in Denmark. </w:t>
      </w:r>
      <w:r w:rsidRPr="00B53CC0">
        <w:rPr>
          <w:rFonts w:ascii="Arial" w:hAnsi="Arial" w:cs="Arial"/>
          <w:i/>
          <w:iCs/>
          <w:sz w:val="22"/>
          <w:szCs w:val="22"/>
        </w:rPr>
        <w:t>The Journal of Forensic Psychiatry &amp; Psychology</w:t>
      </w:r>
      <w:r w:rsidRPr="00B53CC0">
        <w:rPr>
          <w:rFonts w:ascii="Arial" w:hAnsi="Arial" w:cs="Arial"/>
          <w:sz w:val="22"/>
          <w:szCs w:val="22"/>
        </w:rPr>
        <w:t xml:space="preserve">, </w:t>
      </w:r>
      <w:r w:rsidRPr="00B53CC0">
        <w:rPr>
          <w:rFonts w:ascii="Arial" w:hAnsi="Arial" w:cs="Arial"/>
          <w:i/>
          <w:iCs/>
          <w:sz w:val="22"/>
          <w:szCs w:val="22"/>
        </w:rPr>
        <w:t>33</w:t>
      </w:r>
      <w:r w:rsidRPr="00B53CC0">
        <w:rPr>
          <w:rFonts w:ascii="Arial" w:hAnsi="Arial" w:cs="Arial"/>
          <w:sz w:val="22"/>
          <w:szCs w:val="22"/>
        </w:rPr>
        <w:t>(5), 1–14. Taylor &amp; Francis online. https://doi.org/10.1080/14789949.2022.2102530</w:t>
      </w:r>
    </w:p>
    <w:p w14:paraId="2727DF48"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Sheahan, C. L., Pica, &amp; </w:t>
      </w:r>
      <w:proofErr w:type="spellStart"/>
      <w:r w:rsidRPr="00B53CC0">
        <w:rPr>
          <w:rFonts w:ascii="Arial" w:hAnsi="Arial" w:cs="Arial"/>
          <w:sz w:val="22"/>
          <w:szCs w:val="22"/>
        </w:rPr>
        <w:t>Pozzulo</w:t>
      </w:r>
      <w:proofErr w:type="spellEnd"/>
      <w:r w:rsidRPr="00B53CC0">
        <w:rPr>
          <w:rFonts w:ascii="Arial" w:hAnsi="Arial" w:cs="Arial"/>
          <w:sz w:val="22"/>
          <w:szCs w:val="22"/>
        </w:rPr>
        <w:t xml:space="preserve">, J. D. (2017). Abuse Is Abuse: The Influence of Type of Abuse, Victim Age, and Defendant Age on Juror Decision Making. </w:t>
      </w:r>
      <w:r w:rsidRPr="00B53CC0">
        <w:rPr>
          <w:rFonts w:ascii="Arial" w:hAnsi="Arial" w:cs="Arial"/>
          <w:i/>
          <w:iCs/>
          <w:sz w:val="22"/>
          <w:szCs w:val="22"/>
        </w:rPr>
        <w:t>Journal of Interpersonal Violence</w:t>
      </w:r>
      <w:r w:rsidRPr="00B53CC0">
        <w:rPr>
          <w:rFonts w:ascii="Arial" w:hAnsi="Arial" w:cs="Arial"/>
          <w:sz w:val="22"/>
          <w:szCs w:val="22"/>
        </w:rPr>
        <w:t xml:space="preserve">, </w:t>
      </w:r>
      <w:r w:rsidRPr="00B53CC0">
        <w:rPr>
          <w:rFonts w:ascii="Arial" w:hAnsi="Arial" w:cs="Arial"/>
          <w:i/>
          <w:iCs/>
          <w:sz w:val="22"/>
          <w:szCs w:val="22"/>
        </w:rPr>
        <w:t>36</w:t>
      </w:r>
      <w:r w:rsidRPr="00B53CC0">
        <w:rPr>
          <w:rFonts w:ascii="Arial" w:hAnsi="Arial" w:cs="Arial"/>
          <w:sz w:val="22"/>
          <w:szCs w:val="22"/>
        </w:rPr>
        <w:t>(2), 088626051773131. Sage Journals. https://doi.org/10.1177/0886260517731316</w:t>
      </w:r>
    </w:p>
    <w:p w14:paraId="3FAD87AD"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Sommers, S. R. (2006). On racial diversity and group decision making: Identifying multiple effects of racial composition on jury deliberations. </w:t>
      </w:r>
      <w:r w:rsidRPr="00B53CC0">
        <w:rPr>
          <w:rFonts w:ascii="Arial" w:hAnsi="Arial" w:cs="Arial"/>
          <w:i/>
          <w:iCs/>
          <w:sz w:val="22"/>
          <w:szCs w:val="22"/>
        </w:rPr>
        <w:t>Journal of Personality and Social Psychology</w:t>
      </w:r>
      <w:r w:rsidRPr="00B53CC0">
        <w:rPr>
          <w:rFonts w:ascii="Arial" w:hAnsi="Arial" w:cs="Arial"/>
          <w:sz w:val="22"/>
          <w:szCs w:val="22"/>
        </w:rPr>
        <w:t xml:space="preserve">, </w:t>
      </w:r>
      <w:r w:rsidRPr="00B53CC0">
        <w:rPr>
          <w:rFonts w:ascii="Arial" w:hAnsi="Arial" w:cs="Arial"/>
          <w:i/>
          <w:iCs/>
          <w:sz w:val="22"/>
          <w:szCs w:val="22"/>
        </w:rPr>
        <w:t>90</w:t>
      </w:r>
      <w:r w:rsidRPr="00B53CC0">
        <w:rPr>
          <w:rFonts w:ascii="Arial" w:hAnsi="Arial" w:cs="Arial"/>
          <w:sz w:val="22"/>
          <w:szCs w:val="22"/>
        </w:rPr>
        <w:t>(4), 597–612. APA Journals. https://doi.org/10.1037/0022-3514.90.4.597</w:t>
      </w:r>
    </w:p>
    <w:p w14:paraId="7F3ACC5D"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Sommers, S. R., &amp; Ellsworth, P. C. (2000). Race in the courtroom: Perceptions of guilt and dispositional attributions. </w:t>
      </w:r>
      <w:r w:rsidRPr="00B53CC0">
        <w:rPr>
          <w:rFonts w:ascii="Arial" w:hAnsi="Arial" w:cs="Arial"/>
          <w:i/>
          <w:iCs/>
          <w:sz w:val="22"/>
          <w:szCs w:val="22"/>
        </w:rPr>
        <w:t>Personality and Social Psychology Bulletin</w:t>
      </w:r>
      <w:r w:rsidRPr="00B53CC0">
        <w:rPr>
          <w:rFonts w:ascii="Arial" w:hAnsi="Arial" w:cs="Arial"/>
          <w:sz w:val="22"/>
          <w:szCs w:val="22"/>
        </w:rPr>
        <w:t>, </w:t>
      </w:r>
      <w:r w:rsidRPr="00B53CC0">
        <w:rPr>
          <w:rFonts w:ascii="Arial" w:hAnsi="Arial" w:cs="Arial"/>
          <w:i/>
          <w:iCs/>
          <w:sz w:val="22"/>
          <w:szCs w:val="22"/>
        </w:rPr>
        <w:t>26</w:t>
      </w:r>
      <w:r w:rsidRPr="00B53CC0">
        <w:rPr>
          <w:rFonts w:ascii="Arial" w:hAnsi="Arial" w:cs="Arial"/>
          <w:sz w:val="22"/>
          <w:szCs w:val="22"/>
        </w:rPr>
        <w:t xml:space="preserve">(11), 1367-1379. </w:t>
      </w:r>
    </w:p>
    <w:p w14:paraId="0DBF07CB"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Sommers, S. R., &amp; Ellsworth, P. C. (2000). Race in the Courtroom: Perceptions of Guilt and Dispositional Attributions. </w:t>
      </w:r>
      <w:r w:rsidRPr="00B53CC0">
        <w:rPr>
          <w:rFonts w:ascii="Arial" w:hAnsi="Arial" w:cs="Arial"/>
          <w:i/>
          <w:iCs/>
          <w:sz w:val="22"/>
          <w:szCs w:val="22"/>
        </w:rPr>
        <w:t>Personality and Social Psychology Bulletin</w:t>
      </w:r>
      <w:r w:rsidRPr="00B53CC0">
        <w:rPr>
          <w:rFonts w:ascii="Arial" w:hAnsi="Arial" w:cs="Arial"/>
          <w:sz w:val="22"/>
          <w:szCs w:val="22"/>
        </w:rPr>
        <w:t xml:space="preserve">, </w:t>
      </w:r>
      <w:r w:rsidRPr="00B53CC0">
        <w:rPr>
          <w:rFonts w:ascii="Arial" w:hAnsi="Arial" w:cs="Arial"/>
          <w:i/>
          <w:iCs/>
          <w:sz w:val="22"/>
          <w:szCs w:val="22"/>
        </w:rPr>
        <w:t>26</w:t>
      </w:r>
      <w:r w:rsidRPr="00B53CC0">
        <w:rPr>
          <w:rFonts w:ascii="Arial" w:hAnsi="Arial" w:cs="Arial"/>
          <w:sz w:val="22"/>
          <w:szCs w:val="22"/>
        </w:rPr>
        <w:t xml:space="preserve">(11), 1367–1379. APA </w:t>
      </w:r>
      <w:proofErr w:type="spellStart"/>
      <w:r w:rsidRPr="00B53CC0">
        <w:rPr>
          <w:rFonts w:ascii="Arial" w:hAnsi="Arial" w:cs="Arial"/>
          <w:sz w:val="22"/>
          <w:szCs w:val="22"/>
        </w:rPr>
        <w:t>PsycNet</w:t>
      </w:r>
      <w:proofErr w:type="spellEnd"/>
      <w:r w:rsidRPr="00B53CC0">
        <w:rPr>
          <w:rFonts w:ascii="Arial" w:hAnsi="Arial" w:cs="Arial"/>
          <w:sz w:val="22"/>
          <w:szCs w:val="22"/>
        </w:rPr>
        <w:t>. https://doi.org/10.1177/0146167200263005</w:t>
      </w:r>
    </w:p>
    <w:p w14:paraId="749AC1E5"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Sommers, S. R., &amp; Ellsworth, P. C. (2001). White juror bias: An investigation of prejudice against Black defendants in the American courtroom. </w:t>
      </w:r>
      <w:r w:rsidRPr="00B53CC0">
        <w:rPr>
          <w:rFonts w:ascii="Arial" w:hAnsi="Arial" w:cs="Arial"/>
          <w:i/>
          <w:iCs/>
          <w:sz w:val="22"/>
          <w:szCs w:val="22"/>
        </w:rPr>
        <w:t>Psychology, Public Policy, and Law</w:t>
      </w:r>
      <w:r w:rsidRPr="00B53CC0">
        <w:rPr>
          <w:rFonts w:ascii="Arial" w:hAnsi="Arial" w:cs="Arial"/>
          <w:sz w:val="22"/>
          <w:szCs w:val="22"/>
        </w:rPr>
        <w:t xml:space="preserve">, </w:t>
      </w:r>
      <w:r w:rsidRPr="00B53CC0">
        <w:rPr>
          <w:rFonts w:ascii="Arial" w:hAnsi="Arial" w:cs="Arial"/>
          <w:i/>
          <w:iCs/>
          <w:sz w:val="22"/>
          <w:szCs w:val="22"/>
        </w:rPr>
        <w:t>7</w:t>
      </w:r>
      <w:r w:rsidRPr="00B53CC0">
        <w:rPr>
          <w:rFonts w:ascii="Arial" w:hAnsi="Arial" w:cs="Arial"/>
          <w:sz w:val="22"/>
          <w:szCs w:val="22"/>
        </w:rPr>
        <w:t xml:space="preserve">(1), 201–229. APA </w:t>
      </w:r>
      <w:proofErr w:type="spellStart"/>
      <w:r w:rsidRPr="00B53CC0">
        <w:rPr>
          <w:rFonts w:ascii="Arial" w:hAnsi="Arial" w:cs="Arial"/>
          <w:sz w:val="22"/>
          <w:szCs w:val="22"/>
        </w:rPr>
        <w:t>PsycNet</w:t>
      </w:r>
      <w:proofErr w:type="spellEnd"/>
      <w:r w:rsidRPr="00B53CC0">
        <w:rPr>
          <w:rFonts w:ascii="Arial" w:hAnsi="Arial" w:cs="Arial"/>
          <w:sz w:val="22"/>
          <w:szCs w:val="22"/>
        </w:rPr>
        <w:t>. https://doi.org/10.1037/1076-8971.7.1.201</w:t>
      </w:r>
    </w:p>
    <w:p w14:paraId="700D7582"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Sweeney, L. T., &amp; Haney, C. (1992). The influence of race on sentencing: A meta-analytic review of experimental studies. </w:t>
      </w:r>
      <w:proofErr w:type="spellStart"/>
      <w:r w:rsidRPr="00B53CC0">
        <w:rPr>
          <w:rFonts w:ascii="Arial" w:hAnsi="Arial" w:cs="Arial"/>
          <w:i/>
          <w:iCs/>
          <w:sz w:val="22"/>
          <w:szCs w:val="22"/>
        </w:rPr>
        <w:t>Behavioral</w:t>
      </w:r>
      <w:proofErr w:type="spellEnd"/>
      <w:r w:rsidRPr="00B53CC0">
        <w:rPr>
          <w:rFonts w:ascii="Arial" w:hAnsi="Arial" w:cs="Arial"/>
          <w:i/>
          <w:iCs/>
          <w:sz w:val="22"/>
          <w:szCs w:val="22"/>
        </w:rPr>
        <w:t xml:space="preserve"> Sciences &amp; the Law</w:t>
      </w:r>
      <w:r w:rsidRPr="00B53CC0">
        <w:rPr>
          <w:rFonts w:ascii="Arial" w:hAnsi="Arial" w:cs="Arial"/>
          <w:sz w:val="22"/>
          <w:szCs w:val="22"/>
        </w:rPr>
        <w:t xml:space="preserve">, </w:t>
      </w:r>
      <w:r w:rsidRPr="00B53CC0">
        <w:rPr>
          <w:rFonts w:ascii="Arial" w:hAnsi="Arial" w:cs="Arial"/>
          <w:i/>
          <w:iCs/>
          <w:sz w:val="22"/>
          <w:szCs w:val="22"/>
        </w:rPr>
        <w:t>10</w:t>
      </w:r>
      <w:r w:rsidRPr="00B53CC0">
        <w:rPr>
          <w:rFonts w:ascii="Arial" w:hAnsi="Arial" w:cs="Arial"/>
          <w:sz w:val="22"/>
          <w:szCs w:val="22"/>
        </w:rPr>
        <w:t>(2), 179–195. Waley Online. https://doi.org/10.1002/bsl.2370100204</w:t>
      </w:r>
    </w:p>
    <w:p w14:paraId="4F61FE3A"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U.S Courts. (2016). </w:t>
      </w:r>
      <w:r w:rsidRPr="00B53CC0">
        <w:rPr>
          <w:rFonts w:ascii="Arial" w:hAnsi="Arial" w:cs="Arial"/>
          <w:i/>
          <w:iCs/>
          <w:sz w:val="22"/>
          <w:szCs w:val="22"/>
        </w:rPr>
        <w:t>Juror Selection Process | United States Courts</w:t>
      </w:r>
      <w:r w:rsidRPr="00B53CC0">
        <w:rPr>
          <w:rFonts w:ascii="Arial" w:hAnsi="Arial" w:cs="Arial"/>
          <w:sz w:val="22"/>
          <w:szCs w:val="22"/>
        </w:rPr>
        <w:t>. Www.uscourts.gov; U.S Government. https://www.uscourts.gov/services-forms/jury-service/juror-selection-process#:~:text=Jury%20service%20is%20a%20way</w:t>
      </w:r>
    </w:p>
    <w:p w14:paraId="7D62D69A"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U.S Department of Justice. (2014, November 7). </w:t>
      </w:r>
      <w:r w:rsidRPr="00B53CC0">
        <w:rPr>
          <w:rFonts w:ascii="Arial" w:hAnsi="Arial" w:cs="Arial"/>
          <w:i/>
          <w:iCs/>
          <w:sz w:val="22"/>
          <w:szCs w:val="22"/>
        </w:rPr>
        <w:t>Trial</w:t>
      </w:r>
      <w:r w:rsidRPr="00B53CC0">
        <w:rPr>
          <w:rFonts w:ascii="Arial" w:hAnsi="Arial" w:cs="Arial"/>
          <w:sz w:val="22"/>
          <w:szCs w:val="22"/>
        </w:rPr>
        <w:t>. Www.justice.gov; U.S department of justice. https://www.justice.gov/usao/justice-101/trial#:~:text=Jury%20Deliberations%20%26%20Announcement%20of%20the%20Verdict&amp;text=In%20federal%20criminal%20trials%2C%20the</w:t>
      </w:r>
    </w:p>
    <w:p w14:paraId="53CFC27D"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Veronica Margherita Cocco, </w:t>
      </w:r>
      <w:proofErr w:type="spellStart"/>
      <w:r w:rsidRPr="00B53CC0">
        <w:rPr>
          <w:rFonts w:ascii="Arial" w:hAnsi="Arial" w:cs="Arial"/>
          <w:sz w:val="22"/>
          <w:szCs w:val="22"/>
        </w:rPr>
        <w:t>Vezzali</w:t>
      </w:r>
      <w:proofErr w:type="spellEnd"/>
      <w:r w:rsidRPr="00B53CC0">
        <w:rPr>
          <w:rFonts w:ascii="Arial" w:hAnsi="Arial" w:cs="Arial"/>
          <w:sz w:val="22"/>
          <w:szCs w:val="22"/>
        </w:rPr>
        <w:t xml:space="preserve">, L., Stathi, S., Di, A., &amp; Dovidio, J. F. (2023). Mobilizing or Sedative Effects? A Narrative Review of the Association Between Intergroup </w:t>
      </w:r>
      <w:r w:rsidRPr="00B53CC0">
        <w:rPr>
          <w:rFonts w:ascii="Arial" w:hAnsi="Arial" w:cs="Arial"/>
          <w:sz w:val="22"/>
          <w:szCs w:val="22"/>
        </w:rPr>
        <w:lastRenderedPageBreak/>
        <w:t xml:space="preserve">Contact and Collective Action Among Advantaged and Disadvantaged Groups. </w:t>
      </w:r>
      <w:r w:rsidRPr="00B53CC0">
        <w:rPr>
          <w:rFonts w:ascii="Arial" w:hAnsi="Arial" w:cs="Arial"/>
          <w:i/>
          <w:iCs/>
          <w:sz w:val="22"/>
          <w:szCs w:val="22"/>
        </w:rPr>
        <w:t>Personality and Social Psychology Review</w:t>
      </w:r>
      <w:r w:rsidRPr="00B53CC0">
        <w:rPr>
          <w:rFonts w:ascii="Arial" w:hAnsi="Arial" w:cs="Arial"/>
          <w:sz w:val="22"/>
          <w:szCs w:val="22"/>
        </w:rPr>
        <w:t xml:space="preserve">, </w:t>
      </w:r>
      <w:r w:rsidRPr="00B53CC0">
        <w:rPr>
          <w:rFonts w:ascii="Arial" w:hAnsi="Arial" w:cs="Arial"/>
          <w:i/>
          <w:iCs/>
          <w:sz w:val="22"/>
          <w:szCs w:val="22"/>
        </w:rPr>
        <w:t>3</w:t>
      </w:r>
      <w:r w:rsidRPr="00B53CC0">
        <w:rPr>
          <w:rFonts w:ascii="Arial" w:hAnsi="Arial" w:cs="Arial"/>
          <w:sz w:val="22"/>
          <w:szCs w:val="22"/>
        </w:rPr>
        <w:t>(6), 43–65. Sage Journals. https://doi.org/10.1177/10888683231203141</w:t>
      </w:r>
    </w:p>
    <w:p w14:paraId="646508A7"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Wilińska, M., &amp; </w:t>
      </w:r>
      <w:proofErr w:type="spellStart"/>
      <w:r w:rsidRPr="00B53CC0">
        <w:rPr>
          <w:rFonts w:ascii="Arial" w:hAnsi="Arial" w:cs="Arial"/>
          <w:sz w:val="22"/>
          <w:szCs w:val="22"/>
        </w:rPr>
        <w:t>Cedersund</w:t>
      </w:r>
      <w:proofErr w:type="spellEnd"/>
      <w:r w:rsidRPr="00B53CC0">
        <w:rPr>
          <w:rFonts w:ascii="Arial" w:hAnsi="Arial" w:cs="Arial"/>
          <w:sz w:val="22"/>
          <w:szCs w:val="22"/>
        </w:rPr>
        <w:t xml:space="preserve">, E. (2010). “Classic ageism” or “brutal economy”? Old age and older people in the Polish media. </w:t>
      </w:r>
      <w:r w:rsidRPr="00B53CC0">
        <w:rPr>
          <w:rFonts w:ascii="Arial" w:hAnsi="Arial" w:cs="Arial"/>
          <w:i/>
          <w:iCs/>
          <w:sz w:val="22"/>
          <w:szCs w:val="22"/>
        </w:rPr>
        <w:t>Journal of Aging Studies</w:t>
      </w:r>
      <w:r w:rsidRPr="00B53CC0">
        <w:rPr>
          <w:rFonts w:ascii="Arial" w:hAnsi="Arial" w:cs="Arial"/>
          <w:sz w:val="22"/>
          <w:szCs w:val="22"/>
        </w:rPr>
        <w:t xml:space="preserve">, </w:t>
      </w:r>
      <w:r w:rsidRPr="00B53CC0">
        <w:rPr>
          <w:rFonts w:ascii="Arial" w:hAnsi="Arial" w:cs="Arial"/>
          <w:i/>
          <w:iCs/>
          <w:sz w:val="22"/>
          <w:szCs w:val="22"/>
        </w:rPr>
        <w:t>24</w:t>
      </w:r>
      <w:r w:rsidRPr="00B53CC0">
        <w:rPr>
          <w:rFonts w:ascii="Arial" w:hAnsi="Arial" w:cs="Arial"/>
          <w:sz w:val="22"/>
          <w:szCs w:val="22"/>
        </w:rPr>
        <w:t>(4), 335–343. Science Direct. https://doi.org/10.1016/j.jaging.2010.07.003</w:t>
      </w:r>
    </w:p>
    <w:p w14:paraId="1309E74E"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Williams, M. R., &amp; Holcomb, J. E. (2001). Racial disparity and death sentences in Ohio. </w:t>
      </w:r>
      <w:r w:rsidRPr="00B53CC0">
        <w:rPr>
          <w:rFonts w:ascii="Arial" w:hAnsi="Arial" w:cs="Arial"/>
          <w:i/>
          <w:iCs/>
          <w:sz w:val="22"/>
          <w:szCs w:val="22"/>
        </w:rPr>
        <w:t>Journal of Criminal Justice</w:t>
      </w:r>
      <w:r w:rsidRPr="00B53CC0">
        <w:rPr>
          <w:rFonts w:ascii="Arial" w:hAnsi="Arial" w:cs="Arial"/>
          <w:sz w:val="22"/>
          <w:szCs w:val="22"/>
        </w:rPr>
        <w:t xml:space="preserve">, </w:t>
      </w:r>
      <w:r w:rsidRPr="00B53CC0">
        <w:rPr>
          <w:rFonts w:ascii="Arial" w:hAnsi="Arial" w:cs="Arial"/>
          <w:i/>
          <w:iCs/>
          <w:sz w:val="22"/>
          <w:szCs w:val="22"/>
        </w:rPr>
        <w:t>29</w:t>
      </w:r>
      <w:r w:rsidRPr="00B53CC0">
        <w:rPr>
          <w:rFonts w:ascii="Arial" w:hAnsi="Arial" w:cs="Arial"/>
          <w:sz w:val="22"/>
          <w:szCs w:val="22"/>
        </w:rPr>
        <w:t>(3), 207–218. Science Direct. https://doi.org/10.1016/s0047-2352(01)00085-x</w:t>
      </w:r>
    </w:p>
    <w:p w14:paraId="7DFB5FBE"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Wittenbrink, B., Gist, P. L., &amp; Hilton, J. L. (1997). Structural properties of stereotypic knowledge and their influences on the construal of social situations. </w:t>
      </w:r>
      <w:r w:rsidRPr="00B53CC0">
        <w:rPr>
          <w:rFonts w:ascii="Arial" w:hAnsi="Arial" w:cs="Arial"/>
          <w:i/>
          <w:iCs/>
          <w:sz w:val="22"/>
          <w:szCs w:val="22"/>
        </w:rPr>
        <w:t>Journal of Personality and Social Psychology</w:t>
      </w:r>
      <w:r w:rsidRPr="00B53CC0">
        <w:rPr>
          <w:rFonts w:ascii="Arial" w:hAnsi="Arial" w:cs="Arial"/>
          <w:sz w:val="22"/>
          <w:szCs w:val="22"/>
        </w:rPr>
        <w:t xml:space="preserve">, </w:t>
      </w:r>
      <w:r w:rsidRPr="00B53CC0">
        <w:rPr>
          <w:rFonts w:ascii="Arial" w:hAnsi="Arial" w:cs="Arial"/>
          <w:i/>
          <w:iCs/>
          <w:sz w:val="22"/>
          <w:szCs w:val="22"/>
        </w:rPr>
        <w:t>72</w:t>
      </w:r>
      <w:r w:rsidRPr="00B53CC0">
        <w:rPr>
          <w:rFonts w:ascii="Arial" w:hAnsi="Arial" w:cs="Arial"/>
          <w:sz w:val="22"/>
          <w:szCs w:val="22"/>
        </w:rPr>
        <w:t xml:space="preserve">(3), 526–543. APA </w:t>
      </w:r>
      <w:proofErr w:type="spellStart"/>
      <w:r w:rsidRPr="00B53CC0">
        <w:rPr>
          <w:rFonts w:ascii="Arial" w:hAnsi="Arial" w:cs="Arial"/>
          <w:sz w:val="22"/>
          <w:szCs w:val="22"/>
        </w:rPr>
        <w:t>PsycNet</w:t>
      </w:r>
      <w:proofErr w:type="spellEnd"/>
      <w:r w:rsidRPr="00B53CC0">
        <w:rPr>
          <w:rFonts w:ascii="Arial" w:hAnsi="Arial" w:cs="Arial"/>
          <w:sz w:val="22"/>
          <w:szCs w:val="22"/>
        </w:rPr>
        <w:t>. https://doi.org/10.1037/0022-3514.72.3.526</w:t>
      </w:r>
    </w:p>
    <w:p w14:paraId="2F94F602"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proofErr w:type="spellStart"/>
      <w:r w:rsidRPr="00B53CC0">
        <w:rPr>
          <w:rFonts w:ascii="Arial" w:hAnsi="Arial" w:cs="Arial"/>
          <w:sz w:val="22"/>
          <w:szCs w:val="22"/>
        </w:rPr>
        <w:t>Yourstone</w:t>
      </w:r>
      <w:proofErr w:type="spellEnd"/>
      <w:r w:rsidRPr="00B53CC0">
        <w:rPr>
          <w:rFonts w:ascii="Arial" w:hAnsi="Arial" w:cs="Arial"/>
          <w:sz w:val="22"/>
          <w:szCs w:val="22"/>
        </w:rPr>
        <w:t xml:space="preserve">, J., Lindholm, T., Grann, M., &amp; Svenson, O. (2008). Evidence of gender bias in legal insanity evaluations: A case vignette study of clinicians, judges and students. </w:t>
      </w:r>
      <w:r w:rsidRPr="00B53CC0">
        <w:rPr>
          <w:rFonts w:ascii="Arial" w:hAnsi="Arial" w:cs="Arial"/>
          <w:i/>
          <w:iCs/>
          <w:sz w:val="22"/>
          <w:szCs w:val="22"/>
        </w:rPr>
        <w:t>Nordic Journal of Psychiatry</w:t>
      </w:r>
      <w:r w:rsidRPr="00B53CC0">
        <w:rPr>
          <w:rFonts w:ascii="Arial" w:hAnsi="Arial" w:cs="Arial"/>
          <w:sz w:val="22"/>
          <w:szCs w:val="22"/>
        </w:rPr>
        <w:t xml:space="preserve">, </w:t>
      </w:r>
      <w:r w:rsidRPr="00B53CC0">
        <w:rPr>
          <w:rFonts w:ascii="Arial" w:hAnsi="Arial" w:cs="Arial"/>
          <w:i/>
          <w:iCs/>
          <w:sz w:val="22"/>
          <w:szCs w:val="22"/>
        </w:rPr>
        <w:t>62</w:t>
      </w:r>
      <w:r w:rsidRPr="00B53CC0">
        <w:rPr>
          <w:rFonts w:ascii="Arial" w:hAnsi="Arial" w:cs="Arial"/>
          <w:sz w:val="22"/>
          <w:szCs w:val="22"/>
        </w:rPr>
        <w:t>(4), 273–278. Taylor &amp; Francis online. https://doi.org/10.1080/08039480801963135</w:t>
      </w:r>
    </w:p>
    <w:p w14:paraId="00AE797B"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Zander, M. (2001). The jury in the criminal trial in the 21st century. In </w:t>
      </w:r>
      <w:r w:rsidRPr="00B53CC0">
        <w:rPr>
          <w:rFonts w:ascii="Arial" w:hAnsi="Arial" w:cs="Arial"/>
          <w:i/>
          <w:iCs/>
          <w:sz w:val="22"/>
          <w:szCs w:val="22"/>
        </w:rPr>
        <w:t>Cairn info</w:t>
      </w:r>
      <w:r w:rsidRPr="00B53CC0">
        <w:rPr>
          <w:rFonts w:ascii="Arial" w:hAnsi="Arial" w:cs="Arial"/>
          <w:sz w:val="22"/>
          <w:szCs w:val="22"/>
        </w:rPr>
        <w:t xml:space="preserve"> (pp. 121–157). https://www.cairn.info/revue-internationale-de-droit-penal-2001-1-page-121.htm</w:t>
      </w:r>
    </w:p>
    <w:p w14:paraId="4077137D"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Zhang, J., &amp; Liu, X. (2021). Media representation of older people’s vulnerability during the COVID-19 pandemic in China. </w:t>
      </w:r>
      <w:r w:rsidRPr="00B53CC0">
        <w:rPr>
          <w:rFonts w:ascii="Arial" w:hAnsi="Arial" w:cs="Arial"/>
          <w:i/>
          <w:iCs/>
          <w:sz w:val="22"/>
          <w:szCs w:val="22"/>
        </w:rPr>
        <w:t>European Journal of Ageing</w:t>
      </w:r>
      <w:r w:rsidRPr="00B53CC0">
        <w:rPr>
          <w:rFonts w:ascii="Arial" w:hAnsi="Arial" w:cs="Arial"/>
          <w:sz w:val="22"/>
          <w:szCs w:val="22"/>
        </w:rPr>
        <w:t xml:space="preserve">, </w:t>
      </w:r>
      <w:r w:rsidRPr="00B53CC0">
        <w:rPr>
          <w:rFonts w:ascii="Arial" w:hAnsi="Arial" w:cs="Arial"/>
          <w:i/>
          <w:iCs/>
          <w:sz w:val="22"/>
          <w:szCs w:val="22"/>
        </w:rPr>
        <w:t>18</w:t>
      </w:r>
      <w:r w:rsidRPr="00B53CC0">
        <w:rPr>
          <w:rFonts w:ascii="Arial" w:hAnsi="Arial" w:cs="Arial"/>
          <w:sz w:val="22"/>
          <w:szCs w:val="22"/>
        </w:rPr>
        <w:t>(18), 149–158. Springer Link. https://doi.org/10.1007/s10433-021-00613-x</w:t>
      </w:r>
    </w:p>
    <w:p w14:paraId="333377E8" w14:textId="77777777" w:rsidR="00B53CC0" w:rsidRPr="00B53CC0" w:rsidRDefault="00B53CC0" w:rsidP="00B53CC0">
      <w:pPr>
        <w:pStyle w:val="NormalWeb"/>
        <w:spacing w:before="0" w:beforeAutospacing="0" w:after="0" w:afterAutospacing="0"/>
        <w:ind w:left="720" w:hanging="720"/>
        <w:rPr>
          <w:rFonts w:ascii="Arial" w:hAnsi="Arial" w:cs="Arial"/>
          <w:sz w:val="22"/>
          <w:szCs w:val="22"/>
        </w:rPr>
      </w:pPr>
      <w:r w:rsidRPr="00B53CC0">
        <w:rPr>
          <w:rFonts w:ascii="Arial" w:hAnsi="Arial" w:cs="Arial"/>
          <w:sz w:val="22"/>
          <w:szCs w:val="22"/>
        </w:rPr>
        <w:t xml:space="preserve">Zhang, Y. B., &amp; Harwood, J. (2004). Modernization and Tradition in an Age of Globalization: Cultural Values in Chinese Television Commercials. </w:t>
      </w:r>
      <w:r w:rsidRPr="00B53CC0">
        <w:rPr>
          <w:rFonts w:ascii="Arial" w:hAnsi="Arial" w:cs="Arial"/>
          <w:i/>
          <w:iCs/>
          <w:sz w:val="22"/>
          <w:szCs w:val="22"/>
        </w:rPr>
        <w:t>Journal of Communication</w:t>
      </w:r>
      <w:r w:rsidRPr="00B53CC0">
        <w:rPr>
          <w:rFonts w:ascii="Arial" w:hAnsi="Arial" w:cs="Arial"/>
          <w:sz w:val="22"/>
          <w:szCs w:val="22"/>
        </w:rPr>
        <w:t xml:space="preserve">, </w:t>
      </w:r>
      <w:r w:rsidRPr="00B53CC0">
        <w:rPr>
          <w:rFonts w:ascii="Arial" w:hAnsi="Arial" w:cs="Arial"/>
          <w:i/>
          <w:iCs/>
          <w:sz w:val="22"/>
          <w:szCs w:val="22"/>
        </w:rPr>
        <w:t>54</w:t>
      </w:r>
      <w:r w:rsidRPr="00B53CC0">
        <w:rPr>
          <w:rFonts w:ascii="Arial" w:hAnsi="Arial" w:cs="Arial"/>
          <w:sz w:val="22"/>
          <w:szCs w:val="22"/>
        </w:rPr>
        <w:t>(1), 156–172. Wiley Online. https://doi.org/10.1111/j.1460-2466.2004.tb02619.x</w:t>
      </w:r>
    </w:p>
    <w:p w14:paraId="323C6D9B" w14:textId="77777777" w:rsidR="00B53CC0" w:rsidRPr="00B53CC0" w:rsidRDefault="00B53CC0">
      <w:pPr>
        <w:rPr>
          <w:b/>
          <w:bCs/>
        </w:rPr>
      </w:pPr>
    </w:p>
    <w:sectPr w:rsidR="00B53CC0" w:rsidRPr="00B53C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289"/>
    <w:rsid w:val="00063AC0"/>
    <w:rsid w:val="00413F63"/>
    <w:rsid w:val="005A60A1"/>
    <w:rsid w:val="00721EA2"/>
    <w:rsid w:val="00754D9C"/>
    <w:rsid w:val="00930F98"/>
    <w:rsid w:val="00B37289"/>
    <w:rsid w:val="00B53CC0"/>
    <w:rsid w:val="00CE107B"/>
    <w:rsid w:val="00E14AE8"/>
    <w:rsid w:val="00E31FB9"/>
    <w:rsid w:val="00E80FE5"/>
    <w:rsid w:val="00E86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C43E6"/>
  <w15:chartTrackingRefBased/>
  <w15:docId w15:val="{B84D7B59-063A-4258-859B-8339B51AF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63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53C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667281">
      <w:bodyDiv w:val="1"/>
      <w:marLeft w:val="0"/>
      <w:marRight w:val="0"/>
      <w:marTop w:val="0"/>
      <w:marBottom w:val="0"/>
      <w:divBdr>
        <w:top w:val="none" w:sz="0" w:space="0" w:color="auto"/>
        <w:left w:val="none" w:sz="0" w:space="0" w:color="auto"/>
        <w:bottom w:val="none" w:sz="0" w:space="0" w:color="auto"/>
        <w:right w:val="none" w:sz="0" w:space="0" w:color="auto"/>
      </w:divBdr>
    </w:div>
    <w:div w:id="1014455904">
      <w:bodyDiv w:val="1"/>
      <w:marLeft w:val="0"/>
      <w:marRight w:val="0"/>
      <w:marTop w:val="0"/>
      <w:marBottom w:val="0"/>
      <w:divBdr>
        <w:top w:val="none" w:sz="0" w:space="0" w:color="auto"/>
        <w:left w:val="none" w:sz="0" w:space="0" w:color="auto"/>
        <w:bottom w:val="none" w:sz="0" w:space="0" w:color="auto"/>
        <w:right w:val="none" w:sz="0" w:space="0" w:color="auto"/>
      </w:divBdr>
      <w:divsChild>
        <w:div w:id="57011811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d6450d4fad2e81a463808989d97bd41e">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3c2b16fc736d80ab362209f80ba1255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A6F3B6AA-7226-4631-8187-4C3536CD5A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06782E-4D5D-4A89-9B8B-F27A21FDA57F}">
  <ds:schemaRefs>
    <ds:schemaRef ds:uri="http://schemas.microsoft.com/sharepoint/v3/contenttype/forms"/>
  </ds:schemaRefs>
</ds:datastoreItem>
</file>

<file path=customXml/itemProps3.xml><?xml version="1.0" encoding="utf-8"?>
<ds:datastoreItem xmlns:ds="http://schemas.openxmlformats.org/officeDocument/2006/customXml" ds:itemID="{C24D9E61-629B-4538-8DD7-CE5B6A8AA181}">
  <ds:schemaRefs>
    <ds:schemaRef ds:uri="http://schemas.openxmlformats.org/package/2006/metadata/core-properties"/>
    <ds:schemaRef ds:uri="be49ff73-cec0-4379-9da8-63ff3cc411bb"/>
    <ds:schemaRef ds:uri="http://www.w3.org/XML/1998/namespace"/>
    <ds:schemaRef ds:uri="http://purl.org/dc/dcmitype/"/>
    <ds:schemaRef ds:uri="http://schemas.microsoft.com/office/2006/metadata/properties"/>
    <ds:schemaRef ds:uri="http://schemas.microsoft.com/office/2006/documentManagement/types"/>
    <ds:schemaRef ds:uri="http://purl.org/dc/terms/"/>
    <ds:schemaRef ds:uri="http://schemas.microsoft.com/office/infopath/2007/PartnerControls"/>
    <ds:schemaRef ds:uri="90b58af8-24e5-4252-ab67-b2f2985aee88"/>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4610</Words>
  <Characters>27500</Characters>
  <Application>Microsoft Office Word</Application>
  <DocSecurity>0</DocSecurity>
  <Lines>453</Lines>
  <Paragraphs>95</Paragraphs>
  <ScaleCrop>false</ScaleCrop>
  <Company/>
  <LinksUpToDate>false</LinksUpToDate>
  <CharactersWithSpaces>31975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Willow Quick (2103554)</dc:creator>
  <cp:keywords/>
  <dc:description/>
  <cp:lastModifiedBy>Willow Quick (2103554)</cp:lastModifiedBy>
  <cp:revision>11</cp:revision>
  <dcterms:created xsi:type="dcterms:W3CDTF">2023-11-19T18:03:00Z</dcterms:created>
  <dcterms:modified xsi:type="dcterms:W3CDTF">2023-11-19T18:11:00Z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