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2871" w:rsidRDefault="00AE5975" w:rsidP="00AE5975">
      <w:pPr>
        <w:pStyle w:val="Title"/>
        <w:jc w:val="center"/>
        <w:rPr>
          <w:rFonts w:ascii="Arial" w:hAnsi="Arial" w:cs="Arial"/>
          <w:sz w:val="48"/>
          <w:szCs w:val="48"/>
        </w:rPr>
      </w:pPr>
      <w:r w:rsidRPr="00AE5975">
        <w:rPr>
          <w:rFonts w:ascii="Arial" w:hAnsi="Arial" w:cs="Arial"/>
          <w:b/>
          <w:sz w:val="48"/>
          <w:szCs w:val="48"/>
        </w:rPr>
        <w:t xml:space="preserve">Analysis of the Financial Statements   </w:t>
      </w:r>
      <w:r w:rsidRPr="00AE5975">
        <w:rPr>
          <w:rFonts w:ascii="Arial" w:hAnsi="Arial" w:cs="Arial"/>
          <w:sz w:val="48"/>
          <w:szCs w:val="48"/>
        </w:rPr>
        <w:t>Gatsby Grange</w:t>
      </w:r>
    </w:p>
    <w:p w:rsidR="00AE5975" w:rsidRDefault="00AE5975" w:rsidP="00AE5975"/>
    <w:p w:rsidR="00AE5975" w:rsidRDefault="00AE5975" w:rsidP="00AE5975"/>
    <w:p w:rsidR="00AE5975" w:rsidRDefault="00AE5975" w:rsidP="00AE5975"/>
    <w:p w:rsidR="00AE5975" w:rsidRDefault="00AE5975" w:rsidP="00AE5975"/>
    <w:p w:rsidR="00AE5975" w:rsidRDefault="00AE5975" w:rsidP="00AE5975"/>
    <w:p w:rsidR="00AE5975" w:rsidRDefault="00AE5975" w:rsidP="00AE5975"/>
    <w:p w:rsidR="00AE5975" w:rsidRDefault="00AE5975" w:rsidP="00AE5975"/>
    <w:p w:rsidR="00AE5975" w:rsidRDefault="00AE5975" w:rsidP="00AE5975"/>
    <w:p w:rsidR="00AE5975" w:rsidRDefault="003123DE" w:rsidP="00AE5975">
      <w:pPr>
        <w:pStyle w:val="Heading1"/>
        <w:jc w:val="center"/>
      </w:pPr>
      <w:r>
        <w:t>SUMARI</w:t>
      </w:r>
      <w:r w:rsidR="00AE5975">
        <w:t>....</w:t>
      </w:r>
    </w:p>
    <w:p w:rsidR="00AE5975" w:rsidRDefault="00AE5975" w:rsidP="002D6992">
      <w:pPr>
        <w:pStyle w:val="Heading1"/>
      </w:pPr>
      <w:r>
        <w:t>Intro...</w:t>
      </w:r>
    </w:p>
    <w:p w:rsidR="002D6992" w:rsidRDefault="003123DE" w:rsidP="002D6992">
      <w:pPr>
        <w:pStyle w:val="Heading1"/>
      </w:pPr>
      <w:r>
        <w:t>Calculate ratios</w:t>
      </w:r>
      <w:r w:rsidR="002D6992">
        <w:t>...</w:t>
      </w:r>
    </w:p>
    <w:p w:rsidR="002D6992" w:rsidRDefault="002D6992" w:rsidP="002D6992">
      <w:pPr>
        <w:pStyle w:val="Heading1"/>
      </w:pPr>
      <w:r>
        <w:t>Ratios analysis...</w:t>
      </w:r>
    </w:p>
    <w:p w:rsidR="002D6992" w:rsidRDefault="002D6992" w:rsidP="002D6992">
      <w:pPr>
        <w:pStyle w:val="Heading1"/>
      </w:pPr>
      <w:r>
        <w:t>Conclusions...</w:t>
      </w:r>
    </w:p>
    <w:p w:rsidR="002D6992" w:rsidRDefault="002D6992" w:rsidP="002D6992"/>
    <w:p w:rsidR="002D6992" w:rsidRDefault="002D6992" w:rsidP="002D6992"/>
    <w:p w:rsidR="002D6992" w:rsidRDefault="002D6992" w:rsidP="002D6992"/>
    <w:p w:rsidR="002D6992" w:rsidRDefault="002D6992" w:rsidP="002D6992">
      <w:pPr>
        <w:pStyle w:val="Heading1"/>
      </w:pPr>
      <w:r>
        <w:lastRenderedPageBreak/>
        <w:t>Intro...</w:t>
      </w:r>
    </w:p>
    <w:p w:rsidR="00202804" w:rsidRDefault="002D6992" w:rsidP="00202804">
      <w:pPr>
        <w:rPr>
          <w:rFonts w:ascii="Arial" w:hAnsi="Arial" w:cs="Arial"/>
          <w:sz w:val="24"/>
          <w:szCs w:val="24"/>
        </w:rPr>
      </w:pPr>
      <w:r>
        <w:rPr>
          <w:rFonts w:ascii="Arial" w:hAnsi="Arial" w:cs="Arial"/>
          <w:sz w:val="24"/>
          <w:szCs w:val="24"/>
        </w:rPr>
        <w:t xml:space="preserve">Gatsby </w:t>
      </w:r>
      <w:proofErr w:type="gramStart"/>
      <w:r>
        <w:rPr>
          <w:rFonts w:ascii="Arial" w:hAnsi="Arial" w:cs="Arial"/>
          <w:sz w:val="24"/>
          <w:szCs w:val="24"/>
        </w:rPr>
        <w:t xml:space="preserve">Grange  </w:t>
      </w:r>
      <w:r w:rsidRPr="002D6992">
        <w:rPr>
          <w:rFonts w:ascii="Arial" w:hAnsi="Arial" w:cs="Arial"/>
          <w:sz w:val="24"/>
          <w:szCs w:val="24"/>
        </w:rPr>
        <w:t>is</w:t>
      </w:r>
      <w:proofErr w:type="gramEnd"/>
      <w:r w:rsidRPr="002D6992">
        <w:rPr>
          <w:rFonts w:ascii="Arial" w:hAnsi="Arial" w:cs="Arial"/>
          <w:sz w:val="24"/>
          <w:szCs w:val="24"/>
        </w:rPr>
        <w:t xml:space="preserve"> part of the small boutique chain in the </w:t>
      </w:r>
      <w:proofErr w:type="spellStart"/>
      <w:r w:rsidRPr="002D6992">
        <w:rPr>
          <w:rFonts w:ascii="Arial" w:hAnsi="Arial" w:cs="Arial"/>
          <w:sz w:val="24"/>
          <w:szCs w:val="24"/>
        </w:rPr>
        <w:t>uk</w:t>
      </w:r>
      <w:proofErr w:type="spellEnd"/>
      <w:r>
        <w:rPr>
          <w:rFonts w:ascii="Arial" w:hAnsi="Arial" w:cs="Arial"/>
          <w:sz w:val="24"/>
          <w:szCs w:val="24"/>
        </w:rPr>
        <w:t xml:space="preserve"> and today I will make a report for my Chief Executive </w:t>
      </w:r>
      <w:r w:rsidR="00015BF9">
        <w:rPr>
          <w:rFonts w:ascii="Arial" w:hAnsi="Arial" w:cs="Arial"/>
          <w:sz w:val="24"/>
          <w:szCs w:val="24"/>
        </w:rPr>
        <w:t>addressing the calculations of ratio for 2018 and 2019, ratios and their fluctuations and ratios analysis.</w:t>
      </w:r>
      <w:r w:rsidR="00015BF9" w:rsidRPr="00015BF9">
        <w:rPr>
          <w:rFonts w:ascii="Arial" w:hAnsi="Arial" w:cs="Arial"/>
          <w:sz w:val="24"/>
          <w:szCs w:val="24"/>
        </w:rPr>
        <w:t xml:space="preserve"> The financial accounting reports reflect the performance and position of the business for the past period</w:t>
      </w:r>
      <w:r w:rsidR="00015BF9">
        <w:rPr>
          <w:rFonts w:ascii="Arial" w:hAnsi="Arial" w:cs="Arial"/>
          <w:sz w:val="24"/>
          <w:szCs w:val="24"/>
        </w:rPr>
        <w:t xml:space="preserve"> </w:t>
      </w:r>
      <w:r w:rsidR="00015BF9" w:rsidRPr="00015BF9">
        <w:rPr>
          <w:rFonts w:ascii="Arial" w:hAnsi="Arial" w:cs="Arial"/>
          <w:sz w:val="24"/>
          <w:szCs w:val="24"/>
        </w:rPr>
        <w:t>and for most companies the financial reports are made annually</w:t>
      </w:r>
      <w:r w:rsidR="00202804">
        <w:rPr>
          <w:rFonts w:ascii="Arial" w:hAnsi="Arial" w:cs="Arial"/>
          <w:sz w:val="24"/>
          <w:szCs w:val="24"/>
        </w:rPr>
        <w:t xml:space="preserve"> </w:t>
      </w:r>
      <w:r w:rsidR="00202804" w:rsidRPr="00202804">
        <w:rPr>
          <w:rFonts w:ascii="Arial" w:hAnsi="Arial" w:cs="Arial"/>
          <w:sz w:val="24"/>
          <w:szCs w:val="24"/>
        </w:rPr>
        <w:t>in order to be able to make an analysis of them as we will see below</w:t>
      </w:r>
    </w:p>
    <w:p w:rsidR="00202804" w:rsidRPr="00202804" w:rsidRDefault="00202804" w:rsidP="00202804">
      <w:pPr>
        <w:rPr>
          <w:rFonts w:ascii="Arial" w:hAnsi="Arial" w:cs="Arial"/>
          <w:sz w:val="24"/>
          <w:szCs w:val="24"/>
        </w:rPr>
      </w:pPr>
    </w:p>
    <w:p w:rsidR="00015BF9" w:rsidRPr="00015BF9" w:rsidRDefault="00015BF9" w:rsidP="00015BF9">
      <w:pPr>
        <w:rPr>
          <w:rFonts w:ascii="Arial" w:hAnsi="Arial" w:cs="Arial"/>
          <w:sz w:val="24"/>
          <w:szCs w:val="24"/>
        </w:rPr>
      </w:pPr>
    </w:p>
    <w:tbl>
      <w:tblPr>
        <w:tblW w:w="8598" w:type="dxa"/>
        <w:tblInd w:w="93" w:type="dxa"/>
        <w:tblLook w:val="04A0"/>
      </w:tblPr>
      <w:tblGrid>
        <w:gridCol w:w="2303"/>
        <w:gridCol w:w="1080"/>
        <w:gridCol w:w="1060"/>
        <w:gridCol w:w="20"/>
        <w:gridCol w:w="676"/>
        <w:gridCol w:w="404"/>
        <w:gridCol w:w="323"/>
        <w:gridCol w:w="1054"/>
        <w:gridCol w:w="283"/>
        <w:gridCol w:w="1529"/>
      </w:tblGrid>
      <w:tr w:rsidR="00202804" w:rsidRPr="00202804" w:rsidTr="00202804">
        <w:trPr>
          <w:trHeight w:val="315"/>
        </w:trPr>
        <w:tc>
          <w:tcPr>
            <w:tcW w:w="8598" w:type="dxa"/>
            <w:gridSpan w:val="10"/>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b/>
                <w:bCs/>
                <w:color w:val="000000"/>
                <w:sz w:val="24"/>
                <w:szCs w:val="24"/>
                <w:lang w:eastAsia="en-GB"/>
              </w:rPr>
            </w:pPr>
            <w:r w:rsidRPr="00202804">
              <w:rPr>
                <w:rFonts w:ascii="Times New Roman" w:eastAsia="Times New Roman" w:hAnsi="Times New Roman" w:cs="Times New Roman"/>
                <w:b/>
                <w:bCs/>
                <w:color w:val="000000"/>
                <w:sz w:val="24"/>
                <w:szCs w:val="24"/>
                <w:lang w:eastAsia="en-GB"/>
              </w:rPr>
              <w:t xml:space="preserve">Assignment one Excel .Marin </w:t>
            </w:r>
            <w:proofErr w:type="spellStart"/>
            <w:proofErr w:type="gramStart"/>
            <w:r w:rsidRPr="00202804">
              <w:rPr>
                <w:rFonts w:ascii="Times New Roman" w:eastAsia="Times New Roman" w:hAnsi="Times New Roman" w:cs="Times New Roman"/>
                <w:b/>
                <w:bCs/>
                <w:color w:val="000000"/>
                <w:sz w:val="24"/>
                <w:szCs w:val="24"/>
                <w:lang w:eastAsia="en-GB"/>
              </w:rPr>
              <w:t>Bocai</w:t>
            </w:r>
            <w:proofErr w:type="spellEnd"/>
            <w:r w:rsidRPr="00202804">
              <w:rPr>
                <w:rFonts w:ascii="Times New Roman" w:eastAsia="Times New Roman" w:hAnsi="Times New Roman" w:cs="Times New Roman"/>
                <w:b/>
                <w:bCs/>
                <w:color w:val="000000"/>
                <w:sz w:val="24"/>
                <w:szCs w:val="24"/>
                <w:lang w:eastAsia="en-GB"/>
              </w:rPr>
              <w:t xml:space="preserve"> ..</w:t>
            </w:r>
            <w:proofErr w:type="gramEnd"/>
            <w:r w:rsidRPr="00202804">
              <w:rPr>
                <w:rFonts w:ascii="Times New Roman" w:eastAsia="Times New Roman" w:hAnsi="Times New Roman" w:cs="Times New Roman"/>
                <w:b/>
                <w:bCs/>
                <w:color w:val="000000"/>
                <w:sz w:val="24"/>
                <w:szCs w:val="24"/>
                <w:lang w:eastAsia="en-GB"/>
              </w:rPr>
              <w:t>1815474</w:t>
            </w:r>
          </w:p>
        </w:tc>
      </w:tr>
      <w:tr w:rsidR="00202804" w:rsidRPr="00202804" w:rsidTr="00202804">
        <w:trPr>
          <w:trHeight w:val="375"/>
        </w:trPr>
        <w:tc>
          <w:tcPr>
            <w:tcW w:w="4443" w:type="dxa"/>
            <w:gridSpan w:val="3"/>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8"/>
                <w:szCs w:val="28"/>
                <w:lang w:eastAsia="en-GB"/>
              </w:rPr>
            </w:pP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1234"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1529"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r>
      <w:tr w:rsidR="00202804" w:rsidRPr="00202804" w:rsidTr="00202804">
        <w:trPr>
          <w:trHeight w:val="360"/>
        </w:trPr>
        <w:tc>
          <w:tcPr>
            <w:tcW w:w="4443" w:type="dxa"/>
            <w:gridSpan w:val="3"/>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Arial" w:eastAsia="Times New Roman" w:hAnsi="Arial" w:cs="Arial"/>
                <w:color w:val="000000"/>
                <w:sz w:val="28"/>
                <w:szCs w:val="28"/>
                <w:lang w:eastAsia="en-GB"/>
              </w:rPr>
            </w:pPr>
            <w:proofErr w:type="spellStart"/>
            <w:r w:rsidRPr="00202804">
              <w:rPr>
                <w:rFonts w:ascii="Arial" w:eastAsia="Times New Roman" w:hAnsi="Arial" w:cs="Arial"/>
                <w:color w:val="000000"/>
                <w:sz w:val="28"/>
                <w:szCs w:val="28"/>
                <w:lang w:eastAsia="en-GB"/>
              </w:rPr>
              <w:t>sumarised</w:t>
            </w:r>
            <w:proofErr w:type="spellEnd"/>
            <w:r w:rsidRPr="00202804">
              <w:rPr>
                <w:rFonts w:ascii="Arial" w:eastAsia="Times New Roman" w:hAnsi="Arial" w:cs="Arial"/>
                <w:color w:val="000000"/>
                <w:sz w:val="28"/>
                <w:szCs w:val="28"/>
                <w:lang w:eastAsia="en-GB"/>
              </w:rPr>
              <w:t xml:space="preserve"> income statement </w:t>
            </w: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2019</w:t>
            </w: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2018</w:t>
            </w:r>
          </w:p>
        </w:tc>
        <w:tc>
          <w:tcPr>
            <w:tcW w:w="1234"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difference</w:t>
            </w:r>
          </w:p>
        </w:tc>
        <w:tc>
          <w:tcPr>
            <w:tcW w:w="1529"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performance</w:t>
            </w:r>
          </w:p>
        </w:tc>
      </w:tr>
      <w:tr w:rsidR="00202804" w:rsidRPr="00202804" w:rsidTr="00202804">
        <w:trPr>
          <w:trHeight w:val="375"/>
        </w:trPr>
        <w:tc>
          <w:tcPr>
            <w:tcW w:w="4443" w:type="dxa"/>
            <w:gridSpan w:val="3"/>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8"/>
                <w:szCs w:val="28"/>
                <w:lang w:eastAsia="en-GB"/>
              </w:rPr>
            </w:pP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1234"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1529"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r>
      <w:tr w:rsidR="00202804" w:rsidRPr="00202804" w:rsidTr="00202804">
        <w:trPr>
          <w:trHeight w:val="375"/>
        </w:trPr>
        <w:tc>
          <w:tcPr>
            <w:tcW w:w="4443" w:type="dxa"/>
            <w:gridSpan w:val="3"/>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8"/>
                <w:szCs w:val="28"/>
                <w:lang w:eastAsia="en-GB"/>
              </w:rPr>
            </w:pPr>
            <w:r w:rsidRPr="00202804">
              <w:rPr>
                <w:rFonts w:ascii="Times New Roman" w:eastAsia="Times New Roman" w:hAnsi="Times New Roman" w:cs="Times New Roman"/>
                <w:color w:val="000000"/>
                <w:sz w:val="28"/>
                <w:szCs w:val="28"/>
                <w:lang w:eastAsia="en-GB"/>
              </w:rPr>
              <w:t>Sales revenue</w:t>
            </w: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6000</w:t>
            </w: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5500</w:t>
            </w:r>
          </w:p>
        </w:tc>
        <w:tc>
          <w:tcPr>
            <w:tcW w:w="1234"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500</w:t>
            </w:r>
          </w:p>
        </w:tc>
        <w:tc>
          <w:tcPr>
            <w:tcW w:w="1529"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9.1</w:t>
            </w:r>
          </w:p>
        </w:tc>
      </w:tr>
      <w:tr w:rsidR="00202804" w:rsidRPr="00202804" w:rsidTr="00202804">
        <w:trPr>
          <w:trHeight w:val="375"/>
        </w:trPr>
        <w:tc>
          <w:tcPr>
            <w:tcW w:w="4443" w:type="dxa"/>
            <w:gridSpan w:val="3"/>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8"/>
                <w:szCs w:val="28"/>
                <w:lang w:eastAsia="en-GB"/>
              </w:rPr>
            </w:pPr>
            <w:r w:rsidRPr="00202804">
              <w:rPr>
                <w:rFonts w:ascii="Times New Roman" w:eastAsia="Times New Roman" w:hAnsi="Times New Roman" w:cs="Times New Roman"/>
                <w:color w:val="000000"/>
                <w:sz w:val="28"/>
                <w:szCs w:val="28"/>
                <w:lang w:eastAsia="en-GB"/>
              </w:rPr>
              <w:t>cost of sales</w:t>
            </w: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850</w:t>
            </w: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450</w:t>
            </w:r>
          </w:p>
        </w:tc>
        <w:tc>
          <w:tcPr>
            <w:tcW w:w="1234"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400</w:t>
            </w:r>
          </w:p>
        </w:tc>
        <w:tc>
          <w:tcPr>
            <w:tcW w:w="1529"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88.9</w:t>
            </w:r>
          </w:p>
        </w:tc>
      </w:tr>
      <w:tr w:rsidR="00202804" w:rsidRPr="00202804" w:rsidTr="00202804">
        <w:trPr>
          <w:trHeight w:val="375"/>
        </w:trPr>
        <w:tc>
          <w:tcPr>
            <w:tcW w:w="4443" w:type="dxa"/>
            <w:gridSpan w:val="3"/>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8"/>
                <w:szCs w:val="28"/>
                <w:lang w:eastAsia="en-GB"/>
              </w:rPr>
            </w:pPr>
            <w:r w:rsidRPr="00202804">
              <w:rPr>
                <w:rFonts w:ascii="Times New Roman" w:eastAsia="Times New Roman" w:hAnsi="Times New Roman" w:cs="Times New Roman"/>
                <w:color w:val="000000"/>
                <w:sz w:val="28"/>
                <w:szCs w:val="28"/>
                <w:lang w:eastAsia="en-GB"/>
              </w:rPr>
              <w:t>gross profit</w:t>
            </w: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5150</w:t>
            </w: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5050</w:t>
            </w:r>
          </w:p>
        </w:tc>
        <w:tc>
          <w:tcPr>
            <w:tcW w:w="1234"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100</w:t>
            </w:r>
          </w:p>
        </w:tc>
        <w:tc>
          <w:tcPr>
            <w:tcW w:w="1529"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2.0</w:t>
            </w:r>
          </w:p>
        </w:tc>
      </w:tr>
      <w:tr w:rsidR="00202804" w:rsidRPr="00202804" w:rsidTr="00202804">
        <w:trPr>
          <w:trHeight w:val="375"/>
        </w:trPr>
        <w:tc>
          <w:tcPr>
            <w:tcW w:w="4443" w:type="dxa"/>
            <w:gridSpan w:val="3"/>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8"/>
                <w:szCs w:val="28"/>
                <w:lang w:eastAsia="en-GB"/>
              </w:rPr>
            </w:pPr>
            <w:r w:rsidRPr="00202804">
              <w:rPr>
                <w:rFonts w:ascii="Times New Roman" w:eastAsia="Times New Roman" w:hAnsi="Times New Roman" w:cs="Times New Roman"/>
                <w:color w:val="000000"/>
                <w:sz w:val="28"/>
                <w:szCs w:val="28"/>
                <w:lang w:eastAsia="en-GB"/>
              </w:rPr>
              <w:t>operating profit</w:t>
            </w: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1077</w:t>
            </w: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1042</w:t>
            </w:r>
          </w:p>
        </w:tc>
        <w:tc>
          <w:tcPr>
            <w:tcW w:w="1234"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35</w:t>
            </w:r>
          </w:p>
        </w:tc>
        <w:tc>
          <w:tcPr>
            <w:tcW w:w="1529"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3.4</w:t>
            </w:r>
          </w:p>
        </w:tc>
      </w:tr>
      <w:tr w:rsidR="00202804" w:rsidRPr="00202804" w:rsidTr="00202804">
        <w:trPr>
          <w:trHeight w:val="375"/>
        </w:trPr>
        <w:tc>
          <w:tcPr>
            <w:tcW w:w="4443" w:type="dxa"/>
            <w:gridSpan w:val="3"/>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8"/>
                <w:szCs w:val="28"/>
                <w:lang w:eastAsia="en-GB"/>
              </w:rPr>
            </w:pPr>
            <w:r w:rsidRPr="00202804">
              <w:rPr>
                <w:rFonts w:ascii="Times New Roman" w:eastAsia="Times New Roman" w:hAnsi="Times New Roman" w:cs="Times New Roman"/>
                <w:color w:val="000000"/>
                <w:sz w:val="28"/>
                <w:szCs w:val="28"/>
                <w:lang w:eastAsia="en-GB"/>
              </w:rPr>
              <w:t>net profit for the year</w:t>
            </w: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4073</w:t>
            </w: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4008</w:t>
            </w:r>
          </w:p>
        </w:tc>
        <w:tc>
          <w:tcPr>
            <w:tcW w:w="1234"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65</w:t>
            </w:r>
          </w:p>
        </w:tc>
        <w:tc>
          <w:tcPr>
            <w:tcW w:w="1529"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1.6</w:t>
            </w:r>
          </w:p>
        </w:tc>
      </w:tr>
      <w:tr w:rsidR="00202804" w:rsidRPr="00202804" w:rsidTr="00202804">
        <w:trPr>
          <w:trHeight w:val="375"/>
        </w:trPr>
        <w:tc>
          <w:tcPr>
            <w:tcW w:w="4443" w:type="dxa"/>
            <w:gridSpan w:val="3"/>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8"/>
                <w:szCs w:val="28"/>
                <w:lang w:eastAsia="en-GB"/>
              </w:rPr>
            </w:pP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1234"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1529"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r>
      <w:tr w:rsidR="00202804" w:rsidRPr="00202804" w:rsidTr="00202804">
        <w:trPr>
          <w:trHeight w:val="375"/>
        </w:trPr>
        <w:tc>
          <w:tcPr>
            <w:tcW w:w="4443" w:type="dxa"/>
            <w:gridSpan w:val="3"/>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8"/>
                <w:szCs w:val="28"/>
                <w:lang w:eastAsia="en-GB"/>
              </w:rPr>
            </w:pP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1234"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1529"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r>
      <w:tr w:rsidR="00202804" w:rsidRPr="00202804" w:rsidTr="00202804">
        <w:trPr>
          <w:trHeight w:val="375"/>
        </w:trPr>
        <w:tc>
          <w:tcPr>
            <w:tcW w:w="4443" w:type="dxa"/>
            <w:gridSpan w:val="3"/>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8"/>
                <w:szCs w:val="28"/>
                <w:lang w:eastAsia="en-GB"/>
              </w:rPr>
            </w:pP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1234"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1529"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r>
      <w:tr w:rsidR="00202804" w:rsidRPr="00202804" w:rsidTr="00202804">
        <w:trPr>
          <w:trHeight w:val="375"/>
        </w:trPr>
        <w:tc>
          <w:tcPr>
            <w:tcW w:w="4443" w:type="dxa"/>
            <w:gridSpan w:val="3"/>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8"/>
                <w:szCs w:val="28"/>
                <w:lang w:eastAsia="en-GB"/>
              </w:rPr>
            </w:pP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1234"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1529"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r>
      <w:tr w:rsidR="00202804" w:rsidRPr="00202804" w:rsidTr="00202804">
        <w:trPr>
          <w:trHeight w:val="375"/>
        </w:trPr>
        <w:tc>
          <w:tcPr>
            <w:tcW w:w="4443" w:type="dxa"/>
            <w:gridSpan w:val="3"/>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8"/>
                <w:szCs w:val="28"/>
                <w:lang w:eastAsia="en-GB"/>
              </w:rPr>
            </w:pP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1234"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1529"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r>
      <w:tr w:rsidR="00202804" w:rsidRPr="00202804" w:rsidTr="00202804">
        <w:trPr>
          <w:trHeight w:val="375"/>
        </w:trPr>
        <w:tc>
          <w:tcPr>
            <w:tcW w:w="4443" w:type="dxa"/>
            <w:gridSpan w:val="3"/>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8"/>
                <w:szCs w:val="28"/>
                <w:lang w:eastAsia="en-GB"/>
              </w:rPr>
            </w:pPr>
            <w:r w:rsidRPr="00202804">
              <w:rPr>
                <w:rFonts w:ascii="Times New Roman" w:eastAsia="Times New Roman" w:hAnsi="Times New Roman" w:cs="Times New Roman"/>
                <w:color w:val="000000"/>
                <w:sz w:val="28"/>
                <w:szCs w:val="28"/>
                <w:lang w:eastAsia="en-GB"/>
              </w:rPr>
              <w:t>capital employed</w:t>
            </w: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6274</w:t>
            </w: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6226</w:t>
            </w:r>
          </w:p>
        </w:tc>
        <w:tc>
          <w:tcPr>
            <w:tcW w:w="1234"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1529"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r>
      <w:tr w:rsidR="00202804" w:rsidRPr="00202804" w:rsidTr="00202804">
        <w:trPr>
          <w:trHeight w:val="375"/>
        </w:trPr>
        <w:tc>
          <w:tcPr>
            <w:tcW w:w="4443" w:type="dxa"/>
            <w:gridSpan w:val="3"/>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8"/>
                <w:szCs w:val="28"/>
                <w:lang w:eastAsia="en-GB"/>
              </w:rPr>
            </w:pP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1234"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1529"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r>
      <w:tr w:rsidR="00202804" w:rsidRPr="00202804" w:rsidTr="00202804">
        <w:trPr>
          <w:trHeight w:val="375"/>
        </w:trPr>
        <w:tc>
          <w:tcPr>
            <w:tcW w:w="4443" w:type="dxa"/>
            <w:gridSpan w:val="3"/>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8"/>
                <w:szCs w:val="28"/>
                <w:lang w:eastAsia="en-GB"/>
              </w:rPr>
            </w:pP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1234"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1529"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r>
      <w:tr w:rsidR="00202804" w:rsidRPr="00202804" w:rsidTr="00202804">
        <w:trPr>
          <w:trHeight w:val="375"/>
        </w:trPr>
        <w:tc>
          <w:tcPr>
            <w:tcW w:w="4443" w:type="dxa"/>
            <w:gridSpan w:val="3"/>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8"/>
                <w:szCs w:val="28"/>
                <w:lang w:eastAsia="en-GB"/>
              </w:rPr>
            </w:pP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1234"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1529"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r>
      <w:tr w:rsidR="00202804" w:rsidRPr="00202804" w:rsidTr="00202804">
        <w:trPr>
          <w:trHeight w:val="375"/>
        </w:trPr>
        <w:tc>
          <w:tcPr>
            <w:tcW w:w="4443" w:type="dxa"/>
            <w:gridSpan w:val="3"/>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8"/>
                <w:szCs w:val="28"/>
                <w:lang w:eastAsia="en-GB"/>
              </w:rPr>
            </w:pP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1234"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1529"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r>
      <w:tr w:rsidR="00202804" w:rsidRPr="00202804" w:rsidTr="00202804">
        <w:trPr>
          <w:trHeight w:val="375"/>
        </w:trPr>
        <w:tc>
          <w:tcPr>
            <w:tcW w:w="4443" w:type="dxa"/>
            <w:gridSpan w:val="3"/>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8"/>
                <w:szCs w:val="28"/>
                <w:lang w:eastAsia="en-GB"/>
              </w:rPr>
            </w:pP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1234"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1529"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r>
      <w:tr w:rsidR="00202804" w:rsidRPr="00202804" w:rsidTr="00202804">
        <w:trPr>
          <w:trHeight w:val="375"/>
        </w:trPr>
        <w:tc>
          <w:tcPr>
            <w:tcW w:w="4443" w:type="dxa"/>
            <w:gridSpan w:val="3"/>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8"/>
                <w:szCs w:val="28"/>
                <w:lang w:eastAsia="en-GB"/>
              </w:rPr>
            </w:pP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1234"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1529"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r>
      <w:tr w:rsidR="00202804" w:rsidRPr="00202804" w:rsidTr="00202804">
        <w:trPr>
          <w:trHeight w:val="375"/>
        </w:trPr>
        <w:tc>
          <w:tcPr>
            <w:tcW w:w="4443" w:type="dxa"/>
            <w:gridSpan w:val="3"/>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8"/>
                <w:szCs w:val="28"/>
                <w:lang w:eastAsia="en-GB"/>
              </w:rPr>
            </w:pP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1234"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1529"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r>
      <w:tr w:rsidR="00202804" w:rsidRPr="00202804" w:rsidTr="00202804">
        <w:trPr>
          <w:trHeight w:val="375"/>
        </w:trPr>
        <w:tc>
          <w:tcPr>
            <w:tcW w:w="4443" w:type="dxa"/>
            <w:gridSpan w:val="3"/>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8"/>
                <w:szCs w:val="28"/>
                <w:lang w:eastAsia="en-GB"/>
              </w:rPr>
            </w:pP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1234"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1529"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r>
      <w:tr w:rsidR="00202804" w:rsidRPr="00202804" w:rsidTr="00202804">
        <w:trPr>
          <w:trHeight w:val="375"/>
        </w:trPr>
        <w:tc>
          <w:tcPr>
            <w:tcW w:w="4443" w:type="dxa"/>
            <w:gridSpan w:val="3"/>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8"/>
                <w:szCs w:val="28"/>
                <w:lang w:eastAsia="en-GB"/>
              </w:rPr>
            </w:pP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1234"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1529"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r>
      <w:tr w:rsidR="00202804" w:rsidTr="00202804">
        <w:trPr>
          <w:gridAfter w:val="2"/>
          <w:wAfter w:w="1812" w:type="dxa"/>
          <w:trHeight w:val="315"/>
        </w:trPr>
        <w:tc>
          <w:tcPr>
            <w:tcW w:w="2303" w:type="dxa"/>
            <w:tcBorders>
              <w:top w:val="nil"/>
              <w:left w:val="nil"/>
              <w:bottom w:val="nil"/>
              <w:right w:val="nil"/>
            </w:tcBorders>
            <w:shd w:val="clear" w:color="auto" w:fill="auto"/>
            <w:noWrap/>
            <w:vAlign w:val="bottom"/>
            <w:hideMark/>
          </w:tcPr>
          <w:p w:rsidR="00202804" w:rsidRDefault="00202804">
            <w:pPr>
              <w:rPr>
                <w:color w:val="000000"/>
                <w:sz w:val="24"/>
                <w:szCs w:val="24"/>
              </w:rPr>
            </w:pPr>
          </w:p>
        </w:tc>
        <w:tc>
          <w:tcPr>
            <w:tcW w:w="1080" w:type="dxa"/>
            <w:tcBorders>
              <w:top w:val="nil"/>
              <w:left w:val="nil"/>
              <w:bottom w:val="nil"/>
              <w:right w:val="nil"/>
            </w:tcBorders>
            <w:shd w:val="clear" w:color="auto" w:fill="auto"/>
            <w:noWrap/>
            <w:vAlign w:val="bottom"/>
            <w:hideMark/>
          </w:tcPr>
          <w:p w:rsidR="00202804" w:rsidRDefault="00202804">
            <w:pPr>
              <w:rPr>
                <w:color w:val="000000"/>
                <w:sz w:val="24"/>
                <w:szCs w:val="24"/>
              </w:rPr>
            </w:pPr>
          </w:p>
        </w:tc>
        <w:tc>
          <w:tcPr>
            <w:tcW w:w="1080" w:type="dxa"/>
            <w:gridSpan w:val="2"/>
            <w:tcBorders>
              <w:top w:val="nil"/>
              <w:left w:val="nil"/>
              <w:bottom w:val="nil"/>
              <w:right w:val="nil"/>
            </w:tcBorders>
            <w:shd w:val="clear" w:color="auto" w:fill="auto"/>
            <w:noWrap/>
            <w:vAlign w:val="bottom"/>
            <w:hideMark/>
          </w:tcPr>
          <w:p w:rsidR="00202804" w:rsidRDefault="00202804">
            <w:pPr>
              <w:rPr>
                <w:color w:val="000000"/>
                <w:sz w:val="24"/>
                <w:szCs w:val="24"/>
              </w:rPr>
            </w:pPr>
          </w:p>
        </w:tc>
        <w:tc>
          <w:tcPr>
            <w:tcW w:w="1080" w:type="dxa"/>
            <w:gridSpan w:val="2"/>
            <w:tcBorders>
              <w:top w:val="nil"/>
              <w:left w:val="nil"/>
              <w:bottom w:val="nil"/>
              <w:right w:val="nil"/>
            </w:tcBorders>
            <w:shd w:val="clear" w:color="auto" w:fill="auto"/>
            <w:noWrap/>
            <w:vAlign w:val="bottom"/>
            <w:hideMark/>
          </w:tcPr>
          <w:p w:rsidR="00202804" w:rsidRDefault="00202804">
            <w:pPr>
              <w:rPr>
                <w:color w:val="000000"/>
                <w:sz w:val="24"/>
                <w:szCs w:val="24"/>
              </w:rPr>
            </w:pPr>
          </w:p>
        </w:tc>
        <w:tc>
          <w:tcPr>
            <w:tcW w:w="1243" w:type="dxa"/>
            <w:gridSpan w:val="2"/>
            <w:tcBorders>
              <w:top w:val="nil"/>
              <w:left w:val="nil"/>
              <w:bottom w:val="nil"/>
              <w:right w:val="nil"/>
            </w:tcBorders>
            <w:shd w:val="clear" w:color="auto" w:fill="auto"/>
            <w:noWrap/>
            <w:vAlign w:val="bottom"/>
            <w:hideMark/>
          </w:tcPr>
          <w:p w:rsidR="00202804" w:rsidRDefault="00202804">
            <w:pPr>
              <w:rPr>
                <w:color w:val="000000"/>
                <w:sz w:val="24"/>
                <w:szCs w:val="24"/>
              </w:rPr>
            </w:pPr>
          </w:p>
        </w:tc>
      </w:tr>
      <w:tr w:rsidR="00202804" w:rsidTr="00202804">
        <w:trPr>
          <w:gridAfter w:val="2"/>
          <w:wAfter w:w="1812" w:type="dxa"/>
          <w:trHeight w:val="375"/>
        </w:trPr>
        <w:tc>
          <w:tcPr>
            <w:tcW w:w="2303" w:type="dxa"/>
            <w:tcBorders>
              <w:top w:val="nil"/>
              <w:left w:val="nil"/>
              <w:bottom w:val="nil"/>
              <w:right w:val="nil"/>
            </w:tcBorders>
            <w:shd w:val="clear" w:color="auto" w:fill="auto"/>
            <w:noWrap/>
            <w:vAlign w:val="bottom"/>
            <w:hideMark/>
          </w:tcPr>
          <w:p w:rsidR="00202804" w:rsidRDefault="00202804">
            <w:pPr>
              <w:rPr>
                <w:color w:val="000000"/>
                <w:sz w:val="24"/>
                <w:szCs w:val="24"/>
              </w:rPr>
            </w:pPr>
          </w:p>
        </w:tc>
        <w:tc>
          <w:tcPr>
            <w:tcW w:w="1080" w:type="dxa"/>
            <w:tcBorders>
              <w:top w:val="nil"/>
              <w:left w:val="nil"/>
              <w:bottom w:val="nil"/>
              <w:right w:val="nil"/>
            </w:tcBorders>
            <w:shd w:val="clear" w:color="auto" w:fill="auto"/>
            <w:noWrap/>
            <w:vAlign w:val="bottom"/>
            <w:hideMark/>
          </w:tcPr>
          <w:p w:rsidR="00202804" w:rsidRDefault="00202804">
            <w:pPr>
              <w:rPr>
                <w:color w:val="000000"/>
                <w:sz w:val="24"/>
                <w:szCs w:val="24"/>
              </w:rPr>
            </w:pPr>
          </w:p>
        </w:tc>
        <w:tc>
          <w:tcPr>
            <w:tcW w:w="1080" w:type="dxa"/>
            <w:gridSpan w:val="2"/>
            <w:tcBorders>
              <w:top w:val="nil"/>
              <w:left w:val="nil"/>
              <w:bottom w:val="nil"/>
              <w:right w:val="nil"/>
            </w:tcBorders>
            <w:shd w:val="clear" w:color="auto" w:fill="auto"/>
            <w:noWrap/>
            <w:vAlign w:val="bottom"/>
            <w:hideMark/>
          </w:tcPr>
          <w:p w:rsidR="00202804" w:rsidRDefault="00202804">
            <w:pPr>
              <w:rPr>
                <w:color w:val="000000"/>
                <w:sz w:val="24"/>
                <w:szCs w:val="24"/>
              </w:rPr>
            </w:pPr>
          </w:p>
        </w:tc>
        <w:tc>
          <w:tcPr>
            <w:tcW w:w="1080" w:type="dxa"/>
            <w:gridSpan w:val="2"/>
            <w:tcBorders>
              <w:top w:val="nil"/>
              <w:left w:val="nil"/>
              <w:bottom w:val="nil"/>
              <w:right w:val="nil"/>
            </w:tcBorders>
            <w:shd w:val="clear" w:color="auto" w:fill="auto"/>
            <w:noWrap/>
            <w:vAlign w:val="bottom"/>
            <w:hideMark/>
          </w:tcPr>
          <w:p w:rsidR="00202804" w:rsidRDefault="00202804">
            <w:pPr>
              <w:rPr>
                <w:color w:val="000000"/>
                <w:sz w:val="24"/>
                <w:szCs w:val="24"/>
              </w:rPr>
            </w:pPr>
          </w:p>
        </w:tc>
        <w:tc>
          <w:tcPr>
            <w:tcW w:w="1243" w:type="dxa"/>
            <w:gridSpan w:val="2"/>
            <w:tcBorders>
              <w:top w:val="nil"/>
              <w:left w:val="nil"/>
              <w:bottom w:val="nil"/>
              <w:right w:val="nil"/>
            </w:tcBorders>
            <w:shd w:val="clear" w:color="auto" w:fill="auto"/>
            <w:noWrap/>
            <w:vAlign w:val="bottom"/>
            <w:hideMark/>
          </w:tcPr>
          <w:p w:rsidR="00202804" w:rsidRDefault="00202804">
            <w:pPr>
              <w:rPr>
                <w:color w:val="000000"/>
                <w:sz w:val="24"/>
                <w:szCs w:val="24"/>
              </w:rPr>
            </w:pPr>
          </w:p>
        </w:tc>
      </w:tr>
      <w:tr w:rsidR="00202804" w:rsidTr="00202804">
        <w:trPr>
          <w:gridAfter w:val="2"/>
          <w:wAfter w:w="1812" w:type="dxa"/>
          <w:trHeight w:val="360"/>
        </w:trPr>
        <w:tc>
          <w:tcPr>
            <w:tcW w:w="2303" w:type="dxa"/>
            <w:tcBorders>
              <w:top w:val="nil"/>
              <w:left w:val="nil"/>
              <w:bottom w:val="nil"/>
              <w:right w:val="nil"/>
            </w:tcBorders>
            <w:shd w:val="clear" w:color="auto" w:fill="auto"/>
            <w:noWrap/>
            <w:vAlign w:val="bottom"/>
            <w:hideMark/>
          </w:tcPr>
          <w:p w:rsidR="00202804" w:rsidRDefault="00202804">
            <w:pPr>
              <w:rPr>
                <w:color w:val="000000"/>
                <w:sz w:val="24"/>
                <w:szCs w:val="24"/>
              </w:rPr>
            </w:pPr>
          </w:p>
        </w:tc>
        <w:tc>
          <w:tcPr>
            <w:tcW w:w="1080" w:type="dxa"/>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2019</w:t>
            </w:r>
          </w:p>
        </w:tc>
        <w:tc>
          <w:tcPr>
            <w:tcW w:w="1080"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2018</w:t>
            </w:r>
          </w:p>
        </w:tc>
        <w:tc>
          <w:tcPr>
            <w:tcW w:w="1080" w:type="dxa"/>
            <w:gridSpan w:val="2"/>
            <w:tcBorders>
              <w:top w:val="nil"/>
              <w:left w:val="nil"/>
              <w:bottom w:val="nil"/>
              <w:right w:val="nil"/>
            </w:tcBorders>
            <w:shd w:val="clear" w:color="auto" w:fill="auto"/>
            <w:noWrap/>
            <w:vAlign w:val="bottom"/>
            <w:hideMark/>
          </w:tcPr>
          <w:p w:rsidR="00202804" w:rsidRDefault="00202804">
            <w:pPr>
              <w:rPr>
                <w:color w:val="000000"/>
                <w:sz w:val="24"/>
                <w:szCs w:val="24"/>
              </w:rPr>
            </w:pPr>
            <w:proofErr w:type="spellStart"/>
            <w:r>
              <w:rPr>
                <w:color w:val="000000"/>
              </w:rPr>
              <w:t>diference</w:t>
            </w:r>
            <w:proofErr w:type="spellEnd"/>
          </w:p>
        </w:tc>
        <w:tc>
          <w:tcPr>
            <w:tcW w:w="1243" w:type="dxa"/>
            <w:gridSpan w:val="2"/>
            <w:tcBorders>
              <w:top w:val="nil"/>
              <w:left w:val="nil"/>
              <w:bottom w:val="nil"/>
              <w:right w:val="nil"/>
            </w:tcBorders>
            <w:shd w:val="clear" w:color="auto" w:fill="auto"/>
            <w:noWrap/>
            <w:vAlign w:val="bottom"/>
            <w:hideMark/>
          </w:tcPr>
          <w:p w:rsidR="00202804" w:rsidRDefault="00202804">
            <w:pPr>
              <w:rPr>
                <w:color w:val="000000"/>
                <w:sz w:val="24"/>
                <w:szCs w:val="24"/>
              </w:rPr>
            </w:pPr>
            <w:r>
              <w:rPr>
                <w:color w:val="000000"/>
              </w:rPr>
              <w:t>performance</w:t>
            </w:r>
          </w:p>
        </w:tc>
      </w:tr>
      <w:tr w:rsidR="00202804" w:rsidTr="00202804">
        <w:trPr>
          <w:gridAfter w:val="2"/>
          <w:wAfter w:w="1812" w:type="dxa"/>
          <w:trHeight w:val="375"/>
        </w:trPr>
        <w:tc>
          <w:tcPr>
            <w:tcW w:w="2303" w:type="dxa"/>
            <w:tcBorders>
              <w:top w:val="nil"/>
              <w:left w:val="nil"/>
              <w:bottom w:val="nil"/>
              <w:right w:val="nil"/>
            </w:tcBorders>
            <w:shd w:val="clear" w:color="auto" w:fill="auto"/>
            <w:noWrap/>
            <w:vAlign w:val="bottom"/>
            <w:hideMark/>
          </w:tcPr>
          <w:p w:rsidR="00202804" w:rsidRDefault="00202804">
            <w:pPr>
              <w:rPr>
                <w:color w:val="000000"/>
                <w:sz w:val="24"/>
                <w:szCs w:val="24"/>
              </w:rPr>
            </w:pPr>
          </w:p>
        </w:tc>
        <w:tc>
          <w:tcPr>
            <w:tcW w:w="1080" w:type="dxa"/>
            <w:tcBorders>
              <w:top w:val="nil"/>
              <w:left w:val="nil"/>
              <w:bottom w:val="nil"/>
              <w:right w:val="nil"/>
            </w:tcBorders>
            <w:shd w:val="clear" w:color="auto" w:fill="auto"/>
            <w:noWrap/>
            <w:vAlign w:val="bottom"/>
            <w:hideMark/>
          </w:tcPr>
          <w:p w:rsidR="00202804" w:rsidRDefault="00202804">
            <w:pPr>
              <w:rPr>
                <w:color w:val="000000"/>
                <w:sz w:val="24"/>
                <w:szCs w:val="24"/>
              </w:rPr>
            </w:pPr>
          </w:p>
        </w:tc>
        <w:tc>
          <w:tcPr>
            <w:tcW w:w="1080" w:type="dxa"/>
            <w:gridSpan w:val="2"/>
            <w:tcBorders>
              <w:top w:val="nil"/>
              <w:left w:val="nil"/>
              <w:bottom w:val="nil"/>
              <w:right w:val="nil"/>
            </w:tcBorders>
            <w:shd w:val="clear" w:color="auto" w:fill="auto"/>
            <w:noWrap/>
            <w:vAlign w:val="bottom"/>
            <w:hideMark/>
          </w:tcPr>
          <w:p w:rsidR="00202804" w:rsidRDefault="00202804">
            <w:pPr>
              <w:rPr>
                <w:color w:val="000000"/>
                <w:sz w:val="24"/>
                <w:szCs w:val="24"/>
              </w:rPr>
            </w:pPr>
          </w:p>
        </w:tc>
        <w:tc>
          <w:tcPr>
            <w:tcW w:w="1080" w:type="dxa"/>
            <w:gridSpan w:val="2"/>
            <w:tcBorders>
              <w:top w:val="nil"/>
              <w:left w:val="nil"/>
              <w:bottom w:val="nil"/>
              <w:right w:val="nil"/>
            </w:tcBorders>
            <w:shd w:val="clear" w:color="auto" w:fill="auto"/>
            <w:noWrap/>
            <w:vAlign w:val="bottom"/>
            <w:hideMark/>
          </w:tcPr>
          <w:p w:rsidR="00202804" w:rsidRDefault="00202804">
            <w:pPr>
              <w:rPr>
                <w:color w:val="000000"/>
                <w:sz w:val="24"/>
                <w:szCs w:val="24"/>
              </w:rPr>
            </w:pPr>
          </w:p>
        </w:tc>
        <w:tc>
          <w:tcPr>
            <w:tcW w:w="1243" w:type="dxa"/>
            <w:gridSpan w:val="2"/>
            <w:tcBorders>
              <w:top w:val="nil"/>
              <w:left w:val="nil"/>
              <w:bottom w:val="nil"/>
              <w:right w:val="nil"/>
            </w:tcBorders>
            <w:shd w:val="clear" w:color="auto" w:fill="auto"/>
            <w:noWrap/>
            <w:vAlign w:val="bottom"/>
            <w:hideMark/>
          </w:tcPr>
          <w:p w:rsidR="00202804" w:rsidRDefault="00202804">
            <w:pPr>
              <w:rPr>
                <w:color w:val="000000"/>
                <w:sz w:val="24"/>
                <w:szCs w:val="24"/>
              </w:rPr>
            </w:pPr>
          </w:p>
        </w:tc>
      </w:tr>
      <w:tr w:rsidR="00202804" w:rsidTr="00202804">
        <w:trPr>
          <w:gridAfter w:val="2"/>
          <w:wAfter w:w="1812" w:type="dxa"/>
          <w:trHeight w:val="375"/>
        </w:trPr>
        <w:tc>
          <w:tcPr>
            <w:tcW w:w="2303" w:type="dxa"/>
            <w:tcBorders>
              <w:top w:val="nil"/>
              <w:left w:val="nil"/>
              <w:bottom w:val="nil"/>
              <w:right w:val="nil"/>
            </w:tcBorders>
            <w:shd w:val="clear" w:color="auto" w:fill="auto"/>
            <w:noWrap/>
            <w:vAlign w:val="bottom"/>
            <w:hideMark/>
          </w:tcPr>
          <w:p w:rsidR="00202804" w:rsidRDefault="00202804">
            <w:pPr>
              <w:rPr>
                <w:color w:val="000000"/>
                <w:sz w:val="24"/>
                <w:szCs w:val="24"/>
              </w:rPr>
            </w:pPr>
            <w:r>
              <w:rPr>
                <w:color w:val="000000"/>
              </w:rPr>
              <w:t xml:space="preserve">non </w:t>
            </w:r>
            <w:proofErr w:type="spellStart"/>
            <w:r>
              <w:rPr>
                <w:color w:val="000000"/>
              </w:rPr>
              <w:t>curent</w:t>
            </w:r>
            <w:proofErr w:type="spellEnd"/>
            <w:r>
              <w:rPr>
                <w:color w:val="000000"/>
              </w:rPr>
              <w:t xml:space="preserve"> </w:t>
            </w:r>
            <w:proofErr w:type="spellStart"/>
            <w:r>
              <w:rPr>
                <w:color w:val="000000"/>
              </w:rPr>
              <w:t>asets</w:t>
            </w:r>
            <w:proofErr w:type="spellEnd"/>
          </w:p>
        </w:tc>
        <w:tc>
          <w:tcPr>
            <w:tcW w:w="1080" w:type="dxa"/>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4650</w:t>
            </w:r>
          </w:p>
        </w:tc>
        <w:tc>
          <w:tcPr>
            <w:tcW w:w="1080"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4500</w:t>
            </w:r>
          </w:p>
        </w:tc>
        <w:tc>
          <w:tcPr>
            <w:tcW w:w="1080"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150</w:t>
            </w:r>
          </w:p>
        </w:tc>
        <w:tc>
          <w:tcPr>
            <w:tcW w:w="1243"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3.3</w:t>
            </w:r>
          </w:p>
        </w:tc>
      </w:tr>
      <w:tr w:rsidR="00202804" w:rsidTr="00202804">
        <w:trPr>
          <w:gridAfter w:val="2"/>
          <w:wAfter w:w="1812" w:type="dxa"/>
          <w:trHeight w:val="375"/>
        </w:trPr>
        <w:tc>
          <w:tcPr>
            <w:tcW w:w="2303" w:type="dxa"/>
            <w:tcBorders>
              <w:top w:val="nil"/>
              <w:left w:val="nil"/>
              <w:bottom w:val="nil"/>
              <w:right w:val="nil"/>
            </w:tcBorders>
            <w:shd w:val="clear" w:color="auto" w:fill="auto"/>
            <w:noWrap/>
            <w:vAlign w:val="bottom"/>
            <w:hideMark/>
          </w:tcPr>
          <w:p w:rsidR="00202804" w:rsidRDefault="00202804">
            <w:pPr>
              <w:rPr>
                <w:color w:val="000000"/>
                <w:sz w:val="24"/>
                <w:szCs w:val="24"/>
              </w:rPr>
            </w:pPr>
            <w:proofErr w:type="spellStart"/>
            <w:r>
              <w:rPr>
                <w:color w:val="000000"/>
              </w:rPr>
              <w:t>curent</w:t>
            </w:r>
            <w:proofErr w:type="spellEnd"/>
            <w:r>
              <w:rPr>
                <w:color w:val="000000"/>
              </w:rPr>
              <w:t xml:space="preserve"> </w:t>
            </w:r>
            <w:proofErr w:type="spellStart"/>
            <w:r>
              <w:rPr>
                <w:color w:val="000000"/>
              </w:rPr>
              <w:t>asets</w:t>
            </w:r>
            <w:proofErr w:type="spellEnd"/>
          </w:p>
        </w:tc>
        <w:tc>
          <w:tcPr>
            <w:tcW w:w="1080" w:type="dxa"/>
            <w:tcBorders>
              <w:top w:val="nil"/>
              <w:left w:val="nil"/>
              <w:bottom w:val="nil"/>
              <w:right w:val="nil"/>
            </w:tcBorders>
            <w:shd w:val="clear" w:color="auto" w:fill="auto"/>
            <w:noWrap/>
            <w:vAlign w:val="bottom"/>
            <w:hideMark/>
          </w:tcPr>
          <w:p w:rsidR="00202804" w:rsidRDefault="00202804">
            <w:pPr>
              <w:rPr>
                <w:color w:val="000000"/>
                <w:sz w:val="24"/>
                <w:szCs w:val="24"/>
              </w:rPr>
            </w:pPr>
          </w:p>
        </w:tc>
        <w:tc>
          <w:tcPr>
            <w:tcW w:w="1080" w:type="dxa"/>
            <w:gridSpan w:val="2"/>
            <w:tcBorders>
              <w:top w:val="nil"/>
              <w:left w:val="nil"/>
              <w:bottom w:val="nil"/>
              <w:right w:val="nil"/>
            </w:tcBorders>
            <w:shd w:val="clear" w:color="auto" w:fill="auto"/>
            <w:noWrap/>
            <w:vAlign w:val="bottom"/>
            <w:hideMark/>
          </w:tcPr>
          <w:p w:rsidR="00202804" w:rsidRDefault="00202804">
            <w:pPr>
              <w:rPr>
                <w:color w:val="000000"/>
                <w:sz w:val="24"/>
                <w:szCs w:val="24"/>
              </w:rPr>
            </w:pPr>
          </w:p>
        </w:tc>
        <w:tc>
          <w:tcPr>
            <w:tcW w:w="1080" w:type="dxa"/>
            <w:gridSpan w:val="2"/>
            <w:tcBorders>
              <w:top w:val="nil"/>
              <w:left w:val="nil"/>
              <w:bottom w:val="nil"/>
              <w:right w:val="nil"/>
            </w:tcBorders>
            <w:shd w:val="clear" w:color="auto" w:fill="auto"/>
            <w:noWrap/>
            <w:vAlign w:val="bottom"/>
            <w:hideMark/>
          </w:tcPr>
          <w:p w:rsidR="00202804" w:rsidRDefault="00202804">
            <w:pPr>
              <w:rPr>
                <w:color w:val="000000"/>
                <w:sz w:val="24"/>
                <w:szCs w:val="24"/>
              </w:rPr>
            </w:pPr>
          </w:p>
        </w:tc>
        <w:tc>
          <w:tcPr>
            <w:tcW w:w="1243" w:type="dxa"/>
            <w:gridSpan w:val="2"/>
            <w:tcBorders>
              <w:top w:val="nil"/>
              <w:left w:val="nil"/>
              <w:bottom w:val="nil"/>
              <w:right w:val="nil"/>
            </w:tcBorders>
            <w:shd w:val="clear" w:color="auto" w:fill="auto"/>
            <w:noWrap/>
            <w:vAlign w:val="bottom"/>
            <w:hideMark/>
          </w:tcPr>
          <w:p w:rsidR="00202804" w:rsidRDefault="00202804">
            <w:pPr>
              <w:rPr>
                <w:color w:val="000000"/>
                <w:sz w:val="24"/>
                <w:szCs w:val="24"/>
              </w:rPr>
            </w:pPr>
          </w:p>
        </w:tc>
      </w:tr>
      <w:tr w:rsidR="00202804" w:rsidTr="00202804">
        <w:trPr>
          <w:gridAfter w:val="2"/>
          <w:wAfter w:w="1812" w:type="dxa"/>
          <w:trHeight w:val="375"/>
        </w:trPr>
        <w:tc>
          <w:tcPr>
            <w:tcW w:w="2303" w:type="dxa"/>
            <w:tcBorders>
              <w:top w:val="nil"/>
              <w:left w:val="nil"/>
              <w:bottom w:val="nil"/>
              <w:right w:val="nil"/>
            </w:tcBorders>
            <w:shd w:val="clear" w:color="auto" w:fill="auto"/>
            <w:noWrap/>
            <w:vAlign w:val="bottom"/>
            <w:hideMark/>
          </w:tcPr>
          <w:p w:rsidR="00202804" w:rsidRDefault="00202804">
            <w:pPr>
              <w:rPr>
                <w:color w:val="000000"/>
                <w:sz w:val="24"/>
                <w:szCs w:val="24"/>
              </w:rPr>
            </w:pPr>
            <w:r>
              <w:rPr>
                <w:color w:val="000000"/>
              </w:rPr>
              <w:t>inventory</w:t>
            </w:r>
          </w:p>
        </w:tc>
        <w:tc>
          <w:tcPr>
            <w:tcW w:w="1080" w:type="dxa"/>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1420</w:t>
            </w:r>
          </w:p>
        </w:tc>
        <w:tc>
          <w:tcPr>
            <w:tcW w:w="1080"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1450</w:t>
            </w:r>
          </w:p>
        </w:tc>
        <w:tc>
          <w:tcPr>
            <w:tcW w:w="1080"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-30</w:t>
            </w:r>
          </w:p>
        </w:tc>
        <w:tc>
          <w:tcPr>
            <w:tcW w:w="1243"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-2.1</w:t>
            </w:r>
          </w:p>
        </w:tc>
      </w:tr>
      <w:tr w:rsidR="00202804" w:rsidTr="00202804">
        <w:trPr>
          <w:gridAfter w:val="2"/>
          <w:wAfter w:w="1812" w:type="dxa"/>
          <w:trHeight w:val="375"/>
        </w:trPr>
        <w:tc>
          <w:tcPr>
            <w:tcW w:w="2303" w:type="dxa"/>
            <w:tcBorders>
              <w:top w:val="nil"/>
              <w:left w:val="nil"/>
              <w:bottom w:val="nil"/>
              <w:right w:val="nil"/>
            </w:tcBorders>
            <w:shd w:val="clear" w:color="auto" w:fill="auto"/>
            <w:noWrap/>
            <w:vAlign w:val="bottom"/>
            <w:hideMark/>
          </w:tcPr>
          <w:p w:rsidR="00202804" w:rsidRDefault="00202804">
            <w:pPr>
              <w:rPr>
                <w:color w:val="000000"/>
                <w:sz w:val="24"/>
                <w:szCs w:val="24"/>
              </w:rPr>
            </w:pPr>
            <w:r>
              <w:rPr>
                <w:color w:val="000000"/>
              </w:rPr>
              <w:t xml:space="preserve">trade and other </w:t>
            </w:r>
            <w:proofErr w:type="spellStart"/>
            <w:r>
              <w:rPr>
                <w:color w:val="000000"/>
              </w:rPr>
              <w:t>receivb</w:t>
            </w:r>
            <w:proofErr w:type="spellEnd"/>
          </w:p>
        </w:tc>
        <w:tc>
          <w:tcPr>
            <w:tcW w:w="1080" w:type="dxa"/>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1800</w:t>
            </w:r>
          </w:p>
        </w:tc>
        <w:tc>
          <w:tcPr>
            <w:tcW w:w="1080"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1600</w:t>
            </w:r>
          </w:p>
        </w:tc>
        <w:tc>
          <w:tcPr>
            <w:tcW w:w="1080"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200</w:t>
            </w:r>
          </w:p>
        </w:tc>
        <w:tc>
          <w:tcPr>
            <w:tcW w:w="1243"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12.5</w:t>
            </w:r>
          </w:p>
        </w:tc>
      </w:tr>
      <w:tr w:rsidR="00202804" w:rsidTr="00202804">
        <w:trPr>
          <w:gridAfter w:val="2"/>
          <w:wAfter w:w="1812" w:type="dxa"/>
          <w:trHeight w:val="375"/>
        </w:trPr>
        <w:tc>
          <w:tcPr>
            <w:tcW w:w="2303" w:type="dxa"/>
            <w:tcBorders>
              <w:top w:val="nil"/>
              <w:left w:val="nil"/>
              <w:bottom w:val="nil"/>
              <w:right w:val="nil"/>
            </w:tcBorders>
            <w:shd w:val="clear" w:color="auto" w:fill="auto"/>
            <w:noWrap/>
            <w:vAlign w:val="bottom"/>
            <w:hideMark/>
          </w:tcPr>
          <w:p w:rsidR="00202804" w:rsidRDefault="00202804">
            <w:pPr>
              <w:rPr>
                <w:color w:val="000000"/>
                <w:sz w:val="24"/>
                <w:szCs w:val="24"/>
              </w:rPr>
            </w:pPr>
            <w:r>
              <w:rPr>
                <w:color w:val="000000"/>
              </w:rPr>
              <w:t>bank and cash</w:t>
            </w:r>
          </w:p>
        </w:tc>
        <w:tc>
          <w:tcPr>
            <w:tcW w:w="1080" w:type="dxa"/>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15</w:t>
            </w:r>
          </w:p>
        </w:tc>
        <w:tc>
          <w:tcPr>
            <w:tcW w:w="1080"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10</w:t>
            </w:r>
          </w:p>
        </w:tc>
        <w:tc>
          <w:tcPr>
            <w:tcW w:w="1080"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5</w:t>
            </w:r>
          </w:p>
        </w:tc>
        <w:tc>
          <w:tcPr>
            <w:tcW w:w="1243"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50.0</w:t>
            </w:r>
          </w:p>
        </w:tc>
      </w:tr>
      <w:tr w:rsidR="00202804" w:rsidTr="00202804">
        <w:trPr>
          <w:gridAfter w:val="2"/>
          <w:wAfter w:w="1812" w:type="dxa"/>
          <w:trHeight w:val="375"/>
        </w:trPr>
        <w:tc>
          <w:tcPr>
            <w:tcW w:w="2303" w:type="dxa"/>
            <w:tcBorders>
              <w:top w:val="nil"/>
              <w:left w:val="nil"/>
              <w:bottom w:val="nil"/>
              <w:right w:val="nil"/>
            </w:tcBorders>
            <w:shd w:val="clear" w:color="auto" w:fill="auto"/>
            <w:noWrap/>
            <w:vAlign w:val="bottom"/>
            <w:hideMark/>
          </w:tcPr>
          <w:p w:rsidR="00202804" w:rsidRDefault="00202804">
            <w:pPr>
              <w:rPr>
                <w:color w:val="000000"/>
                <w:sz w:val="24"/>
                <w:szCs w:val="24"/>
              </w:rPr>
            </w:pPr>
            <w:r>
              <w:rPr>
                <w:color w:val="000000"/>
              </w:rPr>
              <w:t>cash in hand</w:t>
            </w:r>
          </w:p>
        </w:tc>
        <w:tc>
          <w:tcPr>
            <w:tcW w:w="1080" w:type="dxa"/>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5</w:t>
            </w:r>
          </w:p>
        </w:tc>
        <w:tc>
          <w:tcPr>
            <w:tcW w:w="1080"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5</w:t>
            </w:r>
          </w:p>
        </w:tc>
        <w:tc>
          <w:tcPr>
            <w:tcW w:w="1080"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0</w:t>
            </w:r>
          </w:p>
        </w:tc>
        <w:tc>
          <w:tcPr>
            <w:tcW w:w="1243"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0.0</w:t>
            </w:r>
          </w:p>
        </w:tc>
      </w:tr>
      <w:tr w:rsidR="00202804" w:rsidTr="00202804">
        <w:trPr>
          <w:gridAfter w:val="2"/>
          <w:wAfter w:w="1812" w:type="dxa"/>
          <w:trHeight w:val="375"/>
        </w:trPr>
        <w:tc>
          <w:tcPr>
            <w:tcW w:w="2303" w:type="dxa"/>
            <w:tcBorders>
              <w:top w:val="nil"/>
              <w:left w:val="nil"/>
              <w:bottom w:val="nil"/>
              <w:right w:val="nil"/>
            </w:tcBorders>
            <w:shd w:val="clear" w:color="auto" w:fill="auto"/>
            <w:noWrap/>
            <w:vAlign w:val="bottom"/>
            <w:hideMark/>
          </w:tcPr>
          <w:p w:rsidR="00202804" w:rsidRDefault="00202804">
            <w:pPr>
              <w:rPr>
                <w:color w:val="000000"/>
                <w:sz w:val="24"/>
                <w:szCs w:val="24"/>
              </w:rPr>
            </w:pPr>
          </w:p>
        </w:tc>
        <w:tc>
          <w:tcPr>
            <w:tcW w:w="1080" w:type="dxa"/>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3240</w:t>
            </w:r>
          </w:p>
        </w:tc>
        <w:tc>
          <w:tcPr>
            <w:tcW w:w="1080"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3065</w:t>
            </w:r>
          </w:p>
        </w:tc>
        <w:tc>
          <w:tcPr>
            <w:tcW w:w="1080"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175</w:t>
            </w:r>
          </w:p>
        </w:tc>
        <w:tc>
          <w:tcPr>
            <w:tcW w:w="1243"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5.7</w:t>
            </w:r>
          </w:p>
        </w:tc>
      </w:tr>
      <w:tr w:rsidR="00202804" w:rsidTr="00202804">
        <w:trPr>
          <w:gridAfter w:val="2"/>
          <w:wAfter w:w="1812" w:type="dxa"/>
          <w:trHeight w:val="375"/>
        </w:trPr>
        <w:tc>
          <w:tcPr>
            <w:tcW w:w="2303" w:type="dxa"/>
            <w:tcBorders>
              <w:top w:val="nil"/>
              <w:left w:val="nil"/>
              <w:bottom w:val="nil"/>
              <w:right w:val="nil"/>
            </w:tcBorders>
            <w:shd w:val="clear" w:color="auto" w:fill="auto"/>
            <w:noWrap/>
            <w:vAlign w:val="bottom"/>
            <w:hideMark/>
          </w:tcPr>
          <w:p w:rsidR="00202804" w:rsidRDefault="00202804">
            <w:pPr>
              <w:rPr>
                <w:color w:val="000000"/>
                <w:sz w:val="24"/>
                <w:szCs w:val="24"/>
              </w:rPr>
            </w:pPr>
            <w:r>
              <w:rPr>
                <w:color w:val="000000"/>
              </w:rPr>
              <w:t xml:space="preserve">total </w:t>
            </w:r>
            <w:proofErr w:type="spellStart"/>
            <w:r>
              <w:rPr>
                <w:color w:val="000000"/>
              </w:rPr>
              <w:t>asets</w:t>
            </w:r>
            <w:proofErr w:type="spellEnd"/>
          </w:p>
        </w:tc>
        <w:tc>
          <w:tcPr>
            <w:tcW w:w="1080" w:type="dxa"/>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7890</w:t>
            </w:r>
          </w:p>
        </w:tc>
        <w:tc>
          <w:tcPr>
            <w:tcW w:w="1080"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7565</w:t>
            </w:r>
          </w:p>
        </w:tc>
        <w:tc>
          <w:tcPr>
            <w:tcW w:w="1080"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325</w:t>
            </w:r>
          </w:p>
        </w:tc>
        <w:tc>
          <w:tcPr>
            <w:tcW w:w="1243"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4.3</w:t>
            </w:r>
          </w:p>
        </w:tc>
      </w:tr>
      <w:tr w:rsidR="00202804" w:rsidTr="00202804">
        <w:trPr>
          <w:gridAfter w:val="2"/>
          <w:wAfter w:w="1812" w:type="dxa"/>
          <w:trHeight w:val="375"/>
        </w:trPr>
        <w:tc>
          <w:tcPr>
            <w:tcW w:w="2303" w:type="dxa"/>
            <w:tcBorders>
              <w:top w:val="nil"/>
              <w:left w:val="nil"/>
              <w:bottom w:val="nil"/>
              <w:right w:val="nil"/>
            </w:tcBorders>
            <w:shd w:val="clear" w:color="auto" w:fill="auto"/>
            <w:noWrap/>
            <w:vAlign w:val="bottom"/>
            <w:hideMark/>
          </w:tcPr>
          <w:p w:rsidR="00202804" w:rsidRDefault="00202804">
            <w:pPr>
              <w:rPr>
                <w:color w:val="000000"/>
                <w:sz w:val="24"/>
                <w:szCs w:val="24"/>
              </w:rPr>
            </w:pPr>
          </w:p>
        </w:tc>
        <w:tc>
          <w:tcPr>
            <w:tcW w:w="1080" w:type="dxa"/>
            <w:tcBorders>
              <w:top w:val="nil"/>
              <w:left w:val="nil"/>
              <w:bottom w:val="nil"/>
              <w:right w:val="nil"/>
            </w:tcBorders>
            <w:shd w:val="clear" w:color="auto" w:fill="auto"/>
            <w:noWrap/>
            <w:vAlign w:val="bottom"/>
            <w:hideMark/>
          </w:tcPr>
          <w:p w:rsidR="00202804" w:rsidRDefault="00202804">
            <w:pPr>
              <w:rPr>
                <w:color w:val="000000"/>
                <w:sz w:val="24"/>
                <w:szCs w:val="24"/>
              </w:rPr>
            </w:pPr>
          </w:p>
        </w:tc>
        <w:tc>
          <w:tcPr>
            <w:tcW w:w="1080" w:type="dxa"/>
            <w:gridSpan w:val="2"/>
            <w:tcBorders>
              <w:top w:val="nil"/>
              <w:left w:val="nil"/>
              <w:bottom w:val="nil"/>
              <w:right w:val="nil"/>
            </w:tcBorders>
            <w:shd w:val="clear" w:color="auto" w:fill="auto"/>
            <w:noWrap/>
            <w:vAlign w:val="bottom"/>
            <w:hideMark/>
          </w:tcPr>
          <w:p w:rsidR="00202804" w:rsidRDefault="00202804">
            <w:pPr>
              <w:rPr>
                <w:color w:val="000000"/>
                <w:sz w:val="24"/>
                <w:szCs w:val="24"/>
              </w:rPr>
            </w:pPr>
          </w:p>
        </w:tc>
        <w:tc>
          <w:tcPr>
            <w:tcW w:w="1080"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0</w:t>
            </w:r>
          </w:p>
        </w:tc>
        <w:tc>
          <w:tcPr>
            <w:tcW w:w="1243" w:type="dxa"/>
            <w:gridSpan w:val="2"/>
            <w:tcBorders>
              <w:top w:val="nil"/>
              <w:left w:val="nil"/>
              <w:bottom w:val="nil"/>
              <w:right w:val="nil"/>
            </w:tcBorders>
            <w:shd w:val="clear" w:color="auto" w:fill="auto"/>
            <w:noWrap/>
            <w:vAlign w:val="bottom"/>
            <w:hideMark/>
          </w:tcPr>
          <w:p w:rsidR="00202804" w:rsidRDefault="00202804">
            <w:pPr>
              <w:rPr>
                <w:color w:val="000000"/>
                <w:sz w:val="24"/>
                <w:szCs w:val="24"/>
              </w:rPr>
            </w:pPr>
          </w:p>
        </w:tc>
      </w:tr>
      <w:tr w:rsidR="00202804" w:rsidTr="00202804">
        <w:trPr>
          <w:gridAfter w:val="2"/>
          <w:wAfter w:w="1812" w:type="dxa"/>
          <w:trHeight w:val="375"/>
        </w:trPr>
        <w:tc>
          <w:tcPr>
            <w:tcW w:w="2303" w:type="dxa"/>
            <w:tcBorders>
              <w:top w:val="nil"/>
              <w:left w:val="nil"/>
              <w:bottom w:val="nil"/>
              <w:right w:val="nil"/>
            </w:tcBorders>
            <w:shd w:val="clear" w:color="auto" w:fill="auto"/>
            <w:noWrap/>
            <w:vAlign w:val="bottom"/>
            <w:hideMark/>
          </w:tcPr>
          <w:p w:rsidR="00202804" w:rsidRDefault="00202804">
            <w:pPr>
              <w:rPr>
                <w:color w:val="000000"/>
                <w:sz w:val="24"/>
                <w:szCs w:val="24"/>
              </w:rPr>
            </w:pPr>
            <w:proofErr w:type="spellStart"/>
            <w:r>
              <w:rPr>
                <w:color w:val="000000"/>
              </w:rPr>
              <w:t>curent</w:t>
            </w:r>
            <w:proofErr w:type="spellEnd"/>
            <w:r>
              <w:rPr>
                <w:color w:val="000000"/>
              </w:rPr>
              <w:t xml:space="preserve"> </w:t>
            </w:r>
            <w:proofErr w:type="spellStart"/>
            <w:r>
              <w:rPr>
                <w:color w:val="000000"/>
              </w:rPr>
              <w:t>liabilityes</w:t>
            </w:r>
            <w:proofErr w:type="spellEnd"/>
          </w:p>
        </w:tc>
        <w:tc>
          <w:tcPr>
            <w:tcW w:w="1080" w:type="dxa"/>
            <w:tcBorders>
              <w:top w:val="nil"/>
              <w:left w:val="nil"/>
              <w:bottom w:val="nil"/>
              <w:right w:val="nil"/>
            </w:tcBorders>
            <w:shd w:val="clear" w:color="auto" w:fill="auto"/>
            <w:noWrap/>
            <w:vAlign w:val="bottom"/>
            <w:hideMark/>
          </w:tcPr>
          <w:p w:rsidR="00202804" w:rsidRDefault="00202804">
            <w:pPr>
              <w:rPr>
                <w:color w:val="000000"/>
                <w:sz w:val="24"/>
                <w:szCs w:val="24"/>
              </w:rPr>
            </w:pPr>
          </w:p>
        </w:tc>
        <w:tc>
          <w:tcPr>
            <w:tcW w:w="1080" w:type="dxa"/>
            <w:gridSpan w:val="2"/>
            <w:tcBorders>
              <w:top w:val="nil"/>
              <w:left w:val="nil"/>
              <w:bottom w:val="nil"/>
              <w:right w:val="nil"/>
            </w:tcBorders>
            <w:shd w:val="clear" w:color="auto" w:fill="auto"/>
            <w:noWrap/>
            <w:vAlign w:val="bottom"/>
            <w:hideMark/>
          </w:tcPr>
          <w:p w:rsidR="00202804" w:rsidRDefault="00202804">
            <w:pPr>
              <w:rPr>
                <w:color w:val="000000"/>
                <w:sz w:val="24"/>
                <w:szCs w:val="24"/>
              </w:rPr>
            </w:pPr>
          </w:p>
        </w:tc>
        <w:tc>
          <w:tcPr>
            <w:tcW w:w="1080"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0</w:t>
            </w:r>
          </w:p>
        </w:tc>
        <w:tc>
          <w:tcPr>
            <w:tcW w:w="1243" w:type="dxa"/>
            <w:gridSpan w:val="2"/>
            <w:tcBorders>
              <w:top w:val="nil"/>
              <w:left w:val="nil"/>
              <w:bottom w:val="nil"/>
              <w:right w:val="nil"/>
            </w:tcBorders>
            <w:shd w:val="clear" w:color="auto" w:fill="auto"/>
            <w:noWrap/>
            <w:vAlign w:val="bottom"/>
            <w:hideMark/>
          </w:tcPr>
          <w:p w:rsidR="00202804" w:rsidRDefault="00202804">
            <w:pPr>
              <w:rPr>
                <w:color w:val="000000"/>
                <w:sz w:val="24"/>
                <w:szCs w:val="24"/>
              </w:rPr>
            </w:pPr>
          </w:p>
        </w:tc>
      </w:tr>
      <w:tr w:rsidR="00202804" w:rsidTr="00202804">
        <w:trPr>
          <w:gridAfter w:val="2"/>
          <w:wAfter w:w="1812" w:type="dxa"/>
          <w:trHeight w:val="375"/>
        </w:trPr>
        <w:tc>
          <w:tcPr>
            <w:tcW w:w="2303" w:type="dxa"/>
            <w:tcBorders>
              <w:top w:val="nil"/>
              <w:left w:val="nil"/>
              <w:bottom w:val="nil"/>
              <w:right w:val="nil"/>
            </w:tcBorders>
            <w:shd w:val="clear" w:color="auto" w:fill="auto"/>
            <w:noWrap/>
            <w:vAlign w:val="bottom"/>
            <w:hideMark/>
          </w:tcPr>
          <w:p w:rsidR="00202804" w:rsidRDefault="00202804">
            <w:pPr>
              <w:rPr>
                <w:color w:val="000000"/>
                <w:sz w:val="24"/>
                <w:szCs w:val="24"/>
              </w:rPr>
            </w:pPr>
            <w:r>
              <w:rPr>
                <w:color w:val="000000"/>
              </w:rPr>
              <w:t xml:space="preserve">trade </w:t>
            </w:r>
            <w:proofErr w:type="spellStart"/>
            <w:r>
              <w:rPr>
                <w:color w:val="000000"/>
              </w:rPr>
              <w:t>payble</w:t>
            </w:r>
            <w:proofErr w:type="spellEnd"/>
            <w:r>
              <w:rPr>
                <w:color w:val="000000"/>
              </w:rPr>
              <w:t xml:space="preserve"> and </w:t>
            </w:r>
            <w:proofErr w:type="spellStart"/>
            <w:r>
              <w:rPr>
                <w:color w:val="000000"/>
              </w:rPr>
              <w:t>creditr</w:t>
            </w:r>
            <w:proofErr w:type="spellEnd"/>
          </w:p>
        </w:tc>
        <w:tc>
          <w:tcPr>
            <w:tcW w:w="1080" w:type="dxa"/>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870</w:t>
            </w:r>
          </w:p>
        </w:tc>
        <w:tc>
          <w:tcPr>
            <w:tcW w:w="1080"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800</w:t>
            </w:r>
          </w:p>
        </w:tc>
        <w:tc>
          <w:tcPr>
            <w:tcW w:w="1080"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70</w:t>
            </w:r>
          </w:p>
        </w:tc>
        <w:tc>
          <w:tcPr>
            <w:tcW w:w="1243"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8.8</w:t>
            </w:r>
          </w:p>
        </w:tc>
      </w:tr>
      <w:tr w:rsidR="00202804" w:rsidTr="00202804">
        <w:trPr>
          <w:gridAfter w:val="2"/>
          <w:wAfter w:w="1812" w:type="dxa"/>
          <w:trHeight w:val="375"/>
        </w:trPr>
        <w:tc>
          <w:tcPr>
            <w:tcW w:w="2303" w:type="dxa"/>
            <w:tcBorders>
              <w:top w:val="nil"/>
              <w:left w:val="nil"/>
              <w:bottom w:val="nil"/>
              <w:right w:val="nil"/>
            </w:tcBorders>
            <w:shd w:val="clear" w:color="auto" w:fill="auto"/>
            <w:noWrap/>
            <w:vAlign w:val="bottom"/>
            <w:hideMark/>
          </w:tcPr>
          <w:p w:rsidR="00202804" w:rsidRDefault="00202804">
            <w:pPr>
              <w:rPr>
                <w:color w:val="000000"/>
                <w:sz w:val="24"/>
                <w:szCs w:val="24"/>
              </w:rPr>
            </w:pPr>
            <w:proofErr w:type="spellStart"/>
            <w:r>
              <w:rPr>
                <w:color w:val="000000"/>
              </w:rPr>
              <w:t>acruals</w:t>
            </w:r>
            <w:proofErr w:type="spellEnd"/>
          </w:p>
        </w:tc>
        <w:tc>
          <w:tcPr>
            <w:tcW w:w="1080" w:type="dxa"/>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246</w:t>
            </w:r>
          </w:p>
        </w:tc>
        <w:tc>
          <w:tcPr>
            <w:tcW w:w="1080"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239</w:t>
            </w:r>
          </w:p>
        </w:tc>
        <w:tc>
          <w:tcPr>
            <w:tcW w:w="1080"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7</w:t>
            </w:r>
          </w:p>
        </w:tc>
        <w:tc>
          <w:tcPr>
            <w:tcW w:w="1243"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2.9</w:t>
            </w:r>
          </w:p>
        </w:tc>
      </w:tr>
      <w:tr w:rsidR="00202804" w:rsidTr="00202804">
        <w:trPr>
          <w:gridAfter w:val="2"/>
          <w:wAfter w:w="1812" w:type="dxa"/>
          <w:trHeight w:val="375"/>
        </w:trPr>
        <w:tc>
          <w:tcPr>
            <w:tcW w:w="2303" w:type="dxa"/>
            <w:tcBorders>
              <w:top w:val="nil"/>
              <w:left w:val="nil"/>
              <w:bottom w:val="nil"/>
              <w:right w:val="nil"/>
            </w:tcBorders>
            <w:shd w:val="clear" w:color="auto" w:fill="auto"/>
            <w:noWrap/>
            <w:vAlign w:val="bottom"/>
            <w:hideMark/>
          </w:tcPr>
          <w:p w:rsidR="00202804" w:rsidRDefault="00202804">
            <w:pPr>
              <w:rPr>
                <w:color w:val="000000"/>
                <w:sz w:val="24"/>
                <w:szCs w:val="24"/>
              </w:rPr>
            </w:pPr>
            <w:r>
              <w:rPr>
                <w:color w:val="000000"/>
              </w:rPr>
              <w:t>bank overdraft</w:t>
            </w:r>
          </w:p>
        </w:tc>
        <w:tc>
          <w:tcPr>
            <w:tcW w:w="1080" w:type="dxa"/>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500</w:t>
            </w:r>
          </w:p>
        </w:tc>
        <w:tc>
          <w:tcPr>
            <w:tcW w:w="1080"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300</w:t>
            </w:r>
          </w:p>
        </w:tc>
        <w:tc>
          <w:tcPr>
            <w:tcW w:w="1080"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200</w:t>
            </w:r>
          </w:p>
        </w:tc>
        <w:tc>
          <w:tcPr>
            <w:tcW w:w="1243"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66.7</w:t>
            </w:r>
          </w:p>
        </w:tc>
      </w:tr>
      <w:tr w:rsidR="00202804" w:rsidTr="00202804">
        <w:trPr>
          <w:gridAfter w:val="2"/>
          <w:wAfter w:w="1812" w:type="dxa"/>
          <w:trHeight w:val="375"/>
        </w:trPr>
        <w:tc>
          <w:tcPr>
            <w:tcW w:w="2303" w:type="dxa"/>
            <w:tcBorders>
              <w:top w:val="nil"/>
              <w:left w:val="nil"/>
              <w:bottom w:val="nil"/>
              <w:right w:val="nil"/>
            </w:tcBorders>
            <w:shd w:val="clear" w:color="auto" w:fill="auto"/>
            <w:noWrap/>
            <w:vAlign w:val="bottom"/>
            <w:hideMark/>
          </w:tcPr>
          <w:p w:rsidR="00202804" w:rsidRDefault="00202804">
            <w:pPr>
              <w:rPr>
                <w:color w:val="000000"/>
                <w:sz w:val="24"/>
                <w:szCs w:val="24"/>
              </w:rPr>
            </w:pPr>
          </w:p>
        </w:tc>
        <w:tc>
          <w:tcPr>
            <w:tcW w:w="1080" w:type="dxa"/>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1616</w:t>
            </w:r>
          </w:p>
        </w:tc>
        <w:tc>
          <w:tcPr>
            <w:tcW w:w="1080"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1339</w:t>
            </w:r>
          </w:p>
        </w:tc>
        <w:tc>
          <w:tcPr>
            <w:tcW w:w="1080"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277</w:t>
            </w:r>
          </w:p>
        </w:tc>
        <w:tc>
          <w:tcPr>
            <w:tcW w:w="1243"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20.7</w:t>
            </w:r>
          </w:p>
        </w:tc>
      </w:tr>
      <w:tr w:rsidR="00202804" w:rsidTr="00202804">
        <w:trPr>
          <w:gridAfter w:val="2"/>
          <w:wAfter w:w="1812" w:type="dxa"/>
          <w:trHeight w:val="375"/>
        </w:trPr>
        <w:tc>
          <w:tcPr>
            <w:tcW w:w="2303" w:type="dxa"/>
            <w:tcBorders>
              <w:top w:val="nil"/>
              <w:left w:val="nil"/>
              <w:bottom w:val="nil"/>
              <w:right w:val="nil"/>
            </w:tcBorders>
            <w:shd w:val="clear" w:color="auto" w:fill="auto"/>
            <w:noWrap/>
            <w:vAlign w:val="bottom"/>
            <w:hideMark/>
          </w:tcPr>
          <w:p w:rsidR="00202804" w:rsidRDefault="00202804">
            <w:pPr>
              <w:rPr>
                <w:color w:val="000000"/>
                <w:sz w:val="24"/>
                <w:szCs w:val="24"/>
              </w:rPr>
            </w:pPr>
            <w:r>
              <w:rPr>
                <w:color w:val="000000"/>
              </w:rPr>
              <w:t xml:space="preserve">non </w:t>
            </w:r>
            <w:proofErr w:type="spellStart"/>
            <w:r>
              <w:rPr>
                <w:color w:val="000000"/>
              </w:rPr>
              <w:t>curent</w:t>
            </w:r>
            <w:proofErr w:type="spellEnd"/>
            <w:r>
              <w:rPr>
                <w:color w:val="000000"/>
              </w:rPr>
              <w:t xml:space="preserve"> </w:t>
            </w:r>
            <w:proofErr w:type="spellStart"/>
            <w:r>
              <w:rPr>
                <w:color w:val="000000"/>
              </w:rPr>
              <w:t>liabilityes</w:t>
            </w:r>
            <w:proofErr w:type="spellEnd"/>
          </w:p>
        </w:tc>
        <w:tc>
          <w:tcPr>
            <w:tcW w:w="1080" w:type="dxa"/>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6274</w:t>
            </w:r>
          </w:p>
        </w:tc>
        <w:tc>
          <w:tcPr>
            <w:tcW w:w="1080"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6226</w:t>
            </w:r>
          </w:p>
        </w:tc>
        <w:tc>
          <w:tcPr>
            <w:tcW w:w="1080"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48</w:t>
            </w:r>
          </w:p>
        </w:tc>
        <w:tc>
          <w:tcPr>
            <w:tcW w:w="1243"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0.8</w:t>
            </w:r>
          </w:p>
        </w:tc>
      </w:tr>
      <w:tr w:rsidR="00202804" w:rsidTr="00202804">
        <w:trPr>
          <w:gridAfter w:val="2"/>
          <w:wAfter w:w="1812" w:type="dxa"/>
          <w:trHeight w:val="375"/>
        </w:trPr>
        <w:tc>
          <w:tcPr>
            <w:tcW w:w="2303" w:type="dxa"/>
            <w:tcBorders>
              <w:top w:val="nil"/>
              <w:left w:val="nil"/>
              <w:bottom w:val="nil"/>
              <w:right w:val="nil"/>
            </w:tcBorders>
            <w:shd w:val="clear" w:color="auto" w:fill="auto"/>
            <w:noWrap/>
            <w:vAlign w:val="bottom"/>
            <w:hideMark/>
          </w:tcPr>
          <w:p w:rsidR="00202804" w:rsidRDefault="00202804">
            <w:pPr>
              <w:rPr>
                <w:color w:val="000000"/>
                <w:sz w:val="24"/>
                <w:szCs w:val="24"/>
              </w:rPr>
            </w:pPr>
            <w:r>
              <w:rPr>
                <w:color w:val="000000"/>
              </w:rPr>
              <w:t>bank loan</w:t>
            </w:r>
          </w:p>
        </w:tc>
        <w:tc>
          <w:tcPr>
            <w:tcW w:w="1080" w:type="dxa"/>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145</w:t>
            </w:r>
          </w:p>
        </w:tc>
        <w:tc>
          <w:tcPr>
            <w:tcW w:w="1080"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150</w:t>
            </w:r>
          </w:p>
        </w:tc>
        <w:tc>
          <w:tcPr>
            <w:tcW w:w="1080"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-5</w:t>
            </w:r>
          </w:p>
        </w:tc>
        <w:tc>
          <w:tcPr>
            <w:tcW w:w="1243"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-3.3</w:t>
            </w:r>
          </w:p>
        </w:tc>
      </w:tr>
      <w:tr w:rsidR="00202804" w:rsidTr="00202804">
        <w:trPr>
          <w:gridAfter w:val="2"/>
          <w:wAfter w:w="1812" w:type="dxa"/>
          <w:trHeight w:val="375"/>
        </w:trPr>
        <w:tc>
          <w:tcPr>
            <w:tcW w:w="2303" w:type="dxa"/>
            <w:tcBorders>
              <w:top w:val="nil"/>
              <w:left w:val="nil"/>
              <w:bottom w:val="nil"/>
              <w:right w:val="nil"/>
            </w:tcBorders>
            <w:shd w:val="clear" w:color="auto" w:fill="auto"/>
            <w:noWrap/>
            <w:vAlign w:val="bottom"/>
            <w:hideMark/>
          </w:tcPr>
          <w:p w:rsidR="00202804" w:rsidRDefault="00202804">
            <w:pPr>
              <w:rPr>
                <w:color w:val="000000"/>
                <w:sz w:val="24"/>
                <w:szCs w:val="24"/>
              </w:rPr>
            </w:pPr>
            <w:r>
              <w:rPr>
                <w:color w:val="000000"/>
              </w:rPr>
              <w:lastRenderedPageBreak/>
              <w:t xml:space="preserve">net </w:t>
            </w:r>
            <w:proofErr w:type="spellStart"/>
            <w:r>
              <w:rPr>
                <w:color w:val="000000"/>
              </w:rPr>
              <w:t>asets</w:t>
            </w:r>
            <w:proofErr w:type="spellEnd"/>
          </w:p>
        </w:tc>
        <w:tc>
          <w:tcPr>
            <w:tcW w:w="1080" w:type="dxa"/>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6129</w:t>
            </w:r>
          </w:p>
        </w:tc>
        <w:tc>
          <w:tcPr>
            <w:tcW w:w="1080"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6076</w:t>
            </w:r>
          </w:p>
        </w:tc>
        <w:tc>
          <w:tcPr>
            <w:tcW w:w="1080"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53</w:t>
            </w:r>
          </w:p>
        </w:tc>
        <w:tc>
          <w:tcPr>
            <w:tcW w:w="1243"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0.9</w:t>
            </w:r>
          </w:p>
        </w:tc>
      </w:tr>
      <w:tr w:rsidR="00202804" w:rsidTr="00202804">
        <w:trPr>
          <w:gridAfter w:val="2"/>
          <w:wAfter w:w="1812" w:type="dxa"/>
          <w:trHeight w:val="375"/>
        </w:trPr>
        <w:tc>
          <w:tcPr>
            <w:tcW w:w="2303" w:type="dxa"/>
            <w:tcBorders>
              <w:top w:val="nil"/>
              <w:left w:val="nil"/>
              <w:bottom w:val="nil"/>
              <w:right w:val="nil"/>
            </w:tcBorders>
            <w:shd w:val="clear" w:color="auto" w:fill="auto"/>
            <w:noWrap/>
            <w:vAlign w:val="bottom"/>
            <w:hideMark/>
          </w:tcPr>
          <w:p w:rsidR="00202804" w:rsidRDefault="00202804">
            <w:pPr>
              <w:rPr>
                <w:color w:val="000000"/>
                <w:sz w:val="24"/>
                <w:szCs w:val="24"/>
              </w:rPr>
            </w:pPr>
          </w:p>
        </w:tc>
        <w:tc>
          <w:tcPr>
            <w:tcW w:w="1080" w:type="dxa"/>
            <w:tcBorders>
              <w:top w:val="nil"/>
              <w:left w:val="nil"/>
              <w:bottom w:val="nil"/>
              <w:right w:val="nil"/>
            </w:tcBorders>
            <w:shd w:val="clear" w:color="auto" w:fill="auto"/>
            <w:noWrap/>
            <w:vAlign w:val="bottom"/>
            <w:hideMark/>
          </w:tcPr>
          <w:p w:rsidR="00202804" w:rsidRDefault="00202804">
            <w:pPr>
              <w:rPr>
                <w:color w:val="000000"/>
                <w:sz w:val="24"/>
                <w:szCs w:val="24"/>
              </w:rPr>
            </w:pPr>
          </w:p>
        </w:tc>
        <w:tc>
          <w:tcPr>
            <w:tcW w:w="1080" w:type="dxa"/>
            <w:gridSpan w:val="2"/>
            <w:tcBorders>
              <w:top w:val="nil"/>
              <w:left w:val="nil"/>
              <w:bottom w:val="nil"/>
              <w:right w:val="nil"/>
            </w:tcBorders>
            <w:shd w:val="clear" w:color="auto" w:fill="auto"/>
            <w:noWrap/>
            <w:vAlign w:val="bottom"/>
            <w:hideMark/>
          </w:tcPr>
          <w:p w:rsidR="00202804" w:rsidRDefault="00202804">
            <w:pPr>
              <w:rPr>
                <w:color w:val="000000"/>
                <w:sz w:val="24"/>
                <w:szCs w:val="24"/>
              </w:rPr>
            </w:pPr>
          </w:p>
        </w:tc>
        <w:tc>
          <w:tcPr>
            <w:tcW w:w="1080" w:type="dxa"/>
            <w:gridSpan w:val="2"/>
            <w:tcBorders>
              <w:top w:val="nil"/>
              <w:left w:val="nil"/>
              <w:bottom w:val="nil"/>
              <w:right w:val="nil"/>
            </w:tcBorders>
            <w:shd w:val="clear" w:color="auto" w:fill="auto"/>
            <w:noWrap/>
            <w:vAlign w:val="bottom"/>
            <w:hideMark/>
          </w:tcPr>
          <w:p w:rsidR="00202804" w:rsidRDefault="00202804">
            <w:pPr>
              <w:rPr>
                <w:color w:val="000000"/>
                <w:sz w:val="24"/>
                <w:szCs w:val="24"/>
              </w:rPr>
            </w:pPr>
          </w:p>
        </w:tc>
        <w:tc>
          <w:tcPr>
            <w:tcW w:w="1243" w:type="dxa"/>
            <w:gridSpan w:val="2"/>
            <w:tcBorders>
              <w:top w:val="nil"/>
              <w:left w:val="nil"/>
              <w:bottom w:val="nil"/>
              <w:right w:val="nil"/>
            </w:tcBorders>
            <w:shd w:val="clear" w:color="auto" w:fill="auto"/>
            <w:noWrap/>
            <w:vAlign w:val="bottom"/>
            <w:hideMark/>
          </w:tcPr>
          <w:p w:rsidR="00202804" w:rsidRDefault="00202804">
            <w:pPr>
              <w:rPr>
                <w:color w:val="000000"/>
                <w:sz w:val="24"/>
                <w:szCs w:val="24"/>
              </w:rPr>
            </w:pPr>
          </w:p>
        </w:tc>
      </w:tr>
      <w:tr w:rsidR="00202804" w:rsidTr="00202804">
        <w:trPr>
          <w:gridAfter w:val="2"/>
          <w:wAfter w:w="1812" w:type="dxa"/>
          <w:trHeight w:val="375"/>
        </w:trPr>
        <w:tc>
          <w:tcPr>
            <w:tcW w:w="2303" w:type="dxa"/>
            <w:tcBorders>
              <w:top w:val="nil"/>
              <w:left w:val="nil"/>
              <w:bottom w:val="nil"/>
              <w:right w:val="nil"/>
            </w:tcBorders>
            <w:shd w:val="clear" w:color="auto" w:fill="auto"/>
            <w:noWrap/>
            <w:vAlign w:val="bottom"/>
            <w:hideMark/>
          </w:tcPr>
          <w:p w:rsidR="00202804" w:rsidRDefault="00202804">
            <w:pPr>
              <w:rPr>
                <w:color w:val="000000"/>
                <w:sz w:val="24"/>
                <w:szCs w:val="24"/>
              </w:rPr>
            </w:pPr>
            <w:r>
              <w:rPr>
                <w:color w:val="000000"/>
              </w:rPr>
              <w:t>capital and reserve</w:t>
            </w:r>
          </w:p>
        </w:tc>
        <w:tc>
          <w:tcPr>
            <w:tcW w:w="1080" w:type="dxa"/>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2,056</w:t>
            </w:r>
          </w:p>
        </w:tc>
        <w:tc>
          <w:tcPr>
            <w:tcW w:w="1080"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2,068</w:t>
            </w:r>
          </w:p>
        </w:tc>
        <w:tc>
          <w:tcPr>
            <w:tcW w:w="1080"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-12</w:t>
            </w:r>
          </w:p>
        </w:tc>
        <w:tc>
          <w:tcPr>
            <w:tcW w:w="1243"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-0.6</w:t>
            </w:r>
          </w:p>
        </w:tc>
      </w:tr>
      <w:tr w:rsidR="00202804" w:rsidTr="00202804">
        <w:trPr>
          <w:gridAfter w:val="2"/>
          <w:wAfter w:w="1812" w:type="dxa"/>
          <w:trHeight w:val="375"/>
        </w:trPr>
        <w:tc>
          <w:tcPr>
            <w:tcW w:w="2303" w:type="dxa"/>
            <w:tcBorders>
              <w:top w:val="nil"/>
              <w:left w:val="nil"/>
              <w:bottom w:val="nil"/>
              <w:right w:val="nil"/>
            </w:tcBorders>
            <w:shd w:val="clear" w:color="auto" w:fill="auto"/>
            <w:noWrap/>
            <w:vAlign w:val="bottom"/>
            <w:hideMark/>
          </w:tcPr>
          <w:p w:rsidR="00202804" w:rsidRDefault="00202804">
            <w:pPr>
              <w:rPr>
                <w:color w:val="000000"/>
                <w:sz w:val="24"/>
                <w:szCs w:val="24"/>
              </w:rPr>
            </w:pPr>
            <w:r>
              <w:rPr>
                <w:color w:val="000000"/>
              </w:rPr>
              <w:t>profit for the year</w:t>
            </w:r>
          </w:p>
        </w:tc>
        <w:tc>
          <w:tcPr>
            <w:tcW w:w="1080" w:type="dxa"/>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4073</w:t>
            </w:r>
          </w:p>
        </w:tc>
        <w:tc>
          <w:tcPr>
            <w:tcW w:w="1080"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4,008</w:t>
            </w:r>
          </w:p>
        </w:tc>
        <w:tc>
          <w:tcPr>
            <w:tcW w:w="1080"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65</w:t>
            </w:r>
          </w:p>
        </w:tc>
        <w:tc>
          <w:tcPr>
            <w:tcW w:w="1243"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1.6</w:t>
            </w:r>
          </w:p>
        </w:tc>
      </w:tr>
      <w:tr w:rsidR="00202804" w:rsidTr="00202804">
        <w:trPr>
          <w:gridAfter w:val="2"/>
          <w:wAfter w:w="1812" w:type="dxa"/>
          <w:trHeight w:val="375"/>
        </w:trPr>
        <w:tc>
          <w:tcPr>
            <w:tcW w:w="2303" w:type="dxa"/>
            <w:tcBorders>
              <w:top w:val="nil"/>
              <w:left w:val="nil"/>
              <w:bottom w:val="nil"/>
              <w:right w:val="nil"/>
            </w:tcBorders>
            <w:shd w:val="clear" w:color="auto" w:fill="auto"/>
            <w:noWrap/>
            <w:vAlign w:val="bottom"/>
            <w:hideMark/>
          </w:tcPr>
          <w:p w:rsidR="00202804" w:rsidRDefault="00202804">
            <w:pPr>
              <w:rPr>
                <w:color w:val="000000"/>
                <w:sz w:val="24"/>
                <w:szCs w:val="24"/>
              </w:rPr>
            </w:pPr>
            <w:r>
              <w:rPr>
                <w:color w:val="000000"/>
              </w:rPr>
              <w:t>total equity</w:t>
            </w:r>
          </w:p>
        </w:tc>
        <w:tc>
          <w:tcPr>
            <w:tcW w:w="1080" w:type="dxa"/>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6,129</w:t>
            </w:r>
          </w:p>
        </w:tc>
        <w:tc>
          <w:tcPr>
            <w:tcW w:w="1080"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6,076</w:t>
            </w:r>
          </w:p>
        </w:tc>
        <w:tc>
          <w:tcPr>
            <w:tcW w:w="1080"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53</w:t>
            </w:r>
          </w:p>
        </w:tc>
        <w:tc>
          <w:tcPr>
            <w:tcW w:w="1243" w:type="dxa"/>
            <w:gridSpan w:val="2"/>
            <w:tcBorders>
              <w:top w:val="nil"/>
              <w:left w:val="nil"/>
              <w:bottom w:val="nil"/>
              <w:right w:val="nil"/>
            </w:tcBorders>
            <w:shd w:val="clear" w:color="auto" w:fill="auto"/>
            <w:noWrap/>
            <w:vAlign w:val="bottom"/>
            <w:hideMark/>
          </w:tcPr>
          <w:p w:rsidR="00202804" w:rsidRDefault="00202804">
            <w:pPr>
              <w:jc w:val="right"/>
              <w:rPr>
                <w:color w:val="000000"/>
                <w:sz w:val="24"/>
                <w:szCs w:val="24"/>
              </w:rPr>
            </w:pPr>
            <w:r>
              <w:rPr>
                <w:color w:val="000000"/>
              </w:rPr>
              <w:t>0.9</w:t>
            </w:r>
          </w:p>
        </w:tc>
      </w:tr>
      <w:tr w:rsidR="00202804" w:rsidTr="00202804">
        <w:trPr>
          <w:gridAfter w:val="2"/>
          <w:wAfter w:w="1812" w:type="dxa"/>
          <w:trHeight w:val="375"/>
        </w:trPr>
        <w:tc>
          <w:tcPr>
            <w:tcW w:w="2303" w:type="dxa"/>
            <w:tcBorders>
              <w:top w:val="nil"/>
              <w:left w:val="nil"/>
              <w:bottom w:val="nil"/>
              <w:right w:val="nil"/>
            </w:tcBorders>
            <w:shd w:val="clear" w:color="auto" w:fill="auto"/>
            <w:noWrap/>
            <w:vAlign w:val="bottom"/>
            <w:hideMark/>
          </w:tcPr>
          <w:p w:rsidR="00202804" w:rsidRDefault="00202804">
            <w:pPr>
              <w:rPr>
                <w:color w:val="000000"/>
                <w:sz w:val="24"/>
                <w:szCs w:val="24"/>
              </w:rPr>
            </w:pPr>
          </w:p>
        </w:tc>
        <w:tc>
          <w:tcPr>
            <w:tcW w:w="1080" w:type="dxa"/>
            <w:tcBorders>
              <w:top w:val="nil"/>
              <w:left w:val="nil"/>
              <w:bottom w:val="nil"/>
              <w:right w:val="nil"/>
            </w:tcBorders>
            <w:shd w:val="clear" w:color="auto" w:fill="auto"/>
            <w:noWrap/>
            <w:vAlign w:val="bottom"/>
            <w:hideMark/>
          </w:tcPr>
          <w:p w:rsidR="00202804" w:rsidRDefault="00202804">
            <w:pPr>
              <w:rPr>
                <w:color w:val="000000"/>
                <w:sz w:val="24"/>
                <w:szCs w:val="24"/>
              </w:rPr>
            </w:pPr>
          </w:p>
        </w:tc>
        <w:tc>
          <w:tcPr>
            <w:tcW w:w="1080" w:type="dxa"/>
            <w:gridSpan w:val="2"/>
            <w:tcBorders>
              <w:top w:val="nil"/>
              <w:left w:val="nil"/>
              <w:bottom w:val="nil"/>
              <w:right w:val="nil"/>
            </w:tcBorders>
            <w:shd w:val="clear" w:color="auto" w:fill="auto"/>
            <w:noWrap/>
            <w:vAlign w:val="bottom"/>
            <w:hideMark/>
          </w:tcPr>
          <w:p w:rsidR="00202804" w:rsidRDefault="00202804">
            <w:pPr>
              <w:rPr>
                <w:color w:val="000000"/>
                <w:sz w:val="24"/>
                <w:szCs w:val="24"/>
              </w:rPr>
            </w:pPr>
          </w:p>
        </w:tc>
        <w:tc>
          <w:tcPr>
            <w:tcW w:w="1080" w:type="dxa"/>
            <w:gridSpan w:val="2"/>
            <w:tcBorders>
              <w:top w:val="nil"/>
              <w:left w:val="nil"/>
              <w:bottom w:val="nil"/>
              <w:right w:val="nil"/>
            </w:tcBorders>
            <w:shd w:val="clear" w:color="auto" w:fill="auto"/>
            <w:noWrap/>
            <w:vAlign w:val="bottom"/>
            <w:hideMark/>
          </w:tcPr>
          <w:p w:rsidR="00202804" w:rsidRDefault="00202804">
            <w:pPr>
              <w:rPr>
                <w:color w:val="000000"/>
                <w:sz w:val="24"/>
                <w:szCs w:val="24"/>
              </w:rPr>
            </w:pPr>
          </w:p>
        </w:tc>
        <w:tc>
          <w:tcPr>
            <w:tcW w:w="1243" w:type="dxa"/>
            <w:gridSpan w:val="2"/>
            <w:tcBorders>
              <w:top w:val="nil"/>
              <w:left w:val="nil"/>
              <w:bottom w:val="nil"/>
              <w:right w:val="nil"/>
            </w:tcBorders>
            <w:shd w:val="clear" w:color="auto" w:fill="auto"/>
            <w:noWrap/>
            <w:vAlign w:val="bottom"/>
            <w:hideMark/>
          </w:tcPr>
          <w:p w:rsidR="00202804" w:rsidRDefault="00202804">
            <w:pPr>
              <w:rPr>
                <w:color w:val="000000"/>
                <w:sz w:val="24"/>
                <w:szCs w:val="24"/>
              </w:rPr>
            </w:pPr>
          </w:p>
        </w:tc>
      </w:tr>
      <w:tr w:rsidR="00202804" w:rsidRPr="00202804" w:rsidTr="00202804">
        <w:trPr>
          <w:trHeight w:val="375"/>
        </w:trPr>
        <w:tc>
          <w:tcPr>
            <w:tcW w:w="4443" w:type="dxa"/>
            <w:gridSpan w:val="3"/>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8"/>
                <w:szCs w:val="28"/>
                <w:lang w:eastAsia="en-GB"/>
              </w:rPr>
            </w:pP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696"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1234" w:type="dxa"/>
            <w:gridSpan w:val="2"/>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1529"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r>
    </w:tbl>
    <w:p w:rsidR="00015BF9" w:rsidRPr="00015BF9" w:rsidRDefault="00015BF9" w:rsidP="00015BF9">
      <w:pPr>
        <w:rPr>
          <w:rFonts w:ascii="Arial" w:hAnsi="Arial" w:cs="Arial"/>
          <w:sz w:val="24"/>
          <w:szCs w:val="24"/>
        </w:rPr>
      </w:pPr>
    </w:p>
    <w:p w:rsidR="00015BF9" w:rsidRPr="002D6992" w:rsidRDefault="00015BF9" w:rsidP="002D6992">
      <w:pPr>
        <w:rPr>
          <w:rFonts w:ascii="Arial" w:hAnsi="Arial" w:cs="Arial"/>
          <w:sz w:val="24"/>
          <w:szCs w:val="24"/>
        </w:rPr>
      </w:pPr>
    </w:p>
    <w:tbl>
      <w:tblPr>
        <w:tblW w:w="8460" w:type="dxa"/>
        <w:tblInd w:w="93" w:type="dxa"/>
        <w:tblLook w:val="04A0"/>
      </w:tblPr>
      <w:tblGrid>
        <w:gridCol w:w="3960"/>
        <w:gridCol w:w="1080"/>
        <w:gridCol w:w="1080"/>
        <w:gridCol w:w="1109"/>
        <w:gridCol w:w="1429"/>
      </w:tblGrid>
      <w:tr w:rsidR="00202804" w:rsidRPr="00202804" w:rsidTr="00202804">
        <w:trPr>
          <w:trHeight w:val="375"/>
        </w:trPr>
        <w:tc>
          <w:tcPr>
            <w:tcW w:w="396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8"/>
                <w:szCs w:val="28"/>
                <w:lang w:eastAsia="en-GB"/>
              </w:rPr>
            </w:pPr>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126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r>
      <w:tr w:rsidR="00202804" w:rsidRPr="00202804" w:rsidTr="00202804">
        <w:trPr>
          <w:trHeight w:val="375"/>
        </w:trPr>
        <w:tc>
          <w:tcPr>
            <w:tcW w:w="396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8"/>
                <w:szCs w:val="28"/>
                <w:lang w:eastAsia="en-GB"/>
              </w:rPr>
            </w:pPr>
            <w:r w:rsidRPr="00202804">
              <w:rPr>
                <w:rFonts w:ascii="Times New Roman" w:eastAsia="Times New Roman" w:hAnsi="Times New Roman" w:cs="Times New Roman"/>
                <w:color w:val="000000"/>
                <w:sz w:val="28"/>
                <w:szCs w:val="28"/>
                <w:lang w:eastAsia="en-GB"/>
              </w:rPr>
              <w:t>ratios</w:t>
            </w:r>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2019</w:t>
            </w:r>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2018</w:t>
            </w:r>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roofErr w:type="spellStart"/>
            <w:r w:rsidRPr="00202804">
              <w:rPr>
                <w:rFonts w:ascii="Times New Roman" w:eastAsia="Times New Roman" w:hAnsi="Times New Roman" w:cs="Times New Roman"/>
                <w:color w:val="000000"/>
                <w:sz w:val="24"/>
                <w:szCs w:val="24"/>
                <w:lang w:eastAsia="en-GB"/>
              </w:rPr>
              <w:t>diference</w:t>
            </w:r>
            <w:proofErr w:type="spellEnd"/>
          </w:p>
        </w:tc>
        <w:tc>
          <w:tcPr>
            <w:tcW w:w="126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performance</w:t>
            </w:r>
          </w:p>
        </w:tc>
      </w:tr>
      <w:tr w:rsidR="00202804" w:rsidRPr="00202804" w:rsidTr="00202804">
        <w:trPr>
          <w:trHeight w:val="375"/>
        </w:trPr>
        <w:tc>
          <w:tcPr>
            <w:tcW w:w="396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8"/>
                <w:szCs w:val="28"/>
                <w:lang w:eastAsia="en-GB"/>
              </w:rPr>
            </w:pPr>
            <w:proofErr w:type="spellStart"/>
            <w:r w:rsidRPr="00202804">
              <w:rPr>
                <w:rFonts w:ascii="Times New Roman" w:eastAsia="Times New Roman" w:hAnsi="Times New Roman" w:cs="Times New Roman"/>
                <w:color w:val="000000"/>
                <w:sz w:val="28"/>
                <w:szCs w:val="28"/>
                <w:lang w:eastAsia="en-GB"/>
              </w:rPr>
              <w:t>roce</w:t>
            </w:r>
            <w:proofErr w:type="spellEnd"/>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17.2</w:t>
            </w:r>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16.7</w:t>
            </w:r>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0.4</w:t>
            </w:r>
          </w:p>
        </w:tc>
        <w:tc>
          <w:tcPr>
            <w:tcW w:w="126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0.4</w:t>
            </w:r>
          </w:p>
        </w:tc>
      </w:tr>
      <w:tr w:rsidR="00202804" w:rsidRPr="00202804" w:rsidTr="00202804">
        <w:trPr>
          <w:trHeight w:val="375"/>
        </w:trPr>
        <w:tc>
          <w:tcPr>
            <w:tcW w:w="396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8"/>
                <w:szCs w:val="28"/>
                <w:lang w:eastAsia="en-GB"/>
              </w:rPr>
            </w:pPr>
            <w:r w:rsidRPr="00202804">
              <w:rPr>
                <w:rFonts w:ascii="Times New Roman" w:eastAsia="Times New Roman" w:hAnsi="Times New Roman" w:cs="Times New Roman"/>
                <w:color w:val="000000"/>
                <w:sz w:val="28"/>
                <w:szCs w:val="28"/>
                <w:lang w:eastAsia="en-GB"/>
              </w:rPr>
              <w:t>assets turn over</w:t>
            </w:r>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1.0</w:t>
            </w:r>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0.9</w:t>
            </w:r>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0.1</w:t>
            </w:r>
          </w:p>
        </w:tc>
        <w:tc>
          <w:tcPr>
            <w:tcW w:w="126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8.3</w:t>
            </w:r>
          </w:p>
        </w:tc>
      </w:tr>
      <w:tr w:rsidR="00202804" w:rsidRPr="00202804" w:rsidTr="00202804">
        <w:trPr>
          <w:trHeight w:val="375"/>
        </w:trPr>
        <w:tc>
          <w:tcPr>
            <w:tcW w:w="396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8"/>
                <w:szCs w:val="28"/>
                <w:lang w:eastAsia="en-GB"/>
              </w:rPr>
            </w:pPr>
            <w:r w:rsidRPr="00202804">
              <w:rPr>
                <w:rFonts w:ascii="Times New Roman" w:eastAsia="Times New Roman" w:hAnsi="Times New Roman" w:cs="Times New Roman"/>
                <w:color w:val="000000"/>
                <w:sz w:val="28"/>
                <w:szCs w:val="28"/>
                <w:lang w:eastAsia="en-GB"/>
              </w:rPr>
              <w:t>gross profit turnover</w:t>
            </w:r>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85.8</w:t>
            </w:r>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91.8</w:t>
            </w:r>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-6.0</w:t>
            </w:r>
          </w:p>
        </w:tc>
        <w:tc>
          <w:tcPr>
            <w:tcW w:w="126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-6.0</w:t>
            </w:r>
          </w:p>
        </w:tc>
      </w:tr>
      <w:tr w:rsidR="00202804" w:rsidRPr="00202804" w:rsidTr="00202804">
        <w:trPr>
          <w:trHeight w:val="375"/>
        </w:trPr>
        <w:tc>
          <w:tcPr>
            <w:tcW w:w="396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8"/>
                <w:szCs w:val="28"/>
                <w:lang w:eastAsia="en-GB"/>
              </w:rPr>
            </w:pPr>
            <w:r w:rsidRPr="00202804">
              <w:rPr>
                <w:rFonts w:ascii="Times New Roman" w:eastAsia="Times New Roman" w:hAnsi="Times New Roman" w:cs="Times New Roman"/>
                <w:color w:val="000000"/>
                <w:sz w:val="28"/>
                <w:szCs w:val="28"/>
                <w:lang w:eastAsia="en-GB"/>
              </w:rPr>
              <w:t>net operating profit</w:t>
            </w:r>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18.0</w:t>
            </w:r>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18.9</w:t>
            </w:r>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-1.0</w:t>
            </w:r>
          </w:p>
        </w:tc>
        <w:tc>
          <w:tcPr>
            <w:tcW w:w="126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-1.0</w:t>
            </w:r>
          </w:p>
        </w:tc>
      </w:tr>
      <w:tr w:rsidR="00202804" w:rsidRPr="00202804" w:rsidTr="00202804">
        <w:trPr>
          <w:trHeight w:val="375"/>
        </w:trPr>
        <w:tc>
          <w:tcPr>
            <w:tcW w:w="396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8"/>
                <w:szCs w:val="28"/>
                <w:lang w:eastAsia="en-GB"/>
              </w:rPr>
            </w:pPr>
            <w:proofErr w:type="spellStart"/>
            <w:r w:rsidRPr="00202804">
              <w:rPr>
                <w:rFonts w:ascii="Times New Roman" w:eastAsia="Times New Roman" w:hAnsi="Times New Roman" w:cs="Times New Roman"/>
                <w:color w:val="000000"/>
                <w:sz w:val="28"/>
                <w:szCs w:val="28"/>
                <w:lang w:eastAsia="en-GB"/>
              </w:rPr>
              <w:t>curent</w:t>
            </w:r>
            <w:proofErr w:type="spellEnd"/>
            <w:r w:rsidRPr="00202804">
              <w:rPr>
                <w:rFonts w:ascii="Times New Roman" w:eastAsia="Times New Roman" w:hAnsi="Times New Roman" w:cs="Times New Roman"/>
                <w:color w:val="000000"/>
                <w:sz w:val="28"/>
                <w:szCs w:val="28"/>
                <w:lang w:eastAsia="en-GB"/>
              </w:rPr>
              <w:t xml:space="preserve"> ratio</w:t>
            </w:r>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4.9</w:t>
            </w:r>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5.6</w:t>
            </w:r>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-0.8</w:t>
            </w:r>
          </w:p>
        </w:tc>
        <w:tc>
          <w:tcPr>
            <w:tcW w:w="126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-13.6</w:t>
            </w:r>
          </w:p>
        </w:tc>
      </w:tr>
      <w:tr w:rsidR="00202804" w:rsidRPr="00202804" w:rsidTr="00202804">
        <w:trPr>
          <w:trHeight w:val="375"/>
        </w:trPr>
        <w:tc>
          <w:tcPr>
            <w:tcW w:w="396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8"/>
                <w:szCs w:val="28"/>
                <w:lang w:eastAsia="en-GB"/>
              </w:rPr>
            </w:pPr>
            <w:r w:rsidRPr="00202804">
              <w:rPr>
                <w:rFonts w:ascii="Times New Roman" w:eastAsia="Times New Roman" w:hAnsi="Times New Roman" w:cs="Times New Roman"/>
                <w:color w:val="000000"/>
                <w:sz w:val="28"/>
                <w:szCs w:val="28"/>
                <w:lang w:eastAsia="en-GB"/>
              </w:rPr>
              <w:t xml:space="preserve">acid </w:t>
            </w:r>
            <w:proofErr w:type="spellStart"/>
            <w:r w:rsidRPr="00202804">
              <w:rPr>
                <w:rFonts w:ascii="Times New Roman" w:eastAsia="Times New Roman" w:hAnsi="Times New Roman" w:cs="Times New Roman"/>
                <w:color w:val="000000"/>
                <w:sz w:val="28"/>
                <w:szCs w:val="28"/>
                <w:lang w:eastAsia="en-GB"/>
              </w:rPr>
              <w:t>tes</w:t>
            </w:r>
            <w:proofErr w:type="spellEnd"/>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4.0</w:t>
            </w:r>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4.6</w:t>
            </w:r>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-0.6</w:t>
            </w:r>
          </w:p>
        </w:tc>
        <w:tc>
          <w:tcPr>
            <w:tcW w:w="126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-12.3</w:t>
            </w:r>
          </w:p>
        </w:tc>
      </w:tr>
      <w:tr w:rsidR="00202804" w:rsidRPr="00202804" w:rsidTr="00202804">
        <w:trPr>
          <w:trHeight w:val="375"/>
        </w:trPr>
        <w:tc>
          <w:tcPr>
            <w:tcW w:w="396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8"/>
                <w:szCs w:val="28"/>
                <w:lang w:eastAsia="en-GB"/>
              </w:rPr>
            </w:pPr>
            <w:r w:rsidRPr="00202804">
              <w:rPr>
                <w:rFonts w:ascii="Times New Roman" w:eastAsia="Times New Roman" w:hAnsi="Times New Roman" w:cs="Times New Roman"/>
                <w:color w:val="000000"/>
                <w:sz w:val="28"/>
                <w:szCs w:val="28"/>
                <w:lang w:eastAsia="en-GB"/>
              </w:rPr>
              <w:t>creditor days</w:t>
            </w:r>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374</w:t>
            </w:r>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649</w:t>
            </w:r>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-275.3</w:t>
            </w:r>
          </w:p>
        </w:tc>
        <w:tc>
          <w:tcPr>
            <w:tcW w:w="126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-42.4</w:t>
            </w:r>
          </w:p>
        </w:tc>
      </w:tr>
      <w:tr w:rsidR="00202804" w:rsidRPr="00202804" w:rsidTr="00202804">
        <w:trPr>
          <w:trHeight w:val="375"/>
        </w:trPr>
        <w:tc>
          <w:tcPr>
            <w:tcW w:w="396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8"/>
                <w:szCs w:val="28"/>
                <w:lang w:eastAsia="en-GB"/>
              </w:rPr>
            </w:pPr>
            <w:r w:rsidRPr="00202804">
              <w:rPr>
                <w:rFonts w:ascii="Times New Roman" w:eastAsia="Times New Roman" w:hAnsi="Times New Roman" w:cs="Times New Roman"/>
                <w:color w:val="000000"/>
                <w:sz w:val="28"/>
                <w:szCs w:val="28"/>
                <w:lang w:eastAsia="en-GB"/>
              </w:rPr>
              <w:t>debtor days</w:t>
            </w:r>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52.9</w:t>
            </w:r>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53.1</w:t>
            </w:r>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-0.2</w:t>
            </w:r>
          </w:p>
        </w:tc>
        <w:tc>
          <w:tcPr>
            <w:tcW w:w="126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-0.3</w:t>
            </w:r>
          </w:p>
        </w:tc>
      </w:tr>
      <w:tr w:rsidR="00202804" w:rsidRPr="00202804" w:rsidTr="00202804">
        <w:trPr>
          <w:trHeight w:val="375"/>
        </w:trPr>
        <w:tc>
          <w:tcPr>
            <w:tcW w:w="396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8"/>
                <w:szCs w:val="28"/>
                <w:lang w:eastAsia="en-GB"/>
              </w:rPr>
            </w:pPr>
            <w:r w:rsidRPr="00202804">
              <w:rPr>
                <w:rFonts w:ascii="Times New Roman" w:eastAsia="Times New Roman" w:hAnsi="Times New Roman" w:cs="Times New Roman"/>
                <w:color w:val="000000"/>
                <w:sz w:val="28"/>
                <w:szCs w:val="28"/>
                <w:lang w:eastAsia="en-GB"/>
              </w:rPr>
              <w:t>gearing 1</w:t>
            </w:r>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2</w:t>
            </w:r>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2.5</w:t>
            </w:r>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-0.1</w:t>
            </w:r>
          </w:p>
        </w:tc>
        <w:tc>
          <w:tcPr>
            <w:tcW w:w="126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-0.1</w:t>
            </w:r>
          </w:p>
        </w:tc>
      </w:tr>
      <w:tr w:rsidR="00202804" w:rsidRPr="00202804" w:rsidTr="00202804">
        <w:trPr>
          <w:trHeight w:val="375"/>
        </w:trPr>
        <w:tc>
          <w:tcPr>
            <w:tcW w:w="396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8"/>
                <w:szCs w:val="28"/>
                <w:lang w:eastAsia="en-GB"/>
              </w:rPr>
            </w:pPr>
            <w:r w:rsidRPr="00202804">
              <w:rPr>
                <w:rFonts w:ascii="Times New Roman" w:eastAsia="Times New Roman" w:hAnsi="Times New Roman" w:cs="Times New Roman"/>
                <w:color w:val="000000"/>
                <w:sz w:val="28"/>
                <w:szCs w:val="28"/>
                <w:lang w:eastAsia="en-GB"/>
              </w:rPr>
              <w:t>gearing 2</w:t>
            </w:r>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2</w:t>
            </w:r>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2.4</w:t>
            </w:r>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-0.1</w:t>
            </w:r>
          </w:p>
        </w:tc>
        <w:tc>
          <w:tcPr>
            <w:tcW w:w="126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-0.1</w:t>
            </w:r>
          </w:p>
        </w:tc>
      </w:tr>
      <w:tr w:rsidR="00202804" w:rsidRPr="00202804" w:rsidTr="00202804">
        <w:trPr>
          <w:trHeight w:val="375"/>
        </w:trPr>
        <w:tc>
          <w:tcPr>
            <w:tcW w:w="396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8"/>
                <w:szCs w:val="28"/>
                <w:lang w:eastAsia="en-GB"/>
              </w:rPr>
            </w:pPr>
            <w:r w:rsidRPr="00202804">
              <w:rPr>
                <w:rFonts w:ascii="Times New Roman" w:eastAsia="Times New Roman" w:hAnsi="Times New Roman" w:cs="Times New Roman"/>
                <w:color w:val="000000"/>
                <w:sz w:val="28"/>
                <w:szCs w:val="28"/>
                <w:lang w:eastAsia="en-GB"/>
              </w:rPr>
              <w:t>interest cover</w:t>
            </w:r>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59.8</w:t>
            </w:r>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52.1</w:t>
            </w:r>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7.7</w:t>
            </w:r>
          </w:p>
        </w:tc>
        <w:tc>
          <w:tcPr>
            <w:tcW w:w="126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jc w:val="right"/>
              <w:rPr>
                <w:rFonts w:ascii="Times New Roman" w:eastAsia="Times New Roman" w:hAnsi="Times New Roman" w:cs="Times New Roman"/>
                <w:color w:val="000000"/>
                <w:sz w:val="24"/>
                <w:szCs w:val="24"/>
                <w:lang w:eastAsia="en-GB"/>
              </w:rPr>
            </w:pPr>
            <w:r w:rsidRPr="00202804">
              <w:rPr>
                <w:rFonts w:ascii="Times New Roman" w:eastAsia="Times New Roman" w:hAnsi="Times New Roman" w:cs="Times New Roman"/>
                <w:color w:val="000000"/>
                <w:sz w:val="24"/>
                <w:szCs w:val="24"/>
                <w:lang w:eastAsia="en-GB"/>
              </w:rPr>
              <w:t>14.8</w:t>
            </w:r>
          </w:p>
        </w:tc>
      </w:tr>
      <w:tr w:rsidR="00202804" w:rsidRPr="00202804" w:rsidTr="00202804">
        <w:trPr>
          <w:trHeight w:val="375"/>
        </w:trPr>
        <w:tc>
          <w:tcPr>
            <w:tcW w:w="396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8"/>
                <w:szCs w:val="28"/>
                <w:lang w:eastAsia="en-GB"/>
              </w:rPr>
            </w:pPr>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108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c>
          <w:tcPr>
            <w:tcW w:w="1260" w:type="dxa"/>
            <w:tcBorders>
              <w:top w:val="nil"/>
              <w:left w:val="nil"/>
              <w:bottom w:val="nil"/>
              <w:right w:val="nil"/>
            </w:tcBorders>
            <w:shd w:val="clear" w:color="auto" w:fill="auto"/>
            <w:noWrap/>
            <w:vAlign w:val="bottom"/>
            <w:hideMark/>
          </w:tcPr>
          <w:p w:rsidR="00202804" w:rsidRPr="00202804" w:rsidRDefault="00202804" w:rsidP="00202804">
            <w:pPr>
              <w:spacing w:after="0" w:line="240" w:lineRule="auto"/>
              <w:rPr>
                <w:rFonts w:ascii="Times New Roman" w:eastAsia="Times New Roman" w:hAnsi="Times New Roman" w:cs="Times New Roman"/>
                <w:color w:val="000000"/>
                <w:sz w:val="24"/>
                <w:szCs w:val="24"/>
                <w:lang w:eastAsia="en-GB"/>
              </w:rPr>
            </w:pPr>
          </w:p>
        </w:tc>
      </w:tr>
    </w:tbl>
    <w:p w:rsidR="002D6992" w:rsidRPr="002D6992" w:rsidRDefault="002D6992" w:rsidP="002D6992"/>
    <w:p w:rsidR="002D6992" w:rsidRDefault="003123DE" w:rsidP="003123DE">
      <w:pPr>
        <w:pStyle w:val="Heading1"/>
      </w:pPr>
      <w:r>
        <w:t>Calculate ratios...</w:t>
      </w:r>
    </w:p>
    <w:p w:rsidR="003123DE" w:rsidRDefault="003123DE" w:rsidP="003123DE">
      <w:r w:rsidRPr="003123DE">
        <w:t xml:space="preserve">Financial accounting reports provide users with a broad overview of the performance and position of the business for a </w:t>
      </w:r>
      <w:proofErr w:type="gramStart"/>
      <w:r w:rsidRPr="003123DE">
        <w:t>period</w:t>
      </w:r>
      <w:r>
        <w:t xml:space="preserve"> .</w:t>
      </w:r>
      <w:proofErr w:type="gramEnd"/>
      <w:r w:rsidRPr="00A10782">
        <w:t xml:space="preserve"> </w:t>
      </w:r>
      <w:r w:rsidRPr="003123DE">
        <w:t xml:space="preserve">The reason for providing the information is to improve the quality of the decisions. This should lead to actions that better contribute to the </w:t>
      </w:r>
      <w:proofErr w:type="spellStart"/>
      <w:r w:rsidRPr="003123DE">
        <w:t>fu</w:t>
      </w:r>
      <w:r>
        <w:t>l</w:t>
      </w:r>
      <w:r w:rsidRPr="003123DE">
        <w:t>lﬁlment</w:t>
      </w:r>
      <w:proofErr w:type="spellEnd"/>
      <w:r w:rsidRPr="003123DE">
        <w:t xml:space="preserve"> of the business </w:t>
      </w:r>
      <w:r w:rsidR="00EA51C2" w:rsidRPr="003123DE">
        <w:t>objectives</w:t>
      </w:r>
      <w:r w:rsidR="00EA51C2">
        <w:t xml:space="preserve">. </w:t>
      </w:r>
      <w:r>
        <w:t xml:space="preserve"> N</w:t>
      </w:r>
      <w:r w:rsidRPr="003123DE">
        <w:t>ow let's do a detailed analysis of our report</w:t>
      </w:r>
      <w:r>
        <w:t>.</w:t>
      </w:r>
    </w:p>
    <w:p w:rsidR="00EA51C2" w:rsidRDefault="00A00B01" w:rsidP="00A00B01">
      <w:pPr>
        <w:pStyle w:val="Heading1"/>
      </w:pPr>
      <w:r>
        <w:lastRenderedPageBreak/>
        <w:t>Profitability</w:t>
      </w:r>
      <w:proofErr w:type="gramStart"/>
      <w:r>
        <w:t>..</w:t>
      </w:r>
      <w:proofErr w:type="gramEnd"/>
    </w:p>
    <w:p w:rsidR="00062838" w:rsidRPr="00062838" w:rsidRDefault="00062838" w:rsidP="00062838"/>
    <w:p w:rsidR="00120F36" w:rsidRPr="00120F36" w:rsidRDefault="00120F36" w:rsidP="00120F36">
      <w:proofErr w:type="gramStart"/>
      <w:r>
        <w:t>ROCE.</w:t>
      </w:r>
      <w:proofErr w:type="gramEnd"/>
    </w:p>
    <w:p w:rsidR="00062838" w:rsidRDefault="00A00B01" w:rsidP="00A00B01">
      <w:r>
        <w:t>Making a comparison between 2019 and 2018 we can see some differences</w:t>
      </w:r>
    </w:p>
    <w:p w:rsidR="00A00B01" w:rsidRPr="00A00B01" w:rsidRDefault="00A00B01" w:rsidP="00A00B01">
      <w:pPr>
        <w:rPr>
          <w:rFonts w:ascii="Arial" w:hAnsi="Arial" w:cs="Arial"/>
        </w:rPr>
      </w:pPr>
      <w:r>
        <w:t>The operating profit for booth years is raised  with 17.2</w:t>
      </w:r>
      <w:r w:rsidR="00F24D55">
        <w:rPr>
          <w:vertAlign w:val="subscript"/>
        </w:rPr>
        <w:t>%</w:t>
      </w:r>
      <w:r>
        <w:t xml:space="preserve">/2019 and 16.7 for 2018, with a difference of 0.4 and performance of 0.4  witch minds  </w:t>
      </w:r>
      <w:r w:rsidR="00120F36">
        <w:t xml:space="preserve">they have a good plan for all the expenses and for next year the profit will be bigger them this because they will have increased the operating profit. </w:t>
      </w:r>
    </w:p>
    <w:p w:rsidR="00B51980" w:rsidRDefault="00062838" w:rsidP="00B51980">
      <w:proofErr w:type="spellStart"/>
      <w:r>
        <w:t>Cpital</w:t>
      </w:r>
      <w:proofErr w:type="spellEnd"/>
      <w:r>
        <w:t xml:space="preserve"> employed as well is coming up </w:t>
      </w:r>
      <w:r w:rsidR="00F24D55">
        <w:t xml:space="preserve">with 4.8% for 2019, that mines the total assets </w:t>
      </w:r>
      <w:proofErr w:type="gramStart"/>
      <w:r w:rsidR="00F24D55">
        <w:t>an</w:t>
      </w:r>
      <w:proofErr w:type="gramEnd"/>
      <w:r w:rsidR="00F24D55">
        <w:t xml:space="preserve"> current liability is raised up.</w:t>
      </w:r>
      <w:r w:rsidR="00B51980">
        <w:t xml:space="preserve"> Conclusion: even if we have some slightly decreasing expenses </w:t>
      </w:r>
      <w:r w:rsidR="00B51980" w:rsidRPr="00B51980">
        <w:t>most of them have grown</w:t>
      </w:r>
      <w:r w:rsidR="00B51980">
        <w:t xml:space="preserve"> </w:t>
      </w:r>
      <w:r w:rsidR="00801532">
        <w:t xml:space="preserve">although the expenses increased, the company registered a higher profit for 2019, </w:t>
      </w:r>
      <w:r w:rsidR="00801532" w:rsidRPr="00801532">
        <w:t>which means that all the elements necessary for maintaining profit have been taken into account</w:t>
      </w:r>
      <w:r w:rsidR="00801532">
        <w:t xml:space="preserve"> and was respected in totality the business plan.</w:t>
      </w:r>
    </w:p>
    <w:p w:rsidR="00E270D1" w:rsidRDefault="00801532" w:rsidP="00E270D1">
      <w:r>
        <w:t xml:space="preserve">Asset </w:t>
      </w:r>
      <w:proofErr w:type="gramStart"/>
      <w:r>
        <w:t>turnover .</w:t>
      </w:r>
      <w:proofErr w:type="gramEnd"/>
    </w:p>
    <w:p w:rsidR="00E270D1" w:rsidRDefault="00E270D1" w:rsidP="00E270D1">
      <w:r>
        <w:t xml:space="preserve">Following the analysis we can see an increase of 1.0 pence for 2019 and o.9 pence for 2018, with a difference of 0.1 </w:t>
      </w:r>
      <w:proofErr w:type="gramStart"/>
      <w:r>
        <w:t>pence  and</w:t>
      </w:r>
      <w:proofErr w:type="gramEnd"/>
      <w:r>
        <w:t xml:space="preserve"> a performance of 8.3 pence.</w:t>
      </w:r>
      <w:r w:rsidR="007A5DA9">
        <w:t xml:space="preserve"> The principal factor for this growing was the capital employed , but for this growing was need to increase the overdraft </w:t>
      </w:r>
      <w:r w:rsidR="001B09E8">
        <w:t xml:space="preserve">because some of  the expenses was increase(rent, light and heat, depreciations and bad debt.) but in the conclusion still bring a profitability, even is not </w:t>
      </w:r>
      <w:proofErr w:type="spellStart"/>
      <w:r w:rsidR="001B09E8">
        <w:t>to</w:t>
      </w:r>
      <w:proofErr w:type="spellEnd"/>
      <w:r w:rsidR="001B09E8">
        <w:t xml:space="preserve"> big , but is still good. That’s minds if we have increase </w:t>
      </w:r>
      <w:proofErr w:type="gramStart"/>
      <w:r w:rsidR="001B09E8">
        <w:t>the  overdraft</w:t>
      </w:r>
      <w:proofErr w:type="gramEnd"/>
      <w:r w:rsidR="001B09E8">
        <w:t xml:space="preserve"> </w:t>
      </w:r>
      <w:r w:rsidR="00D24708">
        <w:t>we can have more profit, because the opening stock will be growing.</w:t>
      </w:r>
    </w:p>
    <w:p w:rsidR="00157850" w:rsidRDefault="00D24708" w:rsidP="00E270D1">
      <w:r>
        <w:t>Gross profit turnover.</w:t>
      </w:r>
    </w:p>
    <w:p w:rsidR="00030804" w:rsidRDefault="00157850" w:rsidP="00E270D1">
      <w:r>
        <w:t>Gross profit was increased with a difference of 100 pound and a performance of 2%</w:t>
      </w:r>
      <w:r w:rsidR="00030804">
        <w:t>,</w:t>
      </w:r>
      <w:r w:rsidR="00853878">
        <w:t xml:space="preserve"> for 2019</w:t>
      </w:r>
      <w:r w:rsidR="00030804">
        <w:t xml:space="preserve"> but after a ratio analysis we can see </w:t>
      </w:r>
      <w:proofErr w:type="gramStart"/>
      <w:r w:rsidR="00030804">
        <w:t>a</w:t>
      </w:r>
      <w:proofErr w:type="gramEnd"/>
      <w:r w:rsidR="00030804">
        <w:t xml:space="preserve"> opposite result. The Gross profit was</w:t>
      </w:r>
      <w:r>
        <w:t xml:space="preserve"> dropping after I made an analysis </w:t>
      </w:r>
      <w:r w:rsidR="00030804">
        <w:t>which</w:t>
      </w:r>
      <w:r>
        <w:t xml:space="preserve"> bring 85% for 2019 and 91.85% for 2018, </w:t>
      </w:r>
      <w:r w:rsidR="00030804">
        <w:t>which</w:t>
      </w:r>
      <w:r>
        <w:t xml:space="preserve"> minds a difference of -6% and a -6% </w:t>
      </w:r>
      <w:proofErr w:type="gramStart"/>
      <w:r>
        <w:t>performance</w:t>
      </w:r>
      <w:r w:rsidR="00030804">
        <w:t xml:space="preserve"> </w:t>
      </w:r>
      <w:r w:rsidR="00853878">
        <w:t>.</w:t>
      </w:r>
      <w:proofErr w:type="gramEnd"/>
      <w:r w:rsidR="00853878">
        <w:t xml:space="preserve"> And 2019 was dropping with -6% because the purchase was increase </w:t>
      </w:r>
      <w:r w:rsidR="00BB7D23">
        <w:t>with 41%.</w:t>
      </w:r>
    </w:p>
    <w:p w:rsidR="00080848" w:rsidRDefault="00080848" w:rsidP="00E270D1"/>
    <w:p w:rsidR="00BB7D23" w:rsidRDefault="00BB7D23" w:rsidP="00E270D1">
      <w:proofErr w:type="gramStart"/>
      <w:r>
        <w:t>Net operating profit.</w:t>
      </w:r>
      <w:proofErr w:type="gramEnd"/>
    </w:p>
    <w:p w:rsidR="00080848" w:rsidRDefault="00080848" w:rsidP="00080848">
      <w:r>
        <w:lastRenderedPageBreak/>
        <w:t>After a analysis for net operating profit we can see a profit of 18% for 2019 and 18.9% for 2018, which bring a difference of -1.0% and a performance of -1.0</w:t>
      </w:r>
      <w:proofErr w:type="gramStart"/>
      <w:r>
        <w:t>% .</w:t>
      </w:r>
      <w:proofErr w:type="gramEnd"/>
      <w:r>
        <w:t xml:space="preserve"> But we expecting to be dropped because the gross profit was </w:t>
      </w:r>
      <w:proofErr w:type="gramStart"/>
      <w:r>
        <w:t>dropped  with</w:t>
      </w:r>
      <w:proofErr w:type="gramEnd"/>
      <w:r>
        <w:t xml:space="preserve"> -6%, but this not mind we are in non profit, we still have a profit of 18% , but comparative with 2018 we are a bit down because the purchase was a bit bigger </w:t>
      </w:r>
      <w:proofErr w:type="spellStart"/>
      <w:r>
        <w:t>then</w:t>
      </w:r>
      <w:proofErr w:type="spellEnd"/>
      <w:r>
        <w:t xml:space="preserve"> last year.</w:t>
      </w:r>
    </w:p>
    <w:p w:rsidR="00080848" w:rsidRDefault="009D60FE" w:rsidP="009D60FE">
      <w:pPr>
        <w:pStyle w:val="Heading1"/>
      </w:pPr>
      <w:r>
        <w:t>LIQUIDITY</w:t>
      </w:r>
      <w:proofErr w:type="gramStart"/>
      <w:r>
        <w:t>..</w:t>
      </w:r>
      <w:proofErr w:type="gramEnd"/>
    </w:p>
    <w:p w:rsidR="009D60FE" w:rsidRDefault="009D60FE" w:rsidP="009D60FE">
      <w:proofErr w:type="gramStart"/>
      <w:r>
        <w:t>Current ratio.</w:t>
      </w:r>
      <w:proofErr w:type="gramEnd"/>
    </w:p>
    <w:p w:rsidR="009D60FE" w:rsidRDefault="009D60FE" w:rsidP="009D60FE">
      <w:r>
        <w:t xml:space="preserve">After ratio analysis the current ratio for 2019 is 4.9 pence and for 2018 5.6 pence, with a difference of -0.8 pence and a performance of -13.6 pence. Which bring a dropped for 2019 comparative with 2019. </w:t>
      </w:r>
      <w:r w:rsidR="001A0187">
        <w:t xml:space="preserve">This is happening because the stock for 2019 was dropped and debtors a was </w:t>
      </w:r>
      <w:proofErr w:type="gramStart"/>
      <w:r w:rsidR="001A0187">
        <w:t>raised .</w:t>
      </w:r>
      <w:proofErr w:type="gramEnd"/>
      <w:r w:rsidR="001A0187">
        <w:t xml:space="preserve"> Another factor which is influencing this is Current liability where is a bit growing and here we have Trade creditors, Accruals and Bank overdraft and all of these was increased in comparison   with 2018.</w:t>
      </w:r>
    </w:p>
    <w:p w:rsidR="001A0187" w:rsidRDefault="001A0187" w:rsidP="009D60FE">
      <w:proofErr w:type="gramStart"/>
      <w:r>
        <w:t>Acid test.</w:t>
      </w:r>
      <w:proofErr w:type="gramEnd"/>
    </w:p>
    <w:p w:rsidR="001A0187" w:rsidRDefault="001A0187" w:rsidP="009D60FE">
      <w:r>
        <w:t xml:space="preserve">After my analysis for 2019 we have </w:t>
      </w:r>
      <w:r w:rsidR="00485C59">
        <w:t>4.0 times/pence and 4.6times/</w:t>
      </w:r>
      <w:proofErr w:type="gramStart"/>
      <w:r w:rsidR="00485C59">
        <w:t>pence</w:t>
      </w:r>
      <w:r>
        <w:t xml:space="preserve"> </w:t>
      </w:r>
      <w:r w:rsidR="00485C59">
        <w:t xml:space="preserve"> for</w:t>
      </w:r>
      <w:proofErr w:type="gramEnd"/>
      <w:r w:rsidR="00485C59">
        <w:t xml:space="preserve"> 2018, with a difference of -0.6 pence for 2019 and -12.3 pence performance for 2019. The factors </w:t>
      </w:r>
      <w:r w:rsidR="00611CF7">
        <w:t>which</w:t>
      </w:r>
      <w:r w:rsidR="00485C59">
        <w:t xml:space="preserve"> is bring this results is Inventory/stock </w:t>
      </w:r>
      <w:r w:rsidR="00611CF7">
        <w:t>which</w:t>
      </w:r>
      <w:r w:rsidR="00485C59">
        <w:t xml:space="preserve"> was dropped for 2019 a</w:t>
      </w:r>
      <w:r w:rsidR="00611CF7">
        <w:t xml:space="preserve">nd current liability was raised, because trade </w:t>
      </w:r>
      <w:proofErr w:type="gramStart"/>
      <w:r w:rsidR="00611CF7">
        <w:t>creditors ,accruals</w:t>
      </w:r>
      <w:proofErr w:type="gramEnd"/>
      <w:r w:rsidR="00611CF7">
        <w:t xml:space="preserve"> and bank overdraft was a bit bigger them last year which bring  a bit dropping for 2019.</w:t>
      </w:r>
    </w:p>
    <w:p w:rsidR="00611CF7" w:rsidRDefault="00611CF7" w:rsidP="009D60FE">
      <w:proofErr w:type="gramStart"/>
      <w:r>
        <w:t>Creditor days.</w:t>
      </w:r>
      <w:proofErr w:type="gramEnd"/>
    </w:p>
    <w:p w:rsidR="00FD58F8" w:rsidRDefault="00611CF7" w:rsidP="009D60FE">
      <w:r>
        <w:t xml:space="preserve">After I make a </w:t>
      </w:r>
      <w:r w:rsidR="00FD58F8">
        <w:t>analysis</w:t>
      </w:r>
      <w:r>
        <w:t xml:space="preserve"> of creditors we have for 2019 374 days and for 2018 649 days and here we have a difference of- 275 days </w:t>
      </w:r>
      <w:proofErr w:type="spellStart"/>
      <w:r>
        <w:t>an</w:t>
      </w:r>
      <w:proofErr w:type="spellEnd"/>
      <w:r>
        <w:t xml:space="preserve"> a performance of -43% which minds for 2019 the creditors days is dropped them 2018 </w:t>
      </w:r>
      <w:r w:rsidR="00FD58F8">
        <w:t xml:space="preserve">even if we have a bit bigger the trade creditors, accruals and bank overdraft . </w:t>
      </w:r>
    </w:p>
    <w:p w:rsidR="00FD58F8" w:rsidRDefault="00FD58F8" w:rsidP="009D60FE">
      <w:proofErr w:type="gramStart"/>
      <w:r>
        <w:t>Debtors</w:t>
      </w:r>
      <w:proofErr w:type="gramEnd"/>
      <w:r>
        <w:t xml:space="preserve"> days.</w:t>
      </w:r>
    </w:p>
    <w:p w:rsidR="00FD58F8" w:rsidRDefault="00FD58F8" w:rsidP="009D60FE">
      <w:r>
        <w:t xml:space="preserve">For creditors Days in 2019 we have after a </w:t>
      </w:r>
      <w:r w:rsidR="0052157E">
        <w:t>analysis</w:t>
      </w:r>
      <w:r>
        <w:t xml:space="preserve"> of this </w:t>
      </w:r>
      <w:r w:rsidR="0052157E">
        <w:t xml:space="preserve">52.9 days and for 2018 we have 53.1 days with a small difference of – 0.2 and a performance of – 0.3. After analysis results we can see the Debtors was a bit better them 2018. And here for </w:t>
      </w:r>
      <w:proofErr w:type="gramStart"/>
      <w:r w:rsidR="0052157E">
        <w:t>2019  we</w:t>
      </w:r>
      <w:proofErr w:type="gramEnd"/>
      <w:r w:rsidR="0052157E">
        <w:t xml:space="preserve"> have a growing for trade and other receivables of 200 pounds and for sales revenue was growing with 500 pounds for 2019.</w:t>
      </w:r>
    </w:p>
    <w:p w:rsidR="0052157E" w:rsidRDefault="0052157E" w:rsidP="0052157E">
      <w:pPr>
        <w:pStyle w:val="Heading1"/>
      </w:pPr>
      <w:r>
        <w:lastRenderedPageBreak/>
        <w:t>Capital Structure...</w:t>
      </w:r>
    </w:p>
    <w:p w:rsidR="0052157E" w:rsidRDefault="0052157E" w:rsidP="0052157E">
      <w:proofErr w:type="gramStart"/>
      <w:r>
        <w:t>Gearing 1.</w:t>
      </w:r>
      <w:proofErr w:type="gramEnd"/>
    </w:p>
    <w:p w:rsidR="0052157E" w:rsidRDefault="00BE74A5" w:rsidP="0052157E">
      <w:r>
        <w:t xml:space="preserve">Here our Leverage, after I make </w:t>
      </w:r>
      <w:proofErr w:type="gramStart"/>
      <w:r>
        <w:t>a ratios</w:t>
      </w:r>
      <w:proofErr w:type="gramEnd"/>
      <w:r>
        <w:t xml:space="preserve"> analysis is of 2% for 2019 and 2.4 for 2018 with a difference of -0.1% and a performance of -0.1.  And here we have this result because the Bank loan for 2019 was 145 and for 2018 was 150 with a difference</w:t>
      </w:r>
      <w:r w:rsidR="001D4529">
        <w:t xml:space="preserve"> of -5</w:t>
      </w:r>
      <w:proofErr w:type="gramStart"/>
      <w:r w:rsidR="001D4529">
        <w:t>%  and</w:t>
      </w:r>
      <w:proofErr w:type="gramEnd"/>
      <w:r w:rsidR="001D4529">
        <w:t xml:space="preserve"> the total Equity was raise up with 0.9% for 2019.</w:t>
      </w:r>
    </w:p>
    <w:p w:rsidR="001D4529" w:rsidRDefault="001D4529" w:rsidP="0052157E">
      <w:proofErr w:type="gramStart"/>
      <w:r>
        <w:t>Gearing 2.</w:t>
      </w:r>
      <w:proofErr w:type="gramEnd"/>
    </w:p>
    <w:p w:rsidR="001D4529" w:rsidRDefault="001D4529" w:rsidP="0052157E">
      <w:r>
        <w:t xml:space="preserve">Debt to capital for 2019 after my analysis is 2% and for 2018 is 2.4% with a difference at -0.1 and a performance at -0.1. This dropped is because in 2019 we have </w:t>
      </w:r>
      <w:proofErr w:type="gramStart"/>
      <w:r>
        <w:t>borrow</w:t>
      </w:r>
      <w:proofErr w:type="gramEnd"/>
      <w:r>
        <w:t xml:space="preserve"> with -5% </w:t>
      </w:r>
      <w:r w:rsidR="00A609F0">
        <w:t xml:space="preserve">less them 2018 and as well capital was dropped with -12%. </w:t>
      </w:r>
      <w:r>
        <w:t xml:space="preserve"> </w:t>
      </w:r>
    </w:p>
    <w:p w:rsidR="00A609F0" w:rsidRDefault="00A609F0" w:rsidP="0052157E">
      <w:proofErr w:type="gramStart"/>
      <w:r>
        <w:t>Interest cover.</w:t>
      </w:r>
      <w:proofErr w:type="gramEnd"/>
    </w:p>
    <w:p w:rsidR="00A609F0" w:rsidRDefault="00A609F0" w:rsidP="0052157E">
      <w:r>
        <w:t xml:space="preserve">For 2019 the interest cover is 59.8 in comparison with 2018 </w:t>
      </w:r>
      <w:proofErr w:type="gramStart"/>
      <w:r>
        <w:t>were is</w:t>
      </w:r>
      <w:proofErr w:type="gramEnd"/>
      <w:r>
        <w:t xml:space="preserve"> 52.1 and after analysis we have a difference of 7.7 and a performance of 14.8 times. And because </w:t>
      </w:r>
      <w:proofErr w:type="gramStart"/>
      <w:r>
        <w:t>the  loans</w:t>
      </w:r>
      <w:proofErr w:type="gramEnd"/>
      <w:r>
        <w:t xml:space="preserve"> for 2019 was a bit small them 2018 here we have a better result.</w:t>
      </w:r>
    </w:p>
    <w:p w:rsidR="00A609F0" w:rsidRDefault="00477A9C" w:rsidP="00477A9C">
      <w:pPr>
        <w:pStyle w:val="Heading1"/>
      </w:pPr>
      <w:r>
        <w:t>RATIOS ANALYSIS...</w:t>
      </w:r>
    </w:p>
    <w:p w:rsidR="00477A9C" w:rsidRDefault="00477A9C" w:rsidP="00477A9C">
      <w:proofErr w:type="gramStart"/>
      <w:r>
        <w:t>Understanding of Ratios and their Fluctuations.</w:t>
      </w:r>
      <w:proofErr w:type="gramEnd"/>
    </w:p>
    <w:p w:rsidR="00FE6BF0" w:rsidRDefault="00477A9C" w:rsidP="00FE6BF0">
      <w:r>
        <w:t>A financial ratio is a number that expresses the value of one financial variable</w:t>
      </w:r>
      <w:r w:rsidR="00FE6BF0" w:rsidRPr="00FE6BF0">
        <w:t xml:space="preserve"> </w:t>
      </w:r>
      <w:r w:rsidR="00FE6BF0">
        <w:t>relative to another (LAWDER 1989)</w:t>
      </w:r>
    </w:p>
    <w:p w:rsidR="00FE6BF0" w:rsidRDefault="00FE6BF0" w:rsidP="00FE6BF0">
      <w:r>
        <w:t>From a management perspective, the rationale for use of</w:t>
      </w:r>
      <w:r w:rsidRPr="00FE6BF0">
        <w:t xml:space="preserve"> </w:t>
      </w:r>
      <w:r>
        <w:t>financial ratio analysis is that by expressing several figures as ratio, information will be</w:t>
      </w:r>
      <w:r w:rsidRPr="00FE6BF0">
        <w:t xml:space="preserve"> </w:t>
      </w:r>
      <w:r>
        <w:t xml:space="preserve">revealed that is missed when the individual members are observed (Thomas &amp; </w:t>
      </w:r>
      <w:proofErr w:type="spellStart"/>
      <w:r>
        <w:t>Evanson</w:t>
      </w:r>
      <w:proofErr w:type="spellEnd"/>
      <w:r>
        <w:t xml:space="preserve"> 1987) </w:t>
      </w:r>
    </w:p>
    <w:p w:rsidR="00DA7F1C" w:rsidRDefault="00FE6BF0" w:rsidP="00DA7F1C">
      <w:r>
        <w:t xml:space="preserve">The importance for understanding Ratios and their fluctuations </w:t>
      </w:r>
      <w:r w:rsidR="002B3E4B">
        <w:t xml:space="preserve">is because  </w:t>
      </w:r>
      <w:r>
        <w:t xml:space="preserve"> </w:t>
      </w:r>
      <w:r w:rsidR="002B3E4B">
        <w:t>the M</w:t>
      </w:r>
      <w:r w:rsidR="002B3E4B">
        <w:t>anager must understand this information in order to improve</w:t>
      </w:r>
      <w:r w:rsidR="002B3E4B">
        <w:t xml:space="preserve"> the </w:t>
      </w:r>
      <w:proofErr w:type="gramStart"/>
      <w:r w:rsidR="002B3E4B">
        <w:t xml:space="preserve">Hotel </w:t>
      </w:r>
      <w:r w:rsidR="002B3E4B">
        <w:t xml:space="preserve"> operations</w:t>
      </w:r>
      <w:proofErr w:type="gramEnd"/>
      <w:r w:rsidR="00DA7F1C">
        <w:t xml:space="preserve"> </w:t>
      </w:r>
      <w:r w:rsidR="002B3E4B">
        <w:t>. A</w:t>
      </w:r>
      <w:r w:rsidR="002B3E4B">
        <w:t>nd for this we have two of the most important sources of variable financing</w:t>
      </w:r>
      <w:r w:rsidR="002B3E4B">
        <w:t xml:space="preserve"> </w:t>
      </w:r>
      <w:r w:rsidR="002B3E4B">
        <w:t xml:space="preserve">and these are the balance sheet and income of the </w:t>
      </w:r>
      <w:proofErr w:type="gramStart"/>
      <w:r w:rsidR="002B3E4B">
        <w:t>statemen</w:t>
      </w:r>
      <w:r w:rsidR="002B3E4B">
        <w:t>t</w:t>
      </w:r>
      <w:r w:rsidR="00DA7F1C">
        <w:t xml:space="preserve"> </w:t>
      </w:r>
      <w:r w:rsidR="002B3E4B">
        <w:t xml:space="preserve"> .</w:t>
      </w:r>
      <w:proofErr w:type="gramEnd"/>
      <w:r w:rsidR="00DA7F1C">
        <w:t xml:space="preserve"> </w:t>
      </w:r>
      <w:r w:rsidR="002B3E4B" w:rsidRPr="002B3E4B">
        <w:t xml:space="preserve"> The financial statements refer to elements of the income statement relative to each other</w:t>
      </w:r>
      <w:r w:rsidR="00DA7F1C">
        <w:t xml:space="preserve">.  </w:t>
      </w:r>
      <w:proofErr w:type="gramStart"/>
      <w:r w:rsidR="00DA7F1C">
        <w:t>E</w:t>
      </w:r>
      <w:r w:rsidR="00DA7F1C">
        <w:t xml:space="preserve">lements of the mutual balance sheet and elements from one statement to the elements of </w:t>
      </w:r>
      <w:r w:rsidR="00DA7F1C">
        <w:lastRenderedPageBreak/>
        <w:t>the other statements</w:t>
      </w:r>
      <w:r w:rsidR="00DA7F1C">
        <w:t>.</w:t>
      </w:r>
      <w:proofErr w:type="gramEnd"/>
      <w:r w:rsidR="00DA7F1C">
        <w:t xml:space="preserve"> </w:t>
      </w:r>
      <w:proofErr w:type="gramStart"/>
      <w:r w:rsidR="00DA7F1C" w:rsidRPr="00DA7F1C">
        <w:t>consequently</w:t>
      </w:r>
      <w:proofErr w:type="gramEnd"/>
      <w:r w:rsidR="00DA7F1C" w:rsidRPr="00DA7F1C">
        <w:t xml:space="preserve"> the tendency of analysts is to classify and reduce a large number of ratios to a small subset</w:t>
      </w:r>
      <w:r w:rsidR="00DA7F1C">
        <w:t xml:space="preserve"> </w:t>
      </w:r>
      <w:r w:rsidR="00445D73">
        <w:t>and each category is identified by specific ratios.</w:t>
      </w:r>
    </w:p>
    <w:p w:rsidR="00445D73" w:rsidRDefault="00445D73" w:rsidP="00DA7F1C">
      <w:r>
        <w:t>T</w:t>
      </w:r>
      <w:r w:rsidRPr="00445D73">
        <w:t>he benefits and limitations of using ratio analysis</w:t>
      </w:r>
      <w:proofErr w:type="gramStart"/>
      <w:r>
        <w:t>..</w:t>
      </w:r>
      <w:proofErr w:type="gramEnd"/>
    </w:p>
    <w:p w:rsidR="009C37B4" w:rsidRDefault="00445D73" w:rsidP="009C37B4">
      <w:r w:rsidRPr="00445D73">
        <w:t>The analysis of the report is very important to help identify problem area</w:t>
      </w:r>
      <w:r>
        <w:t xml:space="preserve"> </w:t>
      </w:r>
      <w:r>
        <w:t>and draws the management's attention to these areas</w:t>
      </w:r>
      <w:r>
        <w:t>.</w:t>
      </w:r>
    </w:p>
    <w:p w:rsidR="006B21DC" w:rsidRDefault="009C37B4" w:rsidP="006B21DC">
      <w:r>
        <w:t>T</w:t>
      </w:r>
      <w:r>
        <w:t>he hotel industry is very large in fixed and tangible assets and therefore requires a set of financial reports</w:t>
      </w:r>
      <w:r>
        <w:t xml:space="preserve"> </w:t>
      </w:r>
      <w:r w:rsidRPr="009C37B4">
        <w:t>to accurately analyze the industry and the performance of individual companies</w:t>
      </w:r>
      <w:r>
        <w:t>.</w:t>
      </w:r>
      <w:r w:rsidR="006B21DC" w:rsidRPr="006B21DC">
        <w:t xml:space="preserve"> </w:t>
      </w:r>
      <w:r w:rsidR="006B21DC" w:rsidRPr="009C37B4">
        <w:t>The following key financial reports that we can use to analyze a hotel company are</w:t>
      </w:r>
      <w:r w:rsidR="006B21DC">
        <w:t xml:space="preserve">: Liquidity ratio, </w:t>
      </w:r>
      <w:proofErr w:type="gramStart"/>
      <w:r w:rsidR="006B21DC">
        <w:t>Financial</w:t>
      </w:r>
      <w:proofErr w:type="gramEnd"/>
      <w:r w:rsidR="006B21DC">
        <w:t xml:space="preserve"> leverage ratio and Profitability ratio.</w:t>
      </w:r>
    </w:p>
    <w:p w:rsidR="006B21DC" w:rsidRDefault="006B21DC" w:rsidP="006B21DC">
      <w:r>
        <w:t xml:space="preserve">LIQUIDITY </w:t>
      </w:r>
      <w:proofErr w:type="gramStart"/>
      <w:r>
        <w:t>RATIO ..</w:t>
      </w:r>
      <w:proofErr w:type="gramEnd"/>
      <w:r>
        <w:t xml:space="preserve"> </w:t>
      </w:r>
    </w:p>
    <w:p w:rsidR="006B21DC" w:rsidRDefault="006B21DC" w:rsidP="006B21DC">
      <w:r>
        <w:t>we need to provide stakeholders with information on a company's ability to meet its short-term financial obligations</w:t>
      </w:r>
      <w:r>
        <w:t xml:space="preserve"> </w:t>
      </w:r>
      <w:r>
        <w:t>in the hotel industry we need a large amount of working capital</w:t>
      </w:r>
      <w:r>
        <w:t xml:space="preserve"> </w:t>
      </w:r>
      <w:r>
        <w:t>and has a lot of financial obligations that need to be covered in the short term</w:t>
      </w:r>
      <w:r w:rsidRPr="006B21DC">
        <w:t xml:space="preserve"> </w:t>
      </w:r>
      <w:r>
        <w:t>which makes liquidity ratios part of the industry analysis</w:t>
      </w:r>
      <w:r>
        <w:t>.</w:t>
      </w:r>
    </w:p>
    <w:p w:rsidR="0055376C" w:rsidRDefault="0055376C" w:rsidP="0055376C">
      <w:r>
        <w:t>FINANCIAL LEVERAGE RATIO</w:t>
      </w:r>
      <w:proofErr w:type="gramStart"/>
      <w:r>
        <w:t>..</w:t>
      </w:r>
      <w:proofErr w:type="gramEnd"/>
      <w:r w:rsidRPr="0055376C">
        <w:t xml:space="preserve"> </w:t>
      </w:r>
      <w:r>
        <w:t>T</w:t>
      </w:r>
      <w:r>
        <w:t>hey offer stakeholders a long-term solvency of a company in the hospitality industry</w:t>
      </w:r>
      <w:proofErr w:type="gramStart"/>
      <w:r>
        <w:t xml:space="preserve">, </w:t>
      </w:r>
      <w:r w:rsidRPr="0055376C">
        <w:t xml:space="preserve"> </w:t>
      </w:r>
      <w:r>
        <w:t>these</w:t>
      </w:r>
      <w:proofErr w:type="gramEnd"/>
      <w:r>
        <w:t xml:space="preserve"> ratios measure the ability of some companies to meet their long-term debt obligations</w:t>
      </w:r>
      <w:r>
        <w:t>.</w:t>
      </w:r>
      <w:r w:rsidRPr="0055376C">
        <w:t xml:space="preserve"> For companies in the hospitality industry, it is important to have low debt ratios, which means that long-term assets far exceed the debt used to acquire them.</w:t>
      </w:r>
    </w:p>
    <w:p w:rsidR="0055376C" w:rsidRDefault="0055376C" w:rsidP="0055376C">
      <w:r>
        <w:t>PROFITABILITY RATIOS</w:t>
      </w:r>
      <w:proofErr w:type="gramStart"/>
      <w:r>
        <w:t>..</w:t>
      </w:r>
      <w:proofErr w:type="gramEnd"/>
      <w:r w:rsidRPr="0055376C">
        <w:t xml:space="preserve"> </w:t>
      </w:r>
    </w:p>
    <w:p w:rsidR="0055376C" w:rsidRDefault="0055376C" w:rsidP="0055376C">
      <w:r>
        <w:t>Profitability ratios measure a company's level of profitability, gross profit, operating profit and net profit.</w:t>
      </w:r>
      <w:r w:rsidR="00BA3E06" w:rsidRPr="00BA3E06">
        <w:t xml:space="preserve"> Gross profit margin measures the gross profit of a company obtained from the income it generates. For companies in the hospitality industry, most costs come from operations and not from the cost of goods sold, and the gross profit margin should be high for businesses operating in the hospitality industry.</w:t>
      </w:r>
    </w:p>
    <w:p w:rsidR="0055376C" w:rsidRDefault="0055376C" w:rsidP="0055376C"/>
    <w:p w:rsidR="006B21DC" w:rsidRDefault="006B21DC" w:rsidP="006B21DC"/>
    <w:p w:rsidR="006B21DC" w:rsidRDefault="006B21DC" w:rsidP="006B21DC"/>
    <w:p w:rsidR="006B21DC" w:rsidRDefault="006B21DC" w:rsidP="006B21DC"/>
    <w:p w:rsidR="009C37B4" w:rsidRDefault="009C37B4" w:rsidP="009C37B4"/>
    <w:p w:rsidR="00445D73" w:rsidRDefault="00445D73" w:rsidP="00445D73"/>
    <w:p w:rsidR="00DA7F1C" w:rsidRDefault="00DA7F1C" w:rsidP="00DA7F1C"/>
    <w:p w:rsidR="002B3E4B" w:rsidRDefault="002B3E4B" w:rsidP="002B3E4B"/>
    <w:p w:rsidR="002B3E4B" w:rsidRDefault="002B3E4B" w:rsidP="002B3E4B"/>
    <w:p w:rsidR="002B3E4B" w:rsidRDefault="002B3E4B" w:rsidP="002B3E4B"/>
    <w:p w:rsidR="00FE6BF0" w:rsidRDefault="00FE6BF0" w:rsidP="00FE6BF0"/>
    <w:p w:rsidR="00FE6BF0" w:rsidRPr="00477A9C" w:rsidRDefault="00FE6BF0" w:rsidP="00FE6BF0"/>
    <w:p w:rsidR="00477A9C" w:rsidRDefault="00477A9C" w:rsidP="00477A9C"/>
    <w:p w:rsidR="00A609F0" w:rsidRDefault="00A609F0" w:rsidP="0052157E"/>
    <w:p w:rsidR="001D4529" w:rsidRPr="0052157E" w:rsidRDefault="001D4529" w:rsidP="0052157E"/>
    <w:p w:rsidR="00080848" w:rsidRDefault="00080848" w:rsidP="00E270D1"/>
    <w:p w:rsidR="00801532" w:rsidRDefault="00801532" w:rsidP="00B51980"/>
    <w:p w:rsidR="00801532" w:rsidRDefault="00801532" w:rsidP="00B51980"/>
    <w:p w:rsidR="00B51980" w:rsidRDefault="00B51980" w:rsidP="00B51980">
      <w:r>
        <w:br/>
      </w:r>
    </w:p>
    <w:p w:rsidR="00B51980" w:rsidRDefault="00B51980" w:rsidP="00B51980"/>
    <w:p w:rsidR="00B51980" w:rsidRDefault="00B51980" w:rsidP="003123DE"/>
    <w:p w:rsidR="00B51980" w:rsidRDefault="00B51980" w:rsidP="003123DE"/>
    <w:p w:rsidR="00B51980" w:rsidRDefault="00B51980" w:rsidP="003123DE"/>
    <w:p w:rsidR="00B51980" w:rsidRPr="003123DE" w:rsidRDefault="00B51980" w:rsidP="003123DE"/>
    <w:p w:rsidR="003123DE" w:rsidRPr="003123DE" w:rsidRDefault="003123DE" w:rsidP="003123DE"/>
    <w:p w:rsidR="00A10782" w:rsidRPr="00A10782" w:rsidRDefault="00A10782" w:rsidP="00A10782"/>
    <w:sectPr w:rsidR="00A10782" w:rsidRPr="00A10782" w:rsidSect="002E287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E5975"/>
    <w:rsid w:val="00015BF9"/>
    <w:rsid w:val="00030804"/>
    <w:rsid w:val="00062838"/>
    <w:rsid w:val="00080848"/>
    <w:rsid w:val="00120F36"/>
    <w:rsid w:val="00157850"/>
    <w:rsid w:val="001A0187"/>
    <w:rsid w:val="001B09E8"/>
    <w:rsid w:val="001D4529"/>
    <w:rsid w:val="00202804"/>
    <w:rsid w:val="002B3E4B"/>
    <w:rsid w:val="002D6992"/>
    <w:rsid w:val="002E2871"/>
    <w:rsid w:val="003123DE"/>
    <w:rsid w:val="00445D73"/>
    <w:rsid w:val="00477A9C"/>
    <w:rsid w:val="00485C59"/>
    <w:rsid w:val="0052157E"/>
    <w:rsid w:val="0055376C"/>
    <w:rsid w:val="00611CF7"/>
    <w:rsid w:val="00666CAE"/>
    <w:rsid w:val="006B21DC"/>
    <w:rsid w:val="00777946"/>
    <w:rsid w:val="007A5DA9"/>
    <w:rsid w:val="00801532"/>
    <w:rsid w:val="00853878"/>
    <w:rsid w:val="009C37B4"/>
    <w:rsid w:val="009D60FE"/>
    <w:rsid w:val="00A00B01"/>
    <w:rsid w:val="00A10782"/>
    <w:rsid w:val="00A179E2"/>
    <w:rsid w:val="00A609F0"/>
    <w:rsid w:val="00AE5975"/>
    <w:rsid w:val="00B51980"/>
    <w:rsid w:val="00BA3E06"/>
    <w:rsid w:val="00BB7D23"/>
    <w:rsid w:val="00BE74A5"/>
    <w:rsid w:val="00D24708"/>
    <w:rsid w:val="00DA7F1C"/>
    <w:rsid w:val="00E270D1"/>
    <w:rsid w:val="00EA51C2"/>
    <w:rsid w:val="00F24D55"/>
    <w:rsid w:val="00F61BE5"/>
    <w:rsid w:val="00FD58F8"/>
    <w:rsid w:val="00FE6BF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30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2871"/>
  </w:style>
  <w:style w:type="paragraph" w:styleId="Heading1">
    <w:name w:val="heading 1"/>
    <w:basedOn w:val="Normal"/>
    <w:next w:val="Normal"/>
    <w:link w:val="Heading1Char"/>
    <w:uiPriority w:val="9"/>
    <w:qFormat/>
    <w:rsid w:val="00AE597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E5975"/>
    <w:pPr>
      <w:pBdr>
        <w:bottom w:val="single" w:sz="8" w:space="4" w:color="4F81BD" w:themeColor="accent1"/>
      </w:pBdr>
      <w:spacing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E5975"/>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AE5975"/>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121071479">
      <w:bodyDiv w:val="1"/>
      <w:marLeft w:val="0"/>
      <w:marRight w:val="0"/>
      <w:marTop w:val="0"/>
      <w:marBottom w:val="0"/>
      <w:divBdr>
        <w:top w:val="none" w:sz="0" w:space="0" w:color="auto"/>
        <w:left w:val="none" w:sz="0" w:space="0" w:color="auto"/>
        <w:bottom w:val="none" w:sz="0" w:space="0" w:color="auto"/>
        <w:right w:val="none" w:sz="0" w:space="0" w:color="auto"/>
      </w:divBdr>
    </w:div>
    <w:div w:id="405109577">
      <w:bodyDiv w:val="1"/>
      <w:marLeft w:val="0"/>
      <w:marRight w:val="0"/>
      <w:marTop w:val="0"/>
      <w:marBottom w:val="0"/>
      <w:divBdr>
        <w:top w:val="none" w:sz="0" w:space="0" w:color="auto"/>
        <w:left w:val="none" w:sz="0" w:space="0" w:color="auto"/>
        <w:bottom w:val="none" w:sz="0" w:space="0" w:color="auto"/>
        <w:right w:val="none" w:sz="0" w:space="0" w:color="auto"/>
      </w:divBdr>
    </w:div>
    <w:div w:id="430584558">
      <w:bodyDiv w:val="1"/>
      <w:marLeft w:val="0"/>
      <w:marRight w:val="0"/>
      <w:marTop w:val="0"/>
      <w:marBottom w:val="0"/>
      <w:divBdr>
        <w:top w:val="none" w:sz="0" w:space="0" w:color="auto"/>
        <w:left w:val="none" w:sz="0" w:space="0" w:color="auto"/>
        <w:bottom w:val="none" w:sz="0" w:space="0" w:color="auto"/>
        <w:right w:val="none" w:sz="0" w:space="0" w:color="auto"/>
      </w:divBdr>
    </w:div>
    <w:div w:id="576138786">
      <w:bodyDiv w:val="1"/>
      <w:marLeft w:val="0"/>
      <w:marRight w:val="0"/>
      <w:marTop w:val="0"/>
      <w:marBottom w:val="0"/>
      <w:divBdr>
        <w:top w:val="none" w:sz="0" w:space="0" w:color="auto"/>
        <w:left w:val="none" w:sz="0" w:space="0" w:color="auto"/>
        <w:bottom w:val="none" w:sz="0" w:space="0" w:color="auto"/>
        <w:right w:val="none" w:sz="0" w:space="0" w:color="auto"/>
      </w:divBdr>
    </w:div>
    <w:div w:id="633221887">
      <w:bodyDiv w:val="1"/>
      <w:marLeft w:val="0"/>
      <w:marRight w:val="0"/>
      <w:marTop w:val="0"/>
      <w:marBottom w:val="0"/>
      <w:divBdr>
        <w:top w:val="none" w:sz="0" w:space="0" w:color="auto"/>
        <w:left w:val="none" w:sz="0" w:space="0" w:color="auto"/>
        <w:bottom w:val="none" w:sz="0" w:space="0" w:color="auto"/>
        <w:right w:val="none" w:sz="0" w:space="0" w:color="auto"/>
      </w:divBdr>
    </w:div>
    <w:div w:id="675305403">
      <w:bodyDiv w:val="1"/>
      <w:marLeft w:val="0"/>
      <w:marRight w:val="0"/>
      <w:marTop w:val="0"/>
      <w:marBottom w:val="0"/>
      <w:divBdr>
        <w:top w:val="none" w:sz="0" w:space="0" w:color="auto"/>
        <w:left w:val="none" w:sz="0" w:space="0" w:color="auto"/>
        <w:bottom w:val="none" w:sz="0" w:space="0" w:color="auto"/>
        <w:right w:val="none" w:sz="0" w:space="0" w:color="auto"/>
      </w:divBdr>
    </w:div>
    <w:div w:id="767190848">
      <w:bodyDiv w:val="1"/>
      <w:marLeft w:val="0"/>
      <w:marRight w:val="0"/>
      <w:marTop w:val="0"/>
      <w:marBottom w:val="0"/>
      <w:divBdr>
        <w:top w:val="none" w:sz="0" w:space="0" w:color="auto"/>
        <w:left w:val="none" w:sz="0" w:space="0" w:color="auto"/>
        <w:bottom w:val="none" w:sz="0" w:space="0" w:color="auto"/>
        <w:right w:val="none" w:sz="0" w:space="0" w:color="auto"/>
      </w:divBdr>
    </w:div>
    <w:div w:id="802847995">
      <w:bodyDiv w:val="1"/>
      <w:marLeft w:val="0"/>
      <w:marRight w:val="0"/>
      <w:marTop w:val="0"/>
      <w:marBottom w:val="0"/>
      <w:divBdr>
        <w:top w:val="none" w:sz="0" w:space="0" w:color="auto"/>
        <w:left w:val="none" w:sz="0" w:space="0" w:color="auto"/>
        <w:bottom w:val="none" w:sz="0" w:space="0" w:color="auto"/>
        <w:right w:val="none" w:sz="0" w:space="0" w:color="auto"/>
      </w:divBdr>
    </w:div>
    <w:div w:id="1109278697">
      <w:bodyDiv w:val="1"/>
      <w:marLeft w:val="0"/>
      <w:marRight w:val="0"/>
      <w:marTop w:val="0"/>
      <w:marBottom w:val="0"/>
      <w:divBdr>
        <w:top w:val="none" w:sz="0" w:space="0" w:color="auto"/>
        <w:left w:val="none" w:sz="0" w:space="0" w:color="auto"/>
        <w:bottom w:val="none" w:sz="0" w:space="0" w:color="auto"/>
        <w:right w:val="none" w:sz="0" w:space="0" w:color="auto"/>
      </w:divBdr>
    </w:div>
    <w:div w:id="1408305109">
      <w:bodyDiv w:val="1"/>
      <w:marLeft w:val="0"/>
      <w:marRight w:val="0"/>
      <w:marTop w:val="0"/>
      <w:marBottom w:val="0"/>
      <w:divBdr>
        <w:top w:val="none" w:sz="0" w:space="0" w:color="auto"/>
        <w:left w:val="none" w:sz="0" w:space="0" w:color="auto"/>
        <w:bottom w:val="none" w:sz="0" w:space="0" w:color="auto"/>
        <w:right w:val="none" w:sz="0" w:space="0" w:color="auto"/>
      </w:divBdr>
    </w:div>
    <w:div w:id="1482696588">
      <w:bodyDiv w:val="1"/>
      <w:marLeft w:val="0"/>
      <w:marRight w:val="0"/>
      <w:marTop w:val="0"/>
      <w:marBottom w:val="0"/>
      <w:divBdr>
        <w:top w:val="none" w:sz="0" w:space="0" w:color="auto"/>
        <w:left w:val="none" w:sz="0" w:space="0" w:color="auto"/>
        <w:bottom w:val="none" w:sz="0" w:space="0" w:color="auto"/>
        <w:right w:val="none" w:sz="0" w:space="0" w:color="auto"/>
      </w:divBdr>
    </w:div>
    <w:div w:id="1819421330">
      <w:bodyDiv w:val="1"/>
      <w:marLeft w:val="0"/>
      <w:marRight w:val="0"/>
      <w:marTop w:val="0"/>
      <w:marBottom w:val="0"/>
      <w:divBdr>
        <w:top w:val="none" w:sz="0" w:space="0" w:color="auto"/>
        <w:left w:val="none" w:sz="0" w:space="0" w:color="auto"/>
        <w:bottom w:val="none" w:sz="0" w:space="0" w:color="auto"/>
        <w:right w:val="none" w:sz="0" w:space="0" w:color="auto"/>
      </w:divBdr>
    </w:div>
    <w:div w:id="1884631791">
      <w:bodyDiv w:val="1"/>
      <w:marLeft w:val="0"/>
      <w:marRight w:val="0"/>
      <w:marTop w:val="0"/>
      <w:marBottom w:val="0"/>
      <w:divBdr>
        <w:top w:val="none" w:sz="0" w:space="0" w:color="auto"/>
        <w:left w:val="none" w:sz="0" w:space="0" w:color="auto"/>
        <w:bottom w:val="none" w:sz="0" w:space="0" w:color="auto"/>
        <w:right w:val="none" w:sz="0" w:space="0" w:color="auto"/>
      </w:divBdr>
    </w:div>
    <w:div w:id="2127041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950</TotalTime>
  <Pages>10</Pages>
  <Words>1494</Words>
  <Characters>8516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2020-07-02T10:09:00Z</dcterms:created>
  <dcterms:modified xsi:type="dcterms:W3CDTF">2020-07-03T13:59:00Z</dcterms:modified>
</cp:coreProperties>
</file>