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B3C7A" w14:textId="17E8EE44" w:rsidR="008452C1" w:rsidRPr="0038189C" w:rsidRDefault="00CA624D">
      <w:r w:rsidRPr="0038189C">
        <w:rPr>
          <w:noProof/>
        </w:rPr>
        <mc:AlternateContent>
          <mc:Choice Requires="wps">
            <w:drawing>
              <wp:anchor distT="0" distB="0" distL="114300" distR="114300" simplePos="0" relativeHeight="251657215" behindDoc="1" locked="0" layoutInCell="1" allowOverlap="1" wp14:anchorId="6E9344C3" wp14:editId="4E61954D">
                <wp:simplePos x="0" y="0"/>
                <wp:positionH relativeFrom="page">
                  <wp:align>left</wp:align>
                </wp:positionH>
                <wp:positionV relativeFrom="paragraph">
                  <wp:posOffset>-182880</wp:posOffset>
                </wp:positionV>
                <wp:extent cx="7604760" cy="10111740"/>
                <wp:effectExtent l="0" t="0" r="0" b="3810"/>
                <wp:wrapNone/>
                <wp:docPr id="2" name="矩形 2"/>
                <wp:cNvGraphicFramePr/>
                <a:graphic xmlns:a="http://schemas.openxmlformats.org/drawingml/2006/main">
                  <a:graphicData uri="http://schemas.microsoft.com/office/word/2010/wordprocessingShape">
                    <wps:wsp>
                      <wps:cNvSpPr/>
                      <wps:spPr>
                        <a:xfrm>
                          <a:off x="0" y="0"/>
                          <a:ext cx="7604760" cy="10111740"/>
                        </a:xfrm>
                        <a:prstGeom prst="rect">
                          <a:avLst/>
                        </a:prstGeom>
                        <a:solidFill>
                          <a:schemeClr val="accent3">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A5F77" id="矩形 2" o:spid="_x0000_s1026" style="position:absolute;left:0;text-align:left;margin-left:0;margin-top:-14.4pt;width:598.8pt;height:796.2pt;z-index:-25165926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" fillcolor="#0d2b3d [1606]" stroked="f" strokeweight="1pt">
                <w10:wrap anchorx="page"/>
              </v:rect>
            </w:pict>
          </mc:Fallback>
        </mc:AlternateContent>
      </w:r>
      <w:r w:rsidRPr="0038189C">
        <w:rPr>
          <w:noProof/>
        </w:rPr>
        <w:drawing>
          <wp:anchor distT="0" distB="0" distL="114300" distR="114300" simplePos="0" relativeHeight="251658240" behindDoc="1" locked="0" layoutInCell="1" allowOverlap="1" wp14:anchorId="3732499D" wp14:editId="5E47BF8F">
            <wp:simplePos x="0" y="0"/>
            <wp:positionH relativeFrom="page">
              <wp:posOffset>-80010</wp:posOffset>
            </wp:positionH>
            <wp:positionV relativeFrom="paragraph">
              <wp:posOffset>-925830</wp:posOffset>
            </wp:positionV>
            <wp:extent cx="7639050" cy="5092418"/>
            <wp:effectExtent l="57150" t="19050" r="57150" b="895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41609" cy="5094124"/>
                    </a:xfrm>
                    <a:prstGeom prst="rect">
                      <a:avLst/>
                    </a:prstGeom>
                    <a:noFill/>
                    <a:ln>
                      <a:noFill/>
                    </a:ln>
                    <a:effectLst>
                      <a:outerShdw blurRad="50800" dist="38100" dir="5400000" algn="t"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1B3E150A" w14:textId="6EC3A964" w:rsidR="00CA624D" w:rsidRPr="0038189C" w:rsidRDefault="00CA624D"/>
    <w:p w14:paraId="73A592D1" w14:textId="31FE5A08" w:rsidR="00CA624D" w:rsidRPr="0038189C" w:rsidRDefault="00CA624D"/>
    <w:p w14:paraId="05D0B35C" w14:textId="327D8AB8" w:rsidR="00CA624D" w:rsidRPr="0038189C" w:rsidRDefault="00CA624D"/>
    <w:p w14:paraId="153F7476" w14:textId="59E48035" w:rsidR="00CA624D" w:rsidRPr="0038189C" w:rsidRDefault="00CA624D"/>
    <w:p w14:paraId="0C5F018C" w14:textId="5E0976A6" w:rsidR="00CA624D" w:rsidRPr="0038189C" w:rsidRDefault="006F6EDE">
      <w:pPr>
        <w:widowControl/>
        <w:jc w:val="left"/>
      </w:pPr>
      <w:r w:rsidRPr="006F6EDE">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F668297" wp14:editId="2A07F7EB">
                <wp:simplePos x="0" y="0"/>
                <wp:positionH relativeFrom="column">
                  <wp:posOffset>-91440</wp:posOffset>
                </wp:positionH>
                <wp:positionV relativeFrom="paragraph">
                  <wp:posOffset>3947160</wp:posOffset>
                </wp:positionV>
                <wp:extent cx="5349240" cy="1404620"/>
                <wp:effectExtent l="0" t="0" r="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1404620"/>
                        </a:xfrm>
                        <a:prstGeom prst="rect">
                          <a:avLst/>
                        </a:prstGeom>
                        <a:noFill/>
                        <a:ln w="9525">
                          <a:noFill/>
                          <a:miter lim="800000"/>
                          <a:headEnd/>
                          <a:tailEnd/>
                        </a:ln>
                      </wps:spPr>
                      <wps:txbx>
                        <w:txbxContent>
                          <w:p w14:paraId="44C7922A" w14:textId="77777777" w:rsidR="006F6EDE" w:rsidRDefault="006F6EDE" w:rsidP="006F6EDE">
                            <w:pPr>
                              <w:rPr>
                                <w:rFonts w:ascii="Arial" w:hAnsi="Arial" w:cs="Arial"/>
                                <w:b/>
                                <w:bCs/>
                                <w:i/>
                                <w:iCs/>
                                <w:color w:val="FFFFFF" w:themeColor="background1"/>
                                <w:sz w:val="36"/>
                                <w:szCs w:val="36"/>
                              </w:rPr>
                            </w:pPr>
                            <w:r w:rsidRPr="006F6EDE">
                              <w:rPr>
                                <w:rFonts w:ascii="Arial" w:hAnsi="Arial" w:cs="Arial"/>
                                <w:b/>
                                <w:bCs/>
                                <w:i/>
                                <w:iCs/>
                                <w:color w:val="FFFFFF" w:themeColor="background1"/>
                                <w:sz w:val="36"/>
                                <w:szCs w:val="36"/>
                              </w:rPr>
                              <w:t>Strategic analysis of Ant Financial</w:t>
                            </w:r>
                          </w:p>
                          <w:p w14:paraId="08CF3682" w14:textId="4467E712" w:rsidR="006F6EDE" w:rsidRDefault="004E0E0D" w:rsidP="006F6EDE">
                            <w:pPr>
                              <w:rPr>
                                <w:rFonts w:ascii="Arial" w:hAnsi="Arial" w:cs="Arial"/>
                                <w:b/>
                                <w:bCs/>
                                <w:i/>
                                <w:iCs/>
                                <w:color w:val="FFFFFF" w:themeColor="background1"/>
                                <w:sz w:val="36"/>
                                <w:szCs w:val="36"/>
                              </w:rPr>
                            </w:pPr>
                            <w:r>
                              <w:rPr>
                                <w:rFonts w:ascii="Arial" w:hAnsi="Arial" w:cs="Arial" w:hint="eastAsia"/>
                                <w:b/>
                                <w:bCs/>
                                <w:i/>
                                <w:iCs/>
                                <w:color w:val="FFFFFF" w:themeColor="background1"/>
                                <w:sz w:val="36"/>
                                <w:szCs w:val="36"/>
                              </w:rPr>
                              <w:t>S</w:t>
                            </w:r>
                            <w:r>
                              <w:rPr>
                                <w:rFonts w:ascii="Arial" w:hAnsi="Arial" w:cs="Arial"/>
                                <w:b/>
                                <w:bCs/>
                                <w:i/>
                                <w:iCs/>
                                <w:color w:val="FFFFFF" w:themeColor="background1"/>
                                <w:sz w:val="36"/>
                                <w:szCs w:val="36"/>
                              </w:rPr>
                              <w:t>trategic management BMMB7013</w:t>
                            </w:r>
                          </w:p>
                          <w:p w14:paraId="43E1CC8F" w14:textId="31E1CFC9" w:rsidR="004E0E0D" w:rsidRDefault="004E0E0D" w:rsidP="006F6EDE">
                            <w:pPr>
                              <w:rPr>
                                <w:rFonts w:ascii="Arial" w:hAnsi="Arial" w:cs="Arial"/>
                                <w:b/>
                                <w:bCs/>
                                <w:i/>
                                <w:iCs/>
                                <w:color w:val="FFFFFF" w:themeColor="background1"/>
                                <w:sz w:val="36"/>
                                <w:szCs w:val="36"/>
                              </w:rPr>
                            </w:pPr>
                            <w:r>
                              <w:rPr>
                                <w:rFonts w:ascii="Arial" w:hAnsi="Arial" w:cs="Arial"/>
                                <w:b/>
                                <w:bCs/>
                                <w:i/>
                                <w:iCs/>
                                <w:color w:val="FFFFFF" w:themeColor="background1"/>
                                <w:sz w:val="36"/>
                                <w:szCs w:val="36"/>
                              </w:rPr>
                              <w:t>Rao</w:t>
                            </w:r>
                            <w:r>
                              <w:rPr>
                                <w:rFonts w:ascii="Arial" w:hAnsi="Arial" w:cs="Arial" w:hint="eastAsia"/>
                                <w:b/>
                                <w:bCs/>
                                <w:i/>
                                <w:iCs/>
                                <w:color w:val="FFFFFF" w:themeColor="background1"/>
                                <w:sz w:val="36"/>
                                <w:szCs w:val="36"/>
                              </w:rPr>
                              <w:t xml:space="preserve"> </w:t>
                            </w:r>
                            <w:r>
                              <w:rPr>
                                <w:rFonts w:ascii="Arial" w:hAnsi="Arial" w:cs="Arial"/>
                                <w:b/>
                                <w:bCs/>
                                <w:i/>
                                <w:iCs/>
                                <w:color w:val="FFFFFF" w:themeColor="background1"/>
                                <w:sz w:val="36"/>
                                <w:szCs w:val="36"/>
                              </w:rPr>
                              <w:t xml:space="preserve">Haomiao </w:t>
                            </w:r>
                          </w:p>
                          <w:p w14:paraId="3EED2C75" w14:textId="24B17BBB" w:rsidR="004E0E0D" w:rsidRDefault="004E0E0D" w:rsidP="006F6EDE">
                            <w:pPr>
                              <w:rPr>
                                <w:rFonts w:ascii="Arial" w:hAnsi="Arial" w:cs="Arial" w:hint="eastAsia"/>
                                <w:b/>
                                <w:bCs/>
                                <w:i/>
                                <w:iCs/>
                                <w:color w:val="FFFFFF" w:themeColor="background1"/>
                                <w:sz w:val="36"/>
                                <w:szCs w:val="36"/>
                              </w:rPr>
                            </w:pPr>
                            <w:r>
                              <w:rPr>
                                <w:rFonts w:ascii="Arial" w:hAnsi="Arial" w:cs="Arial" w:hint="eastAsia"/>
                                <w:b/>
                                <w:bCs/>
                                <w:i/>
                                <w:iCs/>
                                <w:color w:val="FFFFFF" w:themeColor="background1"/>
                                <w:sz w:val="36"/>
                                <w:szCs w:val="36"/>
                              </w:rPr>
                              <w:t>2</w:t>
                            </w:r>
                            <w:r>
                              <w:rPr>
                                <w:rFonts w:ascii="Arial" w:hAnsi="Arial" w:cs="Arial"/>
                                <w:b/>
                                <w:bCs/>
                                <w:i/>
                                <w:iCs/>
                                <w:color w:val="FFFFFF" w:themeColor="background1"/>
                                <w:sz w:val="36"/>
                                <w:szCs w:val="36"/>
                              </w:rPr>
                              <w:t>000344</w:t>
                            </w:r>
                          </w:p>
                          <w:p w14:paraId="390A116A" w14:textId="77777777" w:rsidR="004E0E0D" w:rsidRPr="006F6EDE" w:rsidRDefault="004E0E0D" w:rsidP="006F6EDE">
                            <w:pPr>
                              <w:rPr>
                                <w:rFonts w:ascii="Arial" w:hAnsi="Arial" w:cs="Arial"/>
                                <w:b/>
                                <w:bCs/>
                                <w:i/>
                                <w:iCs/>
                                <w:color w:val="FFFFFF" w:themeColor="background1"/>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668297" id="_x0000_t202" coordsize="21600,21600" o:spt="202" path="m,l,21600r21600,l21600,xe">
                <v:stroke joinstyle="miter"/>
                <v:path gradientshapeok="t" o:connecttype="rect"/>
              </v:shapetype>
              <v:shape id="文本框 2" o:spid="_x0000_s1026" type="#_x0000_t202" style="position:absolute;margin-left:-7.2pt;margin-top:310.8pt;width:421.2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" filled="f" stroked="f">
                <v:textbox style="mso-fit-shape-to-text:t">
                  <w:txbxContent>
                    <w:p w14:paraId="44C7922A" w14:textId="77777777" w:rsidR="006F6EDE" w:rsidRDefault="006F6EDE" w:rsidP="006F6EDE">
                      <w:pPr>
                        <w:rPr>
                          <w:rFonts w:ascii="Arial" w:hAnsi="Arial" w:cs="Arial"/>
                          <w:b/>
                          <w:bCs/>
                          <w:i/>
                          <w:iCs/>
                          <w:color w:val="FFFFFF" w:themeColor="background1"/>
                          <w:sz w:val="36"/>
                          <w:szCs w:val="36"/>
                        </w:rPr>
                      </w:pPr>
                      <w:r w:rsidRPr="006F6EDE">
                        <w:rPr>
                          <w:rFonts w:ascii="Arial" w:hAnsi="Arial" w:cs="Arial"/>
                          <w:b/>
                          <w:bCs/>
                          <w:i/>
                          <w:iCs/>
                          <w:color w:val="FFFFFF" w:themeColor="background1"/>
                          <w:sz w:val="36"/>
                          <w:szCs w:val="36"/>
                        </w:rPr>
                        <w:t>Strategic analysis of Ant Financial</w:t>
                      </w:r>
                    </w:p>
                    <w:p w14:paraId="08CF3682" w14:textId="4467E712" w:rsidR="006F6EDE" w:rsidRDefault="004E0E0D" w:rsidP="006F6EDE">
                      <w:pPr>
                        <w:rPr>
                          <w:rFonts w:ascii="Arial" w:hAnsi="Arial" w:cs="Arial"/>
                          <w:b/>
                          <w:bCs/>
                          <w:i/>
                          <w:iCs/>
                          <w:color w:val="FFFFFF" w:themeColor="background1"/>
                          <w:sz w:val="36"/>
                          <w:szCs w:val="36"/>
                        </w:rPr>
                      </w:pPr>
                      <w:r>
                        <w:rPr>
                          <w:rFonts w:ascii="Arial" w:hAnsi="Arial" w:cs="Arial" w:hint="eastAsia"/>
                          <w:b/>
                          <w:bCs/>
                          <w:i/>
                          <w:iCs/>
                          <w:color w:val="FFFFFF" w:themeColor="background1"/>
                          <w:sz w:val="36"/>
                          <w:szCs w:val="36"/>
                        </w:rPr>
                        <w:t>S</w:t>
                      </w:r>
                      <w:r>
                        <w:rPr>
                          <w:rFonts w:ascii="Arial" w:hAnsi="Arial" w:cs="Arial"/>
                          <w:b/>
                          <w:bCs/>
                          <w:i/>
                          <w:iCs/>
                          <w:color w:val="FFFFFF" w:themeColor="background1"/>
                          <w:sz w:val="36"/>
                          <w:szCs w:val="36"/>
                        </w:rPr>
                        <w:t>trategic management BMMB7013</w:t>
                      </w:r>
                    </w:p>
                    <w:p w14:paraId="43E1CC8F" w14:textId="31E1CFC9" w:rsidR="004E0E0D" w:rsidRDefault="004E0E0D" w:rsidP="006F6EDE">
                      <w:pPr>
                        <w:rPr>
                          <w:rFonts w:ascii="Arial" w:hAnsi="Arial" w:cs="Arial"/>
                          <w:b/>
                          <w:bCs/>
                          <w:i/>
                          <w:iCs/>
                          <w:color w:val="FFFFFF" w:themeColor="background1"/>
                          <w:sz w:val="36"/>
                          <w:szCs w:val="36"/>
                        </w:rPr>
                      </w:pPr>
                      <w:r>
                        <w:rPr>
                          <w:rFonts w:ascii="Arial" w:hAnsi="Arial" w:cs="Arial"/>
                          <w:b/>
                          <w:bCs/>
                          <w:i/>
                          <w:iCs/>
                          <w:color w:val="FFFFFF" w:themeColor="background1"/>
                          <w:sz w:val="36"/>
                          <w:szCs w:val="36"/>
                        </w:rPr>
                        <w:t>Rao</w:t>
                      </w:r>
                      <w:r>
                        <w:rPr>
                          <w:rFonts w:ascii="Arial" w:hAnsi="Arial" w:cs="Arial" w:hint="eastAsia"/>
                          <w:b/>
                          <w:bCs/>
                          <w:i/>
                          <w:iCs/>
                          <w:color w:val="FFFFFF" w:themeColor="background1"/>
                          <w:sz w:val="36"/>
                          <w:szCs w:val="36"/>
                        </w:rPr>
                        <w:t xml:space="preserve"> </w:t>
                      </w:r>
                      <w:r>
                        <w:rPr>
                          <w:rFonts w:ascii="Arial" w:hAnsi="Arial" w:cs="Arial"/>
                          <w:b/>
                          <w:bCs/>
                          <w:i/>
                          <w:iCs/>
                          <w:color w:val="FFFFFF" w:themeColor="background1"/>
                          <w:sz w:val="36"/>
                          <w:szCs w:val="36"/>
                        </w:rPr>
                        <w:t xml:space="preserve">Haomiao </w:t>
                      </w:r>
                    </w:p>
                    <w:p w14:paraId="3EED2C75" w14:textId="24B17BBB" w:rsidR="004E0E0D" w:rsidRDefault="004E0E0D" w:rsidP="006F6EDE">
                      <w:pPr>
                        <w:rPr>
                          <w:rFonts w:ascii="Arial" w:hAnsi="Arial" w:cs="Arial" w:hint="eastAsia"/>
                          <w:b/>
                          <w:bCs/>
                          <w:i/>
                          <w:iCs/>
                          <w:color w:val="FFFFFF" w:themeColor="background1"/>
                          <w:sz w:val="36"/>
                          <w:szCs w:val="36"/>
                        </w:rPr>
                      </w:pPr>
                      <w:r>
                        <w:rPr>
                          <w:rFonts w:ascii="Arial" w:hAnsi="Arial" w:cs="Arial" w:hint="eastAsia"/>
                          <w:b/>
                          <w:bCs/>
                          <w:i/>
                          <w:iCs/>
                          <w:color w:val="FFFFFF" w:themeColor="background1"/>
                          <w:sz w:val="36"/>
                          <w:szCs w:val="36"/>
                        </w:rPr>
                        <w:t>2</w:t>
                      </w:r>
                      <w:r>
                        <w:rPr>
                          <w:rFonts w:ascii="Arial" w:hAnsi="Arial" w:cs="Arial"/>
                          <w:b/>
                          <w:bCs/>
                          <w:i/>
                          <w:iCs/>
                          <w:color w:val="FFFFFF" w:themeColor="background1"/>
                          <w:sz w:val="36"/>
                          <w:szCs w:val="36"/>
                        </w:rPr>
                        <w:t>000344</w:t>
                      </w:r>
                    </w:p>
                    <w:p w14:paraId="390A116A" w14:textId="77777777" w:rsidR="004E0E0D" w:rsidRPr="006F6EDE" w:rsidRDefault="004E0E0D" w:rsidP="006F6EDE">
                      <w:pPr>
                        <w:rPr>
                          <w:rFonts w:ascii="Arial" w:hAnsi="Arial" w:cs="Arial"/>
                          <w:b/>
                          <w:bCs/>
                          <w:i/>
                          <w:iCs/>
                          <w:color w:val="FFFFFF" w:themeColor="background1"/>
                          <w:sz w:val="36"/>
                          <w:szCs w:val="36"/>
                        </w:rPr>
                      </w:pPr>
                    </w:p>
                  </w:txbxContent>
                </v:textbox>
                <w10:wrap type="square"/>
              </v:shape>
            </w:pict>
          </mc:Fallback>
        </mc:AlternateContent>
      </w:r>
      <w:r w:rsidR="00CA624D" w:rsidRPr="0038189C">
        <w:br w:type="page"/>
      </w:r>
    </w:p>
    <w:p w14:paraId="432DDF93" w14:textId="21EBAEE7" w:rsidR="006F6EDE" w:rsidRPr="005A3BEF" w:rsidRDefault="006F6EDE" w:rsidP="005A3BEF">
      <w:pPr>
        <w:widowControl/>
        <w:pBdr>
          <w:bottom w:val="single" w:sz="18" w:space="1" w:color="9F2936" w:themeColor="accent2"/>
        </w:pBdr>
        <w:spacing w:beforeLines="150" w:before="468" w:afterLines="150" w:after="468" w:line="360" w:lineRule="auto"/>
        <w:jc w:val="center"/>
        <w:outlineLvl w:val="0"/>
        <w:rPr>
          <w:rFonts w:ascii="Arial" w:hAnsi="Arial" w:cs="Arial"/>
          <w:b/>
          <w:bCs/>
          <w:color w:val="14415C" w:themeColor="accent3" w:themeShade="BF"/>
          <w:sz w:val="36"/>
          <w:szCs w:val="36"/>
        </w:rPr>
      </w:pPr>
      <w:bookmarkStart w:id="0" w:name="_Toc90658101"/>
      <w:r w:rsidRPr="005A3BEF">
        <w:rPr>
          <w:rFonts w:ascii="Arial" w:hAnsi="Arial" w:cs="Arial"/>
          <w:b/>
          <w:bCs/>
          <w:color w:val="14415C" w:themeColor="accent3" w:themeShade="BF"/>
          <w:sz w:val="36"/>
          <w:szCs w:val="36"/>
        </w:rPr>
        <w:lastRenderedPageBreak/>
        <w:t>Executive summary</w:t>
      </w:r>
      <w:bookmarkEnd w:id="0"/>
    </w:p>
    <w:p w14:paraId="66C12785" w14:textId="77777777" w:rsidR="005A3BEF" w:rsidRDefault="006F6EDE" w:rsidP="004E0E0D">
      <w:pPr>
        <w:widowControl/>
        <w:spacing w:beforeLines="50" w:before="156" w:afterLines="50" w:after="156" w:line="480" w:lineRule="auto"/>
        <w:rPr>
          <w:rFonts w:ascii="Arial" w:hAnsi="Arial" w:cs="Arial"/>
          <w:sz w:val="24"/>
          <w:szCs w:val="24"/>
        </w:rPr>
      </w:pPr>
      <w:r w:rsidRPr="005A3BEF">
        <w:rPr>
          <w:rFonts w:ascii="Arial" w:hAnsi="Arial" w:cs="Arial" w:hint="eastAsia"/>
          <w:sz w:val="24"/>
          <w:szCs w:val="24"/>
        </w:rPr>
        <w:t>T</w:t>
      </w:r>
      <w:r w:rsidRPr="005A3BEF">
        <w:rPr>
          <w:rFonts w:ascii="Arial" w:hAnsi="Arial" w:cs="Arial"/>
          <w:sz w:val="24"/>
          <w:szCs w:val="24"/>
        </w:rPr>
        <w:t xml:space="preserve">he Covid-19 pandemic has disrupted the global economy significantly. Under this special time, how companies in the FinTech industry should react deserves special attention as they serve as the one of the primary industries in this pandemic supporting the routines functions of daily life. This report analyses the leading FinTech company in China, the Ant Financial, from the environmental and strategic perspective, </w:t>
      </w:r>
      <w:r w:rsidR="005A3BEF" w:rsidRPr="005A3BEF">
        <w:rPr>
          <w:rFonts w:ascii="Arial" w:hAnsi="Arial" w:cs="Arial"/>
          <w:sz w:val="24"/>
          <w:szCs w:val="24"/>
        </w:rPr>
        <w:t xml:space="preserve">to offer how the company’s strategy should be redesigned in the future. This study concludes that the company should continue its current strategy with alterations regarding the collaboration with regulatory bodies and the expansion in services that tap into the underserved FinTech sector in China. </w:t>
      </w:r>
    </w:p>
    <w:p w14:paraId="3485928C" w14:textId="77777777" w:rsidR="005A3BEF" w:rsidRDefault="005A3BEF">
      <w:pPr>
        <w:widowControl/>
        <w:jc w:val="left"/>
        <w:rPr>
          <w:rFonts w:ascii="Arial" w:hAnsi="Arial" w:cs="Arial"/>
          <w:sz w:val="24"/>
          <w:szCs w:val="24"/>
        </w:rPr>
      </w:pPr>
      <w:r>
        <w:rPr>
          <w:rFonts w:ascii="Arial" w:hAnsi="Arial" w:cs="Arial"/>
          <w:sz w:val="24"/>
          <w:szCs w:val="24"/>
        </w:rPr>
        <w:br w:type="page"/>
      </w:r>
    </w:p>
    <w:p w14:paraId="46C7328F" w14:textId="1CF2D321" w:rsidR="005A3BEF" w:rsidRPr="005A3BEF" w:rsidRDefault="005A3BEF" w:rsidP="005A3BEF">
      <w:pPr>
        <w:widowControl/>
        <w:pBdr>
          <w:bottom w:val="single" w:sz="18" w:space="1" w:color="9F2936" w:themeColor="accent2"/>
        </w:pBdr>
        <w:spacing w:beforeLines="150" w:before="468" w:afterLines="150" w:after="468" w:line="360" w:lineRule="auto"/>
        <w:jc w:val="center"/>
        <w:outlineLvl w:val="0"/>
        <w:rPr>
          <w:rFonts w:ascii="Arial" w:hAnsi="Arial" w:cs="Arial"/>
          <w:b/>
          <w:bCs/>
          <w:color w:val="14415C" w:themeColor="accent3" w:themeShade="BF"/>
          <w:sz w:val="36"/>
          <w:szCs w:val="36"/>
        </w:rPr>
      </w:pPr>
      <w:bookmarkStart w:id="1" w:name="_Toc90658102"/>
      <w:r w:rsidRPr="005A3BEF">
        <w:rPr>
          <w:rFonts w:ascii="Arial" w:hAnsi="Arial" w:cs="Arial"/>
          <w:b/>
          <w:bCs/>
          <w:color w:val="14415C" w:themeColor="accent3" w:themeShade="BF"/>
          <w:sz w:val="36"/>
          <w:szCs w:val="36"/>
        </w:rPr>
        <w:lastRenderedPageBreak/>
        <w:t>contents</w:t>
      </w:r>
      <w:bookmarkEnd w:id="1"/>
    </w:p>
    <w:sdt>
      <w:sdtPr>
        <w:rPr>
          <w:rFonts w:asciiTheme="minorHAnsi" w:eastAsiaTheme="minorEastAsia" w:hAnsiTheme="minorHAnsi" w:cstheme="minorBidi"/>
          <w:color w:val="auto"/>
          <w:kern w:val="2"/>
          <w:sz w:val="21"/>
          <w:szCs w:val="22"/>
          <w:lang w:val="zh-CN"/>
        </w:rPr>
        <w:id w:val="-653143432"/>
        <w:docPartObj>
          <w:docPartGallery w:val="Table of Contents"/>
          <w:docPartUnique/>
        </w:docPartObj>
      </w:sdtPr>
      <w:sdtEndPr>
        <w:rPr>
          <w:b/>
          <w:bCs/>
        </w:rPr>
      </w:sdtEndPr>
      <w:sdtContent>
        <w:p w14:paraId="5214DA50" w14:textId="5D9AC14E" w:rsidR="005A3BEF" w:rsidRDefault="005A3BEF">
          <w:pPr>
            <w:pStyle w:val="TOC"/>
          </w:pPr>
        </w:p>
        <w:p w14:paraId="6DDA52B5" w14:textId="01FEC4F5" w:rsidR="005A3BEF" w:rsidRPr="005A3BEF" w:rsidRDefault="005A3BEF" w:rsidP="005A3BEF">
          <w:pPr>
            <w:pStyle w:val="TOC1"/>
            <w:tabs>
              <w:tab w:val="right" w:leader="dot" w:pos="9016"/>
            </w:tabs>
            <w:spacing w:beforeLines="50" w:before="156" w:afterLines="50" w:after="156" w:line="360" w:lineRule="auto"/>
            <w:rPr>
              <w:noProof/>
              <w:lang w:val="en-US"/>
            </w:rPr>
          </w:pPr>
          <w:r w:rsidRPr="005A3BEF">
            <w:fldChar w:fldCharType="begin"/>
          </w:r>
          <w:r w:rsidRPr="005A3BEF">
            <w:instrText xml:space="preserve"> TOC \o "1-3" \h \z \u </w:instrText>
          </w:r>
          <w:r w:rsidRPr="005A3BEF">
            <w:fldChar w:fldCharType="separate"/>
          </w:r>
          <w:hyperlink w:anchor="_Toc90658101" w:history="1">
            <w:r w:rsidRPr="005A3BEF">
              <w:rPr>
                <w:rStyle w:val="a8"/>
                <w:rFonts w:ascii="Arial" w:hAnsi="Arial" w:cs="Arial"/>
                <w:noProof/>
              </w:rPr>
              <w:t>Executive summary</w:t>
            </w:r>
            <w:r w:rsidRPr="005A3BEF">
              <w:rPr>
                <w:noProof/>
                <w:webHidden/>
              </w:rPr>
              <w:tab/>
            </w:r>
          </w:hyperlink>
        </w:p>
        <w:p w14:paraId="6BA3C9BC" w14:textId="09801079" w:rsidR="005A3BEF" w:rsidRPr="005A3BEF" w:rsidRDefault="00E40F6F" w:rsidP="005A3BEF">
          <w:pPr>
            <w:pStyle w:val="TOC1"/>
            <w:tabs>
              <w:tab w:val="right" w:leader="dot" w:pos="9016"/>
            </w:tabs>
            <w:spacing w:beforeLines="50" w:before="156" w:afterLines="50" w:after="156" w:line="360" w:lineRule="auto"/>
            <w:rPr>
              <w:noProof/>
              <w:lang w:val="en-US"/>
            </w:rPr>
          </w:pPr>
          <w:hyperlink w:anchor="_Toc90658102" w:history="1">
            <w:r w:rsidR="005A3BEF" w:rsidRPr="005A3BEF">
              <w:rPr>
                <w:rStyle w:val="a8"/>
                <w:rFonts w:ascii="Arial" w:hAnsi="Arial" w:cs="Arial"/>
                <w:noProof/>
              </w:rPr>
              <w:t>Table of contents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_Toc90658102 \h </w:instrText>
            </w:r>
            <w:r w:rsidR="005A3BEF" w:rsidRPr="005A3BEF">
              <w:rPr>
                <w:noProof/>
                <w:webHidden/>
              </w:rPr>
            </w:r>
            <w:r w:rsidR="005A3BEF" w:rsidRPr="005A3BEF">
              <w:rPr>
                <w:noProof/>
                <w:webHidden/>
              </w:rPr>
              <w:fldChar w:fldCharType="separate"/>
            </w:r>
            <w:r w:rsidR="005A3BEF" w:rsidRPr="005A3BEF">
              <w:rPr>
                <w:noProof/>
                <w:webHidden/>
              </w:rPr>
              <w:t>3</w:t>
            </w:r>
            <w:r w:rsidR="005A3BEF" w:rsidRPr="005A3BEF">
              <w:rPr>
                <w:noProof/>
                <w:webHidden/>
              </w:rPr>
              <w:fldChar w:fldCharType="end"/>
            </w:r>
          </w:hyperlink>
        </w:p>
        <w:p w14:paraId="057F255D" w14:textId="1E13D7C2" w:rsidR="005A3BEF" w:rsidRPr="005A3BEF" w:rsidRDefault="00E40F6F" w:rsidP="005A3BEF">
          <w:pPr>
            <w:pStyle w:val="TOC1"/>
            <w:tabs>
              <w:tab w:val="left" w:pos="420"/>
              <w:tab w:val="right" w:leader="dot" w:pos="9016"/>
            </w:tabs>
            <w:spacing w:beforeLines="50" w:before="156" w:afterLines="50" w:after="156" w:line="360" w:lineRule="auto"/>
            <w:rPr>
              <w:noProof/>
              <w:lang w:val="en-US"/>
            </w:rPr>
          </w:pPr>
          <w:hyperlink w:anchor="_Toc90658103" w:history="1">
            <w:r w:rsidR="005A3BEF" w:rsidRPr="005A3BEF">
              <w:rPr>
                <w:rStyle w:val="a8"/>
                <w:rFonts w:ascii="Arial" w:hAnsi="Arial" w:cs="Arial"/>
                <w:noProof/>
              </w:rPr>
              <w:t>1.</w:t>
            </w:r>
            <w:r w:rsidR="005A3BEF" w:rsidRPr="005A3BEF">
              <w:rPr>
                <w:noProof/>
                <w:lang w:val="en-US"/>
              </w:rPr>
              <w:tab/>
            </w:r>
            <w:r w:rsidR="005A3BEF" w:rsidRPr="005A3BEF">
              <w:rPr>
                <w:rStyle w:val="a8"/>
                <w:rFonts w:ascii="Arial" w:hAnsi="Arial" w:cs="Arial"/>
                <w:noProof/>
              </w:rPr>
              <w:t>Introduction</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_Toc90658103 \h </w:instrText>
            </w:r>
            <w:r w:rsidR="005A3BEF" w:rsidRPr="005A3BEF">
              <w:rPr>
                <w:noProof/>
                <w:webHidden/>
              </w:rPr>
            </w:r>
            <w:r w:rsidR="005A3BEF" w:rsidRPr="005A3BEF">
              <w:rPr>
                <w:noProof/>
                <w:webHidden/>
              </w:rPr>
              <w:fldChar w:fldCharType="separate"/>
            </w:r>
            <w:r w:rsidR="005A3BEF" w:rsidRPr="005A3BEF">
              <w:rPr>
                <w:noProof/>
                <w:webHidden/>
              </w:rPr>
              <w:t>1</w:t>
            </w:r>
            <w:r w:rsidR="005A3BEF" w:rsidRPr="005A3BEF">
              <w:rPr>
                <w:noProof/>
                <w:webHidden/>
              </w:rPr>
              <w:fldChar w:fldCharType="end"/>
            </w:r>
          </w:hyperlink>
        </w:p>
        <w:p w14:paraId="79C92232" w14:textId="6FD0C5E7" w:rsidR="005A3BEF" w:rsidRPr="005A3BEF" w:rsidRDefault="00E40F6F" w:rsidP="005A3BEF">
          <w:pPr>
            <w:pStyle w:val="TOC2"/>
            <w:tabs>
              <w:tab w:val="left" w:pos="1050"/>
              <w:tab w:val="right" w:leader="dot" w:pos="9016"/>
            </w:tabs>
            <w:spacing w:beforeLines="50" w:before="156" w:afterLines="50" w:after="156" w:line="360" w:lineRule="auto"/>
            <w:rPr>
              <w:noProof/>
              <w:lang w:val="en-US"/>
            </w:rPr>
          </w:pPr>
          <w:hyperlink w:anchor="_Toc90658104" w:history="1">
            <w:r w:rsidR="005A3BEF" w:rsidRPr="005A3BEF">
              <w:rPr>
                <w:rStyle w:val="a8"/>
                <w:rFonts w:ascii="Arial" w:hAnsi="Arial" w:cs="Arial"/>
                <w:i/>
                <w:iCs/>
                <w:noProof/>
              </w:rPr>
              <w:t>1.1.</w:t>
            </w:r>
            <w:r w:rsidR="005A3BEF" w:rsidRPr="005A3BEF">
              <w:rPr>
                <w:noProof/>
                <w:lang w:val="en-US"/>
              </w:rPr>
              <w:tab/>
            </w:r>
            <w:r w:rsidR="005A3BEF" w:rsidRPr="005A3BEF">
              <w:rPr>
                <w:rStyle w:val="a8"/>
                <w:rFonts w:ascii="Arial" w:hAnsi="Arial" w:cs="Arial"/>
                <w:i/>
                <w:iCs/>
                <w:noProof/>
              </w:rPr>
              <w:t>Research background</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_Toc90658104 \h </w:instrText>
            </w:r>
            <w:r w:rsidR="005A3BEF" w:rsidRPr="005A3BEF">
              <w:rPr>
                <w:noProof/>
                <w:webHidden/>
              </w:rPr>
            </w:r>
            <w:r w:rsidR="005A3BEF" w:rsidRPr="005A3BEF">
              <w:rPr>
                <w:noProof/>
                <w:webHidden/>
              </w:rPr>
              <w:fldChar w:fldCharType="separate"/>
            </w:r>
            <w:r w:rsidR="005A3BEF" w:rsidRPr="005A3BEF">
              <w:rPr>
                <w:noProof/>
                <w:webHidden/>
              </w:rPr>
              <w:t>1</w:t>
            </w:r>
            <w:r w:rsidR="005A3BEF" w:rsidRPr="005A3BEF">
              <w:rPr>
                <w:noProof/>
                <w:webHidden/>
              </w:rPr>
              <w:fldChar w:fldCharType="end"/>
            </w:r>
          </w:hyperlink>
        </w:p>
        <w:p w14:paraId="3431C7F5" w14:textId="41E3855D" w:rsidR="005A3BEF" w:rsidRPr="005A3BEF" w:rsidRDefault="00E40F6F" w:rsidP="005A3BEF">
          <w:pPr>
            <w:pStyle w:val="TOC2"/>
            <w:tabs>
              <w:tab w:val="left" w:pos="1050"/>
              <w:tab w:val="right" w:leader="dot" w:pos="9016"/>
            </w:tabs>
            <w:spacing w:beforeLines="50" w:before="156" w:afterLines="50" w:after="156" w:line="360" w:lineRule="auto"/>
            <w:rPr>
              <w:noProof/>
              <w:lang w:val="en-US"/>
            </w:rPr>
          </w:pPr>
          <w:hyperlink w:anchor="_Toc90658105" w:history="1">
            <w:r w:rsidR="005A3BEF" w:rsidRPr="005A3BEF">
              <w:rPr>
                <w:rStyle w:val="a8"/>
                <w:rFonts w:ascii="Arial" w:hAnsi="Arial" w:cs="Arial"/>
                <w:i/>
                <w:iCs/>
                <w:noProof/>
              </w:rPr>
              <w:t>1.2.</w:t>
            </w:r>
            <w:r w:rsidR="005A3BEF" w:rsidRPr="005A3BEF">
              <w:rPr>
                <w:noProof/>
                <w:lang w:val="en-US"/>
              </w:rPr>
              <w:tab/>
            </w:r>
            <w:r w:rsidR="005A3BEF" w:rsidRPr="005A3BEF">
              <w:rPr>
                <w:rStyle w:val="a8"/>
                <w:rFonts w:ascii="Arial" w:hAnsi="Arial" w:cs="Arial"/>
                <w:i/>
                <w:iCs/>
                <w:noProof/>
              </w:rPr>
              <w:t>Case company briefing</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_Toc90658105 \h </w:instrText>
            </w:r>
            <w:r w:rsidR="005A3BEF" w:rsidRPr="005A3BEF">
              <w:rPr>
                <w:noProof/>
                <w:webHidden/>
              </w:rPr>
            </w:r>
            <w:r w:rsidR="005A3BEF" w:rsidRPr="005A3BEF">
              <w:rPr>
                <w:noProof/>
                <w:webHidden/>
              </w:rPr>
              <w:fldChar w:fldCharType="separate"/>
            </w:r>
            <w:r w:rsidR="005A3BEF" w:rsidRPr="005A3BEF">
              <w:rPr>
                <w:noProof/>
                <w:webHidden/>
              </w:rPr>
              <w:t>2</w:t>
            </w:r>
            <w:r w:rsidR="005A3BEF" w:rsidRPr="005A3BEF">
              <w:rPr>
                <w:noProof/>
                <w:webHidden/>
              </w:rPr>
              <w:fldChar w:fldCharType="end"/>
            </w:r>
          </w:hyperlink>
        </w:p>
        <w:p w14:paraId="74D0DC24" w14:textId="3F0400A5" w:rsidR="005A3BEF" w:rsidRPr="005A3BEF" w:rsidRDefault="00E40F6F" w:rsidP="005A3BEF">
          <w:pPr>
            <w:pStyle w:val="TOC2"/>
            <w:tabs>
              <w:tab w:val="left" w:pos="1050"/>
              <w:tab w:val="right" w:leader="dot" w:pos="9016"/>
            </w:tabs>
            <w:spacing w:beforeLines="50" w:before="156" w:afterLines="50" w:after="156" w:line="360" w:lineRule="auto"/>
            <w:rPr>
              <w:noProof/>
              <w:lang w:val="en-US"/>
            </w:rPr>
          </w:pPr>
          <w:hyperlink w:anchor="_Toc90658106" w:history="1">
            <w:r w:rsidR="005A3BEF" w:rsidRPr="005A3BEF">
              <w:rPr>
                <w:rStyle w:val="a8"/>
                <w:rFonts w:ascii="Arial" w:hAnsi="Arial" w:cs="Arial"/>
                <w:i/>
                <w:iCs/>
                <w:noProof/>
              </w:rPr>
              <w:t>1.3.</w:t>
            </w:r>
            <w:r w:rsidR="005A3BEF" w:rsidRPr="005A3BEF">
              <w:rPr>
                <w:noProof/>
                <w:lang w:val="en-US"/>
              </w:rPr>
              <w:tab/>
            </w:r>
            <w:r w:rsidR="005A3BEF" w:rsidRPr="005A3BEF">
              <w:rPr>
                <w:rStyle w:val="a8"/>
                <w:rFonts w:ascii="Arial" w:hAnsi="Arial" w:cs="Arial"/>
                <w:i/>
                <w:iCs/>
                <w:noProof/>
              </w:rPr>
              <w:t>Report structure</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_Toc90658106 \h </w:instrText>
            </w:r>
            <w:r w:rsidR="005A3BEF" w:rsidRPr="005A3BEF">
              <w:rPr>
                <w:noProof/>
                <w:webHidden/>
              </w:rPr>
            </w:r>
            <w:r w:rsidR="005A3BEF" w:rsidRPr="005A3BEF">
              <w:rPr>
                <w:noProof/>
                <w:webHidden/>
              </w:rPr>
              <w:fldChar w:fldCharType="separate"/>
            </w:r>
            <w:r w:rsidR="005A3BEF" w:rsidRPr="005A3BEF">
              <w:rPr>
                <w:noProof/>
                <w:webHidden/>
              </w:rPr>
              <w:t>4</w:t>
            </w:r>
            <w:r w:rsidR="005A3BEF" w:rsidRPr="005A3BEF">
              <w:rPr>
                <w:noProof/>
                <w:webHidden/>
              </w:rPr>
              <w:fldChar w:fldCharType="end"/>
            </w:r>
          </w:hyperlink>
        </w:p>
        <w:p w14:paraId="0B9A3EA0" w14:textId="166CCFFD" w:rsidR="005A3BEF" w:rsidRPr="005A3BEF" w:rsidRDefault="00E40F6F" w:rsidP="005A3BEF">
          <w:pPr>
            <w:pStyle w:val="TOC1"/>
            <w:tabs>
              <w:tab w:val="left" w:pos="420"/>
              <w:tab w:val="right" w:leader="dot" w:pos="9016"/>
            </w:tabs>
            <w:spacing w:beforeLines="50" w:before="156" w:afterLines="50" w:after="156" w:line="360" w:lineRule="auto"/>
            <w:rPr>
              <w:noProof/>
              <w:lang w:val="en-US"/>
            </w:rPr>
          </w:pPr>
          <w:hyperlink w:anchor="_Toc90658107" w:history="1">
            <w:r w:rsidR="005A3BEF" w:rsidRPr="005A3BEF">
              <w:rPr>
                <w:rStyle w:val="a8"/>
                <w:rFonts w:ascii="Arial" w:hAnsi="Arial" w:cs="Arial"/>
                <w:noProof/>
              </w:rPr>
              <w:t>2.</w:t>
            </w:r>
            <w:r w:rsidR="005A3BEF" w:rsidRPr="005A3BEF">
              <w:rPr>
                <w:noProof/>
                <w:lang w:val="en-US"/>
              </w:rPr>
              <w:tab/>
            </w:r>
            <w:r w:rsidR="005A3BEF" w:rsidRPr="005A3BEF">
              <w:rPr>
                <w:rStyle w:val="a8"/>
                <w:rFonts w:ascii="Arial" w:hAnsi="Arial" w:cs="Arial"/>
                <w:noProof/>
              </w:rPr>
              <w:t>Business environmental scanning</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_Toc90658107 \h </w:instrText>
            </w:r>
            <w:r w:rsidR="005A3BEF" w:rsidRPr="005A3BEF">
              <w:rPr>
                <w:noProof/>
                <w:webHidden/>
              </w:rPr>
            </w:r>
            <w:r w:rsidR="005A3BEF" w:rsidRPr="005A3BEF">
              <w:rPr>
                <w:noProof/>
                <w:webHidden/>
              </w:rPr>
              <w:fldChar w:fldCharType="separate"/>
            </w:r>
            <w:r w:rsidR="005A3BEF" w:rsidRPr="005A3BEF">
              <w:rPr>
                <w:noProof/>
                <w:webHidden/>
              </w:rPr>
              <w:t>4</w:t>
            </w:r>
            <w:r w:rsidR="005A3BEF" w:rsidRPr="005A3BEF">
              <w:rPr>
                <w:noProof/>
                <w:webHidden/>
              </w:rPr>
              <w:fldChar w:fldCharType="end"/>
            </w:r>
          </w:hyperlink>
        </w:p>
        <w:p w14:paraId="3761492E" w14:textId="7B728197" w:rsidR="005A3BEF" w:rsidRPr="005A3BEF" w:rsidRDefault="00E40F6F" w:rsidP="005A3BEF">
          <w:pPr>
            <w:pStyle w:val="TOC2"/>
            <w:tabs>
              <w:tab w:val="left" w:pos="1050"/>
              <w:tab w:val="right" w:leader="dot" w:pos="9016"/>
            </w:tabs>
            <w:spacing w:beforeLines="50" w:before="156" w:afterLines="50" w:after="156" w:line="360" w:lineRule="auto"/>
            <w:rPr>
              <w:noProof/>
              <w:lang w:val="en-US"/>
            </w:rPr>
          </w:pPr>
          <w:hyperlink w:anchor="_Toc90658108" w:history="1">
            <w:r w:rsidR="005A3BEF" w:rsidRPr="005A3BEF">
              <w:rPr>
                <w:rStyle w:val="a8"/>
                <w:rFonts w:ascii="Arial" w:hAnsi="Arial" w:cs="Arial"/>
                <w:i/>
                <w:iCs/>
                <w:noProof/>
              </w:rPr>
              <w:t>2.1.</w:t>
            </w:r>
            <w:r w:rsidR="005A3BEF" w:rsidRPr="005A3BEF">
              <w:rPr>
                <w:noProof/>
                <w:lang w:val="en-US"/>
              </w:rPr>
              <w:tab/>
            </w:r>
            <w:r w:rsidR="005A3BEF" w:rsidRPr="005A3BEF">
              <w:rPr>
                <w:rStyle w:val="a8"/>
                <w:rFonts w:ascii="Arial" w:hAnsi="Arial" w:cs="Arial"/>
                <w:i/>
                <w:iCs/>
                <w:noProof/>
              </w:rPr>
              <w:t>External environmental scanning</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_Toc90658108 \h </w:instrText>
            </w:r>
            <w:r w:rsidR="005A3BEF" w:rsidRPr="005A3BEF">
              <w:rPr>
                <w:noProof/>
                <w:webHidden/>
              </w:rPr>
            </w:r>
            <w:r w:rsidR="005A3BEF" w:rsidRPr="005A3BEF">
              <w:rPr>
                <w:noProof/>
                <w:webHidden/>
              </w:rPr>
              <w:fldChar w:fldCharType="separate"/>
            </w:r>
            <w:r w:rsidR="005A3BEF" w:rsidRPr="005A3BEF">
              <w:rPr>
                <w:noProof/>
                <w:webHidden/>
              </w:rPr>
              <w:t>4</w:t>
            </w:r>
            <w:r w:rsidR="005A3BEF" w:rsidRPr="005A3BEF">
              <w:rPr>
                <w:noProof/>
                <w:webHidden/>
              </w:rPr>
              <w:fldChar w:fldCharType="end"/>
            </w:r>
          </w:hyperlink>
        </w:p>
        <w:p w14:paraId="2A41475F" w14:textId="60F21D1D" w:rsidR="005A3BEF" w:rsidRPr="005A3BEF" w:rsidRDefault="00E40F6F" w:rsidP="005A3BEF">
          <w:pPr>
            <w:pStyle w:val="TOC3"/>
            <w:tabs>
              <w:tab w:val="left" w:pos="1680"/>
              <w:tab w:val="right" w:leader="dot" w:pos="9016"/>
            </w:tabs>
            <w:spacing w:beforeLines="50" w:before="156" w:afterLines="50" w:after="156" w:line="360" w:lineRule="auto"/>
            <w:rPr>
              <w:noProof/>
              <w:lang w:val="en-US"/>
            </w:rPr>
          </w:pPr>
          <w:hyperlink w:anchor="_Toc90658109" w:history="1">
            <w:r w:rsidR="005A3BEF" w:rsidRPr="005A3BEF">
              <w:rPr>
                <w:rStyle w:val="a8"/>
                <w:rFonts w:ascii="Arial" w:hAnsi="Arial" w:cs="Arial"/>
                <w:i/>
                <w:iCs/>
                <w:noProof/>
              </w:rPr>
              <w:t>2.1.1.</w:t>
            </w:r>
            <w:r w:rsidR="005A3BEF" w:rsidRPr="005A3BEF">
              <w:rPr>
                <w:noProof/>
                <w:lang w:val="en-US"/>
              </w:rPr>
              <w:tab/>
            </w:r>
            <w:r w:rsidR="005A3BEF" w:rsidRPr="005A3BEF">
              <w:rPr>
                <w:rStyle w:val="a8"/>
                <w:rFonts w:ascii="Arial" w:hAnsi="Arial" w:cs="Arial"/>
                <w:i/>
                <w:iCs/>
                <w:noProof/>
              </w:rPr>
              <w:t>PEST analysis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_Toc90658109 \h </w:instrText>
            </w:r>
            <w:r w:rsidR="005A3BEF" w:rsidRPr="005A3BEF">
              <w:rPr>
                <w:noProof/>
                <w:webHidden/>
              </w:rPr>
            </w:r>
            <w:r w:rsidR="005A3BEF" w:rsidRPr="005A3BEF">
              <w:rPr>
                <w:noProof/>
                <w:webHidden/>
              </w:rPr>
              <w:fldChar w:fldCharType="separate"/>
            </w:r>
            <w:r w:rsidR="005A3BEF" w:rsidRPr="005A3BEF">
              <w:rPr>
                <w:noProof/>
                <w:webHidden/>
              </w:rPr>
              <w:t>4</w:t>
            </w:r>
            <w:r w:rsidR="005A3BEF" w:rsidRPr="005A3BEF">
              <w:rPr>
                <w:noProof/>
                <w:webHidden/>
              </w:rPr>
              <w:fldChar w:fldCharType="end"/>
            </w:r>
          </w:hyperlink>
        </w:p>
        <w:p w14:paraId="255BE34D" w14:textId="758437D7" w:rsidR="005A3BEF" w:rsidRPr="005A3BEF" w:rsidRDefault="00E40F6F" w:rsidP="005A3BEF">
          <w:pPr>
            <w:pStyle w:val="TOC3"/>
            <w:tabs>
              <w:tab w:val="left" w:pos="1680"/>
              <w:tab w:val="right" w:leader="dot" w:pos="9016"/>
            </w:tabs>
            <w:spacing w:beforeLines="50" w:before="156" w:afterLines="50" w:after="156" w:line="360" w:lineRule="auto"/>
            <w:rPr>
              <w:noProof/>
              <w:lang w:val="en-US"/>
            </w:rPr>
          </w:pPr>
          <w:hyperlink w:anchor="_Toc90658110" w:history="1">
            <w:r w:rsidR="005A3BEF" w:rsidRPr="005A3BEF">
              <w:rPr>
                <w:rStyle w:val="a8"/>
                <w:rFonts w:ascii="Arial" w:hAnsi="Arial" w:cs="Arial"/>
                <w:i/>
                <w:iCs/>
                <w:noProof/>
              </w:rPr>
              <w:t>2.1.2.</w:t>
            </w:r>
            <w:r w:rsidR="005A3BEF" w:rsidRPr="005A3BEF">
              <w:rPr>
                <w:noProof/>
                <w:lang w:val="en-US"/>
              </w:rPr>
              <w:tab/>
            </w:r>
            <w:r w:rsidR="005A3BEF" w:rsidRPr="005A3BEF">
              <w:rPr>
                <w:rStyle w:val="a8"/>
                <w:rFonts w:ascii="Arial" w:hAnsi="Arial" w:cs="Arial"/>
                <w:i/>
                <w:iCs/>
                <w:noProof/>
              </w:rPr>
              <w:t>Porter’s five force analysis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_Toc90658110 \h </w:instrText>
            </w:r>
            <w:r w:rsidR="005A3BEF" w:rsidRPr="005A3BEF">
              <w:rPr>
                <w:noProof/>
                <w:webHidden/>
              </w:rPr>
            </w:r>
            <w:r w:rsidR="005A3BEF" w:rsidRPr="005A3BEF">
              <w:rPr>
                <w:noProof/>
                <w:webHidden/>
              </w:rPr>
              <w:fldChar w:fldCharType="separate"/>
            </w:r>
            <w:r w:rsidR="005A3BEF" w:rsidRPr="005A3BEF">
              <w:rPr>
                <w:noProof/>
                <w:webHidden/>
              </w:rPr>
              <w:t>9</w:t>
            </w:r>
            <w:r w:rsidR="005A3BEF" w:rsidRPr="005A3BEF">
              <w:rPr>
                <w:noProof/>
                <w:webHidden/>
              </w:rPr>
              <w:fldChar w:fldCharType="end"/>
            </w:r>
          </w:hyperlink>
        </w:p>
        <w:p w14:paraId="512BC801" w14:textId="7CC69BDE" w:rsidR="005A3BEF" w:rsidRPr="005A3BEF" w:rsidRDefault="00E40F6F" w:rsidP="005A3BEF">
          <w:pPr>
            <w:pStyle w:val="TOC2"/>
            <w:tabs>
              <w:tab w:val="left" w:pos="1050"/>
              <w:tab w:val="right" w:leader="dot" w:pos="9016"/>
            </w:tabs>
            <w:spacing w:beforeLines="50" w:before="156" w:afterLines="50" w:after="156" w:line="360" w:lineRule="auto"/>
            <w:rPr>
              <w:noProof/>
              <w:lang w:val="en-US"/>
            </w:rPr>
          </w:pPr>
          <w:hyperlink w:anchor="_Toc90658111" w:history="1">
            <w:r w:rsidR="005A3BEF" w:rsidRPr="005A3BEF">
              <w:rPr>
                <w:rStyle w:val="a8"/>
                <w:rFonts w:ascii="Arial" w:hAnsi="Arial" w:cs="Arial"/>
                <w:i/>
                <w:iCs/>
                <w:noProof/>
              </w:rPr>
              <w:t>2.2.</w:t>
            </w:r>
            <w:r w:rsidR="005A3BEF" w:rsidRPr="005A3BEF">
              <w:rPr>
                <w:noProof/>
                <w:lang w:val="en-US"/>
              </w:rPr>
              <w:tab/>
            </w:r>
            <w:r w:rsidR="005A3BEF" w:rsidRPr="005A3BEF">
              <w:rPr>
                <w:rStyle w:val="a8"/>
                <w:rFonts w:ascii="Arial" w:hAnsi="Arial" w:cs="Arial"/>
                <w:i/>
                <w:iCs/>
                <w:noProof/>
              </w:rPr>
              <w:t>Internal environmental analysis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_Toc90658111 \h </w:instrText>
            </w:r>
            <w:r w:rsidR="005A3BEF" w:rsidRPr="005A3BEF">
              <w:rPr>
                <w:noProof/>
                <w:webHidden/>
              </w:rPr>
            </w:r>
            <w:r w:rsidR="005A3BEF" w:rsidRPr="005A3BEF">
              <w:rPr>
                <w:noProof/>
                <w:webHidden/>
              </w:rPr>
              <w:fldChar w:fldCharType="separate"/>
            </w:r>
            <w:r w:rsidR="005A3BEF" w:rsidRPr="005A3BEF">
              <w:rPr>
                <w:noProof/>
                <w:webHidden/>
              </w:rPr>
              <w:t>11</w:t>
            </w:r>
            <w:r w:rsidR="005A3BEF" w:rsidRPr="005A3BEF">
              <w:rPr>
                <w:noProof/>
                <w:webHidden/>
              </w:rPr>
              <w:fldChar w:fldCharType="end"/>
            </w:r>
          </w:hyperlink>
        </w:p>
        <w:p w14:paraId="17A4AFB3" w14:textId="4E77FF76" w:rsidR="005A3BEF" w:rsidRPr="005A3BEF" w:rsidRDefault="00E40F6F" w:rsidP="005A3BEF">
          <w:pPr>
            <w:pStyle w:val="TOC3"/>
            <w:tabs>
              <w:tab w:val="left" w:pos="1680"/>
              <w:tab w:val="right" w:leader="dot" w:pos="9016"/>
            </w:tabs>
            <w:spacing w:beforeLines="50" w:before="156" w:afterLines="50" w:after="156" w:line="360" w:lineRule="auto"/>
            <w:rPr>
              <w:noProof/>
              <w:lang w:val="en-US"/>
            </w:rPr>
          </w:pPr>
          <w:hyperlink w:anchor="_Toc90658112" w:history="1">
            <w:r w:rsidR="005A3BEF" w:rsidRPr="005A3BEF">
              <w:rPr>
                <w:rStyle w:val="a8"/>
                <w:rFonts w:ascii="Arial" w:hAnsi="Arial" w:cs="Arial"/>
                <w:i/>
                <w:iCs/>
                <w:noProof/>
              </w:rPr>
              <w:t>2.2.1.</w:t>
            </w:r>
            <w:r w:rsidR="005A3BEF" w:rsidRPr="005A3BEF">
              <w:rPr>
                <w:noProof/>
                <w:lang w:val="en-US"/>
              </w:rPr>
              <w:tab/>
            </w:r>
            <w:r w:rsidR="005A3BEF" w:rsidRPr="005A3BEF">
              <w:rPr>
                <w:rStyle w:val="a8"/>
                <w:rFonts w:ascii="Arial" w:hAnsi="Arial" w:cs="Arial"/>
                <w:i/>
                <w:iCs/>
                <w:noProof/>
              </w:rPr>
              <w:t>VRIO analysis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_Toc90658112 \h </w:instrText>
            </w:r>
            <w:r w:rsidR="005A3BEF" w:rsidRPr="005A3BEF">
              <w:rPr>
                <w:noProof/>
                <w:webHidden/>
              </w:rPr>
            </w:r>
            <w:r w:rsidR="005A3BEF" w:rsidRPr="005A3BEF">
              <w:rPr>
                <w:noProof/>
                <w:webHidden/>
              </w:rPr>
              <w:fldChar w:fldCharType="separate"/>
            </w:r>
            <w:r w:rsidR="005A3BEF" w:rsidRPr="005A3BEF">
              <w:rPr>
                <w:noProof/>
                <w:webHidden/>
              </w:rPr>
              <w:t>11</w:t>
            </w:r>
            <w:r w:rsidR="005A3BEF" w:rsidRPr="005A3BEF">
              <w:rPr>
                <w:noProof/>
                <w:webHidden/>
              </w:rPr>
              <w:fldChar w:fldCharType="end"/>
            </w:r>
          </w:hyperlink>
        </w:p>
        <w:p w14:paraId="23F517A2" w14:textId="01033BD4" w:rsidR="005A3BEF" w:rsidRPr="005A3BEF" w:rsidRDefault="00E40F6F" w:rsidP="005A3BEF">
          <w:pPr>
            <w:pStyle w:val="TOC3"/>
            <w:tabs>
              <w:tab w:val="left" w:pos="1680"/>
              <w:tab w:val="right" w:leader="dot" w:pos="9016"/>
            </w:tabs>
            <w:spacing w:beforeLines="50" w:before="156" w:afterLines="50" w:after="156" w:line="360" w:lineRule="auto"/>
            <w:rPr>
              <w:noProof/>
              <w:lang w:val="en-US"/>
            </w:rPr>
          </w:pPr>
          <w:hyperlink w:anchor="_Toc90658113" w:history="1">
            <w:r w:rsidR="005A3BEF" w:rsidRPr="005A3BEF">
              <w:rPr>
                <w:rStyle w:val="a8"/>
                <w:rFonts w:ascii="Arial" w:hAnsi="Arial" w:cs="Arial"/>
                <w:i/>
                <w:iCs/>
                <w:noProof/>
              </w:rPr>
              <w:t>2.2.2.</w:t>
            </w:r>
            <w:r w:rsidR="005A3BEF" w:rsidRPr="005A3BEF">
              <w:rPr>
                <w:noProof/>
                <w:lang w:val="en-US"/>
              </w:rPr>
              <w:tab/>
            </w:r>
            <w:r w:rsidR="005A3BEF" w:rsidRPr="005A3BEF">
              <w:rPr>
                <w:rStyle w:val="a8"/>
                <w:rFonts w:ascii="Arial" w:hAnsi="Arial" w:cs="Arial"/>
                <w:i/>
                <w:iCs/>
                <w:noProof/>
              </w:rPr>
              <w:t>SWOT analysis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_Toc90658113 \h </w:instrText>
            </w:r>
            <w:r w:rsidR="005A3BEF" w:rsidRPr="005A3BEF">
              <w:rPr>
                <w:noProof/>
                <w:webHidden/>
              </w:rPr>
            </w:r>
            <w:r w:rsidR="005A3BEF" w:rsidRPr="005A3BEF">
              <w:rPr>
                <w:noProof/>
                <w:webHidden/>
              </w:rPr>
              <w:fldChar w:fldCharType="separate"/>
            </w:r>
            <w:r w:rsidR="005A3BEF" w:rsidRPr="005A3BEF">
              <w:rPr>
                <w:noProof/>
                <w:webHidden/>
              </w:rPr>
              <w:t>14</w:t>
            </w:r>
            <w:r w:rsidR="005A3BEF" w:rsidRPr="005A3BEF">
              <w:rPr>
                <w:noProof/>
                <w:webHidden/>
              </w:rPr>
              <w:fldChar w:fldCharType="end"/>
            </w:r>
          </w:hyperlink>
        </w:p>
        <w:p w14:paraId="0C985EC6" w14:textId="690277E7" w:rsidR="005A3BEF" w:rsidRPr="005A3BEF" w:rsidRDefault="00E40F6F" w:rsidP="005A3BEF">
          <w:pPr>
            <w:pStyle w:val="TOC1"/>
            <w:tabs>
              <w:tab w:val="left" w:pos="420"/>
              <w:tab w:val="right" w:leader="dot" w:pos="9016"/>
            </w:tabs>
            <w:spacing w:beforeLines="50" w:before="156" w:afterLines="50" w:after="156" w:line="360" w:lineRule="auto"/>
            <w:rPr>
              <w:noProof/>
              <w:lang w:val="en-US"/>
            </w:rPr>
          </w:pPr>
          <w:hyperlink w:anchor="_Toc90658114" w:history="1">
            <w:r w:rsidR="005A3BEF" w:rsidRPr="005A3BEF">
              <w:rPr>
                <w:rStyle w:val="a8"/>
                <w:rFonts w:ascii="Arial" w:hAnsi="Arial" w:cs="Arial"/>
                <w:noProof/>
              </w:rPr>
              <w:t>3.</w:t>
            </w:r>
            <w:r w:rsidR="005A3BEF" w:rsidRPr="005A3BEF">
              <w:rPr>
                <w:noProof/>
                <w:lang w:val="en-US"/>
              </w:rPr>
              <w:tab/>
            </w:r>
            <w:r w:rsidR="005A3BEF" w:rsidRPr="005A3BEF">
              <w:rPr>
                <w:rStyle w:val="a8"/>
                <w:rFonts w:ascii="Arial" w:hAnsi="Arial" w:cs="Arial"/>
                <w:noProof/>
              </w:rPr>
              <w:t>The management of future strategies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_Toc90658114 \h </w:instrText>
            </w:r>
            <w:r w:rsidR="005A3BEF" w:rsidRPr="005A3BEF">
              <w:rPr>
                <w:noProof/>
                <w:webHidden/>
              </w:rPr>
            </w:r>
            <w:r w:rsidR="005A3BEF" w:rsidRPr="005A3BEF">
              <w:rPr>
                <w:noProof/>
                <w:webHidden/>
              </w:rPr>
              <w:fldChar w:fldCharType="separate"/>
            </w:r>
            <w:r w:rsidR="005A3BEF" w:rsidRPr="005A3BEF">
              <w:rPr>
                <w:noProof/>
                <w:webHidden/>
              </w:rPr>
              <w:t>16</w:t>
            </w:r>
            <w:r w:rsidR="005A3BEF" w:rsidRPr="005A3BEF">
              <w:rPr>
                <w:noProof/>
                <w:webHidden/>
              </w:rPr>
              <w:fldChar w:fldCharType="end"/>
            </w:r>
          </w:hyperlink>
        </w:p>
        <w:p w14:paraId="4C7878E4" w14:textId="48B41A36" w:rsidR="005A3BEF" w:rsidRPr="005A3BEF" w:rsidRDefault="00E40F6F" w:rsidP="005A3BEF">
          <w:pPr>
            <w:pStyle w:val="TOC1"/>
            <w:tabs>
              <w:tab w:val="left" w:pos="420"/>
              <w:tab w:val="right" w:leader="dot" w:pos="9016"/>
            </w:tabs>
            <w:spacing w:beforeLines="50" w:before="156" w:afterLines="50" w:after="156" w:line="360" w:lineRule="auto"/>
            <w:rPr>
              <w:noProof/>
              <w:lang w:val="en-US"/>
            </w:rPr>
          </w:pPr>
          <w:hyperlink w:anchor="_Toc90658115" w:history="1">
            <w:r w:rsidR="005A3BEF" w:rsidRPr="005A3BEF">
              <w:rPr>
                <w:rStyle w:val="a8"/>
                <w:rFonts w:ascii="Arial" w:hAnsi="Arial" w:cs="Arial"/>
                <w:noProof/>
              </w:rPr>
              <w:t>4.</w:t>
            </w:r>
            <w:r w:rsidR="005A3BEF" w:rsidRPr="005A3BEF">
              <w:rPr>
                <w:noProof/>
                <w:lang w:val="en-US"/>
              </w:rPr>
              <w:tab/>
            </w:r>
            <w:r w:rsidR="005A3BEF" w:rsidRPr="005A3BEF">
              <w:rPr>
                <w:rStyle w:val="a8"/>
                <w:rFonts w:ascii="Arial" w:hAnsi="Arial" w:cs="Arial"/>
                <w:noProof/>
              </w:rPr>
              <w:t>Conclusion</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_Toc90658115 \h </w:instrText>
            </w:r>
            <w:r w:rsidR="005A3BEF" w:rsidRPr="005A3BEF">
              <w:rPr>
                <w:noProof/>
                <w:webHidden/>
              </w:rPr>
            </w:r>
            <w:r w:rsidR="005A3BEF" w:rsidRPr="005A3BEF">
              <w:rPr>
                <w:noProof/>
                <w:webHidden/>
              </w:rPr>
              <w:fldChar w:fldCharType="separate"/>
            </w:r>
            <w:r w:rsidR="005A3BEF" w:rsidRPr="005A3BEF">
              <w:rPr>
                <w:noProof/>
                <w:webHidden/>
              </w:rPr>
              <w:t>17</w:t>
            </w:r>
            <w:r w:rsidR="005A3BEF" w:rsidRPr="005A3BEF">
              <w:rPr>
                <w:noProof/>
                <w:webHidden/>
              </w:rPr>
              <w:fldChar w:fldCharType="end"/>
            </w:r>
          </w:hyperlink>
        </w:p>
        <w:p w14:paraId="44C2AE0D" w14:textId="42A73E94" w:rsidR="005A3BEF" w:rsidRPr="005A3BEF" w:rsidRDefault="00E40F6F" w:rsidP="005A3BEF">
          <w:pPr>
            <w:pStyle w:val="TOC1"/>
            <w:tabs>
              <w:tab w:val="right" w:leader="dot" w:pos="9016"/>
            </w:tabs>
            <w:spacing w:beforeLines="50" w:before="156" w:afterLines="50" w:after="156" w:line="360" w:lineRule="auto"/>
            <w:rPr>
              <w:noProof/>
              <w:lang w:val="en-US"/>
            </w:rPr>
          </w:pPr>
          <w:hyperlink w:anchor="_Toc90658116" w:history="1">
            <w:r w:rsidR="005A3BEF" w:rsidRPr="005A3BEF">
              <w:rPr>
                <w:rStyle w:val="a8"/>
                <w:rFonts w:ascii="Arial" w:hAnsi="Arial" w:cs="Arial"/>
                <w:noProof/>
              </w:rPr>
              <w:t>References</w:t>
            </w:r>
            <w:r w:rsidR="005A3BEF" w:rsidRPr="005A3BEF">
              <w:rPr>
                <w:noProof/>
                <w:webHidden/>
              </w:rPr>
              <w:tab/>
            </w:r>
            <w:r w:rsidR="005A3BEF" w:rsidRPr="005A3BEF">
              <w:rPr>
                <w:noProof/>
                <w:webHidden/>
              </w:rPr>
              <w:fldChar w:fldCharType="begin"/>
            </w:r>
            <w:r w:rsidR="005A3BEF" w:rsidRPr="005A3BEF">
              <w:rPr>
                <w:noProof/>
                <w:webHidden/>
              </w:rPr>
              <w:instrText xml:space="preserve"> PAGEREF _Toc90658116 \h </w:instrText>
            </w:r>
            <w:r w:rsidR="005A3BEF" w:rsidRPr="005A3BEF">
              <w:rPr>
                <w:noProof/>
                <w:webHidden/>
              </w:rPr>
            </w:r>
            <w:r w:rsidR="005A3BEF" w:rsidRPr="005A3BEF">
              <w:rPr>
                <w:noProof/>
                <w:webHidden/>
              </w:rPr>
              <w:fldChar w:fldCharType="separate"/>
            </w:r>
            <w:r w:rsidR="005A3BEF" w:rsidRPr="005A3BEF">
              <w:rPr>
                <w:noProof/>
                <w:webHidden/>
              </w:rPr>
              <w:t>18</w:t>
            </w:r>
            <w:r w:rsidR="005A3BEF" w:rsidRPr="005A3BEF">
              <w:rPr>
                <w:noProof/>
                <w:webHidden/>
              </w:rPr>
              <w:fldChar w:fldCharType="end"/>
            </w:r>
          </w:hyperlink>
        </w:p>
        <w:p w14:paraId="05082394" w14:textId="7B9BFFC9" w:rsidR="005A3BEF" w:rsidRDefault="005A3BEF" w:rsidP="005A3BEF">
          <w:pPr>
            <w:spacing w:beforeLines="50" w:before="156" w:afterLines="50" w:after="156" w:line="360" w:lineRule="auto"/>
          </w:pPr>
          <w:r w:rsidRPr="005A3BEF">
            <w:rPr>
              <w:lang w:val="zh-CN"/>
            </w:rPr>
            <w:fldChar w:fldCharType="end"/>
          </w:r>
        </w:p>
      </w:sdtContent>
    </w:sdt>
    <w:p w14:paraId="1119C16C" w14:textId="0224546B" w:rsidR="00CA624D" w:rsidRPr="005A3BEF" w:rsidRDefault="00CA624D" w:rsidP="005A3BEF">
      <w:pPr>
        <w:widowControl/>
        <w:spacing w:beforeLines="50" w:before="156" w:afterLines="50" w:after="156" w:line="360" w:lineRule="auto"/>
        <w:rPr>
          <w:rFonts w:ascii="Arial" w:hAnsi="Arial" w:cs="Arial"/>
          <w:sz w:val="24"/>
          <w:szCs w:val="24"/>
        </w:rPr>
      </w:pPr>
      <w:r w:rsidRPr="005A3BEF">
        <w:rPr>
          <w:rFonts w:ascii="Arial" w:hAnsi="Arial" w:cs="Arial"/>
          <w:sz w:val="24"/>
          <w:szCs w:val="24"/>
        </w:rPr>
        <w:br w:type="page"/>
      </w:r>
    </w:p>
    <w:p w14:paraId="003D3F4C" w14:textId="77777777" w:rsidR="005A3BEF" w:rsidRDefault="005A3BEF" w:rsidP="005A3BEF">
      <w:pPr>
        <w:widowControl/>
        <w:pBdr>
          <w:bottom w:val="single" w:sz="18" w:space="1" w:color="9F2936" w:themeColor="accent2"/>
        </w:pBdr>
        <w:spacing w:beforeLines="150" w:before="468" w:afterLines="150" w:after="468" w:line="360" w:lineRule="auto"/>
        <w:outlineLvl w:val="0"/>
        <w:rPr>
          <w:rFonts w:ascii="Arial" w:hAnsi="Arial" w:cs="Arial"/>
          <w:b/>
          <w:bCs/>
          <w:color w:val="14415C" w:themeColor="accent3" w:themeShade="BF"/>
          <w:sz w:val="36"/>
          <w:szCs w:val="36"/>
        </w:rPr>
        <w:sectPr w:rsidR="005A3BEF">
          <w:footerReference w:type="default" r:id="rId9"/>
          <w:pgSz w:w="11906" w:h="16838"/>
          <w:pgMar w:top="1440" w:right="1440" w:bottom="1440" w:left="1440" w:header="851" w:footer="992" w:gutter="0"/>
          <w:cols w:space="425"/>
          <w:docGrid w:type="lines" w:linePitch="312"/>
        </w:sectPr>
      </w:pPr>
    </w:p>
    <w:p w14:paraId="26546854" w14:textId="74A7299F" w:rsidR="00CA624D" w:rsidRPr="0038189C" w:rsidRDefault="00CA624D" w:rsidP="006F040B">
      <w:pPr>
        <w:pStyle w:val="a7"/>
        <w:widowControl/>
        <w:numPr>
          <w:ilvl w:val="0"/>
          <w:numId w:val="2"/>
        </w:numPr>
        <w:pBdr>
          <w:bottom w:val="single" w:sz="18" w:space="1" w:color="9F2936" w:themeColor="accent2"/>
        </w:pBdr>
        <w:spacing w:beforeLines="150" w:before="468" w:afterLines="150" w:after="468" w:line="360" w:lineRule="auto"/>
        <w:ind w:firstLineChars="0"/>
        <w:jc w:val="center"/>
        <w:outlineLvl w:val="0"/>
        <w:rPr>
          <w:rFonts w:ascii="Arial" w:hAnsi="Arial" w:cs="Arial"/>
          <w:b/>
          <w:bCs/>
          <w:color w:val="14415C" w:themeColor="accent3" w:themeShade="BF"/>
          <w:sz w:val="36"/>
          <w:szCs w:val="36"/>
        </w:rPr>
      </w:pPr>
      <w:bookmarkStart w:id="2" w:name="_Toc90658103"/>
      <w:r w:rsidRPr="0038189C">
        <w:rPr>
          <w:rFonts w:ascii="Arial" w:hAnsi="Arial" w:cs="Arial"/>
          <w:b/>
          <w:bCs/>
          <w:color w:val="14415C" w:themeColor="accent3" w:themeShade="BF"/>
          <w:sz w:val="36"/>
          <w:szCs w:val="36"/>
        </w:rPr>
        <w:lastRenderedPageBreak/>
        <w:t>Introduction</w:t>
      </w:r>
      <w:bookmarkEnd w:id="2"/>
    </w:p>
    <w:p w14:paraId="28B95AEC" w14:textId="218B77FD" w:rsidR="009F4201" w:rsidRPr="0038189C" w:rsidRDefault="009F4201" w:rsidP="009F4201">
      <w:pPr>
        <w:pStyle w:val="a7"/>
        <w:widowControl/>
        <w:numPr>
          <w:ilvl w:val="1"/>
          <w:numId w:val="3"/>
        </w:numPr>
        <w:spacing w:beforeLines="50" w:before="156" w:afterLines="50" w:after="156" w:line="360" w:lineRule="auto"/>
        <w:ind w:firstLineChars="0"/>
        <w:outlineLvl w:val="1"/>
        <w:rPr>
          <w:rFonts w:ascii="Arial" w:hAnsi="Arial" w:cs="Arial"/>
          <w:b/>
          <w:bCs/>
          <w:i/>
          <w:iCs/>
          <w:sz w:val="24"/>
          <w:szCs w:val="24"/>
        </w:rPr>
      </w:pPr>
      <w:bookmarkStart w:id="3" w:name="_Toc90658104"/>
      <w:r w:rsidRPr="0038189C">
        <w:rPr>
          <w:rFonts w:ascii="Arial" w:hAnsi="Arial" w:cs="Arial"/>
          <w:b/>
          <w:bCs/>
          <w:i/>
          <w:iCs/>
          <w:sz w:val="24"/>
          <w:szCs w:val="24"/>
        </w:rPr>
        <w:t>Research background</w:t>
      </w:r>
      <w:bookmarkEnd w:id="3"/>
      <w:r w:rsidRPr="0038189C">
        <w:rPr>
          <w:rFonts w:ascii="Arial" w:hAnsi="Arial" w:cs="Arial"/>
          <w:b/>
          <w:bCs/>
          <w:i/>
          <w:iCs/>
          <w:sz w:val="24"/>
          <w:szCs w:val="24"/>
        </w:rPr>
        <w:t xml:space="preserve"> </w:t>
      </w:r>
    </w:p>
    <w:p w14:paraId="60714104" w14:textId="7DD67E54" w:rsidR="006F040B" w:rsidRPr="0038189C" w:rsidRDefault="00CA624D" w:rsidP="004E0E0D">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Chinese finance sector has undergone drastic reforms in the past decades since the initiation of the </w:t>
      </w:r>
      <w:r w:rsidRPr="0038189C">
        <w:rPr>
          <w:rFonts w:ascii="Arial" w:hAnsi="Arial" w:cs="Arial"/>
          <w:i/>
          <w:iCs/>
          <w:sz w:val="24"/>
          <w:szCs w:val="24"/>
        </w:rPr>
        <w:t>open &amp; reform</w:t>
      </w:r>
      <w:r w:rsidRPr="0038189C">
        <w:rPr>
          <w:rFonts w:ascii="Arial" w:hAnsi="Arial" w:cs="Arial"/>
          <w:sz w:val="24"/>
          <w:szCs w:val="24"/>
        </w:rPr>
        <w:t xml:space="preserve"> policy</w:t>
      </w:r>
      <w:r w:rsidR="00897927" w:rsidRPr="0038189C">
        <w:rPr>
          <w:rFonts w:ascii="Arial" w:hAnsi="Arial" w:cs="Arial"/>
          <w:sz w:val="24"/>
          <w:szCs w:val="24"/>
        </w:rPr>
        <w:t xml:space="preserve"> in the late 1970s</w:t>
      </w:r>
      <w:r w:rsidRPr="0038189C">
        <w:rPr>
          <w:rFonts w:ascii="Arial" w:hAnsi="Arial" w:cs="Arial"/>
          <w:sz w:val="24"/>
          <w:szCs w:val="24"/>
        </w:rPr>
        <w:t xml:space="preserve">. The finance industry in China, which used to be entirely </w:t>
      </w:r>
      <w:r w:rsidR="00B552AF" w:rsidRPr="0038189C">
        <w:rPr>
          <w:rFonts w:ascii="Arial" w:hAnsi="Arial" w:cs="Arial"/>
          <w:sz w:val="24"/>
          <w:szCs w:val="24"/>
        </w:rPr>
        <w:t>controlled</w:t>
      </w:r>
      <w:r w:rsidRPr="0038189C">
        <w:rPr>
          <w:rFonts w:ascii="Arial" w:hAnsi="Arial" w:cs="Arial"/>
          <w:sz w:val="24"/>
          <w:szCs w:val="24"/>
        </w:rPr>
        <w:t xml:space="preserve"> by</w:t>
      </w:r>
      <w:r w:rsidR="00B552AF" w:rsidRPr="0038189C">
        <w:rPr>
          <w:rFonts w:ascii="Arial" w:hAnsi="Arial" w:cs="Arial"/>
          <w:sz w:val="24"/>
          <w:szCs w:val="24"/>
        </w:rPr>
        <w:t xml:space="preserve"> t</w:t>
      </w:r>
      <w:r w:rsidR="00897927" w:rsidRPr="0038189C">
        <w:rPr>
          <w:rFonts w:ascii="Arial" w:hAnsi="Arial" w:cs="Arial"/>
          <w:sz w:val="24"/>
          <w:szCs w:val="24"/>
        </w:rPr>
        <w:t>h</w:t>
      </w:r>
      <w:r w:rsidR="00B552AF" w:rsidRPr="0038189C">
        <w:rPr>
          <w:rFonts w:ascii="Arial" w:hAnsi="Arial" w:cs="Arial"/>
          <w:sz w:val="24"/>
          <w:szCs w:val="24"/>
        </w:rPr>
        <w:t xml:space="preserve">e government, has been open to private and foreign capital </w:t>
      </w:r>
      <w:r w:rsidR="00897927" w:rsidRPr="0038189C">
        <w:rPr>
          <w:rFonts w:ascii="Arial" w:hAnsi="Arial" w:cs="Arial"/>
          <w:sz w:val="24"/>
          <w:szCs w:val="24"/>
        </w:rPr>
        <w:t xml:space="preserve">for the elevation of the competence of state-owned financial institutes including banks and investment agencies </w:t>
      </w:r>
      <w:r w:rsidR="00897927" w:rsidRPr="0038189C">
        <w:rPr>
          <w:rFonts w:ascii="Arial" w:hAnsi="Arial" w:cs="Arial"/>
          <w:sz w:val="24"/>
          <w:szCs w:val="24"/>
        </w:rPr>
        <w:fldChar w:fldCharType="begin" w:fldLock="1"/>
      </w:r>
      <w:r w:rsidR="00897927" w:rsidRPr="0038189C">
        <w:rPr>
          <w:rFonts w:ascii="Arial" w:hAnsi="Arial" w:cs="Arial"/>
          <w:sz w:val="24"/>
          <w:szCs w:val="24"/>
        </w:rPr>
        <w:instrText>ADDIN CSL_CITATION {"citationItems":[{"id":"ITEM-1","itemData":{"ISSN":"0378-4266","author":[{"dropping-particle":"","family":"Ye","given":"Jingjing","non-dropping-particle":"","parse-names":false,"suffix":""},{"dropping-particle":"","family":"Zhang","given":"Aoyang","non-dropping-particle":"","parse-names":false,"suffix":""},{"dropping-particle":"","family":"Dong","given":"Yan","non-dropping-particle":"","parse-names":false,"suffix":""}],"container-title":"Journal of Banking &amp; Finance","id":"ITEM-1","issued":{"date-parts":[["2019"]]},"page":"70-84","publisher":"Elsevier","title":"Banking reform and industry structure: Evidence from China","type":"article-journal","volume":"104"},"uris":["http://www.mendeley.com/documents/?uuid=6cc8e73c-25cc-4125-8278-0fe7b67c99a4"]}],"mendeley":{"formattedCitation":"(Ye, Zhang and Dong, 2019)","plainTextFormattedCitation":"(Ye, Zhang and Dong, 2019)","previouslyFormattedCitation":"(Ye, Zhang and Dong, 2019)"},"properties":{"noteIndex":0},"schema":"https://github.com/citation-style-language/schema/raw/master/csl-citation.json"}</w:instrText>
      </w:r>
      <w:r w:rsidR="00897927" w:rsidRPr="0038189C">
        <w:rPr>
          <w:rFonts w:ascii="Arial" w:hAnsi="Arial" w:cs="Arial"/>
          <w:sz w:val="24"/>
          <w:szCs w:val="24"/>
        </w:rPr>
        <w:fldChar w:fldCharType="separate"/>
      </w:r>
      <w:r w:rsidR="00897927" w:rsidRPr="0038189C">
        <w:rPr>
          <w:rFonts w:ascii="Arial" w:hAnsi="Arial" w:cs="Arial"/>
          <w:noProof/>
          <w:sz w:val="24"/>
          <w:szCs w:val="24"/>
        </w:rPr>
        <w:t>(Ye, Zhang and Dong, 2019)</w:t>
      </w:r>
      <w:r w:rsidR="00897927" w:rsidRPr="0038189C">
        <w:rPr>
          <w:rFonts w:ascii="Arial" w:hAnsi="Arial" w:cs="Arial"/>
          <w:sz w:val="24"/>
          <w:szCs w:val="24"/>
        </w:rPr>
        <w:fldChar w:fldCharType="end"/>
      </w:r>
      <w:r w:rsidR="00897927" w:rsidRPr="0038189C">
        <w:rPr>
          <w:rFonts w:ascii="Arial" w:hAnsi="Arial" w:cs="Arial"/>
          <w:sz w:val="24"/>
          <w:szCs w:val="24"/>
        </w:rPr>
        <w:t>. Entering the 21</w:t>
      </w:r>
      <w:r w:rsidR="00897927" w:rsidRPr="0038189C">
        <w:rPr>
          <w:rFonts w:ascii="Arial" w:hAnsi="Arial" w:cs="Arial"/>
          <w:sz w:val="24"/>
          <w:szCs w:val="24"/>
          <w:vertAlign w:val="superscript"/>
        </w:rPr>
        <w:t>st</w:t>
      </w:r>
      <w:r w:rsidR="00897927" w:rsidRPr="0038189C">
        <w:rPr>
          <w:rFonts w:ascii="Arial" w:hAnsi="Arial" w:cs="Arial"/>
          <w:sz w:val="24"/>
          <w:szCs w:val="24"/>
        </w:rPr>
        <w:t xml:space="preserve"> century, the Chinese financial industry, however, remains to be dominated by state-owned capital. In terms of the volume of assets under management (AUM), the four largest state-owned banks in China account to 46.7% of the total AUM in the Chinese commercial banking sector </w:t>
      </w:r>
      <w:r w:rsidR="00897927" w:rsidRPr="0038189C">
        <w:rPr>
          <w:rFonts w:ascii="Arial" w:hAnsi="Arial" w:cs="Arial"/>
          <w:sz w:val="24"/>
          <w:szCs w:val="24"/>
        </w:rPr>
        <w:fldChar w:fldCharType="begin" w:fldLock="1"/>
      </w:r>
      <w:r w:rsidR="006F040B" w:rsidRPr="0038189C">
        <w:rPr>
          <w:rFonts w:ascii="Arial" w:hAnsi="Arial" w:cs="Arial"/>
          <w:sz w:val="24"/>
          <w:szCs w:val="24"/>
        </w:rPr>
        <w:instrText>ADDIN CSL_CITATION {"citationItems":[{"id":"ITEM-1","itemData":{"DOI":"https://doi.org/10.1016/j.cjar.2019.12.001","ISSN":"1755-3091","abstract":"State-owned enterprises (SOEs) are important components of the Chinese economy. Although SOEs are generally considered inefficient in operations, China’s economy, which relies heavily on SOEs, has been highly successful over the last four decades. This indicates the importance of SOEs in China’s past and future economic success. Therefore, in this study, we review the literature on economic theories and 40 years of practice of Chinese SOEs and discuss implications for future research. Our review consists of four parts: the theories of SOEs and their reform, the performance and financing strategies of SOEs, corporate governance in SOEs, and corporate social responsibility in SOEs.","author":[{"dropping-particle":"","family":"Lin","given":"Karen Jingrong","non-dropping-particle":"","parse-names":false,"suffix":""},{"dropping-particle":"","family":"Lu","given":"Xiaoyan","non-dropping-particle":"","parse-names":false,"suffix":""},{"dropping-particle":"","family":"Zhang","given":"Junsheng","non-dropping-particle":"","parse-names":false,"suffix":""},{"dropping-particle":"","family":"Zheng","given":"Ying","non-dropping-particle":"","parse-names":false,"suffix":""}],"container-title":"China Journal of Accounting Research","id":"ITEM-1","issue":"1","issued":{"date-parts":[["2020"]]},"page":"31-55","title":"State-owned enterprises in China: A review of 40 years of research and practice","type":"article-journal","volume":"13"},"uris":["http://www.mendeley.com/documents/?uuid=38bd4085-c0cd-42b9-8234-902e1bd9d008"]}],"mendeley":{"formattedCitation":"(Lin &lt;i&gt;et al.&lt;/i&gt;, 2020)","plainTextFormattedCitation":"(Lin et al., 2020)","previouslyFormattedCitation":"(Lin &lt;i&gt;et al.&lt;/i&gt;, 2020)"},"properties":{"noteIndex":0},"schema":"https://github.com/citation-style-language/schema/raw/master/csl-citation.json"}</w:instrText>
      </w:r>
      <w:r w:rsidR="00897927" w:rsidRPr="0038189C">
        <w:rPr>
          <w:rFonts w:ascii="Arial" w:hAnsi="Arial" w:cs="Arial"/>
          <w:sz w:val="24"/>
          <w:szCs w:val="24"/>
        </w:rPr>
        <w:fldChar w:fldCharType="separate"/>
      </w:r>
      <w:r w:rsidR="00897927" w:rsidRPr="0038189C">
        <w:rPr>
          <w:rFonts w:ascii="Arial" w:hAnsi="Arial" w:cs="Arial"/>
          <w:noProof/>
          <w:sz w:val="24"/>
          <w:szCs w:val="24"/>
        </w:rPr>
        <w:t xml:space="preserve">(Lin </w:t>
      </w:r>
      <w:r w:rsidR="00897927" w:rsidRPr="0038189C">
        <w:rPr>
          <w:rFonts w:ascii="Arial" w:hAnsi="Arial" w:cs="Arial"/>
          <w:i/>
          <w:noProof/>
          <w:sz w:val="24"/>
          <w:szCs w:val="24"/>
        </w:rPr>
        <w:t>et al.</w:t>
      </w:r>
      <w:r w:rsidR="00897927" w:rsidRPr="0038189C">
        <w:rPr>
          <w:rFonts w:ascii="Arial" w:hAnsi="Arial" w:cs="Arial"/>
          <w:noProof/>
          <w:sz w:val="24"/>
          <w:szCs w:val="24"/>
        </w:rPr>
        <w:t>, 2020)</w:t>
      </w:r>
      <w:r w:rsidR="00897927" w:rsidRPr="0038189C">
        <w:rPr>
          <w:rFonts w:ascii="Arial" w:hAnsi="Arial" w:cs="Arial"/>
          <w:sz w:val="24"/>
          <w:szCs w:val="24"/>
        </w:rPr>
        <w:fldChar w:fldCharType="end"/>
      </w:r>
      <w:r w:rsidR="00897927" w:rsidRPr="0038189C">
        <w:rPr>
          <w:rFonts w:ascii="Arial" w:hAnsi="Arial" w:cs="Arial"/>
          <w:sz w:val="24"/>
          <w:szCs w:val="24"/>
        </w:rPr>
        <w:t xml:space="preserve">. </w:t>
      </w:r>
    </w:p>
    <w:p w14:paraId="44F2596E" w14:textId="25D4669C" w:rsidR="006F040B" w:rsidRPr="0038189C" w:rsidRDefault="006F040B" w:rsidP="004E0E0D">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Controlling the most accessible financing channel in China, state-owned commercial banks have long been criticizing as lacking the support on private small and medium-sized enterprises and focusing solely on large state-owned enterprises or government-led projects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{"citationItems":[{"id":"ITEM-1","itemData":{"DOI":"10.1108/IJBM-01-2020-0007","ISSN":"0265-2323","abstract":"Purpose The promotion of financial inclusion can disturb the composition of traditional bank concentration and change the relationship between bank concentration and the availability of small and medium-sized enterprise (SME) financing. This paper concentrates on a less frequently explored area of research by examining the relationships between bank concentration, financial inclusion and SME financing availability respectively, and the interaction between bank concentration and financial inclusion after the implementation of a financial inclusion strategy in China. Design/methodology/approach Using firm-level data from 1,509 listed SMEs in China from 2007 to 2017 and applying rigorous analyses, we identify how bank concentration affects SME financing availability under the promotion of financial inclusion and also the mechanisms involved. Findings We find that bank concentration and financial inclusion respectively have positive impacts on the credit available to listed SMEs, indicating that the promotion of financial inclusion in China has reached a new high watermark. The positive impact of bank concentration is reduced when the level of financial inclusion is high. Conversely, a higher level of financial inclusion favours SME credit availability at only a low degree of bank concentration. Our findings suggest that financial inclusion has a substitution effect on bank concentration and has enabled us to add new interpretations to relevant theories; namely, the Market Power and Information Theories respectively. Originality/value This study provides new insights into the relationship between bank concentration and SME finance availability under the promotion of financial inclusion.","author":[{"dropping-particle":"","family":"Lu","given":"Zhiqiang","non-dropping-particle":"","parse-names":false,"suffix":""},{"dropping-particle":"","family":"Wu","given":"Junjie","non-dropping-particle":"","parse-names":false,"suffix":""},{"dropping-particle":"","family":"Liu","given":"Jia","non-dropping-particle":"","parse-names":false,"suffix":""}],"container-title":"International Journal of Bank Marketing","id":"ITEM-1","issue":"6","issued":{"date-parts":[["2020","1","1"]]},"page":"1329-1349","publisher":"Emerald Publishing Limited","title":"Bank concentration and SME financing availability: the impact of promotion of financial inclusion in China","type":"article-journal","volume":"38"},"uris":["http://www.mendeley.com/documents/?uuid=c9e59be9-63ee-41fa-8034-fc334cd5b5ac"]}],"mendeley":{"formattedCitation":"(Lu, Wu and Liu, 2020)","plainTextFormattedCitation":"(Lu, Wu and Liu, 2020)","previouslyFormattedCitation":"(Lu, Wu and Liu, 2020)"},"properties":{"noteIndex":0},"schema":"https://github.com/citation-style-language/schema/raw/master/csl-citation.json"}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(Lu, Wu and Liu, 2020)</w:t>
      </w:r>
      <w:r w:rsidRPr="0038189C">
        <w:rPr>
          <w:rFonts w:ascii="Arial" w:hAnsi="Arial" w:cs="Arial"/>
          <w:sz w:val="24"/>
          <w:szCs w:val="24"/>
        </w:rPr>
        <w:fldChar w:fldCharType="end"/>
      </w:r>
      <w:r w:rsidRPr="0038189C">
        <w:rPr>
          <w:rFonts w:ascii="Arial" w:hAnsi="Arial" w:cs="Arial"/>
          <w:sz w:val="24"/>
          <w:szCs w:val="24"/>
        </w:rPr>
        <w:t xml:space="preserve">. Apart from financing, state-owned banks and other financial institutes, due to the strong regulatory pressure posed on them from the government and the strong inertia within their organisational management routines, have long been lacking the motivation for financial innovation including the adoption of emerging digital technologies or the creation of novel business models, which have arguably led to the downgrading of services within the financial industry in China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DOI":"10.1080/13563467.2018.1562437","ISSN":"1356-3467","author":[{"dropping-particle":"","family":"Gruin","given":"Julian","non-dropping-particle":"","parse-names":false,"suffix":""},{"dropping-particle":"","family":"Knaack","given":"Peter","non-dropping-particle":"","parse-names":false,"suffix":""}],"container-title":"New Political Economy","id":"ITEM-1","issue":"3","issued":{"date-parts":[["2020","4","15"]]},"note":"doi: 10.1080/13563467.2018.1562437","page":"370-387","publisher":"Routledge","title":"Not Just Another Shadow Bank: Chinese Authoritarian Capitalism and the ‘Developmental’ Promise of Digital Financial Innovation","type":"article-journal","volume":"25"},"uris":["http://www.mendeley.com/documents/?uuid=de3de788-b2da-499d-8608-8e32fd972975"]}],"mendeley":{"formattedCitation":"(Gruin and Knaack, 2020)","plainTextFormattedCitation":"(Gruin and Knaack, 2020)","previouslyFormattedCitation":"(Gruin and Knaack, 2020)"},"properties":{"noteIndex":0},"schema":"https://github.com/citation-style-language/schema/raw/master/csl-citation.json"}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(Gruin and Knaack, 2020)</w:t>
      </w:r>
      <w:r w:rsidRPr="0038189C">
        <w:rPr>
          <w:rFonts w:ascii="Arial" w:hAnsi="Arial" w:cs="Arial"/>
          <w:sz w:val="24"/>
          <w:szCs w:val="24"/>
        </w:rPr>
        <w:fldChar w:fldCharType="end"/>
      </w:r>
      <w:r w:rsidRPr="0038189C">
        <w:rPr>
          <w:rFonts w:ascii="Arial" w:hAnsi="Arial" w:cs="Arial"/>
          <w:sz w:val="24"/>
          <w:szCs w:val="24"/>
        </w:rPr>
        <w:t xml:space="preserve">.  </w:t>
      </w:r>
    </w:p>
    <w:p w14:paraId="36FA23CE" w14:textId="78EEAFEA" w:rsidR="006F040B" w:rsidRPr="0038189C" w:rsidRDefault="006F040B" w:rsidP="004E0E0D">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The lack of inclusiveness and the lack of innovation for better customer experience in the Chinese financial industry thus require the emergence of one or multiple companies catering the issues. The company that has been launched for these issues were brought forth by the largest e-commerce company in China and some of the largest in the world, as the Alibaba company. The financial company established is the Ant Finance or the Ant Group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{"citationItems":[{"id":"ITEM-1","itemData":{"DOI":"10.1016/j.telpol.2015.11.005","ISBN":"0308-5961","ISSN":"03085961","abstract":"The rapid development of information and communications technology is transforming the entire industry landscape, heralding a new era of convergence services. As one of the developing countries in the financial sector, China is experiencing an unprecedented level of convergence between finance and technology. This study applies the lens of actor-network theory (ANT) to conduct a multi-level analysis of the historical development of China's financial technology (fintech) industry. It attempts to elucidate the process of building and disrupting a variety of networks comprising heterogeneous actors involved in the newly emerging convergence industry. This research represents a stepping stone in exploring the interaction between fintech and its yet unfolding social and political context. It also discusses policy implications for China's fintech industry, focusing on the changing role of the state in fostering the growth of national industry within and outside of China.","author":[{"dropping-particle":"","family":"Shim","given":"Yongwoon","non-dropping-particle":"","parse-names":false,"suffix":""},{"dropping-particle":"","family":"Shin","given":"Dong Hee","non-dropping-particle":"","parse-names":false,"suffix":""}],"container-title":"Telecommunications Policy","id":"ITEM-1","issue":"2-3","issued":{"date-parts":[["2016"]]},"number-of-pages":"168-181","title":"Analyzing China's Fintech Industry from the Perspective of Actor-Network Theory","type":"report","volume":"40"},"uris":["http://www.mendeley.com/documents/?uuid=331385da-83f5-4b7d-bd05-590c08e99c7d"]}],"mendeley":{"formattedCitation":"(Shim and Shin, 2016)","plainTextFormattedCitation":"(Shim and Shin, 2016)","previouslyFormattedCitation":"(Shim and Shin, 2016)"},"properties":{"noteIndex":0},"schema":"https://github.com/citation-style-language/schema/raw/master/csl-citation.json"}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(Shim and Shin, 2016)</w:t>
      </w:r>
      <w:r w:rsidRPr="0038189C">
        <w:rPr>
          <w:rFonts w:ascii="Arial" w:hAnsi="Arial" w:cs="Arial"/>
          <w:sz w:val="24"/>
          <w:szCs w:val="24"/>
        </w:rPr>
        <w:fldChar w:fldCharType="end"/>
      </w:r>
      <w:r w:rsidRPr="0038189C">
        <w:rPr>
          <w:rFonts w:ascii="Arial" w:hAnsi="Arial" w:cs="Arial"/>
          <w:sz w:val="24"/>
          <w:szCs w:val="24"/>
        </w:rPr>
        <w:t xml:space="preserve">. Ant Finance was established based on the payment service provided by the Alibaba company, the Alipay which was developed to resolve the safety and trustiness issues in the online payment industry in China. By negotiating with state-owned banks, the Alipay gained the licence in China to operate banking services, which later allowed the company to expand as the Ant Group </w:t>
      </w:r>
      <w:r w:rsidRPr="0038189C">
        <w:rPr>
          <w:rFonts w:ascii="Arial" w:hAnsi="Arial" w:cs="Arial"/>
          <w:sz w:val="24"/>
          <w:szCs w:val="24"/>
        </w:rPr>
        <w:fldChar w:fldCharType="begin" w:fldLock="1"/>
      </w:r>
      <w:r w:rsidR="009F4201" w:rsidRPr="0038189C">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2018)","plainTextFormattedCitation":"(Lu, 2018)","previouslyFormattedCitation":"(Lu, 2018)"},"properties":{"noteIndex":0},"schema":"https://github.com/citation-style-language/schema/raw/master/csl-citation.json"}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(Lu, 2018)</w:t>
      </w:r>
      <w:r w:rsidRPr="0038189C">
        <w:rPr>
          <w:rFonts w:ascii="Arial" w:hAnsi="Arial" w:cs="Arial"/>
          <w:sz w:val="24"/>
          <w:szCs w:val="24"/>
        </w:rPr>
        <w:fldChar w:fldCharType="end"/>
      </w:r>
      <w:r w:rsidRPr="0038189C">
        <w:rPr>
          <w:rFonts w:ascii="Arial" w:hAnsi="Arial" w:cs="Arial"/>
          <w:sz w:val="24"/>
          <w:szCs w:val="24"/>
        </w:rPr>
        <w:t xml:space="preserve">. </w:t>
      </w:r>
      <w:r w:rsidR="009F4201" w:rsidRPr="0038189C">
        <w:rPr>
          <w:rFonts w:ascii="Arial" w:hAnsi="Arial" w:cs="Arial"/>
          <w:sz w:val="24"/>
          <w:szCs w:val="24"/>
        </w:rPr>
        <w:t xml:space="preserve">The company has evolved to be one of the largest online payment and digital asset solution company in China and some of the largest in the world. Recently, however, the company has experienced multiple issues including the enhancement of the financial regulations in China and the rising of competitors domestic and abroad. During the outbreak of the Covid-19 pandemic, the company has been challenged by the rapid increase in the size of service provision and by the increasing demand for inclusive financial service in China </w:t>
      </w:r>
      <w:r w:rsidR="009F4201" w:rsidRPr="0038189C">
        <w:rPr>
          <w:rFonts w:ascii="Arial" w:hAnsi="Arial" w:cs="Arial"/>
          <w:sz w:val="24"/>
          <w:szCs w:val="24"/>
        </w:rPr>
        <w:fldChar w:fldCharType="begin" w:fldLock="1"/>
      </w:r>
      <w:r w:rsidR="009D0CC7" w:rsidRPr="0038189C">
        <w:rPr>
          <w:rFonts w:ascii="Arial" w:hAnsi="Arial" w:cs="Arial"/>
          <w:sz w:val="24"/>
          <w:szCs w:val="24"/>
        </w:rPr>
        <w:instrText>ADDIN CSL_CITATION {"citationItems":[{"id":"ITEM-1","itemData":{"DOI":"10.54691/BCPBM.V13I.64","ISSN":"2692-6156","abstract":"The recent years witness innovative development of financial industry, which attributes to fast progress and in-depth application of information technologies such as big data, artificial intelligence, and blockchain. But, at the same time, they bring challenges to financial regulation and accelerate rise of regulatory technology. Based on challenges to regulatory agencies brought by financial technology development, this study proposes suggestions for the coordinated relationship between financial innovation and financial technology regulation from the perspective of technology empowerment, in order to improve efficiency of financial markets, and reach a balance between financial technology and prevention of systemic financial risks.","author":[{"dropping-particle":"","family":"Li","given":"Zhuoying","non-dropping-particle":"","parse-names":false,"suffix":""}],"container-title":"BCP Business &amp; Management","id":"ITEM-1","issued":{"date-parts":[["2021","11","16"]]},"page":"127-132","publisher":"Boya Century Publishing","title":"Some Thoughts on Innovation and Regulation of Financial Technology","type":"article-journal","volume":"13"},"uris":["http://www.mendeley.com/documents/?uuid=b9f83470-4b63-3684-9885-ada684320b2d"]}],"mendeley":{"formattedCitation":"(Li, 2021)","plainTextFormattedCitation":"(Li, 2021)","previouslyFormattedCitation":"(Li, 2021)"},"properties":{"noteIndex":0},"schema":"https://github.com/citation-style-language/schema/raw/master/csl-citation.json"}</w:instrText>
      </w:r>
      <w:r w:rsidR="009F4201" w:rsidRPr="0038189C">
        <w:rPr>
          <w:rFonts w:ascii="Arial" w:hAnsi="Arial" w:cs="Arial"/>
          <w:sz w:val="24"/>
          <w:szCs w:val="24"/>
        </w:rPr>
        <w:fldChar w:fldCharType="separate"/>
      </w:r>
      <w:r w:rsidR="009F4201" w:rsidRPr="0038189C">
        <w:rPr>
          <w:rFonts w:ascii="Arial" w:hAnsi="Arial" w:cs="Arial"/>
          <w:noProof/>
          <w:sz w:val="24"/>
          <w:szCs w:val="24"/>
        </w:rPr>
        <w:t>(Li, 2021)</w:t>
      </w:r>
      <w:r w:rsidR="009F4201" w:rsidRPr="0038189C">
        <w:rPr>
          <w:rFonts w:ascii="Arial" w:hAnsi="Arial" w:cs="Arial"/>
          <w:sz w:val="24"/>
          <w:szCs w:val="24"/>
        </w:rPr>
        <w:fldChar w:fldCharType="end"/>
      </w:r>
      <w:r w:rsidR="009F4201" w:rsidRPr="0038189C">
        <w:rPr>
          <w:rFonts w:ascii="Arial" w:hAnsi="Arial" w:cs="Arial"/>
          <w:sz w:val="24"/>
          <w:szCs w:val="24"/>
        </w:rPr>
        <w:t>. In this regard, how the company can maintain its growth in business requires revisitation during this special time. This report as the case study on the Ant Financial is thus produced under this motivation.</w:t>
      </w:r>
    </w:p>
    <w:p w14:paraId="60A99AE8" w14:textId="44FC3228" w:rsidR="009F4201" w:rsidRPr="0038189C" w:rsidRDefault="009F4201" w:rsidP="009F4201">
      <w:pPr>
        <w:pStyle w:val="a7"/>
        <w:widowControl/>
        <w:numPr>
          <w:ilvl w:val="1"/>
          <w:numId w:val="3"/>
        </w:numPr>
        <w:spacing w:beforeLines="50" w:before="156" w:afterLines="50" w:after="156" w:line="360" w:lineRule="auto"/>
        <w:ind w:firstLineChars="0"/>
        <w:outlineLvl w:val="1"/>
        <w:rPr>
          <w:rFonts w:ascii="Arial" w:hAnsi="Arial" w:cs="Arial"/>
          <w:b/>
          <w:bCs/>
          <w:i/>
          <w:iCs/>
          <w:sz w:val="24"/>
          <w:szCs w:val="24"/>
        </w:rPr>
      </w:pPr>
      <w:bookmarkStart w:id="4" w:name="_Toc90658105"/>
      <w:r w:rsidRPr="0038189C">
        <w:rPr>
          <w:rFonts w:ascii="Arial" w:hAnsi="Arial" w:cs="Arial"/>
          <w:b/>
          <w:bCs/>
          <w:i/>
          <w:iCs/>
          <w:sz w:val="24"/>
          <w:szCs w:val="24"/>
        </w:rPr>
        <w:t>Case company briefing</w:t>
      </w:r>
      <w:bookmarkEnd w:id="4"/>
      <w:r w:rsidRPr="0038189C">
        <w:rPr>
          <w:rFonts w:ascii="Arial" w:hAnsi="Arial" w:cs="Arial"/>
          <w:b/>
          <w:bCs/>
          <w:i/>
          <w:iCs/>
          <w:sz w:val="24"/>
          <w:szCs w:val="24"/>
        </w:rPr>
        <w:t xml:space="preserve"> </w:t>
      </w:r>
    </w:p>
    <w:p w14:paraId="1A1D079E" w14:textId="3A0A6655" w:rsidR="009F4201" w:rsidRPr="0038189C" w:rsidRDefault="009F4201"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Ant Financial, as aforementioned, originated from the online payment solution department in the Alibaba company. The company now remains to be an affiliate of the Alibaba company. The company </w:t>
      </w:r>
      <w:r w:rsidR="009D0CC7" w:rsidRPr="0038189C">
        <w:rPr>
          <w:rFonts w:ascii="Arial" w:hAnsi="Arial" w:cs="Arial"/>
          <w:sz w:val="24"/>
          <w:szCs w:val="24"/>
        </w:rPr>
        <w:t xml:space="preserve">now owns the online and mobile payment solution platform as the Alipay, the credit tech solution platforms as the </w:t>
      </w:r>
      <w:proofErr w:type="spellStart"/>
      <w:r w:rsidR="009D0CC7" w:rsidRPr="0038189C">
        <w:rPr>
          <w:rFonts w:ascii="Arial" w:hAnsi="Arial" w:cs="Arial"/>
          <w:sz w:val="24"/>
          <w:szCs w:val="24"/>
        </w:rPr>
        <w:t>MYbank</w:t>
      </w:r>
      <w:proofErr w:type="spellEnd"/>
      <w:r w:rsidR="009D0CC7" w:rsidRPr="0038189C">
        <w:rPr>
          <w:rFonts w:ascii="Arial" w:hAnsi="Arial" w:cs="Arial"/>
          <w:sz w:val="24"/>
          <w:szCs w:val="24"/>
        </w:rPr>
        <w:t xml:space="preserve"> and the </w:t>
      </w:r>
      <w:proofErr w:type="spellStart"/>
      <w:r w:rsidR="009D0CC7" w:rsidRPr="0038189C">
        <w:rPr>
          <w:rFonts w:ascii="Arial" w:hAnsi="Arial" w:cs="Arial"/>
          <w:sz w:val="24"/>
          <w:szCs w:val="24"/>
        </w:rPr>
        <w:t>Zhima</w:t>
      </w:r>
      <w:proofErr w:type="spellEnd"/>
      <w:r w:rsidR="009D0CC7" w:rsidRPr="0038189C">
        <w:rPr>
          <w:rFonts w:ascii="Arial" w:hAnsi="Arial" w:cs="Arial"/>
          <w:sz w:val="24"/>
          <w:szCs w:val="24"/>
        </w:rPr>
        <w:t xml:space="preserve"> Credit, the wealth management platform as the </w:t>
      </w:r>
      <w:proofErr w:type="spellStart"/>
      <w:r w:rsidR="009D0CC7" w:rsidRPr="0038189C">
        <w:rPr>
          <w:rFonts w:ascii="Arial" w:hAnsi="Arial" w:cs="Arial"/>
          <w:sz w:val="24"/>
          <w:szCs w:val="24"/>
        </w:rPr>
        <w:t>Yuebao</w:t>
      </w:r>
      <w:proofErr w:type="spellEnd"/>
      <w:r w:rsidR="009D0CC7" w:rsidRPr="0038189C">
        <w:rPr>
          <w:rFonts w:ascii="Arial" w:hAnsi="Arial" w:cs="Arial"/>
          <w:sz w:val="24"/>
          <w:szCs w:val="24"/>
        </w:rPr>
        <w:t xml:space="preserve"> platform, the insurance service platform as the </w:t>
      </w:r>
      <w:proofErr w:type="spellStart"/>
      <w:r w:rsidR="009D0CC7" w:rsidRPr="0038189C">
        <w:rPr>
          <w:rFonts w:ascii="Arial" w:hAnsi="Arial" w:cs="Arial"/>
          <w:sz w:val="24"/>
          <w:szCs w:val="24"/>
        </w:rPr>
        <w:t>Xianghubao</w:t>
      </w:r>
      <w:proofErr w:type="spellEnd"/>
      <w:r w:rsidR="009D0CC7" w:rsidRPr="0038189C">
        <w:rPr>
          <w:rFonts w:ascii="Arial" w:hAnsi="Arial" w:cs="Arial"/>
          <w:sz w:val="24"/>
          <w:szCs w:val="24"/>
        </w:rPr>
        <w:t xml:space="preserve">. The services provided by the Ant Financial company covers every bit of the online and digital finance sector of China </w:t>
      </w:r>
      <w:r w:rsidR="009D0CC7" w:rsidRPr="0038189C">
        <w:rPr>
          <w:rFonts w:ascii="Arial" w:hAnsi="Arial" w:cs="Arial"/>
          <w:sz w:val="24"/>
          <w:szCs w:val="24"/>
        </w:rPr>
        <w:fldChar w:fldCharType="begin" w:fldLock="1"/>
      </w:r>
      <w:r w:rsidR="009D0CC7" w:rsidRPr="0038189C">
        <w:rPr>
          <w:rFonts w:ascii="Arial" w:hAnsi="Arial" w:cs="Arial"/>
          <w:sz w:val="24"/>
          <w:szCs w:val="24"/>
        </w:rPr>
        <w:instrText>ADDIN CSL_CITATION {"citationItems":[{"id":"ITEM-1","itemData":{"ISSN":"2357-1705","abstract":"Data-driven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Communication","id":"ITEM-1","issue":"June 2013","issued":{"date-parts":[["2018"]]},"page":"25-37","title":"The Ant Empire: Fintech Media and Corporate Convergence within and beyond Alibaba","type":"article-journal","volume":"6"},"uris":["http://www.mendeley.com/documents/?uuid=99ba5a8e-c8e6-4c73-81bf-b65265025d91"]}],"mendeley":{"formattedCitation":"(Wang and Doan, 2018)","plainTextFormattedCitation":"(Wang and Doan, 2018)","previouslyFormattedCitation":"(Wang and Doan, 2018)"},"properties":{"noteIndex":0},"schema":"https://github.com/citation-style-language/schema/raw/master/csl-citation.json"}</w:instrText>
      </w:r>
      <w:r w:rsidR="009D0CC7" w:rsidRPr="0038189C">
        <w:rPr>
          <w:rFonts w:ascii="Arial" w:hAnsi="Arial" w:cs="Arial"/>
          <w:sz w:val="24"/>
          <w:szCs w:val="24"/>
        </w:rPr>
        <w:fldChar w:fldCharType="separate"/>
      </w:r>
      <w:r w:rsidR="009D0CC7" w:rsidRPr="0038189C">
        <w:rPr>
          <w:rFonts w:ascii="Arial" w:hAnsi="Arial" w:cs="Arial"/>
          <w:noProof/>
          <w:sz w:val="24"/>
          <w:szCs w:val="24"/>
        </w:rPr>
        <w:t>(Wang and Doan, 2018)</w:t>
      </w:r>
      <w:r w:rsidR="009D0CC7" w:rsidRPr="0038189C">
        <w:rPr>
          <w:rFonts w:ascii="Arial" w:hAnsi="Arial" w:cs="Arial"/>
          <w:sz w:val="24"/>
          <w:szCs w:val="24"/>
        </w:rPr>
        <w:fldChar w:fldCharType="end"/>
      </w:r>
      <w:r w:rsidR="009D0CC7" w:rsidRPr="0038189C">
        <w:rPr>
          <w:rFonts w:ascii="Arial" w:hAnsi="Arial" w:cs="Arial"/>
          <w:sz w:val="24"/>
          <w:szCs w:val="24"/>
        </w:rPr>
        <w:t xml:space="preserve">. The company’s valuation is estimated to reach 160 billion US dollars by 2019, making it the largest unicorn company in the world. By leveraging the massive user data using Alipay and other Alibaba platforms, the company has established itself as the largest FinTech company in China with deep understanding of the consumer behaviour in China. The company also claims its primary profiting segment is the FinTech business which is driven by the understanding of the consumer behaviour </w:t>
      </w:r>
      <w:r w:rsidR="009D0CC7" w:rsidRPr="0038189C">
        <w:rPr>
          <w:rFonts w:ascii="Arial" w:hAnsi="Arial" w:cs="Arial"/>
          <w:sz w:val="24"/>
          <w:szCs w:val="24"/>
        </w:rPr>
        <w:fldChar w:fldCharType="begin" w:fldLock="1"/>
      </w:r>
      <w:r w:rsidR="00A03C06" w:rsidRPr="0038189C">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2018)","plainTextFormattedCitation":"(Lu, 2018)","previouslyFormattedCitation":"(Lu, 2018)"},"properties":{"noteIndex":0},"schema":"https://github.com/citation-style-language/schema/raw/master/csl-citation.json"}</w:instrText>
      </w:r>
      <w:r w:rsidR="009D0CC7" w:rsidRPr="0038189C">
        <w:rPr>
          <w:rFonts w:ascii="Arial" w:hAnsi="Arial" w:cs="Arial"/>
          <w:sz w:val="24"/>
          <w:szCs w:val="24"/>
        </w:rPr>
        <w:fldChar w:fldCharType="separate"/>
      </w:r>
      <w:r w:rsidR="009D0CC7" w:rsidRPr="0038189C">
        <w:rPr>
          <w:rFonts w:ascii="Arial" w:hAnsi="Arial" w:cs="Arial"/>
          <w:noProof/>
          <w:sz w:val="24"/>
          <w:szCs w:val="24"/>
        </w:rPr>
        <w:t>(Lu, 2018)</w:t>
      </w:r>
      <w:r w:rsidR="009D0CC7" w:rsidRPr="0038189C">
        <w:rPr>
          <w:rFonts w:ascii="Arial" w:hAnsi="Arial" w:cs="Arial"/>
          <w:sz w:val="24"/>
          <w:szCs w:val="24"/>
        </w:rPr>
        <w:fldChar w:fldCharType="end"/>
      </w:r>
      <w:r w:rsidR="009D0CC7" w:rsidRPr="0038189C">
        <w:rPr>
          <w:rFonts w:ascii="Arial" w:hAnsi="Arial" w:cs="Arial"/>
          <w:sz w:val="24"/>
          <w:szCs w:val="24"/>
        </w:rPr>
        <w:t>.</w:t>
      </w:r>
    </w:p>
    <w:p w14:paraId="2F914333" w14:textId="5CABE408" w:rsidR="00100F1F" w:rsidRPr="0038189C" w:rsidRDefault="00100F1F" w:rsidP="00B16050">
      <w:pPr>
        <w:widowControl/>
        <w:spacing w:beforeLines="50" w:before="156" w:afterLines="50" w:after="156" w:line="480" w:lineRule="auto"/>
        <w:rPr>
          <w:rFonts w:ascii="Arial" w:hAnsi="Arial" w:cs="Arial"/>
          <w:sz w:val="24"/>
          <w:szCs w:val="24"/>
        </w:rPr>
      </w:pPr>
      <w:r w:rsidRPr="00100F1F">
        <w:rPr>
          <w:rFonts w:ascii="Arial" w:hAnsi="Arial" w:cs="Arial"/>
          <w:sz w:val="24"/>
          <w:szCs w:val="24"/>
        </w:rPr>
        <w:t>Ant Financial</w:t>
      </w:r>
      <w:r w:rsidRPr="0038189C">
        <w:rPr>
          <w:rFonts w:ascii="Arial" w:hAnsi="Arial" w:cs="Arial"/>
          <w:sz w:val="24"/>
          <w:szCs w:val="24"/>
        </w:rPr>
        <w:t xml:space="preserve"> began to dominate in the Chinese FinTech sector since the Alipay time when the company’s objective was to serve individual customers and small and medium-sized private enterprises in China, which as aforementioned, are highly underserved in the conventional financial sector in China. Alipay was the first platform in China providing safe online payment for e-commerce. It was also the first in China introducing mobile payment specifically the QR code-based mobile payment which has been a phenomenal </w:t>
      </w:r>
      <w:r w:rsidR="00A03C06" w:rsidRPr="0038189C">
        <w:rPr>
          <w:rFonts w:ascii="Arial" w:hAnsi="Arial" w:cs="Arial"/>
          <w:sz w:val="24"/>
          <w:szCs w:val="24"/>
        </w:rPr>
        <w:t xml:space="preserve">payment revolution in China </w:t>
      </w:r>
      <w:r w:rsidR="00A03C06" w:rsidRPr="0038189C">
        <w:rPr>
          <w:rFonts w:ascii="Arial" w:hAnsi="Arial" w:cs="Arial"/>
          <w:sz w:val="24"/>
          <w:szCs w:val="24"/>
        </w:rPr>
        <w:fldChar w:fldCharType="begin" w:fldLock="1"/>
      </w:r>
      <w:r w:rsidR="00A03C06" w:rsidRPr="0038189C">
        <w:rPr>
          <w:rFonts w:ascii="Arial" w:hAnsi="Arial" w:cs="Arial"/>
          <w:sz w:val="24"/>
          <w:szCs w:val="24"/>
        </w:rPr>
        <w:instrText>ADDIN CSL_CITATION {"citationItems":[{"id":"ITEM-1","itemData":{"author":[{"dropping-particle":"","family":"Fang","given":"Zhaoben","non-dropping-particle":"","parse-names":false,"suffix":""},{"dropping-particle":"","family":"Zhu","given":"Junpeng","non-dropping-particle":"","parse-names":false,"suffix":""}],"container-title":"The PayTech Book: The Payment Technology Handbook for Investors, Entrepreneurs and FinTech Visionaries","id":"ITEM-1","issued":{"date-parts":[["2019"]]},"page":"155-157","publisher":"Wiley Online Library","title":"How UnionPay Quick Pass is Beating Alipay and WeChat Pay in China","type":"article-journal"},"uris":["http://www.mendeley.com/documents/?uuid=afc88c65-8485-4952-86e9-04d88ca4e94b"]}],"mendeley":{"formattedCitation":"(Fang and Zhu, 2019)","plainTextFormattedCitation":"(Fang and Zhu, 2019)","previouslyFormattedCitation":"(Fang and Zhu, 2019)"},"properties":{"noteIndex":0},"schema":"https://github.com/citation-style-language/schema/raw/master/csl-citation.json"}</w:instrText>
      </w:r>
      <w:r w:rsidR="00A03C06" w:rsidRPr="0038189C">
        <w:rPr>
          <w:rFonts w:ascii="Arial" w:hAnsi="Arial" w:cs="Arial"/>
          <w:sz w:val="24"/>
          <w:szCs w:val="24"/>
        </w:rPr>
        <w:fldChar w:fldCharType="separate"/>
      </w:r>
      <w:r w:rsidR="00A03C06" w:rsidRPr="0038189C">
        <w:rPr>
          <w:rFonts w:ascii="Arial" w:hAnsi="Arial" w:cs="Arial"/>
          <w:noProof/>
          <w:sz w:val="24"/>
          <w:szCs w:val="24"/>
        </w:rPr>
        <w:t>(Fang and Zhu, 2019)</w:t>
      </w:r>
      <w:r w:rsidR="00A03C06" w:rsidRPr="0038189C">
        <w:rPr>
          <w:rFonts w:ascii="Arial" w:hAnsi="Arial" w:cs="Arial"/>
          <w:sz w:val="24"/>
          <w:szCs w:val="24"/>
        </w:rPr>
        <w:fldChar w:fldCharType="end"/>
      </w:r>
      <w:r w:rsidR="00A03C06" w:rsidRPr="0038189C">
        <w:rPr>
          <w:rFonts w:ascii="Arial" w:hAnsi="Arial" w:cs="Arial"/>
          <w:sz w:val="24"/>
          <w:szCs w:val="24"/>
        </w:rPr>
        <w:t xml:space="preserve">. </w:t>
      </w:r>
    </w:p>
    <w:p w14:paraId="6D40DE44" w14:textId="67FA520E" w:rsidR="00A03C06" w:rsidRPr="0038189C" w:rsidRDefault="00A03C06"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With its experiences in serving massive individual and business users in China, the Ant Financial has accumulated some of the largest and most valuable datasets in China. Leveraging emerging technologies including big data analytics and artificial intelligence, the company is now serving over 150 million active users per day with safe online financial services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2018)","plainTextFormattedCitation":"(Lu, 2018)","previouslyFormattedCitation":"(Lu, 2018)"},"properties":{"noteIndex":0},"schema":"https://github.com/citation-style-language/schema/raw/master/csl-citation.json"}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(Lu, 2018)</w:t>
      </w:r>
      <w:r w:rsidRPr="0038189C">
        <w:rPr>
          <w:rFonts w:ascii="Arial" w:hAnsi="Arial" w:cs="Arial"/>
          <w:sz w:val="24"/>
          <w:szCs w:val="24"/>
        </w:rPr>
        <w:fldChar w:fldCharType="end"/>
      </w:r>
      <w:r w:rsidRPr="0038189C">
        <w:rPr>
          <w:rFonts w:ascii="Arial" w:hAnsi="Arial" w:cs="Arial"/>
          <w:sz w:val="24"/>
          <w:szCs w:val="24"/>
        </w:rPr>
        <w:t xml:space="preserve">. The massive data acquired by the company also allows Ant Financial to introduce inclusive financial services to individuals and small and medium-sized enterprises in China by providing them with dynamic credit assessments in seconds which could take months and end in rejection in the state-controlled financial industry in China </w:t>
      </w:r>
      <w:r w:rsidRPr="0038189C">
        <w:rPr>
          <w:rFonts w:ascii="Arial" w:hAnsi="Arial" w:cs="Arial"/>
          <w:sz w:val="24"/>
          <w:szCs w:val="24"/>
        </w:rPr>
        <w:fldChar w:fldCharType="begin" w:fldLock="1"/>
      </w:r>
      <w:r w:rsidR="00E638DF" w:rsidRPr="0038189C">
        <w:rPr>
          <w:rFonts w:ascii="Arial" w:hAnsi="Arial" w:cs="Arial"/>
          <w:sz w:val="24"/>
          <w:szCs w:val="24"/>
        </w:rPr>
        <w:instrText>ADDIN CSL_CITATION {"citationItems":[{"id":"ITEM-1","itemData":{"DOI":"10.4236/ojbm.2020.81023","author":[{"dropping-particle":"","family":"Chang","given":"Yuqi","non-dropping-particle":"","parse-names":false,"suffix":""},{"dropping-particle":"","family":"Hu","given":"Jinmiao","non-dropping-particle":"","parse-names":false,"suffix":""}],"id":"ITEM-1","issued":{"date-parts":[["2020"]]},"page":"369-377","title":"Research on Fintech , Regtech and Financial Regulation in China","type":"article-journal"},"uris":["http://www.mendeley.com/documents/?uuid=f1f39f14-6636-4d7a-8696-2c44ddb1f737"]}],"mendeley":{"formattedCitation":"(Chang and Hu, 2020)","plainTextFormattedCitation":"(Chang and Hu, 2020)","previouslyFormattedCitation":"(Chang and Hu, 2020)"},"properties":{"noteIndex":0},"schema":"https://github.com/citation-style-language/schema/raw/master/csl-citation.json"}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(Chang and Hu, 2020)</w:t>
      </w:r>
      <w:r w:rsidRPr="0038189C">
        <w:rPr>
          <w:rFonts w:ascii="Arial" w:hAnsi="Arial" w:cs="Arial"/>
          <w:sz w:val="24"/>
          <w:szCs w:val="24"/>
        </w:rPr>
        <w:fldChar w:fldCharType="end"/>
      </w:r>
      <w:r w:rsidRPr="0038189C">
        <w:rPr>
          <w:rFonts w:ascii="Arial" w:hAnsi="Arial" w:cs="Arial"/>
          <w:sz w:val="24"/>
          <w:szCs w:val="24"/>
        </w:rPr>
        <w:t xml:space="preserve">. </w:t>
      </w:r>
    </w:p>
    <w:p w14:paraId="7BE32B5E" w14:textId="55CAEF8E" w:rsidR="00A03C06" w:rsidRPr="0038189C" w:rsidRDefault="00A03C06"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By penetrating into increasing aspects of daily life in the finance sphere, Ant Financial has established a close ecosystem which could feed its user </w:t>
      </w:r>
      <w:proofErr w:type="spellStart"/>
      <w:r w:rsidRPr="0038189C">
        <w:rPr>
          <w:rFonts w:ascii="Arial" w:hAnsi="Arial" w:cs="Arial"/>
          <w:sz w:val="24"/>
          <w:szCs w:val="24"/>
        </w:rPr>
        <w:t>behavioral</w:t>
      </w:r>
      <w:proofErr w:type="spellEnd"/>
      <w:r w:rsidRPr="0038189C">
        <w:rPr>
          <w:rFonts w:ascii="Arial" w:hAnsi="Arial" w:cs="Arial"/>
          <w:sz w:val="24"/>
          <w:szCs w:val="24"/>
        </w:rPr>
        <w:t xml:space="preserve"> data to its analytical engines, which in turn enhances the performance of the financial platforms the company operates. </w:t>
      </w:r>
      <w:r w:rsidR="00E638DF" w:rsidRPr="0038189C">
        <w:rPr>
          <w:rFonts w:ascii="Arial" w:hAnsi="Arial" w:cs="Arial"/>
          <w:sz w:val="24"/>
          <w:szCs w:val="24"/>
        </w:rPr>
        <w:t>As in the example of the big data analytics platform in Ant Financial, the platform has reached a processing capacity of 322 PB/h which supports billions of transactions on the Single’s Day in China (November 11</w:t>
      </w:r>
      <w:r w:rsidR="00E638DF" w:rsidRPr="0038189C">
        <w:rPr>
          <w:rFonts w:ascii="Arial" w:hAnsi="Arial" w:cs="Arial"/>
          <w:sz w:val="24"/>
          <w:szCs w:val="24"/>
          <w:vertAlign w:val="superscript"/>
        </w:rPr>
        <w:t>th</w:t>
      </w:r>
      <w:r w:rsidR="00E638DF" w:rsidRPr="0038189C">
        <w:rPr>
          <w:rFonts w:ascii="Arial" w:hAnsi="Arial" w:cs="Arial"/>
          <w:sz w:val="24"/>
          <w:szCs w:val="24"/>
        </w:rPr>
        <w:t xml:space="preserve">) in 2017. The big data analytics platform as well as other digital tools deployed in the company not only helped the company to stabilize and expand its businesses but also significantly enhances the company’s understanding of user </w:t>
      </w:r>
      <w:r w:rsidR="00231EEC" w:rsidRPr="0038189C">
        <w:rPr>
          <w:rFonts w:ascii="Arial" w:hAnsi="Arial" w:cs="Arial"/>
          <w:sz w:val="24"/>
          <w:szCs w:val="24"/>
        </w:rPr>
        <w:t>behaviour</w:t>
      </w:r>
      <w:r w:rsidR="00E638DF" w:rsidRPr="0038189C">
        <w:rPr>
          <w:rFonts w:ascii="Arial" w:hAnsi="Arial" w:cs="Arial"/>
          <w:sz w:val="24"/>
          <w:szCs w:val="24"/>
        </w:rPr>
        <w:t xml:space="preserve"> </w:t>
      </w:r>
      <w:r w:rsidR="00E638DF" w:rsidRPr="0038189C">
        <w:rPr>
          <w:rFonts w:ascii="Arial" w:hAnsi="Arial" w:cs="Arial"/>
          <w:sz w:val="24"/>
          <w:szCs w:val="24"/>
        </w:rPr>
        <w:fldChar w:fldCharType="begin" w:fldLock="1"/>
      </w:r>
      <w:r w:rsidR="0090796E" w:rsidRPr="0038189C">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2018)","plainTextFormattedCitation":"(Lu, 2018)","previouslyFormattedCitation":"(Lu, 2018)"},"properties":{"noteIndex":0},"schema":"https://github.com/citation-style-language/schema/raw/master/csl-citation.json"}</w:instrText>
      </w:r>
      <w:r w:rsidR="00E638DF" w:rsidRPr="0038189C">
        <w:rPr>
          <w:rFonts w:ascii="Arial" w:hAnsi="Arial" w:cs="Arial"/>
          <w:sz w:val="24"/>
          <w:szCs w:val="24"/>
        </w:rPr>
        <w:fldChar w:fldCharType="separate"/>
      </w:r>
      <w:r w:rsidR="00E638DF" w:rsidRPr="0038189C">
        <w:rPr>
          <w:rFonts w:ascii="Arial" w:hAnsi="Arial" w:cs="Arial"/>
          <w:noProof/>
          <w:sz w:val="24"/>
          <w:szCs w:val="24"/>
        </w:rPr>
        <w:t>(Lu, 2018)</w:t>
      </w:r>
      <w:r w:rsidR="00E638DF" w:rsidRPr="0038189C">
        <w:rPr>
          <w:rFonts w:ascii="Arial" w:hAnsi="Arial" w:cs="Arial"/>
          <w:sz w:val="24"/>
          <w:szCs w:val="24"/>
        </w:rPr>
        <w:fldChar w:fldCharType="end"/>
      </w:r>
      <w:r w:rsidR="00E638DF" w:rsidRPr="0038189C">
        <w:rPr>
          <w:rFonts w:ascii="Arial" w:hAnsi="Arial" w:cs="Arial"/>
          <w:sz w:val="24"/>
          <w:szCs w:val="24"/>
        </w:rPr>
        <w:t xml:space="preserve">. </w:t>
      </w:r>
    </w:p>
    <w:p w14:paraId="56C8DADE" w14:textId="77777777" w:rsidR="0090796E" w:rsidRPr="0038189C" w:rsidRDefault="00E638DF"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above introduction to the case company suggests three features of the company </w:t>
      </w:r>
      <w:r w:rsidR="0090796E" w:rsidRPr="0038189C">
        <w:rPr>
          <w:rFonts w:ascii="Arial" w:hAnsi="Arial" w:cs="Arial"/>
          <w:sz w:val="24"/>
          <w:szCs w:val="24"/>
        </w:rPr>
        <w:t xml:space="preserve">are prominent </w:t>
      </w:r>
      <w:r w:rsidRPr="0038189C">
        <w:rPr>
          <w:rFonts w:ascii="Arial" w:hAnsi="Arial" w:cs="Arial"/>
          <w:sz w:val="24"/>
          <w:szCs w:val="24"/>
        </w:rPr>
        <w:t xml:space="preserve">as </w:t>
      </w:r>
      <w:r w:rsidR="0090796E" w:rsidRPr="0038189C">
        <w:rPr>
          <w:rFonts w:ascii="Arial" w:hAnsi="Arial" w:cs="Arial"/>
          <w:sz w:val="24"/>
          <w:szCs w:val="24"/>
        </w:rPr>
        <w:t>the provision of</w:t>
      </w:r>
      <w:r w:rsidRPr="0038189C">
        <w:rPr>
          <w:rFonts w:ascii="Arial" w:hAnsi="Arial" w:cs="Arial"/>
          <w:sz w:val="24"/>
          <w:szCs w:val="24"/>
        </w:rPr>
        <w:t xml:space="preserve"> inclusive financial services to massive individuals </w:t>
      </w:r>
      <w:r w:rsidR="0090796E" w:rsidRPr="0038189C">
        <w:rPr>
          <w:rFonts w:ascii="Arial" w:hAnsi="Arial" w:cs="Arial"/>
          <w:sz w:val="24"/>
          <w:szCs w:val="24"/>
        </w:rPr>
        <w:t xml:space="preserve">and small businesses, the strong technological application capacity, and the dominant position in the market. </w:t>
      </w:r>
    </w:p>
    <w:p w14:paraId="42F869D5" w14:textId="1A68FEE6" w:rsidR="0090796E" w:rsidRPr="0038189C" w:rsidRDefault="0090796E" w:rsidP="0090796E">
      <w:pPr>
        <w:pStyle w:val="a7"/>
        <w:widowControl/>
        <w:numPr>
          <w:ilvl w:val="1"/>
          <w:numId w:val="3"/>
        </w:numPr>
        <w:spacing w:beforeLines="50" w:before="156" w:afterLines="50" w:after="156" w:line="360" w:lineRule="auto"/>
        <w:ind w:firstLineChars="0"/>
        <w:outlineLvl w:val="1"/>
        <w:rPr>
          <w:rFonts w:ascii="Arial" w:hAnsi="Arial" w:cs="Arial"/>
          <w:b/>
          <w:bCs/>
          <w:i/>
          <w:iCs/>
          <w:sz w:val="24"/>
          <w:szCs w:val="24"/>
        </w:rPr>
      </w:pPr>
      <w:bookmarkStart w:id="5" w:name="_Toc90658106"/>
      <w:r w:rsidRPr="0038189C">
        <w:rPr>
          <w:rFonts w:ascii="Arial" w:hAnsi="Arial" w:cs="Arial"/>
          <w:b/>
          <w:bCs/>
          <w:i/>
          <w:iCs/>
          <w:sz w:val="24"/>
          <w:szCs w:val="24"/>
        </w:rPr>
        <w:lastRenderedPageBreak/>
        <w:t>Report structure</w:t>
      </w:r>
      <w:bookmarkEnd w:id="5"/>
      <w:r w:rsidRPr="0038189C">
        <w:rPr>
          <w:rFonts w:ascii="Arial" w:hAnsi="Arial" w:cs="Arial"/>
          <w:b/>
          <w:bCs/>
          <w:i/>
          <w:iCs/>
          <w:sz w:val="24"/>
          <w:szCs w:val="24"/>
        </w:rPr>
        <w:t xml:space="preserve"> </w:t>
      </w:r>
    </w:p>
    <w:p w14:paraId="490782F0" w14:textId="7B2B09B3" w:rsidR="0090796E" w:rsidRPr="0038189C" w:rsidRDefault="0090796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first part of this report is the introduction on the research background and research motivation. The second part of this report is the environmental scanning including both the external and internal environmental scanning analyses. The third part is the assessment of the future strategies to be adopted by the Ant Financial company. The fourth part is the final part providing the concluding remarks and recommendations. </w:t>
      </w:r>
    </w:p>
    <w:p w14:paraId="61AAA18C" w14:textId="317A7C1E" w:rsidR="0090796E" w:rsidRPr="0038189C" w:rsidRDefault="0090796E" w:rsidP="0090796E">
      <w:pPr>
        <w:pStyle w:val="a7"/>
        <w:widowControl/>
        <w:numPr>
          <w:ilvl w:val="0"/>
          <w:numId w:val="2"/>
        </w:numPr>
        <w:pBdr>
          <w:bottom w:val="single" w:sz="18" w:space="1" w:color="9F2936" w:themeColor="accent2"/>
        </w:pBdr>
        <w:spacing w:beforeLines="150" w:before="468" w:afterLines="150" w:after="468" w:line="360" w:lineRule="auto"/>
        <w:ind w:firstLineChars="0"/>
        <w:jc w:val="center"/>
        <w:outlineLvl w:val="0"/>
        <w:rPr>
          <w:rFonts w:ascii="Arial" w:hAnsi="Arial" w:cs="Arial"/>
          <w:b/>
          <w:bCs/>
          <w:color w:val="14415C" w:themeColor="accent3" w:themeShade="BF"/>
          <w:sz w:val="36"/>
          <w:szCs w:val="36"/>
        </w:rPr>
      </w:pPr>
      <w:bookmarkStart w:id="6" w:name="_Toc90658107"/>
      <w:r w:rsidRPr="0038189C">
        <w:rPr>
          <w:rFonts w:ascii="Arial" w:hAnsi="Arial" w:cs="Arial"/>
          <w:b/>
          <w:bCs/>
          <w:color w:val="14415C" w:themeColor="accent3" w:themeShade="BF"/>
          <w:sz w:val="36"/>
          <w:szCs w:val="36"/>
        </w:rPr>
        <w:t>Business environmental scanning</w:t>
      </w:r>
      <w:bookmarkEnd w:id="6"/>
      <w:r w:rsidRPr="0038189C">
        <w:rPr>
          <w:rFonts w:ascii="Arial" w:hAnsi="Arial" w:cs="Arial"/>
          <w:b/>
          <w:bCs/>
          <w:color w:val="14415C" w:themeColor="accent3" w:themeShade="BF"/>
          <w:sz w:val="36"/>
          <w:szCs w:val="36"/>
        </w:rPr>
        <w:t xml:space="preserve"> </w:t>
      </w:r>
    </w:p>
    <w:p w14:paraId="3D433BE2" w14:textId="3EBC8D41" w:rsidR="0090796E" w:rsidRPr="0038189C" w:rsidRDefault="0090796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This part of the report includes two parts as the external environmental scanning and the internal environmental scanning. The external environment scanning, as following gridlines provided by Saunders </w:t>
      </w:r>
      <w:r w:rsidRPr="0038189C">
        <w:rPr>
          <w:rFonts w:ascii="Arial" w:hAnsi="Arial" w:cs="Arial"/>
          <w:sz w:val="24"/>
          <w:szCs w:val="24"/>
        </w:rPr>
        <w:fldChar w:fldCharType="begin" w:fldLock="1"/>
      </w:r>
      <w:r w:rsidR="009359C6" w:rsidRPr="0038189C">
        <w:rPr>
          <w:rFonts w:ascii="Arial" w:hAnsi="Arial" w:cs="Arial"/>
          <w:sz w:val="24"/>
          <w:szCs w:val="24"/>
        </w:rPr>
        <w:instrText>ADDIN CSL_CITATION {"citationItems":[{"id":"ITEM-1","itemData":{"DOI":"10.1108/qmr.2000.3.4.215.2","ISSN":"13522752","author":[{"dropping-particle":"","family":"Saunders","given":"Mark","non-dropping-particle":"","parse-names":false,"suffix":""}],"container-title":"Qualitative Market Research: An International Journal","id":"ITEM-1","issued":{"date-parts":[["2000"]]},"title":"Research Methods for Business Students","type":"book"},"uris":["http://www.mendeley.com/documents/?uuid=f0666f4d-dace-4b80-ab08-f83deefd2706"]}],"mendeley":{"formattedCitation":"(Saunders, 2000)","manualFormatting":"(2000)","plainTextFormattedCitation":"(Saunders, 2000)","previouslyFormattedCitation":"(Saunders, 2000)"},"properties":{"noteIndex":0},"schema":"https://github.com/citation-style-language/schema/raw/master/csl-citation.json"}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(2000)</w:t>
      </w:r>
      <w:r w:rsidRPr="0038189C">
        <w:rPr>
          <w:rFonts w:ascii="Arial" w:hAnsi="Arial" w:cs="Arial"/>
          <w:sz w:val="24"/>
          <w:szCs w:val="24"/>
        </w:rPr>
        <w:fldChar w:fldCharType="end"/>
      </w:r>
      <w:r w:rsidRPr="0038189C">
        <w:rPr>
          <w:rFonts w:ascii="Arial" w:hAnsi="Arial" w:cs="Arial"/>
          <w:sz w:val="24"/>
          <w:szCs w:val="24"/>
        </w:rPr>
        <w:t>, is conducted using the PEST analytical model and the Porter’s Five Forces model with the former one focusing on the general external environment of the company from political, economic, social and technology perspectives</w:t>
      </w:r>
      <w:r w:rsidR="00385E59" w:rsidRPr="0038189C">
        <w:rPr>
          <w:rFonts w:ascii="Arial" w:hAnsi="Arial" w:cs="Arial"/>
          <w:sz w:val="24"/>
          <w:szCs w:val="24"/>
        </w:rPr>
        <w:t xml:space="preserve">; and the latter one focusing on the key forces that shape the competition landscape in the market. </w:t>
      </w:r>
    </w:p>
    <w:p w14:paraId="6283BCAB" w14:textId="63121403" w:rsidR="005B5CA5" w:rsidRPr="0038189C" w:rsidRDefault="005B5CA5" w:rsidP="005B5CA5">
      <w:pPr>
        <w:pStyle w:val="a7"/>
        <w:widowControl/>
        <w:numPr>
          <w:ilvl w:val="1"/>
          <w:numId w:val="2"/>
        </w:numPr>
        <w:spacing w:beforeLines="50" w:before="156" w:afterLines="50" w:after="156" w:line="360" w:lineRule="auto"/>
        <w:ind w:firstLineChars="0"/>
        <w:outlineLvl w:val="1"/>
        <w:rPr>
          <w:rFonts w:ascii="Arial" w:hAnsi="Arial" w:cs="Arial"/>
          <w:b/>
          <w:bCs/>
          <w:i/>
          <w:iCs/>
          <w:sz w:val="24"/>
          <w:szCs w:val="24"/>
        </w:rPr>
      </w:pPr>
      <w:bookmarkStart w:id="7" w:name="_Toc90658108"/>
      <w:r w:rsidRPr="0038189C">
        <w:rPr>
          <w:rFonts w:ascii="Arial" w:hAnsi="Arial" w:cs="Arial"/>
          <w:b/>
          <w:bCs/>
          <w:i/>
          <w:iCs/>
          <w:sz w:val="24"/>
          <w:szCs w:val="24"/>
        </w:rPr>
        <w:t>External environmental scanning</w:t>
      </w:r>
      <w:bookmarkEnd w:id="7"/>
      <w:r w:rsidRPr="0038189C">
        <w:rPr>
          <w:rFonts w:ascii="Arial" w:hAnsi="Arial" w:cs="Arial"/>
          <w:b/>
          <w:bCs/>
          <w:i/>
          <w:iCs/>
          <w:sz w:val="24"/>
          <w:szCs w:val="24"/>
        </w:rPr>
        <w:t xml:space="preserve"> </w:t>
      </w:r>
    </w:p>
    <w:p w14:paraId="23993D40" w14:textId="6E2E6DF5" w:rsidR="00385E59" w:rsidRPr="0038189C" w:rsidRDefault="00385E59" w:rsidP="005B5CA5">
      <w:pPr>
        <w:pStyle w:val="a7"/>
        <w:widowControl/>
        <w:numPr>
          <w:ilvl w:val="2"/>
          <w:numId w:val="2"/>
        </w:numPr>
        <w:spacing w:beforeLines="50" w:before="156" w:afterLines="50" w:after="156" w:line="360" w:lineRule="auto"/>
        <w:ind w:firstLineChars="0"/>
        <w:outlineLvl w:val="2"/>
        <w:rPr>
          <w:rFonts w:ascii="Arial" w:hAnsi="Arial" w:cs="Arial"/>
          <w:b/>
          <w:bCs/>
          <w:i/>
          <w:iCs/>
          <w:sz w:val="24"/>
          <w:szCs w:val="24"/>
        </w:rPr>
      </w:pPr>
      <w:bookmarkStart w:id="8" w:name="_Toc90658109"/>
      <w:r w:rsidRPr="0038189C">
        <w:rPr>
          <w:rFonts w:ascii="Arial" w:hAnsi="Arial" w:cs="Arial"/>
          <w:b/>
          <w:bCs/>
          <w:i/>
          <w:iCs/>
          <w:sz w:val="24"/>
          <w:szCs w:val="24"/>
        </w:rPr>
        <w:t>PEST analysis</w:t>
      </w:r>
      <w:bookmarkEnd w:id="8"/>
      <w:r w:rsidRPr="0038189C">
        <w:rPr>
          <w:rFonts w:ascii="Arial" w:hAnsi="Arial" w:cs="Arial"/>
          <w:b/>
          <w:bCs/>
          <w:i/>
          <w:iCs/>
          <w:sz w:val="24"/>
          <w:szCs w:val="24"/>
        </w:rPr>
        <w:t xml:space="preserve"> </w:t>
      </w:r>
    </w:p>
    <w:p w14:paraId="063D3190" w14:textId="1F8BEDE9" w:rsidR="00385E59" w:rsidRPr="0038189C" w:rsidRDefault="00AF7A14" w:rsidP="005B5CA5">
      <w:pPr>
        <w:pStyle w:val="a7"/>
        <w:widowControl/>
        <w:numPr>
          <w:ilvl w:val="0"/>
          <w:numId w:val="5"/>
        </w:numPr>
        <w:spacing w:beforeLines="50" w:before="156" w:afterLines="50" w:after="156" w:line="36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Political factors </w:t>
      </w:r>
    </w:p>
    <w:p w14:paraId="05691C84" w14:textId="2E1C94B7" w:rsidR="009359C6" w:rsidRPr="0038189C" w:rsidRDefault="00AF7A14"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primary political factor affecting the operation and strategic development of the company is the dynamics in the Chinese financial regulatory system. As introduced in section 1.2, the Ant Financial company started and expanded not entirely based on </w:t>
      </w:r>
      <w:r w:rsidRPr="0038189C">
        <w:rPr>
          <w:rFonts w:ascii="Arial" w:hAnsi="Arial" w:cs="Arial"/>
          <w:sz w:val="24"/>
          <w:szCs w:val="24"/>
        </w:rPr>
        <w:lastRenderedPageBreak/>
        <w:t xml:space="preserve">technology development but with the tapping into market segments, such as mobile payment and online credit services that were underserved by state-owned banks in China. The emergence and rapid growth of the Ant Financial company coincide with the promotion of finance innovation in China </w:t>
      </w:r>
      <w:r w:rsidR="009359C6" w:rsidRPr="0038189C">
        <w:rPr>
          <w:rFonts w:ascii="Arial" w:hAnsi="Arial" w:cs="Arial"/>
          <w:sz w:val="24"/>
          <w:szCs w:val="24"/>
        </w:rPr>
        <w:fldChar w:fldCharType="begin" w:fldLock="1"/>
      </w:r>
      <w:r w:rsidR="009359C6" w:rsidRPr="0038189C">
        <w:rPr>
          <w:rFonts w:ascii="Arial" w:hAnsi="Arial" w:cs="Arial"/>
          <w:sz w:val="24"/>
          <w:szCs w:val="24"/>
        </w:rPr>
        <w:instrText>ADDIN CSL_CITATION {"citationItems":[{"id":"ITEM-1","itemData":{"DOI":"10.1080/17538963.2016.1215057","ISSN":"17538971","abstract":"The purpose of technology is not to make finance better, but to make finance serve real life better. Fintech has grown much faster in China than in the United States. In China, this success has come not from an initial technology advantage, but from integration between finance and real-life needs. This experience has important implications for understanding financial innovations, and for the development of inclusive finance.","author":[{"dropping-particle":"","family":"Chen","given":"Long","non-dropping-particle":"","parse-names":false,"suffix":""}],"container-title":"China Economic Journal","id":"ITEM-1","issue":"3","issued":{"date-parts":[["2016"]]},"page":"225-239","title":"From Fintech to Finlife: the case of Fintech Development in China","type":"article-journal","volume":"9"},"uris":["http://www.mendeley.com/documents/?uuid=9555c224-22c1-44cd-ac4d-3636a15de8eb"]}],"mendeley":{"formattedCitation":"(Chen, 2016)","plainTextFormattedCitation":"(Chen, 2016)","previouslyFormattedCitation":"(Chen, 2016)"},"properties":{"noteIndex":0},"schema":"https://github.com/citation-style-language/schema/raw/master/csl-citation.json"}</w:instrText>
      </w:r>
      <w:r w:rsidR="009359C6" w:rsidRPr="0038189C">
        <w:rPr>
          <w:rFonts w:ascii="Arial" w:hAnsi="Arial" w:cs="Arial"/>
          <w:sz w:val="24"/>
          <w:szCs w:val="24"/>
        </w:rPr>
        <w:fldChar w:fldCharType="separate"/>
      </w:r>
      <w:r w:rsidR="009359C6" w:rsidRPr="0038189C">
        <w:rPr>
          <w:rFonts w:ascii="Arial" w:hAnsi="Arial" w:cs="Arial"/>
          <w:noProof/>
          <w:sz w:val="24"/>
          <w:szCs w:val="24"/>
        </w:rPr>
        <w:t>(Chen, 2016)</w:t>
      </w:r>
      <w:r w:rsidR="009359C6" w:rsidRPr="0038189C">
        <w:rPr>
          <w:rFonts w:ascii="Arial" w:hAnsi="Arial" w:cs="Arial"/>
          <w:sz w:val="24"/>
          <w:szCs w:val="24"/>
        </w:rPr>
        <w:fldChar w:fldCharType="end"/>
      </w:r>
      <w:r w:rsidRPr="0038189C">
        <w:rPr>
          <w:rFonts w:ascii="Arial" w:hAnsi="Arial" w:cs="Arial"/>
          <w:sz w:val="24"/>
          <w:szCs w:val="24"/>
        </w:rPr>
        <w:t xml:space="preserve">. </w:t>
      </w:r>
      <w:r w:rsidR="009359C6" w:rsidRPr="0038189C">
        <w:rPr>
          <w:rFonts w:ascii="Arial" w:hAnsi="Arial" w:cs="Arial"/>
          <w:sz w:val="24"/>
          <w:szCs w:val="24"/>
        </w:rPr>
        <w:t xml:space="preserve">From central government in China, regulatory bodies in the finance sector to business practitioners, it was demanded that innovative products such as digital banking and dynamic credit system to be established in the country to further support the growth of the economy and the expansion of businesses. Under this guideline, the Alipay service was allowed to roll out with several rounds of negotiations with local branches of the Industrial Bank of China, the largest state-owned bank, in Hangzhou, China </w:t>
      </w:r>
      <w:r w:rsidR="009359C6" w:rsidRPr="0038189C">
        <w:rPr>
          <w:rFonts w:ascii="Arial" w:hAnsi="Arial" w:cs="Arial"/>
          <w:sz w:val="24"/>
          <w:szCs w:val="24"/>
        </w:rPr>
        <w:fldChar w:fldCharType="begin" w:fldLock="1"/>
      </w:r>
      <w:r w:rsidR="00233019" w:rsidRPr="0038189C">
        <w:rPr>
          <w:rFonts w:ascii="Arial" w:hAnsi="Arial" w:cs="Arial"/>
          <w:sz w:val="24"/>
          <w:szCs w:val="24"/>
        </w:rPr>
        <w:instrText>ADDIN CSL_CITATION {"citationItems":[{"id":"ITEM-1","itemData":{"DOI":"10.1108/FS-07-2017-0026","ISSN":"14636689","abstract":"Purpose: This paper aims to explore FinTech and its dynamic transitions in the banking industry. In particular, the study analyses the systemic innovation nature of FinTech-based innovations. The main contribution of this research study is the development of systemic innovation model which can be used as a dynamic tool to track the progress and pattern of technology development and diffusion. The research also discusses the latest financial innovation of PromptPay FinTech – the e-payment system in Thailand. Design/methodology/approach: This research uses the case study approach to analyse the systemic innovation characteristics of FinTech-based innovations. This research offers a new systemic innovation model which is developed and can be used as a dynamic tool to track the progress and pattern of technology development and diffusion. The study uses FinTech-based innovations as case study samples to gain a better understanding concerning the systemic characteristics and the pattern of technology diffusion under the analytical framework of systemic innovation model. This research involves qualitative interviews with five major commercial banks in the financial services industry of Thailand. Findings: The analyses of findings show the systemic characteristics of FinTech-based innovations in the banking industry, both at a global scale and Thailand case. The analyses have shown that systemic characteristics of the innovation process are the outcome of interactions between the complexity of the innovation and the capabilities of innovators in managing the innovation. The insightful implications on the systemic nature of innovation give the trend and direction of FinTech-based innovation development in the banking industry. Originality/value: The main contribution which shows originality and value of this paper is the development of systemic innovation model. This research study develops a systemic innovation model to analyse the systemic characteristics which can be applied to all innovations in any industry. The model can also help track the progress and pattern of technology development and diffusion. Therefore, the model can be used to project the trend and diffusion of innovation competition in the banking industry.","author":[{"dropping-particle":"","family":"Wonglimpiyarat","given":"Jarunee","non-dropping-particle":"","parse-names":false,"suffix":""}],"container-title":"Foresight","id":"ITEM-1","issue":"6","issued":{"date-parts":[["2017"]]},"page":"590-603","publisher":"Emerald Publishing Limited","title":"FinTech banking industry: a systemic approach","type":"article-journal","volume":"19"},"uris":["http://www.mendeley.com/documents/?uuid=0c278306-3a26-4386-ac18-f1f9c9dd6c1e"]}],"mendeley":{"formattedCitation":"(Wonglimpiyarat, 2017)","plainTextFormattedCitation":"(Wonglimpiyarat, 2017)","previouslyFormattedCitation":"(Wonglimpiyarat, 2017)"},"properties":{"noteIndex":0},"schema":"https://github.com/citation-style-language/schema/raw/master/csl-citation.json"}</w:instrText>
      </w:r>
      <w:r w:rsidR="009359C6" w:rsidRPr="0038189C">
        <w:rPr>
          <w:rFonts w:ascii="Arial" w:hAnsi="Arial" w:cs="Arial"/>
          <w:sz w:val="24"/>
          <w:szCs w:val="24"/>
        </w:rPr>
        <w:fldChar w:fldCharType="separate"/>
      </w:r>
      <w:r w:rsidR="009359C6" w:rsidRPr="0038189C">
        <w:rPr>
          <w:rFonts w:ascii="Arial" w:hAnsi="Arial" w:cs="Arial"/>
          <w:noProof/>
          <w:sz w:val="24"/>
          <w:szCs w:val="24"/>
        </w:rPr>
        <w:t>(Wonglimpiyarat, 2017)</w:t>
      </w:r>
      <w:r w:rsidR="009359C6" w:rsidRPr="0038189C">
        <w:rPr>
          <w:rFonts w:ascii="Arial" w:hAnsi="Arial" w:cs="Arial"/>
          <w:sz w:val="24"/>
          <w:szCs w:val="24"/>
        </w:rPr>
        <w:fldChar w:fldCharType="end"/>
      </w:r>
      <w:r w:rsidR="009359C6" w:rsidRPr="0038189C">
        <w:rPr>
          <w:rFonts w:ascii="Arial" w:hAnsi="Arial" w:cs="Arial"/>
          <w:sz w:val="24"/>
          <w:szCs w:val="24"/>
        </w:rPr>
        <w:t xml:space="preserve">. </w:t>
      </w:r>
    </w:p>
    <w:p w14:paraId="0DA11BB8" w14:textId="3CDEBC99" w:rsidR="009359C6" w:rsidRPr="0038189C" w:rsidRDefault="009359C6"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While in recent years, the rapid growth of the FinTech industry at large has led to several issues, one prominent of which being the abuse of user data and the other being the abuse of regulatory loopholes. In terms of user data abuse, companies including Ant Financial were summoned by the regulatory bodies in the Chinese finance sector and by local governments in Hangzhou several times as they reportedly harvest user data beyond the user agreement contracts</w:t>
      </w:r>
      <w:r w:rsidR="00233019" w:rsidRPr="0038189C">
        <w:rPr>
          <w:rFonts w:ascii="Arial" w:hAnsi="Arial" w:cs="Arial"/>
          <w:sz w:val="24"/>
          <w:szCs w:val="24"/>
        </w:rPr>
        <w:t xml:space="preserve"> </w:t>
      </w:r>
      <w:r w:rsidR="00233019" w:rsidRPr="0038189C">
        <w:rPr>
          <w:rFonts w:ascii="Arial" w:hAnsi="Arial" w:cs="Arial"/>
          <w:sz w:val="24"/>
          <w:szCs w:val="24"/>
        </w:rPr>
        <w:fldChar w:fldCharType="begin" w:fldLock="1"/>
      </w:r>
      <w:r w:rsidR="00233019" w:rsidRPr="0038189C">
        <w:rPr>
          <w:rFonts w:ascii="Arial" w:hAnsi="Arial" w:cs="Arial"/>
          <w:sz w:val="24"/>
          <w:szCs w:val="24"/>
        </w:rPr>
        <w:instrText>ADDIN CSL_CITATION {"citationItems":[{"id":"ITEM-1","itemData":{"DOI":"10.1016/B978-0-12-812282-2.00002-4","ISBN":"9780128122990","abstract":"There has been a growing consensus in promoting financial inclusion around the world in recent years, when the authorities in advanced and emerging economies have undertaken comprehensive measures to dodge the challenge of the expanding income inequality and mediocre growth.","author":[{"dropping-particle":"","family":"Sun","given":"Tao","non-dropping-particle":"","parse-names":false,"suffix":""}],"container-title":"Handbook of Blockchain, Digital Finance, and Inclusion","id":"ITEM-1","issued":{"date-parts":[["2018"]]},"page":"37-43","publisher":"Elsevier","title":"Balancing Innovation and Risks in Digital Financial Inclusion-Experiences of Ant Financial Services Group","type":"chapter","volume":"2"},"uris":["http://www.mendeley.com/documents/?uuid=ba446c75-e342-402a-8d57-ac45f74824b5"]}],"mendeley":{"formattedCitation":"(Sun, 2018)","plainTextFormattedCitation":"(Sun, 2018)","previouslyFormattedCitation":"(Sun, 2018)"},"properties":{"noteIndex":0},"schema":"https://github.com/citation-style-language/schema/raw/master/csl-citation.json"}</w:instrText>
      </w:r>
      <w:r w:rsidR="00233019" w:rsidRPr="0038189C">
        <w:rPr>
          <w:rFonts w:ascii="Arial" w:hAnsi="Arial" w:cs="Arial"/>
          <w:sz w:val="24"/>
          <w:szCs w:val="24"/>
        </w:rPr>
        <w:fldChar w:fldCharType="separate"/>
      </w:r>
      <w:r w:rsidR="00233019" w:rsidRPr="0038189C">
        <w:rPr>
          <w:rFonts w:ascii="Arial" w:hAnsi="Arial" w:cs="Arial"/>
          <w:noProof/>
          <w:sz w:val="24"/>
          <w:szCs w:val="24"/>
        </w:rPr>
        <w:t>(Sun, 2018)</w:t>
      </w:r>
      <w:r w:rsidR="00233019" w:rsidRPr="0038189C">
        <w:rPr>
          <w:rFonts w:ascii="Arial" w:hAnsi="Arial" w:cs="Arial"/>
          <w:sz w:val="24"/>
          <w:szCs w:val="24"/>
        </w:rPr>
        <w:fldChar w:fldCharType="end"/>
      </w:r>
      <w:r w:rsidRPr="0038189C">
        <w:rPr>
          <w:rFonts w:ascii="Arial" w:hAnsi="Arial" w:cs="Arial"/>
          <w:sz w:val="24"/>
          <w:szCs w:val="24"/>
        </w:rPr>
        <w:t xml:space="preserve">. In the example of Ant Financial, the company records not only user purchasing and payment data but also geolocation data, audio and textual data sent using Ant Financial products to enhance the big data analytics </w:t>
      </w:r>
      <w:r w:rsidR="00233019" w:rsidRPr="0038189C">
        <w:rPr>
          <w:rFonts w:ascii="Arial" w:hAnsi="Arial" w:cs="Arial"/>
          <w:sz w:val="24"/>
          <w:szCs w:val="24"/>
        </w:rPr>
        <w:t>capacity</w:t>
      </w:r>
      <w:r w:rsidRPr="0038189C">
        <w:rPr>
          <w:rFonts w:ascii="Arial" w:hAnsi="Arial" w:cs="Arial"/>
          <w:sz w:val="24"/>
          <w:szCs w:val="24"/>
        </w:rPr>
        <w:t xml:space="preserve"> of the company </w:t>
      </w:r>
      <w:r w:rsidR="00233019" w:rsidRPr="0038189C">
        <w:rPr>
          <w:rFonts w:ascii="Arial" w:hAnsi="Arial" w:cs="Arial"/>
          <w:sz w:val="24"/>
          <w:szCs w:val="24"/>
        </w:rPr>
        <w:fldChar w:fldCharType="begin" w:fldLock="1"/>
      </w:r>
      <w:r w:rsidR="00A8678F" w:rsidRPr="0038189C">
        <w:rPr>
          <w:rFonts w:ascii="Arial" w:hAnsi="Arial" w:cs="Arial"/>
          <w:sz w:val="24"/>
          <w:szCs w:val="24"/>
        </w:rPr>
        <w:instrText>ADDIN CSL_CITATION {"citationItems":[{"id":"ITEM-1","itemData":{"URL":"https://www.reuters.com/article/us-ant-financial-china/chinas-cyber-watchdog-scolds-ant-financial-over-user-privacy-breach-idUSKBN1F006B","accessed":{"date-parts":[["2021","12","17"]]},"author":[{"dropping-particle":"","family":"Reuters","given":"","non-dropping-particle":"","parse-names":false,"suffix":""}],"id":"ITEM-1","issued":{"date-parts":[["2021"]]},"title":"China's cyber watchdog scolds Ant Financial over user privacy breach ","type":"webpage"},"uris":["http://www.mendeley.com/documents/?uuid=221c4b02-0f4d-3dfb-a869-18f66adcc956"]}],"mendeley":{"formattedCitation":"(Reuters, 2021)","plainTextFormattedCitation":"(Reuters, 2021)","previouslyFormattedCitation":"(Reuters, 2021)"},"properties":{"noteIndex":0},"schema":"https://github.com/citation-style-language/schema/raw/master/csl-citation.json"}</w:instrText>
      </w:r>
      <w:r w:rsidR="00233019" w:rsidRPr="0038189C">
        <w:rPr>
          <w:rFonts w:ascii="Arial" w:hAnsi="Arial" w:cs="Arial"/>
          <w:sz w:val="24"/>
          <w:szCs w:val="24"/>
        </w:rPr>
        <w:fldChar w:fldCharType="separate"/>
      </w:r>
      <w:r w:rsidR="00233019" w:rsidRPr="0038189C">
        <w:rPr>
          <w:rFonts w:ascii="Arial" w:hAnsi="Arial" w:cs="Arial"/>
          <w:noProof/>
          <w:sz w:val="24"/>
          <w:szCs w:val="24"/>
        </w:rPr>
        <w:t>(Reuters, 2021)</w:t>
      </w:r>
      <w:r w:rsidR="00233019" w:rsidRPr="0038189C">
        <w:rPr>
          <w:rFonts w:ascii="Arial" w:hAnsi="Arial" w:cs="Arial"/>
          <w:sz w:val="24"/>
          <w:szCs w:val="24"/>
        </w:rPr>
        <w:fldChar w:fldCharType="end"/>
      </w:r>
      <w:r w:rsidRPr="0038189C">
        <w:rPr>
          <w:rFonts w:ascii="Arial" w:hAnsi="Arial" w:cs="Arial"/>
          <w:sz w:val="24"/>
          <w:szCs w:val="24"/>
        </w:rPr>
        <w:t xml:space="preserve">. </w:t>
      </w:r>
    </w:p>
    <w:p w14:paraId="01D2F89B" w14:textId="6004E0DB" w:rsidR="00233019" w:rsidRPr="0038189C" w:rsidRDefault="00233019"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In terms of regulatory loopholes, the company leverages its massive AUM to provide loans to those who should not been seeking one such as the </w:t>
      </w:r>
      <w:r w:rsidR="00A8678F" w:rsidRPr="0038189C">
        <w:rPr>
          <w:rFonts w:ascii="Arial" w:hAnsi="Arial" w:cs="Arial"/>
          <w:sz w:val="24"/>
          <w:szCs w:val="24"/>
        </w:rPr>
        <w:t xml:space="preserve">shopping loans provided to college students. The company has also reportedly providing high risky loan </w:t>
      </w:r>
      <w:r w:rsidR="00A8678F" w:rsidRPr="0038189C">
        <w:rPr>
          <w:rFonts w:ascii="Arial" w:hAnsi="Arial" w:cs="Arial"/>
          <w:sz w:val="24"/>
          <w:szCs w:val="24"/>
        </w:rPr>
        <w:lastRenderedPageBreak/>
        <w:t xml:space="preserve">products to its customers which have not been scrutinized by regulatory bodies in China </w:t>
      </w:r>
      <w:r w:rsidR="00A8678F" w:rsidRPr="0038189C">
        <w:rPr>
          <w:rFonts w:ascii="Arial" w:hAnsi="Arial" w:cs="Arial"/>
          <w:sz w:val="24"/>
          <w:szCs w:val="24"/>
        </w:rPr>
        <w:fldChar w:fldCharType="begin" w:fldLock="1"/>
      </w:r>
      <w:r w:rsidR="00A8678F" w:rsidRPr="0038189C">
        <w:rPr>
          <w:rFonts w:ascii="Arial" w:hAnsi="Arial" w:cs="Arial"/>
          <w:sz w:val="24"/>
          <w:szCs w:val="24"/>
        </w:rPr>
        <w:instrText>ADDIN CSL_CITATION {"citationItems":[{"id":"ITEM-1","itemData":{"DOI":"10.4236/AJIBM.2017.75041","ISSN":"2164-5167","abstract":"This\npaper takes the Ant Financial Service Group as an example and analyzes the\ndevelopment pattern of its consumer finance system. The Ant Financial Service\nGroup developed from an e-commerce platform. Its consumer finance system takes\nfull advantages of the large amount of data which is accumulated from the\ne-commerce platform. This kind of development mode can realize the win-win\ndevelopment of e-commerce platform and Internet consumer finance, which has the\nreference significance to the development of other consumer finance platforms.","author":[{"dropping-particle":"","family":"Zhao","given":"Yanan","non-dropping-particle":"","parse-names":false,"suffix":""}],"container-title":"American Journal of Industrial and Business Management","id":"ITEM-1","issue":"5","issued":{"date-parts":[["2017","5","16"]]},"page":"559-565","publisher":"Scientific Research Publishing","title":"Research on the Consumer Finance System of Ant Financial Service Group","type":"article-journal","volume":"7"},"uris":["http://www.mendeley.com/documents/?uuid=cbf2d3a7-defd-3339-ae3d-dc9c0ce27686"]}],"mendeley":{"formattedCitation":"(Zhao, 2017)","plainTextFormattedCitation":"(Zhao, 2017)","previouslyFormattedCitation":"(Zhao, 2017)"},"properties":{"noteIndex":0},"schema":"https://github.com/citation-style-language/schema/raw/master/csl-citation.json"}</w:instrText>
      </w:r>
      <w:r w:rsidR="00A8678F" w:rsidRPr="0038189C">
        <w:rPr>
          <w:rFonts w:ascii="Arial" w:hAnsi="Arial" w:cs="Arial"/>
          <w:sz w:val="24"/>
          <w:szCs w:val="24"/>
        </w:rPr>
        <w:fldChar w:fldCharType="separate"/>
      </w:r>
      <w:r w:rsidR="00A8678F" w:rsidRPr="0038189C">
        <w:rPr>
          <w:rFonts w:ascii="Arial" w:hAnsi="Arial" w:cs="Arial"/>
          <w:noProof/>
          <w:sz w:val="24"/>
          <w:szCs w:val="24"/>
        </w:rPr>
        <w:t>(Zhao, 2017)</w:t>
      </w:r>
      <w:r w:rsidR="00A8678F" w:rsidRPr="0038189C">
        <w:rPr>
          <w:rFonts w:ascii="Arial" w:hAnsi="Arial" w:cs="Arial"/>
          <w:sz w:val="24"/>
          <w:szCs w:val="24"/>
        </w:rPr>
        <w:fldChar w:fldCharType="end"/>
      </w:r>
      <w:r w:rsidR="00A8678F" w:rsidRPr="0038189C">
        <w:rPr>
          <w:rFonts w:ascii="Arial" w:hAnsi="Arial" w:cs="Arial"/>
          <w:sz w:val="24"/>
          <w:szCs w:val="24"/>
        </w:rPr>
        <w:t xml:space="preserve">. </w:t>
      </w:r>
    </w:p>
    <w:p w14:paraId="3472D66E" w14:textId="7D7517AA" w:rsidR="00233019" w:rsidRPr="0038189C" w:rsidRDefault="00233019"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In 2020, the company’s plan to initiate IPO (Initial Public Offering) in the New York Stock Exchange and the Hong Kong Stock Exchange was stopped directly by the Chinese government due to concerns on the data abuse issues of the company and the </w:t>
      </w:r>
      <w:r w:rsidR="00A8678F" w:rsidRPr="0038189C">
        <w:rPr>
          <w:rFonts w:ascii="Arial" w:hAnsi="Arial" w:cs="Arial"/>
          <w:sz w:val="24"/>
          <w:szCs w:val="24"/>
        </w:rPr>
        <w:t xml:space="preserve">problematic provision of financial products to its users </w:t>
      </w:r>
      <w:r w:rsidR="00A8678F" w:rsidRPr="0038189C">
        <w:rPr>
          <w:rFonts w:ascii="Arial" w:hAnsi="Arial" w:cs="Arial"/>
          <w:sz w:val="24"/>
          <w:szCs w:val="24"/>
        </w:rPr>
        <w:fldChar w:fldCharType="begin" w:fldLock="1"/>
      </w:r>
      <w:r w:rsidR="005C2E13" w:rsidRPr="0038189C">
        <w:rPr>
          <w:rFonts w:ascii="Arial" w:hAnsi="Arial" w:cs="Arial"/>
          <w:sz w:val="24"/>
          <w:szCs w:val="24"/>
        </w:rPr>
        <w:instrText>ADDIN CSL_CITATION {"citationItems":[{"id":"ITEM-1","itemData":{"URL":"https://www.nytimes.com/2020/11/06/technology/china-ant-group-ipo.html","accessed":{"date-parts":[["2021","12","17"]]},"author":[{"dropping-particle":"","family":"The New York Times","given":"","non-dropping-particle":"","parse-names":false,"suffix":""}],"id":"ITEM-1","issued":{"date-parts":[["2021"]]},"title":"Why China Halted Ant's I.P.O., Dealing Jack Ma a Blow ","type":"webpage"},"uris":["http://www.mendeley.com/documents/?uuid=d75dc206-198d-32a0-997d-18cecaef57e9"]}],"mendeley":{"formattedCitation":"(The New York Times, 2021)","plainTextFormattedCitation":"(The New York Times, 2021)","previouslyFormattedCitation":"(The New York Times, 2021)"},"properties":{"noteIndex":0},"schema":"https://github.com/citation-style-language/schema/raw/master/csl-citation.json"}</w:instrText>
      </w:r>
      <w:r w:rsidR="00A8678F" w:rsidRPr="0038189C">
        <w:rPr>
          <w:rFonts w:ascii="Arial" w:hAnsi="Arial" w:cs="Arial"/>
          <w:sz w:val="24"/>
          <w:szCs w:val="24"/>
        </w:rPr>
        <w:fldChar w:fldCharType="separate"/>
      </w:r>
      <w:r w:rsidR="00A8678F" w:rsidRPr="0038189C">
        <w:rPr>
          <w:rFonts w:ascii="Arial" w:hAnsi="Arial" w:cs="Arial"/>
          <w:noProof/>
          <w:sz w:val="24"/>
          <w:szCs w:val="24"/>
        </w:rPr>
        <w:t>(The New York Times, 2021)</w:t>
      </w:r>
      <w:r w:rsidR="00A8678F" w:rsidRPr="0038189C">
        <w:rPr>
          <w:rFonts w:ascii="Arial" w:hAnsi="Arial" w:cs="Arial"/>
          <w:sz w:val="24"/>
          <w:szCs w:val="24"/>
        </w:rPr>
        <w:fldChar w:fldCharType="end"/>
      </w:r>
      <w:r w:rsidR="00A8678F" w:rsidRPr="0038189C">
        <w:rPr>
          <w:rFonts w:ascii="Arial" w:hAnsi="Arial" w:cs="Arial"/>
          <w:sz w:val="24"/>
          <w:szCs w:val="24"/>
        </w:rPr>
        <w:t xml:space="preserve">. The company, after the halting of the IPO process, was further requested to re-apply its online financial service provision license which in essence prohibits the company to further roll out new products. The company was also further requested to report regularly to regulatory bodies in China in the China State Council regarding their usages of user data and protection approaches of user privacy </w:t>
      </w:r>
      <w:r w:rsidR="005C2E13" w:rsidRPr="0038189C">
        <w:rPr>
          <w:rFonts w:ascii="Arial" w:hAnsi="Arial" w:cs="Arial"/>
          <w:sz w:val="24"/>
          <w:szCs w:val="24"/>
        </w:rPr>
        <w:fldChar w:fldCharType="begin" w:fldLock="1"/>
      </w:r>
      <w:r w:rsidR="00C866CB" w:rsidRPr="0038189C">
        <w:rPr>
          <w:rFonts w:ascii="Arial" w:hAnsi="Arial" w:cs="Arial"/>
          <w:sz w:val="24"/>
          <w:szCs w:val="24"/>
        </w:rPr>
        <w:instrText>ADDIN CSL_CITATION {"citationItems":[{"id":"ITEM-1","itemData":{"URL":"https://www.bloomberg.com/news/articles/2021-10-19/ant-s-record-ipo-remains-in-limbo-a-year-after-china-crackdown","accessed":{"date-parts":[["2021","12","17"]]},"author":[{"dropping-particle":"","family":"Bloomberg","given":"","non-dropping-particle":"","parse-names":false,"suffix":""}],"id":"ITEM-1","issued":{"date-parts":[["2021"]]},"title":"Jack Ma’s Terrible Year Ends With Ant Group IPO Stuck in Limbo ","type":"webpage"},"uris":["http://www.mendeley.com/documents/?uuid=f1eb83d4-513a-3102-8c3a-065883d9e964"]}],"mendeley":{"formattedCitation":"(Bloomberg, 2021b)","plainTextFormattedCitation":"(Bloomberg, 2021b)","previouslyFormattedCitation":"(Bloomberg, 2021b)"},"properties":{"noteIndex":0},"schema":"https://github.com/citation-style-language/schema/raw/master/csl-citation.json"}</w:instrText>
      </w:r>
      <w:r w:rsidR="005C2E13" w:rsidRPr="0038189C">
        <w:rPr>
          <w:rFonts w:ascii="Arial" w:hAnsi="Arial" w:cs="Arial"/>
          <w:sz w:val="24"/>
          <w:szCs w:val="24"/>
        </w:rPr>
        <w:fldChar w:fldCharType="separate"/>
      </w:r>
      <w:r w:rsidR="00C866CB" w:rsidRPr="0038189C">
        <w:rPr>
          <w:rFonts w:ascii="Arial" w:hAnsi="Arial" w:cs="Arial"/>
          <w:noProof/>
          <w:sz w:val="24"/>
          <w:szCs w:val="24"/>
        </w:rPr>
        <w:t>(Bloomberg, 2021b)</w:t>
      </w:r>
      <w:r w:rsidR="005C2E13" w:rsidRPr="0038189C">
        <w:rPr>
          <w:rFonts w:ascii="Arial" w:hAnsi="Arial" w:cs="Arial"/>
          <w:sz w:val="24"/>
          <w:szCs w:val="24"/>
        </w:rPr>
        <w:fldChar w:fldCharType="end"/>
      </w:r>
      <w:r w:rsidR="00A8678F" w:rsidRPr="0038189C">
        <w:rPr>
          <w:rFonts w:ascii="Arial" w:hAnsi="Arial" w:cs="Arial"/>
          <w:sz w:val="24"/>
          <w:szCs w:val="24"/>
        </w:rPr>
        <w:t xml:space="preserve">. </w:t>
      </w:r>
    </w:p>
    <w:p w14:paraId="6CABE098" w14:textId="71662329" w:rsidR="005C2E13" w:rsidRPr="0038189C" w:rsidRDefault="005C2E13"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above analysis shows that the primary factor affecting the strategic development of Ant Financial is the potential strengthening of the regulatory environment in China. This could hamper the company’s provision of new products and services in the market. The enhanced regulatory frameworks in user data usage could also potentially undermine the company’s capacity in leveraging user data. What should be pointed out is that the enhanced regulation in the market, though likely to hamper the growth of the company in the short run, could benefit the company in the long-run as it </w:t>
      </w:r>
      <w:r w:rsidR="00231EEC" w:rsidRPr="0038189C">
        <w:rPr>
          <w:rFonts w:ascii="Arial" w:hAnsi="Arial" w:cs="Arial"/>
          <w:sz w:val="24"/>
          <w:szCs w:val="24"/>
        </w:rPr>
        <w:t>remains</w:t>
      </w:r>
      <w:r w:rsidRPr="0038189C">
        <w:rPr>
          <w:rFonts w:ascii="Arial" w:hAnsi="Arial" w:cs="Arial"/>
          <w:sz w:val="24"/>
          <w:szCs w:val="24"/>
        </w:rPr>
        <w:t xml:space="preserve"> to be the largest digital financial service provider in the market. The earlier the company adapts it to the changes in the regulatory framework, the more solid the company’s future development could be. </w:t>
      </w:r>
    </w:p>
    <w:p w14:paraId="15340CB5" w14:textId="641F92CA" w:rsidR="00A84ACE" w:rsidRPr="0038189C" w:rsidRDefault="00A84ACE" w:rsidP="005B5CA5">
      <w:pPr>
        <w:pStyle w:val="a7"/>
        <w:widowControl/>
        <w:numPr>
          <w:ilvl w:val="0"/>
          <w:numId w:val="5"/>
        </w:numPr>
        <w:spacing w:beforeLines="50" w:before="156" w:afterLines="50" w:after="156" w:line="36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Economic factors </w:t>
      </w:r>
    </w:p>
    <w:p w14:paraId="267256F3" w14:textId="2E95E8C9" w:rsidR="00CA624D" w:rsidRPr="0038189C" w:rsidRDefault="00A84AC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The primary economic factor affecting the development of the company is the fluctuations of the Chinese macro-economy after the outbreak of the Covid-pandemic. Since January 2020, China’s economy especially the service sector has been severely impacted. The country’s quarterly GDP growth in the third quarter in 2020 and the second quarter in 2021 reached historical low as being -5.1% and 3.9% compared to the historical high </w:t>
      </w:r>
      <w:r w:rsidRPr="0038189C">
        <w:rPr>
          <w:rFonts w:ascii="Arial" w:hAnsi="Arial" w:cs="Arial"/>
          <w:sz w:val="24"/>
          <w:szCs w:val="24"/>
        </w:rPr>
        <w:fldChar w:fldCharType="begin" w:fldLock="1"/>
      </w:r>
      <w:r w:rsidR="00C866CB" w:rsidRPr="0038189C">
        <w:rPr>
          <w:rFonts w:ascii="Arial" w:hAnsi="Arial" w:cs="Arial"/>
          <w:sz w:val="24"/>
          <w:szCs w:val="24"/>
        </w:rPr>
        <w:instrText>ADDIN CSL_CITATION {"citationItems":[{"id":"ITEM-1","itemData":{"URL":"https://www.statista.com/chart/17747/china-quarterly-gdp-growth/","accessed":{"date-parts":[["2021","12","17"]]},"author":[{"dropping-particle":"","family":"Statista","given":"","non-dropping-particle":"","parse-names":false,"suffix":""}],"id":"ITEM-1","issued":{"date-parts":[["2021"]]},"title":"Chart: China's Post-Pandemic GDP Growth Disappoints","type":"webpage"},"uris":["http://www.mendeley.com/documents/?uuid=05a859a6-2313-3162-91ea-2d9cd112fae7"]}],"mendeley":{"formattedCitation":"(Statista, 2021)","plainTextFormattedCitation":"(Statista, 2021)","previouslyFormattedCitation":"(Statista, 2021)"},"properties":{"noteIndex":0},"schema":"https://github.com/citation-style-language/schema/raw/master/csl-citation.json"}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(Statista, 2021)</w:t>
      </w:r>
      <w:r w:rsidRPr="0038189C">
        <w:rPr>
          <w:rFonts w:ascii="Arial" w:hAnsi="Arial" w:cs="Arial"/>
          <w:sz w:val="24"/>
          <w:szCs w:val="24"/>
        </w:rPr>
        <w:fldChar w:fldCharType="end"/>
      </w:r>
      <w:r w:rsidRPr="0038189C">
        <w:rPr>
          <w:rFonts w:ascii="Arial" w:hAnsi="Arial" w:cs="Arial"/>
          <w:sz w:val="24"/>
          <w:szCs w:val="24"/>
        </w:rPr>
        <w:t xml:space="preserve">. </w:t>
      </w:r>
      <w:r w:rsidR="00C866CB" w:rsidRPr="0038189C">
        <w:rPr>
          <w:rFonts w:ascii="Arial" w:hAnsi="Arial" w:cs="Arial"/>
          <w:sz w:val="24"/>
          <w:szCs w:val="24"/>
        </w:rPr>
        <w:t xml:space="preserve">The downfall of the Chinese economy inevitably led to the shrinkage of consumption in the society. As reported by Bloomberg </w:t>
      </w:r>
      <w:r w:rsidR="00C866CB" w:rsidRPr="0038189C">
        <w:rPr>
          <w:rFonts w:ascii="Arial" w:hAnsi="Arial" w:cs="Arial"/>
          <w:sz w:val="24"/>
          <w:szCs w:val="24"/>
        </w:rPr>
        <w:fldChar w:fldCharType="begin" w:fldLock="1"/>
      </w:r>
      <w:r w:rsidR="00C866CB" w:rsidRPr="0038189C">
        <w:rPr>
          <w:rFonts w:ascii="Arial" w:hAnsi="Arial" w:cs="Arial"/>
          <w:sz w:val="24"/>
          <w:szCs w:val="24"/>
        </w:rPr>
        <w:instrText>ADDIN CSL_CITATION {"citationItems":[{"id":"ITEM-1","itemData":{"URL":"https://www.bloomberg.com/news/articles/2021-12-09/china-factory-inflation-slows-in-november-from-26-year-high","accessed":{"date-parts":[["2021","12","17"]]},"author":[{"dropping-particle":"","family":"Bloomberg","given":"","non-dropping-particle":"","parse-names":false,"suffix":""}],"id":"ITEM-1","issued":{"date-parts":[["2021"]]},"title":"China Factory Inflation Slows in November From 26-Year High","type":"webpage"},"uris":["http://www.mendeley.com/documents/?uuid=e0744ea2-bd35-38f1-8d8c-22d9f4d6ceb1"]}],"mendeley":{"formattedCitation":"(Bloomberg, 2021a)","manualFormatting":"(2021a)","plainTextFormattedCitation":"(Bloomberg, 2021a)","previouslyFormattedCitation":"(Bloomberg, 2021a)"},"properties":{"noteIndex":0},"schema":"https://github.com/citation-style-language/schema/raw/master/csl-citation.json"}</w:instrText>
      </w:r>
      <w:r w:rsidR="00C866CB" w:rsidRPr="0038189C">
        <w:rPr>
          <w:rFonts w:ascii="Arial" w:hAnsi="Arial" w:cs="Arial"/>
          <w:sz w:val="24"/>
          <w:szCs w:val="24"/>
        </w:rPr>
        <w:fldChar w:fldCharType="separate"/>
      </w:r>
      <w:r w:rsidR="00C866CB" w:rsidRPr="0038189C">
        <w:rPr>
          <w:rFonts w:ascii="Arial" w:hAnsi="Arial" w:cs="Arial"/>
          <w:noProof/>
          <w:sz w:val="24"/>
          <w:szCs w:val="24"/>
        </w:rPr>
        <w:t>(2021a)</w:t>
      </w:r>
      <w:r w:rsidR="00C866CB" w:rsidRPr="0038189C">
        <w:rPr>
          <w:rFonts w:ascii="Arial" w:hAnsi="Arial" w:cs="Arial"/>
          <w:sz w:val="24"/>
          <w:szCs w:val="24"/>
        </w:rPr>
        <w:fldChar w:fldCharType="end"/>
      </w:r>
      <w:r w:rsidR="00C866CB" w:rsidRPr="0038189C">
        <w:rPr>
          <w:rFonts w:ascii="Arial" w:hAnsi="Arial" w:cs="Arial"/>
          <w:sz w:val="24"/>
          <w:szCs w:val="24"/>
        </w:rPr>
        <w:t xml:space="preserve">, the consumption index in the third quarter in 2021 reduced by 80% compared to that in 2020. </w:t>
      </w:r>
    </w:p>
    <w:p w14:paraId="20AD2EC9" w14:textId="2DDA6CA3" w:rsidR="00C866CB" w:rsidRPr="0038189C" w:rsidRDefault="00C866CB"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economic downfall and the shrinkage in consumption have led the decreased need in financial services in China as consumers and small businesses, which are the primary customers of the Ant Financial company, tend to increase the cash flow instead of liabilities. As shown by the performance of the Ant Financial in 2021, the company’s profit has decreased by 45% in 2021 compared to that in 2020 </w:t>
      </w:r>
      <w:r w:rsidRPr="0038189C">
        <w:rPr>
          <w:rFonts w:ascii="Arial" w:hAnsi="Arial" w:cs="Arial"/>
          <w:sz w:val="24"/>
          <w:szCs w:val="24"/>
        </w:rPr>
        <w:fldChar w:fldCharType="begin" w:fldLock="1"/>
      </w:r>
      <w:r w:rsidR="005167FE" w:rsidRPr="0038189C">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2021)","plainTextFormattedCitation":"(Ant Financial, 2021)","previouslyFormattedCitation":"(Ant Financial, 2021)"},"properties":{"noteIndex":0},"schema":"https://github.com/citation-style-language/schema/raw/master/csl-citation.json"}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(Ant Financial, 2021)</w:t>
      </w:r>
      <w:r w:rsidRPr="0038189C">
        <w:rPr>
          <w:rFonts w:ascii="Arial" w:hAnsi="Arial" w:cs="Arial"/>
          <w:sz w:val="24"/>
          <w:szCs w:val="24"/>
        </w:rPr>
        <w:fldChar w:fldCharType="end"/>
      </w:r>
      <w:r w:rsidRPr="0038189C">
        <w:rPr>
          <w:rFonts w:ascii="Arial" w:hAnsi="Arial" w:cs="Arial"/>
          <w:sz w:val="24"/>
          <w:szCs w:val="24"/>
        </w:rPr>
        <w:t xml:space="preserve">.  </w:t>
      </w:r>
    </w:p>
    <w:p w14:paraId="37C95CC6" w14:textId="6181C3AB" w:rsidR="00C866CB" w:rsidRPr="0038189C" w:rsidRDefault="00C866CB"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In this regard, the economic factor affecting negatively the company’s business strategic development is the economic downfall in China. What should be pointed out is that there is one other factor posing significant impact on the company’s operations as the increasing adoption of digital transformation in the Chinse financial industry. Due to travel restriction orders established in China during and after the easing of the pandemic, </w:t>
      </w:r>
      <w:r w:rsidR="005167FE" w:rsidRPr="0038189C">
        <w:rPr>
          <w:rFonts w:ascii="Arial" w:hAnsi="Arial" w:cs="Arial"/>
          <w:sz w:val="24"/>
          <w:szCs w:val="24"/>
        </w:rPr>
        <w:t xml:space="preserve">the digital service was increasingly demanded in China in various sectors. More importantly, Ant Financial was the first company providing the key service in the </w:t>
      </w:r>
      <w:r w:rsidR="005167FE" w:rsidRPr="0038189C">
        <w:rPr>
          <w:rFonts w:ascii="Arial" w:hAnsi="Arial" w:cs="Arial"/>
          <w:sz w:val="24"/>
          <w:szCs w:val="24"/>
        </w:rPr>
        <w:lastRenderedPageBreak/>
        <w:t xml:space="preserve">fighting against the pandemic as the health QR code, by scanning which the information regarding the risk level of the user can be comprehensively presented to officials </w:t>
      </w:r>
      <w:r w:rsidR="005167FE" w:rsidRPr="0038189C">
        <w:rPr>
          <w:rFonts w:ascii="Arial" w:hAnsi="Arial" w:cs="Arial"/>
          <w:sz w:val="24"/>
          <w:szCs w:val="24"/>
        </w:rPr>
        <w:fldChar w:fldCharType="begin" w:fldLock="1"/>
      </w:r>
      <w:r w:rsidR="00A91402" w:rsidRPr="0038189C">
        <w:rPr>
          <w:rFonts w:ascii="Arial" w:hAnsi="Arial" w:cs="Arial"/>
          <w:sz w:val="24"/>
          <w:szCs w:val="24"/>
        </w:rPr>
        <w:instrText>ADDIN CSL_CITATION {"citationItems":[{"id":"ITEM-1","itemData":{"DOI":"10.1080/00393274.2021.1916993","ISSN":"0039-3274","author":[{"dropping-particle":"","family":"Greenspan","given":"Anna","non-dropping-particle":"","parse-names":false,"suffix":""}],"container-title":"Studia Neophilologica","id":"ITEM-1","issue":"2","issued":{"date-parts":[["2021","5","4"]]},"note":"doi: 10.1080/00393274.2021.1916993","page":"206-218","publisher":"Routledge","title":"QR codes and the sentient city","type":"article-journal","volume":"93"},"uris":["http://www.mendeley.com/documents/?uuid=24bbff3f-049f-4549-b7f0-d386e3e47420"]}],"mendeley":{"formattedCitation":"(Greenspan, 2021)","plainTextFormattedCitation":"(Greenspan, 2021)","previouslyFormattedCitation":"(Greenspan, 2021)"},"properties":{"noteIndex":0},"schema":"https://github.com/citation-style-language/schema/raw/master/csl-citation.json"}</w:instrText>
      </w:r>
      <w:r w:rsidR="005167FE" w:rsidRPr="0038189C">
        <w:rPr>
          <w:rFonts w:ascii="Arial" w:hAnsi="Arial" w:cs="Arial"/>
          <w:sz w:val="24"/>
          <w:szCs w:val="24"/>
        </w:rPr>
        <w:fldChar w:fldCharType="separate"/>
      </w:r>
      <w:r w:rsidR="005167FE" w:rsidRPr="0038189C">
        <w:rPr>
          <w:rFonts w:ascii="Arial" w:hAnsi="Arial" w:cs="Arial"/>
          <w:noProof/>
          <w:sz w:val="24"/>
          <w:szCs w:val="24"/>
        </w:rPr>
        <w:t>(Greenspan, 2021)</w:t>
      </w:r>
      <w:r w:rsidR="005167FE" w:rsidRPr="0038189C">
        <w:rPr>
          <w:rFonts w:ascii="Arial" w:hAnsi="Arial" w:cs="Arial"/>
          <w:sz w:val="24"/>
          <w:szCs w:val="24"/>
        </w:rPr>
        <w:fldChar w:fldCharType="end"/>
      </w:r>
      <w:r w:rsidR="005167FE" w:rsidRPr="0038189C">
        <w:rPr>
          <w:rFonts w:ascii="Arial" w:hAnsi="Arial" w:cs="Arial"/>
          <w:sz w:val="24"/>
          <w:szCs w:val="24"/>
        </w:rPr>
        <w:t xml:space="preserve">. The rapid increase of the demand in digital transformation in China offers Ant Financial, as the digital finance infrastructure provider in China, an opportunity to further expand its business and roll out novel business models such as the health management for users. </w:t>
      </w:r>
    </w:p>
    <w:p w14:paraId="72E3336F" w14:textId="69324C1C" w:rsidR="005167FE" w:rsidRPr="0038189C" w:rsidRDefault="005167F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above analysis shows that the economic factors in China now pose complex effects on the strategic development of the company. On one hand, the economic downfall has harmed the company’s profitability in the short run. On the other hand, the increasing demand on digital financial services provide the company with long-run development opportunities. </w:t>
      </w:r>
    </w:p>
    <w:p w14:paraId="5FBCCCD8" w14:textId="2516735D" w:rsidR="005167FE" w:rsidRPr="0038189C" w:rsidRDefault="005167FE" w:rsidP="005B5CA5">
      <w:pPr>
        <w:pStyle w:val="a7"/>
        <w:widowControl/>
        <w:numPr>
          <w:ilvl w:val="0"/>
          <w:numId w:val="5"/>
        </w:numPr>
        <w:spacing w:beforeLines="50" w:before="156" w:afterLines="50" w:after="156" w:line="36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Social factors </w:t>
      </w:r>
    </w:p>
    <w:p w14:paraId="69548B27" w14:textId="3D822D5F" w:rsidR="005167FE" w:rsidRPr="0038189C" w:rsidRDefault="005167F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Two social factors are prominent regarding the strategic development of the Ant Financial company. The first factor is the increasing adoption intention of the digital financial service in China. Studies have identified that, due to the lack of services provided by state-owned banks in China and the increasing mobile internet adoption rate in China, the demand on digital financial services has rapidly increased in the past years spanning across age and gender groups </w:t>
      </w:r>
      <w:r w:rsidR="00A91402" w:rsidRPr="0038189C">
        <w:rPr>
          <w:rFonts w:ascii="Arial" w:hAnsi="Arial" w:cs="Arial"/>
          <w:sz w:val="24"/>
          <w:szCs w:val="24"/>
        </w:rPr>
        <w:fldChar w:fldCharType="begin" w:fldLock="1"/>
      </w:r>
      <w:r w:rsidR="00A91402" w:rsidRPr="0038189C">
        <w:rPr>
          <w:rFonts w:ascii="Arial" w:hAnsi="Arial" w:cs="Arial"/>
          <w:sz w:val="24"/>
          <w:szCs w:val="24"/>
        </w:rPr>
        <w:instrText>ADDIN CSL_CITATION {"citationItems":[{"id":"ITEM-1","itemData":{"DOI":"10.23919/INDIACom49435.2020.9083726","ISBN":"9789380544366","abstract":"Recent years have witnessed unprecedented growth in Mobile payments, digital wallet being the latest trend. These payments are very popular among young people in countries like China and India. In this paper we shall explore the extent of spread of digital payment, especially the digital wallet payments. In particular we shall study different aspects of digital payments in different region. Finally we shall look at the extent of these payments and associated technologies in the Kingdom of Saudi Arabia.","author":[{"dropping-particle":"","family":"Almuhammadi","given":"Abdullah","non-dropping-particle":"","parse-names":false,"suffix":""}],"container-title":"Proceedings of the 7th International Conference on Computing for Sustainable Global Development, INDIACom 2020","id":"ITEM-1","issued":{"date-parts":[["2020"]]},"page":"271-278","title":"An overview of mobile payments, fintech, and digital wallet in Saudi Arabia","type":"paper-conference"},"uris":["http://www.mendeley.com/documents/?uuid=23146c67-f2a1-451d-8cba-e9050a171f8d"]}],"mendeley":{"formattedCitation":"(Almuhammadi, 2020)","plainTextFormattedCitation":"(Almuhammadi, 2020)","previouslyFormattedCitation":"(Almuhammadi, 2020)"},"properties":{"noteIndex":0},"schema":"https://github.com/citation-style-language/schema/raw/master/csl-citation.json"}</w:instrText>
      </w:r>
      <w:r w:rsidR="00A91402" w:rsidRPr="0038189C">
        <w:rPr>
          <w:rFonts w:ascii="Arial" w:hAnsi="Arial" w:cs="Arial"/>
          <w:sz w:val="24"/>
          <w:szCs w:val="24"/>
        </w:rPr>
        <w:fldChar w:fldCharType="separate"/>
      </w:r>
      <w:r w:rsidR="00A91402" w:rsidRPr="0038189C">
        <w:rPr>
          <w:rFonts w:ascii="Arial" w:hAnsi="Arial" w:cs="Arial"/>
          <w:noProof/>
          <w:sz w:val="24"/>
          <w:szCs w:val="24"/>
        </w:rPr>
        <w:t>(Almuhammadi, 2020)</w:t>
      </w:r>
      <w:r w:rsidR="00A91402" w:rsidRPr="0038189C">
        <w:rPr>
          <w:rFonts w:ascii="Arial" w:hAnsi="Arial" w:cs="Arial"/>
          <w:sz w:val="24"/>
          <w:szCs w:val="24"/>
        </w:rPr>
        <w:fldChar w:fldCharType="end"/>
      </w:r>
      <w:r w:rsidRPr="0038189C">
        <w:rPr>
          <w:rFonts w:ascii="Arial" w:hAnsi="Arial" w:cs="Arial"/>
          <w:sz w:val="24"/>
          <w:szCs w:val="24"/>
        </w:rPr>
        <w:t xml:space="preserve">. </w:t>
      </w:r>
      <w:r w:rsidR="00A91402" w:rsidRPr="0038189C">
        <w:rPr>
          <w:rFonts w:ascii="Arial" w:hAnsi="Arial" w:cs="Arial"/>
          <w:sz w:val="24"/>
          <w:szCs w:val="24"/>
        </w:rPr>
        <w:t xml:space="preserve">The increasing acceptance of the mobile payment and online payment in China especially in the senior consumer group has drastically reshaped the e-commerce landscape in China, in which younger generations used to be the dominant market power </w:t>
      </w:r>
      <w:r w:rsidR="00A91402" w:rsidRPr="0038189C">
        <w:rPr>
          <w:rFonts w:ascii="Arial" w:hAnsi="Arial" w:cs="Arial"/>
          <w:sz w:val="24"/>
          <w:szCs w:val="24"/>
        </w:rPr>
        <w:fldChar w:fldCharType="begin" w:fldLock="1"/>
      </w:r>
      <w:r w:rsidR="0027001E" w:rsidRPr="0038189C">
        <w:rPr>
          <w:rFonts w:ascii="Arial" w:hAnsi="Arial" w:cs="Arial"/>
          <w:sz w:val="24"/>
          <w:szCs w:val="24"/>
        </w:rPr>
        <w:instrText>ADDIN CSL_CITATION {"citationItems":[{"id":"ITEM-1","itemData":{"abstract":"This paper examines the impact of COVID-19 on e-commerce sales. We investigate the effect of COVID-19 on behaviors of the buyers and sellers on the platform, the effect of government containment policies, as well as the operational drivers underlying the observed impact. Using detailed transaction and package delivery datasets, we construct a city-day panel data over six months (11/24/2019-05/27/2020), representing transactions for all buyers and sellers on Alibaba's e-commerce platform across 339 cities in mainland China. We identify the impact of COVID-19 through a difference-in-difference analysis and identify the impact of containment measures by leveraging policy changes across cities and deploying a fixed-effect model. First, we document a systematic decrease in e-commerce sales by 22% during the COVID-19 outbreak (Wuhan shutdown: 01/23-04/07/2020). However, e-commerce in most cities recovers fairly fast within five weeks since the shutdown. Second, during the post-outbreak period (04/08-05/27/2020), we find a significant increase in sales of 11%-26% for less frequent buyers and small to median-sized sellers, which indicates habit formation of buyers and online expansion of sellers in the long run. Third, except for the rare case of a complete shutdown, government containment measures in most cities only have a small impact on e-commerce, with a decrease in sales by 5%-11%. Fourth, we identify a key underlying mechanism and show that the constraints in logistics capacities significantly drive the decline and recovery of e-commerce sales. Overall, we provide extensive evidence of how e-commerce is affected by COVID-19 and containment policies, as well as the operational drivers. The evidence from Alibaba in the recovery phase can help retailers and policymakers design better strategies, and put more emphasis and investment in logistics.","author":[{"dropping-particle":"","family":"Han","given":"Brian Rongqing","non-dropping-particle":"","parse-names":false,"suffix":""},{"dropping-particle":"","family":"Sun","given":"Tianshu","non-dropping-particle":"","parse-names":false,"suffix":""},{"dropping-particle":"","family":"Chu","given":"Leon Yang","non-dropping-particle":"","parse-names":false,"suffix":""},{"dropping-particle":"","family":"Wu","given":"Lixia","non-dropping-particle":"","parse-names":false,"suffix":""}],"id":"ITEM-1","issue":"0","issued":{"date-parts":[["2020"]]},"page":"1-8","title":"COVID-19 and E-commerce Operations_ Evidence from Alibaba","type":"article-journal"},"uris":["http://www.mendeley.com/documents/?uuid=4e85a4a3-f344-4111-b47e-dbce046e917b"]}],"mendeley":{"formattedCitation":"(Han &lt;i&gt;et al.&lt;/i&gt;, 2020)","plainTextFormattedCitation":"(Han et al., 2020)","previouslyFormattedCitation":"(Han &lt;i&gt;et al.&lt;/i&gt;, 2020)"},"properties":{"noteIndex":0},"schema":"https://github.com/citation-style-language/schema/raw/master/csl-citation.json"}</w:instrText>
      </w:r>
      <w:r w:rsidR="00A91402" w:rsidRPr="0038189C">
        <w:rPr>
          <w:rFonts w:ascii="Arial" w:hAnsi="Arial" w:cs="Arial"/>
          <w:sz w:val="24"/>
          <w:szCs w:val="24"/>
        </w:rPr>
        <w:fldChar w:fldCharType="separate"/>
      </w:r>
      <w:r w:rsidR="00A91402" w:rsidRPr="0038189C">
        <w:rPr>
          <w:rFonts w:ascii="Arial" w:hAnsi="Arial" w:cs="Arial"/>
          <w:noProof/>
          <w:sz w:val="24"/>
          <w:szCs w:val="24"/>
        </w:rPr>
        <w:t xml:space="preserve">(Han </w:t>
      </w:r>
      <w:r w:rsidR="00A91402" w:rsidRPr="0038189C">
        <w:rPr>
          <w:rFonts w:ascii="Arial" w:hAnsi="Arial" w:cs="Arial"/>
          <w:i/>
          <w:noProof/>
          <w:sz w:val="24"/>
          <w:szCs w:val="24"/>
        </w:rPr>
        <w:t>et al.</w:t>
      </w:r>
      <w:r w:rsidR="00A91402" w:rsidRPr="0038189C">
        <w:rPr>
          <w:rFonts w:ascii="Arial" w:hAnsi="Arial" w:cs="Arial"/>
          <w:noProof/>
          <w:sz w:val="24"/>
          <w:szCs w:val="24"/>
        </w:rPr>
        <w:t>, 2020)</w:t>
      </w:r>
      <w:r w:rsidR="00A91402" w:rsidRPr="0038189C">
        <w:rPr>
          <w:rFonts w:ascii="Arial" w:hAnsi="Arial" w:cs="Arial"/>
          <w:sz w:val="24"/>
          <w:szCs w:val="24"/>
        </w:rPr>
        <w:fldChar w:fldCharType="end"/>
      </w:r>
      <w:r w:rsidR="00A91402" w:rsidRPr="0038189C">
        <w:rPr>
          <w:rFonts w:ascii="Arial" w:hAnsi="Arial" w:cs="Arial"/>
          <w:sz w:val="24"/>
          <w:szCs w:val="24"/>
        </w:rPr>
        <w:t xml:space="preserve">. </w:t>
      </w:r>
    </w:p>
    <w:p w14:paraId="22D9336D" w14:textId="198C0889" w:rsidR="0027001E" w:rsidRPr="0038189C" w:rsidRDefault="00A91402"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The second factor is the increasing concerns among Chinse internet users on data privacy issues. The privacy issues in China have long been neglected by users as Chinese internet users tend to weight the benefits and conveniences brought forth by the adoption of mobile internet over the abuse of personal private data by companies </w:t>
      </w:r>
      <w:r w:rsidR="0027001E" w:rsidRPr="0038189C">
        <w:rPr>
          <w:rFonts w:ascii="Arial" w:hAnsi="Arial" w:cs="Arial"/>
          <w:sz w:val="24"/>
          <w:szCs w:val="24"/>
        </w:rPr>
        <w:fldChar w:fldCharType="begin" w:fldLock="1"/>
      </w:r>
      <w:r w:rsidR="0027001E" w:rsidRPr="0038189C">
        <w:rPr>
          <w:rFonts w:ascii="Arial" w:hAnsi="Arial" w:cs="Arial"/>
          <w:sz w:val="24"/>
          <w:szCs w:val="24"/>
        </w:rPr>
        <w:instrText>ADDIN CSL_CITATION {"citationItems":[{"id":"ITEM-1","itemData":{"DOI":"10.2139/SSRN.3518857","ISSN":"1556-5068","abstract":"How does the public perceive facial recognition technology (FRT) and how much do they accept FRT in different political contexts? Our study finds that FRT enjoys generally highest acceptance among respondents in China, while acceptance is lowest in Germany, and the United Kingdom and the United States are in between. A closer examination through the lens of an integrated technology acceptance model reveals interesting cross-country as well as within country regional variations based, among other factors, on socio-demographic factors as well as perceived consequences, usefulness, and reliability of FRT. By looking at both private and public types of FRT, the study shows that commercially-driven FRT applications help increase citizens’ familiarity with FRT and thereby may indirectly increase acceptance levels for state surveillance uses of the technology.","author":[{"dropping-particle":"","family":"Kostka","given":"Genia","non-dropping-particle":"","parse-names":false,"suffix":""},{"dropping-particle":"","family":"Steinacker","given":"Léa","non-dropping-particle":"","parse-names":false,"suffix":""},{"dropping-particle":"","family":"Meckel","given":"Miriam","non-dropping-particle":"","parse-names":false,"suffix":""}],"container-title":"SSRN Electronic Journal","id":"ITEM-1","issued":{"date-parts":[["2020","2","10"]]},"publisher":"Elsevier BV","title":"Between Privacy and Convenience: Facial Recognition Technology in the Eyes of Citizens in China, Germany, the UK and the US","type":"article-journal"},"uris":["http://www.mendeley.com/documents/?uuid=79a3dc03-f7bd-3063-8ebf-a87d46961aa0"]}],"mendeley":{"formattedCitation":"(Kostka, Steinacker and Meckel, 2020)","plainTextFormattedCitation":"(Kostka, Steinacker and Meckel, 2020)","previouslyFormattedCitation":"(Kostka, Steinacker and Meckel, 2020)"},"properties":{"noteIndex":0},"schema":"https://github.com/citation-style-language/schema/raw/master/csl-citation.json"}</w:instrText>
      </w:r>
      <w:r w:rsidR="0027001E" w:rsidRPr="0038189C">
        <w:rPr>
          <w:rFonts w:ascii="Arial" w:hAnsi="Arial" w:cs="Arial"/>
          <w:sz w:val="24"/>
          <w:szCs w:val="24"/>
        </w:rPr>
        <w:fldChar w:fldCharType="separate"/>
      </w:r>
      <w:r w:rsidR="0027001E" w:rsidRPr="0038189C">
        <w:rPr>
          <w:rFonts w:ascii="Arial" w:hAnsi="Arial" w:cs="Arial"/>
          <w:noProof/>
          <w:sz w:val="24"/>
          <w:szCs w:val="24"/>
        </w:rPr>
        <w:t>(Kostka, Steinacker and Meckel, 2020)</w:t>
      </w:r>
      <w:r w:rsidR="0027001E" w:rsidRPr="0038189C">
        <w:rPr>
          <w:rFonts w:ascii="Arial" w:hAnsi="Arial" w:cs="Arial"/>
          <w:sz w:val="24"/>
          <w:szCs w:val="24"/>
        </w:rPr>
        <w:fldChar w:fldCharType="end"/>
      </w:r>
      <w:r w:rsidRPr="0038189C">
        <w:rPr>
          <w:rFonts w:ascii="Arial" w:hAnsi="Arial" w:cs="Arial"/>
          <w:sz w:val="24"/>
          <w:szCs w:val="24"/>
        </w:rPr>
        <w:t xml:space="preserve">. </w:t>
      </w:r>
      <w:r w:rsidR="0027001E" w:rsidRPr="0038189C">
        <w:rPr>
          <w:rFonts w:ascii="Arial" w:hAnsi="Arial" w:cs="Arial"/>
          <w:sz w:val="24"/>
          <w:szCs w:val="24"/>
        </w:rPr>
        <w:t xml:space="preserve">While in recent years, issues such as the abuse of user data in companies such as the Ant Financial and Baidu.inc, another internet giant company in China, have alarmed internet users in China on the protection of their privacy </w:t>
      </w:r>
      <w:r w:rsidR="0027001E" w:rsidRPr="0038189C">
        <w:rPr>
          <w:rFonts w:ascii="Arial" w:hAnsi="Arial" w:cs="Arial"/>
          <w:sz w:val="24"/>
          <w:szCs w:val="24"/>
        </w:rPr>
        <w:fldChar w:fldCharType="begin" w:fldLock="1"/>
      </w:r>
      <w:r w:rsidR="004876F3" w:rsidRPr="0038189C">
        <w:rPr>
          <w:rFonts w:ascii="Arial" w:hAnsi="Arial" w:cs="Arial"/>
          <w:sz w:val="24"/>
          <w:szCs w:val="24"/>
        </w:rPr>
        <w:instrText>ADDIN CSL_CITATION {"citationItems":[{"id":"ITEM-1","itemData":{"ISSN":"07053657","abstract":"Background China, with a population of 802 million internet users, a handful of the world's largest internet companies, and an unfolding Social Credit System (SCS), is often criticized for exerting its data power to surveil and discipline its population. Analysis This article first provides a historical and situated analysis of the SCS as a part of China's informatization and datafication processes. It then highlights problems in the current legal and regulatory data-protection framework and discusses the self-regulation practices of the private sector. Conclusions and implications Overall, this case study provides a historical and contextualized understanding of China's SCS and related big data developments and assesses the implications of these development for the globalizing Chinese internet, technology companies and the Chinese public. (English) [ABSTRACT FROM AUTHOR]","author":[{"dropping-particle":"","family":"Jia","given":"Lianrui","non-dropping-particle":"","parse-names":false,"suffix":""}],"container-title":"Canadian Journal of Communication","id":"ITEM-1","issue":"1","issued":{"date-parts":[["2020","1"]]},"note":"Accession Number: 141889489; Jia, Lianrui 1; Email Address: lianrui.jia@gmail.com; Affiliations: 1: York University; Issue Info: 2020, Vol. 45 Issue 1, p113; Thesaurus Term: Internet users; Thesaurus Term: Big data; Subject Term: Social Credit System (China); Subject Term: Self regulation; Author-Supplied Keyword: China; Author-Supplied Keyword: Chinese internet; Author-Supplied Keyword: l'Internet chinois; Author-Supplied Keyword: La Chine; Author-Supplied Keyword: Social credit system; Author-Supplied Keyword: Système de Crédit Sociale; Author-Supplied Keyword: l'Internet chinois; Author-Supplied Keyword: La Chine; Author-Supplied Keyword: Système de Crédit Sociale; Language of Keywords: English; Language of Keywords: French; Number of Pages: 15p; Document Type: Article","page":"113-127","publisher":"Canadian Journal of Communication","title":"Unpacking China's Social Credit System: Informatization, Regulatory Framework, and Market Dynamics.","type":"article-journal","volume":"45"},"uris":["http://www.mendeley.com/documents/?uuid=d78f1878-135c-4777-8a87-6c9b7642a4bd"]}],"mendeley":{"formattedCitation":"(Jia, 2020)","plainTextFormattedCitation":"(Jia, 2020)","previouslyFormattedCitation":"(Jia, 2020)"},"properties":{"noteIndex":0},"schema":"https://github.com/citation-style-language/schema/raw/master/csl-citation.json"}</w:instrText>
      </w:r>
      <w:r w:rsidR="0027001E" w:rsidRPr="0038189C">
        <w:rPr>
          <w:rFonts w:ascii="Arial" w:hAnsi="Arial" w:cs="Arial"/>
          <w:sz w:val="24"/>
          <w:szCs w:val="24"/>
        </w:rPr>
        <w:fldChar w:fldCharType="separate"/>
      </w:r>
      <w:r w:rsidR="0027001E" w:rsidRPr="0038189C">
        <w:rPr>
          <w:rFonts w:ascii="Arial" w:hAnsi="Arial" w:cs="Arial"/>
          <w:noProof/>
          <w:sz w:val="24"/>
          <w:szCs w:val="24"/>
        </w:rPr>
        <w:t>(Jia, 2020)</w:t>
      </w:r>
      <w:r w:rsidR="0027001E" w:rsidRPr="0038189C">
        <w:rPr>
          <w:rFonts w:ascii="Arial" w:hAnsi="Arial" w:cs="Arial"/>
          <w:sz w:val="24"/>
          <w:szCs w:val="24"/>
        </w:rPr>
        <w:fldChar w:fldCharType="end"/>
      </w:r>
      <w:r w:rsidR="0027001E" w:rsidRPr="0038189C">
        <w:rPr>
          <w:rFonts w:ascii="Arial" w:hAnsi="Arial" w:cs="Arial"/>
          <w:sz w:val="24"/>
          <w:szCs w:val="24"/>
        </w:rPr>
        <w:t xml:space="preserve">. </w:t>
      </w:r>
    </w:p>
    <w:p w14:paraId="486DC45C" w14:textId="1D89FA60" w:rsidR="0027001E" w:rsidRPr="0038189C" w:rsidRDefault="0027001E"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above two factors also pose complex impacts on the strategic development of the Ant Financial company. The increasing acceptance on the digital and online financial service in China </w:t>
      </w:r>
      <w:r w:rsidR="00231EEC" w:rsidRPr="0038189C">
        <w:rPr>
          <w:rFonts w:ascii="Arial" w:hAnsi="Arial" w:cs="Arial"/>
          <w:sz w:val="24"/>
          <w:szCs w:val="24"/>
        </w:rPr>
        <w:t>favours</w:t>
      </w:r>
      <w:r w:rsidRPr="0038189C">
        <w:rPr>
          <w:rFonts w:ascii="Arial" w:hAnsi="Arial" w:cs="Arial"/>
          <w:sz w:val="24"/>
          <w:szCs w:val="24"/>
        </w:rPr>
        <w:t xml:space="preserve"> the growth and expansion of the company while the concerns on user privacy requires companies such as the Ant Financial to further invest in the protection of user data. </w:t>
      </w:r>
    </w:p>
    <w:p w14:paraId="2CC431B1" w14:textId="7FD87046" w:rsidR="0027001E" w:rsidRPr="0038189C" w:rsidRDefault="00640104"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Technological</w:t>
      </w:r>
      <w:r w:rsidR="004876F3" w:rsidRPr="0038189C">
        <w:rPr>
          <w:rFonts w:ascii="Arial" w:hAnsi="Arial" w:cs="Arial"/>
          <w:b/>
          <w:bCs/>
          <w:i/>
          <w:iCs/>
          <w:sz w:val="24"/>
          <w:szCs w:val="24"/>
          <w:u w:val="single"/>
        </w:rPr>
        <w:t xml:space="preserve"> factors </w:t>
      </w:r>
      <w:r w:rsidRPr="0038189C">
        <w:rPr>
          <w:rFonts w:ascii="Arial" w:hAnsi="Arial" w:cs="Arial"/>
          <w:b/>
          <w:bCs/>
          <w:i/>
          <w:iCs/>
          <w:sz w:val="24"/>
          <w:szCs w:val="24"/>
          <w:u w:val="single"/>
        </w:rPr>
        <w:t xml:space="preserve"> </w:t>
      </w:r>
    </w:p>
    <w:p w14:paraId="2572E8ED" w14:textId="36772BA5" w:rsidR="00640104" w:rsidRPr="0038189C" w:rsidRDefault="004876F3"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technological factors include the advancement in data technologies including the artificial intelligence and the adoption of such technologies by regulatory bodies. The advancement of data technologies largely benefits the Ant Financial company as the company was established as a technology company focusing on the application of data technology such as big data analytics in the finance sector. As in the fields of cloud computing, big data analytics and artificial intelligence, Ant Financial has been </w:t>
      </w:r>
      <w:r w:rsidRPr="0038189C">
        <w:rPr>
          <w:rFonts w:ascii="Arial" w:hAnsi="Arial" w:cs="Arial"/>
          <w:sz w:val="24"/>
          <w:szCs w:val="24"/>
        </w:rPr>
        <w:lastRenderedPageBreak/>
        <w:t xml:space="preserve">maintaining its leading position in terms of patent numbers and number of data scientists recruited </w:t>
      </w:r>
      <w:r w:rsidRPr="0038189C">
        <w:rPr>
          <w:rFonts w:ascii="Arial" w:hAnsi="Arial" w:cs="Arial"/>
          <w:sz w:val="24"/>
          <w:szCs w:val="24"/>
        </w:rPr>
        <w:fldChar w:fldCharType="begin" w:fldLock="1"/>
      </w:r>
      <w:r w:rsidR="007A3A5F" w:rsidRPr="0038189C">
        <w:rPr>
          <w:rFonts w:ascii="Arial" w:hAnsi="Arial" w:cs="Arial"/>
          <w:sz w:val="24"/>
          <w:szCs w:val="24"/>
        </w:rPr>
        <w:instrText>ADDIN CSL_CITATION {"citationItems":[{"id":"ITEM-1","itemData":{"DOI":"10.1016/j.telpol.2015.11.005","ISBN":"0308-5961","ISSN":"03085961","abstract":"The rapid development of information and communications technology is transforming the entire industry landscape, heralding a new era of convergence services. As one of the developing countries in the financial sector, China is experiencing an unprecedented level of convergence between finance and technology. This study applies the lens of actor-network theory (ANT) to conduct a multi-level analysis of the historical development of China's financial technology (fintech) industry. It attempts to elucidate the process of building and disrupting a variety of networks comprising heterogeneous actors involved in the newly emerging convergence industry. This research represents a stepping stone in exploring the interaction between fintech and its yet unfolding social and political context. It also discusses policy implications for China's fintech industry, focusing on the changing role of the state in fostering the growth of national industry within and outside of China.","author":[{"dropping-particle":"","family":"Shim","given":"Yongwoon","non-dropping-particle":"","parse-names":false,"suffix":""},{"dropping-particle":"","family":"Shin","given":"Dong Hee","non-dropping-particle":"","parse-names":false,"suffix":""}],"container-title":"Telecommunications Policy","id":"ITEM-1","issue":"2-3","issued":{"date-parts":[["2016"]]},"number-of-pages":"168-181","title":"Analyzing China's Fintech Industry from the Perspective of Actor-Network Theory","type":"report","volume":"40"},"uris":["http://www.mendeley.com/documents/?uuid=331385da-83f5-4b7d-bd05-590c08e99c7d"]},{"id":"ITEM-2","itemData":{"ISSN":"2357-1705","abstract":"Data-driven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Communication","id":"ITEM-2","issue":"June 2013","issued":{"date-parts":[["2018"]]},"page":"25-37","title":"The Ant Empire: Fintech Media and Corporate Convergence within and beyond Alibaba","type":"article-journal","volume":"6"},"uris":["http://www.mendeley.com/documents/?uuid=99ba5a8e-c8e6-4c73-81bf-b65265025d91"]},{"id":"ITEM-3","itemData":{"author":[{"dropping-particle":"","family":"Zhu","given":"Feng","non-dropping-particle":"","parse-names":false,"suffix":""},{"dropping-particle":"","family":"Zhang","given":"Ying","non-dropping-particle":"","parse-names":false,"suffix":""},{"dropping-particle":"","family":"Palepu","given":"Krishna G.","non-dropping-particle":"","parse-names":false,"suffix":""},{"dropping-particle":"","family":"Woo","given":"Anthony K.","non-dropping-particle":"","parse-names":false,"suffix":""},{"dropping-particle":"","family":"Dai","given":"Nancy Hua","non-dropping-particle":"","parse-names":false,"suffix":""}],"id":"ITEM-3","issued":{"date-parts":[["2017"]]},"title":"Ant Financial (A)","type":"legal_case"},"uris":["http://www.mendeley.com/documents/?uuid=a4bfdd6c-565c-4820-a7d1-eccb84002dd6"]}],"mendeley":{"formattedCitation":"(Shim and Shin, 2016; Zhu &lt;i&gt;et al.&lt;/i&gt;, 2017; Wang and Doan, 2018)","plainTextFormattedCitation":"(Shim and Shin, 2016; Zhu et al., 2017; Wang and Doan, 2018)","previouslyFormattedCitation":"(Shim and Shin, 2016; Zhu &lt;i&gt;et al.&lt;/i&gt;, 2017; Wang and Doan, 2018)"},"properties":{"noteIndex":0},"schema":"https://github.com/citation-style-language/schema/raw/master/csl-citation.json"}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 xml:space="preserve">(Shim and Shin, 2016; Zhu </w:t>
      </w:r>
      <w:r w:rsidRPr="0038189C">
        <w:rPr>
          <w:rFonts w:ascii="Arial" w:hAnsi="Arial" w:cs="Arial"/>
          <w:i/>
          <w:noProof/>
          <w:sz w:val="24"/>
          <w:szCs w:val="24"/>
        </w:rPr>
        <w:t>et al.</w:t>
      </w:r>
      <w:r w:rsidRPr="0038189C">
        <w:rPr>
          <w:rFonts w:ascii="Arial" w:hAnsi="Arial" w:cs="Arial"/>
          <w:noProof/>
          <w:sz w:val="24"/>
          <w:szCs w:val="24"/>
        </w:rPr>
        <w:t>, 2017; Wang and Doan, 2018)</w:t>
      </w:r>
      <w:r w:rsidRPr="0038189C">
        <w:rPr>
          <w:rFonts w:ascii="Arial" w:hAnsi="Arial" w:cs="Arial"/>
          <w:sz w:val="24"/>
          <w:szCs w:val="24"/>
        </w:rPr>
        <w:fldChar w:fldCharType="end"/>
      </w:r>
      <w:r w:rsidRPr="0038189C">
        <w:rPr>
          <w:rFonts w:ascii="Arial" w:hAnsi="Arial" w:cs="Arial"/>
          <w:sz w:val="24"/>
          <w:szCs w:val="24"/>
        </w:rPr>
        <w:t xml:space="preserve">. </w:t>
      </w:r>
    </w:p>
    <w:p w14:paraId="379E9003" w14:textId="4610B73C" w:rsidR="004876F3" w:rsidRPr="0038189C" w:rsidRDefault="004876F3"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The application of the data tec</w:t>
      </w:r>
      <w:r w:rsidR="007A3A5F" w:rsidRPr="0038189C">
        <w:rPr>
          <w:rFonts w:ascii="Arial" w:hAnsi="Arial" w:cs="Arial"/>
          <w:sz w:val="24"/>
          <w:szCs w:val="24"/>
        </w:rPr>
        <w:t xml:space="preserve">hnologies by regulatory bodies, as the reg-tech, has bene gradually affecting the conducts of FinTech companies such as Ant Financial. The adoption of latest data technologies by regulatory bodies in China has allowed them to constantly monitor the operations of the company and to identify potential breach of rule or laws by the company </w:t>
      </w:r>
      <w:r w:rsidR="007A3A5F" w:rsidRPr="0038189C">
        <w:rPr>
          <w:rFonts w:ascii="Arial" w:hAnsi="Arial" w:cs="Arial"/>
          <w:sz w:val="24"/>
          <w:szCs w:val="24"/>
        </w:rPr>
        <w:fldChar w:fldCharType="begin" w:fldLock="1"/>
      </w:r>
      <w:r w:rsidR="007A3A5F" w:rsidRPr="0038189C">
        <w:rPr>
          <w:rFonts w:ascii="Arial" w:hAnsi="Arial" w:cs="Arial"/>
          <w:sz w:val="24"/>
          <w:szCs w:val="24"/>
        </w:rPr>
        <w:instrText>ADDIN CSL_CITATION {"citationItems":[{"id":"ITEM-1","itemData":{"DOI":"10.3316/informit.065619657207698","abstract":"Regulators in Australia and China are increasingly embracing RegTech. “RegTech” is a contraction of the terms “regulatory” and “technology”. The term describes the use of technology to help companies comply with regulation and help regulators perform their regulatory and supervisory functions. This article identifies various ways that regulators in Australia and China are facilitating RegTech initiatives and categorises and compares those initiatives. The analysis suggests a significant degree of overlap between the two countries in relation to initiatives to facilitate reporting requirements and to improve supervision and supervisory processes. There is a greater focus in China on initiatives to support and strengthen the use of data than in Australia at this stage. However, Australia’s regulators are more active in facilitating initiatives to consult and engage with other stakeholders, including other regulators, government and industry.","author":[{"dropping-particle":"","family":"Godwin","given":"Andrew","non-dropping-particle":"","parse-names":false,"suffix":""},{"dropping-particle":"","family":"Steele","given":"Stacey","non-dropping-particle":"","parse-names":false,"suffix":""},{"dropping-particle":"","family":"Yang","given":"Dong","non-dropping-particle":"","parse-names":false,"suffix":""},{"dropping-particle":"","family":"Zhang","given":"Meihui","non-dropping-particle":"","parse-names":false,"suffix":""}],"container-title":"Australian Journal of Asian Law","id":"ITEM-1","issued":{"date-parts":[["2021","12","17"]]},"note":"doi: 10.3316/informit.065619657207698","publisher":"Australian Journal of Asian Law","title":"RegTech innovation and cooperation - Australia and China compared","type":"article-journal"},"uris":["http://www.mendeley.com/documents/?uuid=bec92c21-2263-4a93-be59-87a796b0bb77"]}],"mendeley":{"formattedCitation":"(Godwin &lt;i&gt;et al.&lt;/i&gt;, 2021)","plainTextFormattedCitation":"(Godwin et al., 2021)","previouslyFormattedCitation":"(Godwin &lt;i&gt;et al.&lt;/i&gt;, 2021)"},"properties":{"noteIndex":0},"schema":"https://github.com/citation-style-language/schema/raw/master/csl-citation.json"}</w:instrText>
      </w:r>
      <w:r w:rsidR="007A3A5F" w:rsidRPr="0038189C">
        <w:rPr>
          <w:rFonts w:ascii="Arial" w:hAnsi="Arial" w:cs="Arial"/>
          <w:sz w:val="24"/>
          <w:szCs w:val="24"/>
        </w:rPr>
        <w:fldChar w:fldCharType="separate"/>
      </w:r>
      <w:r w:rsidR="007A3A5F" w:rsidRPr="0038189C">
        <w:rPr>
          <w:rFonts w:ascii="Arial" w:hAnsi="Arial" w:cs="Arial"/>
          <w:noProof/>
          <w:sz w:val="24"/>
          <w:szCs w:val="24"/>
        </w:rPr>
        <w:t xml:space="preserve">(Godwin </w:t>
      </w:r>
      <w:r w:rsidR="007A3A5F" w:rsidRPr="0038189C">
        <w:rPr>
          <w:rFonts w:ascii="Arial" w:hAnsi="Arial" w:cs="Arial"/>
          <w:i/>
          <w:noProof/>
          <w:sz w:val="24"/>
          <w:szCs w:val="24"/>
        </w:rPr>
        <w:t>et al.</w:t>
      </w:r>
      <w:r w:rsidR="007A3A5F" w:rsidRPr="0038189C">
        <w:rPr>
          <w:rFonts w:ascii="Arial" w:hAnsi="Arial" w:cs="Arial"/>
          <w:noProof/>
          <w:sz w:val="24"/>
          <w:szCs w:val="24"/>
        </w:rPr>
        <w:t>, 2021)</w:t>
      </w:r>
      <w:r w:rsidR="007A3A5F" w:rsidRPr="0038189C">
        <w:rPr>
          <w:rFonts w:ascii="Arial" w:hAnsi="Arial" w:cs="Arial"/>
          <w:sz w:val="24"/>
          <w:szCs w:val="24"/>
        </w:rPr>
        <w:fldChar w:fldCharType="end"/>
      </w:r>
      <w:r w:rsidR="007A3A5F" w:rsidRPr="0038189C">
        <w:rPr>
          <w:rFonts w:ascii="Arial" w:hAnsi="Arial" w:cs="Arial"/>
          <w:sz w:val="24"/>
          <w:szCs w:val="24"/>
        </w:rPr>
        <w:t xml:space="preserve">. The Chinese regulatory bodies, represented by the China Banking and Insurance Regulatory Commission, has been deploying their own artificial intelligence engines for the analysis of each transaction made on digital payment platforms such as the Alipay provided by Ant Financial to identify potential money laundry events </w:t>
      </w:r>
      <w:r w:rsidR="007A3A5F" w:rsidRPr="0038189C">
        <w:rPr>
          <w:rFonts w:ascii="Arial" w:hAnsi="Arial" w:cs="Arial"/>
          <w:sz w:val="24"/>
          <w:szCs w:val="24"/>
        </w:rPr>
        <w:fldChar w:fldCharType="begin" w:fldLock="1"/>
      </w:r>
      <w:r w:rsidR="003D709D" w:rsidRPr="0038189C">
        <w:rPr>
          <w:rFonts w:ascii="Arial" w:hAnsi="Arial" w:cs="Arial"/>
          <w:sz w:val="24"/>
          <w:szCs w:val="24"/>
        </w:rPr>
        <w:instrText>ADDIN CSL_CITATION {"citationItems":[{"id":"ITEM-1","itemData":{"DOI":"10.1088/1757-899x/806/1/012009","ISSN":"1757-8981","abstract":"Customer credit rating adopts scientific methods and standardized procedures to investigate, analyze, evaluate, measure and review the ability of rating objects. The objective of the system is to fulfill corresponding economic commitments. Today, big data enriches the data source of credit data that surpasses that of traditional financial data. This paper starts with the concept of enterprise credit rating system, through the understanding of credit rating system and the combination with big data, to understand the existing problems and the causes of the current credit rating system in China.","author":[{"dropping-particle":"","family":"Liu","given":"Liang","non-dropping-particle":"","parse-names":false,"suffix":""}],"container-title":"IOP Conference Series: Materials Science and Engineering","id":"ITEM-1","issue":"1","issued":{"date-parts":[["2020"]]},"page":"12009","publisher":"IOP Publishing","title":"Problems And Solutions Of China’s Credit Rating Industry Under The Background Of Big Data","type":"article-journal","volume":"806"},"uris":["http://www.mendeley.com/documents/?uuid=42900ada-f81a-4b66-b428-6de0461300ca"]}],"mendeley":{"formattedCitation":"(Liu, 2020)","plainTextFormattedCitation":"(Liu, 2020)","previouslyFormattedCitation":"(Liu, 2020)"},"properties":{"noteIndex":0},"schema":"https://github.com/citation-style-language/schema/raw/master/csl-citation.json"}</w:instrText>
      </w:r>
      <w:r w:rsidR="007A3A5F" w:rsidRPr="0038189C">
        <w:rPr>
          <w:rFonts w:ascii="Arial" w:hAnsi="Arial" w:cs="Arial"/>
          <w:sz w:val="24"/>
          <w:szCs w:val="24"/>
        </w:rPr>
        <w:fldChar w:fldCharType="separate"/>
      </w:r>
      <w:r w:rsidR="007A3A5F" w:rsidRPr="0038189C">
        <w:rPr>
          <w:rFonts w:ascii="Arial" w:hAnsi="Arial" w:cs="Arial"/>
          <w:noProof/>
          <w:sz w:val="24"/>
          <w:szCs w:val="24"/>
        </w:rPr>
        <w:t>(Liu, 2020)</w:t>
      </w:r>
      <w:r w:rsidR="007A3A5F" w:rsidRPr="0038189C">
        <w:rPr>
          <w:rFonts w:ascii="Arial" w:hAnsi="Arial" w:cs="Arial"/>
          <w:sz w:val="24"/>
          <w:szCs w:val="24"/>
        </w:rPr>
        <w:fldChar w:fldCharType="end"/>
      </w:r>
      <w:r w:rsidR="007A3A5F" w:rsidRPr="0038189C">
        <w:rPr>
          <w:rFonts w:ascii="Arial" w:hAnsi="Arial" w:cs="Arial"/>
          <w:sz w:val="24"/>
          <w:szCs w:val="24"/>
        </w:rPr>
        <w:t xml:space="preserve">. </w:t>
      </w:r>
    </w:p>
    <w:p w14:paraId="159FC250" w14:textId="6EA0F2B2" w:rsidR="007A3A5F" w:rsidRPr="0038189C" w:rsidRDefault="007A3A5F"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above two factor also pose complex impact on the company. The company’s leading position in technological development could sustain the company’s growth yet the adoption of latest technologies by regulatory bodies could affect how the company leverages its technological leading position. </w:t>
      </w:r>
    </w:p>
    <w:p w14:paraId="172254B1" w14:textId="2F1306F8" w:rsidR="007A3A5F" w:rsidRPr="0038189C" w:rsidRDefault="007A3A5F"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PEST analysis shows that the external environment for Ant Financial is overall beneficial as the company can gain advantages, with its leading position in the market and in technological development, from the increasing digital financial service adoption driven by multiple factors including the pandemic, the social transformation in China, and the economic development in China. Yet it should be noted that the company is to face multiple long-term challenges especially from the regulatory perspective. </w:t>
      </w:r>
    </w:p>
    <w:p w14:paraId="07FF2426" w14:textId="070A233A" w:rsidR="007A3A5F" w:rsidRPr="0038189C" w:rsidRDefault="006605A1" w:rsidP="00B16050">
      <w:pPr>
        <w:pStyle w:val="a7"/>
        <w:widowControl/>
        <w:numPr>
          <w:ilvl w:val="2"/>
          <w:numId w:val="2"/>
        </w:numPr>
        <w:spacing w:beforeLines="50" w:before="156" w:afterLines="50" w:after="156" w:line="480" w:lineRule="auto"/>
        <w:ind w:firstLineChars="0"/>
        <w:outlineLvl w:val="2"/>
        <w:rPr>
          <w:rFonts w:ascii="Arial" w:hAnsi="Arial" w:cs="Arial"/>
          <w:b/>
          <w:bCs/>
          <w:i/>
          <w:iCs/>
          <w:sz w:val="24"/>
          <w:szCs w:val="24"/>
        </w:rPr>
      </w:pPr>
      <w:bookmarkStart w:id="9" w:name="_Toc90658110"/>
      <w:r w:rsidRPr="0038189C">
        <w:rPr>
          <w:rFonts w:ascii="Arial" w:hAnsi="Arial" w:cs="Arial"/>
          <w:b/>
          <w:bCs/>
          <w:i/>
          <w:iCs/>
          <w:sz w:val="24"/>
          <w:szCs w:val="24"/>
        </w:rPr>
        <w:lastRenderedPageBreak/>
        <w:t>Porter’s five force analysis</w:t>
      </w:r>
      <w:bookmarkEnd w:id="9"/>
      <w:r w:rsidRPr="0038189C">
        <w:rPr>
          <w:rFonts w:ascii="Arial" w:hAnsi="Arial" w:cs="Arial"/>
          <w:b/>
          <w:bCs/>
          <w:i/>
          <w:iCs/>
          <w:sz w:val="24"/>
          <w:szCs w:val="24"/>
        </w:rPr>
        <w:t xml:space="preserve"> </w:t>
      </w:r>
    </w:p>
    <w:p w14:paraId="231B660D" w14:textId="4B79D608" w:rsidR="006605A1" w:rsidRPr="0038189C" w:rsidRDefault="006605A1"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The Porter’s five forces analysis, based on the external environmental analysis from the PEST analysis, provides a detailed examination of the competition landscape of the FinTech sector in the Chinese FinTech industry. The Porter’s Five Forces analysis includes five aspects as the bargaining power of buyers, bargaining power of suppliers, threat of market incumbents, threat from market entrants, and the level of rivalry in the market.</w:t>
      </w:r>
    </w:p>
    <w:p w14:paraId="1C14CE45" w14:textId="16BD7FA1" w:rsidR="006605A1" w:rsidRPr="0038189C" w:rsidRDefault="006605A1"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Bargaining power of buyers </w:t>
      </w:r>
    </w:p>
    <w:p w14:paraId="72A56209" w14:textId="3D5C3850" w:rsidR="003D709D" w:rsidRPr="0038189C" w:rsidRDefault="000A23B0"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Other service provided by the Ant Financial can be replaced by products or services from other companies except the Alipay, which is in practice irreplaceable as the largest e-commerce platform in China, the Alibaba platform only supports the Alipay and bank cards as payment methods. In terms of mobile payment, Ant Financial has a primary competitor as the WeChat Pay which is provided by the largest online social networking service provider, Tencent</w:t>
      </w:r>
      <w:r w:rsidR="003D709D" w:rsidRPr="0038189C">
        <w:rPr>
          <w:rFonts w:ascii="Arial" w:hAnsi="Arial" w:cs="Arial"/>
          <w:sz w:val="24"/>
          <w:szCs w:val="24"/>
        </w:rPr>
        <w:t xml:space="preserve"> </w:t>
      </w:r>
      <w:r w:rsidR="003D709D" w:rsidRPr="0038189C">
        <w:rPr>
          <w:rFonts w:ascii="Arial" w:hAnsi="Arial" w:cs="Arial"/>
          <w:sz w:val="24"/>
          <w:szCs w:val="24"/>
        </w:rPr>
        <w:fldChar w:fldCharType="begin" w:fldLock="1"/>
      </w:r>
      <w:r w:rsidR="003D709D" w:rsidRPr="0038189C">
        <w:rPr>
          <w:rFonts w:ascii="Arial" w:hAnsi="Arial" w:cs="Arial"/>
          <w:sz w:val="24"/>
          <w:szCs w:val="24"/>
        </w:rPr>
        <w:instrText>ADDIN CSL_CITATION {"citationItems":[{"id":"ITEM-1","itemData":{"DOI":"10.4324/9781315209142","ISBN":"9781351805773","abstract":"We cannot afford to miss the remarkable rise of Chinese business ecosystems. Alibaba and their peers Baidu, Tencent, Xiaomi, and LeEco showcase unprecedented growth and success in China and are expanding their impact globally. With a combined market capitalization of close to 600 billion USD, incubating over 1,000 new ventures and an average annual growth of over 50%, they have become a force to reckon with for the likes of Google, Microsoft, Apple, Amazon, and IBM. \"Business ecosystem\" is a frequently used concept to describe the unique competitive advantages of the American technology giants. This book explores not only the application of a business ecosystem approach in the Chinese context but also deals with the key strategic question: How did these five Chinese business ecosystems grow so rapidly and successfully? The book takes the growth and transformation of Alibaba’s business ecosystem as a focus case in comparison with Baidu, Tencent, Xiaomi, and LeEco. These business ecosystems developed in less than 20 years and transformed from organic growth to rapid expansion by investment and acquisition, entrepreneurship and incubation of new ventures, continuous innovation, and internationalization. This book brings insights and practical lessons on leading, creating, and disrupting markets for corporate executives and professionals in global business, a comparative case study for researchers and students of management, and food for thought on Chinese ways of doing business.","author":[{"dropping-particle":"","family":"Greeven","given":"Mark J.","non-dropping-particle":"","parse-names":false,"suffix":""},{"dropping-particle":"","family":"Wei","given":"Wei","non-dropping-particle":"","parse-names":false,"suffix":""}],"container-title":"Business Ecosystems in China: Alibaba and Competing Baidu, Tencent, Xiaomi and LeEco","id":"ITEM-1","issued":{"date-parts":[["2017"]]},"number-of-pages":"1-160","publisher":"Routledge","title":"Business ecosystems in China: Alibaba and competing Baidu, tencent, Xiaomi and LeEco","type":"book"},"uris":["http://www.mendeley.com/documents/?uuid=028873e8-0433-45a2-b576-cd3f01d99a6b"]}],"mendeley":{"formattedCitation":"(Greeven and Wei, 2017)","plainTextFormattedCitation":"(Greeven and Wei, 2017)","previouslyFormattedCitation":"(Greeven and Wei, 2017)"},"properties":{"noteIndex":0},"schema":"https://github.com/citation-style-language/schema/raw/master/csl-citation.json"}</w:instrText>
      </w:r>
      <w:r w:rsidR="003D709D" w:rsidRPr="0038189C">
        <w:rPr>
          <w:rFonts w:ascii="Arial" w:hAnsi="Arial" w:cs="Arial"/>
          <w:sz w:val="24"/>
          <w:szCs w:val="24"/>
        </w:rPr>
        <w:fldChar w:fldCharType="separate"/>
      </w:r>
      <w:r w:rsidR="003D709D" w:rsidRPr="0038189C">
        <w:rPr>
          <w:rFonts w:ascii="Arial" w:hAnsi="Arial" w:cs="Arial"/>
          <w:noProof/>
          <w:sz w:val="24"/>
          <w:szCs w:val="24"/>
        </w:rPr>
        <w:t>(Greeven and Wei, 2017)</w:t>
      </w:r>
      <w:r w:rsidR="003D709D" w:rsidRPr="0038189C">
        <w:rPr>
          <w:rFonts w:ascii="Arial" w:hAnsi="Arial" w:cs="Arial"/>
          <w:sz w:val="24"/>
          <w:szCs w:val="24"/>
        </w:rPr>
        <w:fldChar w:fldCharType="end"/>
      </w:r>
      <w:r w:rsidR="003D709D" w:rsidRPr="0038189C">
        <w:rPr>
          <w:rFonts w:ascii="Arial" w:hAnsi="Arial" w:cs="Arial"/>
          <w:sz w:val="24"/>
          <w:szCs w:val="24"/>
        </w:rPr>
        <w:t xml:space="preserve">. Both companies have established exclusive services. In platforms owned by Alibaba such as Taobao, only Alipay is supported while on platforms such as JD.Com, a major e-commerce platform in China, only WeChat Pay is supported </w:t>
      </w:r>
      <w:r w:rsidR="003D709D" w:rsidRPr="0038189C">
        <w:rPr>
          <w:rFonts w:ascii="Arial" w:hAnsi="Arial" w:cs="Arial"/>
          <w:sz w:val="24"/>
          <w:szCs w:val="24"/>
        </w:rPr>
        <w:fldChar w:fldCharType="begin" w:fldLock="1"/>
      </w:r>
      <w:r w:rsidR="003D709D" w:rsidRPr="0038189C">
        <w:rPr>
          <w:rFonts w:ascii="Arial" w:hAnsi="Arial" w:cs="Arial"/>
          <w:sz w:val="24"/>
          <w:szCs w:val="24"/>
        </w:rPr>
        <w:instrText>ADDIN CSL_CITATION {"citationItems":[{"id":"ITEM-1","itemData":{"ISSN":"2357-1705","abstract":"Data-driven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Communication","id":"ITEM-1","issue":"June 2013","issued":{"date-parts":[["2018"]]},"page":"25-37","title":"The Ant Empire: Fintech Media and Corporate Convergence within and beyond Alibaba","type":"article-journal","volume":"6"},"uris":["http://www.mendeley.com/documents/?uuid=99ba5a8e-c8e6-4c73-81bf-b65265025d91"]}],"mendeley":{"formattedCitation":"(Wang and Doan, 2018)","plainTextFormattedCitation":"(Wang and Doan, 2018)","previouslyFormattedCitation":"(Wang and Doan, 2018)"},"properties":{"noteIndex":0},"schema":"https://github.com/citation-style-language/schema/raw/master/csl-citation.json"}</w:instrText>
      </w:r>
      <w:r w:rsidR="003D709D" w:rsidRPr="0038189C">
        <w:rPr>
          <w:rFonts w:ascii="Arial" w:hAnsi="Arial" w:cs="Arial"/>
          <w:sz w:val="24"/>
          <w:szCs w:val="24"/>
        </w:rPr>
        <w:fldChar w:fldCharType="separate"/>
      </w:r>
      <w:r w:rsidR="003D709D" w:rsidRPr="0038189C">
        <w:rPr>
          <w:rFonts w:ascii="Arial" w:hAnsi="Arial" w:cs="Arial"/>
          <w:noProof/>
          <w:sz w:val="24"/>
          <w:szCs w:val="24"/>
        </w:rPr>
        <w:t>(Wang and Doan, 2018)</w:t>
      </w:r>
      <w:r w:rsidR="003D709D" w:rsidRPr="0038189C">
        <w:rPr>
          <w:rFonts w:ascii="Arial" w:hAnsi="Arial" w:cs="Arial"/>
          <w:sz w:val="24"/>
          <w:szCs w:val="24"/>
        </w:rPr>
        <w:fldChar w:fldCharType="end"/>
      </w:r>
      <w:r w:rsidR="003D709D" w:rsidRPr="0038189C">
        <w:rPr>
          <w:rFonts w:ascii="Arial" w:hAnsi="Arial" w:cs="Arial"/>
          <w:sz w:val="24"/>
          <w:szCs w:val="24"/>
        </w:rPr>
        <w:t xml:space="preserve">. </w:t>
      </w:r>
    </w:p>
    <w:p w14:paraId="4DBE328E" w14:textId="6CEEB883" w:rsidR="003D709D" w:rsidRPr="0038189C" w:rsidRDefault="003D709D"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As the online payment is the fundamental service users need in the FinTech sphere, the controlling of the Alipay platform essentially repels the use of other platforms even in non-essential services such as online banking as users in China tend to have all the functions integrated on one platform </w:t>
      </w:r>
      <w:r w:rsidRPr="0038189C">
        <w:rPr>
          <w:rFonts w:ascii="Arial" w:hAnsi="Arial" w:cs="Arial"/>
          <w:sz w:val="24"/>
          <w:szCs w:val="24"/>
        </w:rPr>
        <w:fldChar w:fldCharType="begin" w:fldLock="1"/>
      </w:r>
      <w:r w:rsidR="009A214C" w:rsidRPr="0038189C">
        <w:rPr>
          <w:rFonts w:ascii="Arial" w:hAnsi="Arial" w:cs="Arial"/>
          <w:sz w:val="24"/>
          <w:szCs w:val="24"/>
        </w:rPr>
        <w:instrText>ADDIN CSL_CITATION {"citationItems":[{"id":"ITEM-1","itemData":{"DOI":"10.1007/978-3-319-42448-4_5","ISSN":"20394128","abstract":"In 1978 China Financial sector has began a gradual reform process. Within 40 years the country went from a mono-bank model to one composed of hundreds of wholly-owned State banks and joint stock commercial banks. Yet this diversification has the banking landscape has not resolves credit allocation inefficiency. Indeed, whilst SME represent 80 % of the economic output of the country, it is only receiving 20 % of the credit originated by banks. This has spurred the development of shadow banking, an informal and unregulated network of lenders and borrowers. The emergence of Financial Technology has allowed for this activity digitized itself in the form of Peer-to-peer lending channel. The combination of and unregulated market and large credit gap has lead to the emergence of a sector that had only one platform in 2007 and over 2000 in 2015. Therefore the author submit that the emergence of the P2P sector in China is neither new, nor unexpected. Ultimately, this systemic shift caused by the P2P sector offers China a regulatory and market reform opportunity as the shadow has been brought to the light.","author":[{"dropping-particle":"","family":"Barberis","given":"Jànos","non-dropping-particle":"","parse-names":false,"suffix":""},{"dropping-particle":"","family":"Arner","given":"Douglas W.","non-dropping-particle":"","parse-names":false,"suffix":""}],"container-title":"New Economic Windows","id":"ITEM-1","issued":{"date-parts":[["2016"]]},"page":"69-96","publisher":"Springer","title":"FinTech in China: From shadow banking to P2P lending","type":"chapter"},"uris":["http://www.mendeley.com/documents/?uuid=571ec126-3b8f-4297-ac73-53e920f37d18"]}],"mendeley":{"formattedCitation":"(Barberis and Arner, 2016)","plainTextFormattedCitation":"(Barberis and Arner, 2016)","previouslyFormattedCitation":"(Barberis and Arner, 2016)"},"properties":{"noteIndex":0},"schema":"https://github.com/citation-style-language/schema/raw/master/csl-citation.json"}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(Barberis and Arner, 2016)</w:t>
      </w:r>
      <w:r w:rsidRPr="0038189C">
        <w:rPr>
          <w:rFonts w:ascii="Arial" w:hAnsi="Arial" w:cs="Arial"/>
          <w:sz w:val="24"/>
          <w:szCs w:val="24"/>
        </w:rPr>
        <w:fldChar w:fldCharType="end"/>
      </w:r>
      <w:r w:rsidRPr="0038189C">
        <w:rPr>
          <w:rFonts w:ascii="Arial" w:hAnsi="Arial" w:cs="Arial"/>
          <w:sz w:val="24"/>
          <w:szCs w:val="24"/>
        </w:rPr>
        <w:t xml:space="preserve">. In this regard, though </w:t>
      </w:r>
      <w:r w:rsidRPr="0038189C">
        <w:rPr>
          <w:rFonts w:ascii="Arial" w:hAnsi="Arial" w:cs="Arial"/>
          <w:sz w:val="24"/>
          <w:szCs w:val="24"/>
        </w:rPr>
        <w:lastRenderedPageBreak/>
        <w:t xml:space="preserve">the market is filled with competitors, the bargaining power of buyers is low as once users choose to use the exclusive services provided by Alibaba, Ant Financial is the only choice they have. </w:t>
      </w:r>
    </w:p>
    <w:p w14:paraId="10C9EB9F" w14:textId="69E2955F" w:rsidR="003D709D" w:rsidRPr="0038189C" w:rsidRDefault="003D709D"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Bargaining power of suppliers </w:t>
      </w:r>
    </w:p>
    <w:p w14:paraId="56C56B4D" w14:textId="58436E91" w:rsidR="009A214C" w:rsidRPr="0038189C" w:rsidRDefault="003D709D"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primary supplier in the market is the </w:t>
      </w:r>
      <w:r w:rsidR="009A214C" w:rsidRPr="0038189C">
        <w:rPr>
          <w:rFonts w:ascii="Arial" w:hAnsi="Arial" w:cs="Arial"/>
          <w:sz w:val="24"/>
          <w:szCs w:val="24"/>
        </w:rPr>
        <w:t xml:space="preserve">data </w:t>
      </w:r>
      <w:r w:rsidR="00231EEC" w:rsidRPr="0038189C">
        <w:rPr>
          <w:rFonts w:ascii="Arial" w:hAnsi="Arial" w:cs="Arial"/>
          <w:sz w:val="24"/>
          <w:szCs w:val="24"/>
        </w:rPr>
        <w:t>centre</w:t>
      </w:r>
      <w:r w:rsidR="009A214C" w:rsidRPr="0038189C">
        <w:rPr>
          <w:rFonts w:ascii="Arial" w:hAnsi="Arial" w:cs="Arial"/>
          <w:sz w:val="24"/>
          <w:szCs w:val="24"/>
        </w:rPr>
        <w:t xml:space="preserve"> infrastructure provider, such as server farms. In this regard, the suppliers in the Chinese FinTech market </w:t>
      </w:r>
      <w:r w:rsidR="00231EEC" w:rsidRPr="0038189C">
        <w:rPr>
          <w:rFonts w:ascii="Arial" w:hAnsi="Arial" w:cs="Arial"/>
          <w:sz w:val="24"/>
          <w:szCs w:val="24"/>
        </w:rPr>
        <w:t>have</w:t>
      </w:r>
      <w:r w:rsidR="009A214C" w:rsidRPr="0038189C">
        <w:rPr>
          <w:rFonts w:ascii="Arial" w:hAnsi="Arial" w:cs="Arial"/>
          <w:sz w:val="24"/>
          <w:szCs w:val="24"/>
        </w:rPr>
        <w:t xml:space="preserve"> extremely low bargaining power as companies such as Ant Financial themselves are the suppliers of digital and data infrastructure. As in the example of the Ant Financial, the company now has the capability to produce and assemble its own data farms based on its own technologies without relying on globally leading players in the market including Huawei, Cisco, IBM and Oricon </w:t>
      </w:r>
      <w:r w:rsidR="009A214C" w:rsidRPr="0038189C">
        <w:rPr>
          <w:rFonts w:ascii="Arial" w:hAnsi="Arial" w:cs="Arial"/>
          <w:sz w:val="24"/>
          <w:szCs w:val="24"/>
        </w:rPr>
        <w:fldChar w:fldCharType="begin" w:fldLock="1"/>
      </w:r>
      <w:r w:rsidR="009A214C" w:rsidRPr="0038189C">
        <w:rPr>
          <w:rFonts w:ascii="Arial" w:hAnsi="Arial" w:cs="Arial"/>
          <w:sz w:val="24"/>
          <w:szCs w:val="24"/>
        </w:rPr>
        <w:instrText>ADDIN CSL_CITATION {"citationItems":[{"id":"ITEM-1","itemData":{"ISSN":"1932-8036","abstract":"Combining platform studies with insights from research on petty capitalism and the political economy of the Chinese Internet, this article takes an integrated approach to analyze key moments in the historical evolution of the Chinese e-commerce monopoly Alibaba since 1999. It argues for a dynamic model of technological and cultural transformations that treats platformization as a set of historically and culturally specific processes and relations constituted by constantly shifting and interacting forces. It finds that in the early days, Alibaba deployed platform mechanisms of participation and commodification to position itself as a democratic and participatory platform contra the deficient infrastructure of the state, while relying on foreign venture capital to keep the tensions of commodification at bay to prioritize market expansion. After Alibaba had achieved monopoly after the 2008 global crisis, it has formed more symbiotic relations with the state, ramping up mechanisms of datafication, selection, and commodification to more effectively extract the surplus value generated through the labor of platform-based petty capitalists. Platform-labor tensions intensified as Alibaba’s profit imperatives began to override its earlier promises of universal access and democratic participation.","author":[{"dropping-particle":"","family":"Zhang","given":"Lin","non-dropping-particle":"","parse-names":false,"suffix":""}],"container-title":"International Journal of Communication","id":"ITEM-1","issue":"0","issued":{"date-parts":[["2020","1","1"]]},"page":"21","title":"When Platform Capitalism Meets Petty Capitalism in China: Alibaba and an Integrated Approach to Platformization","type":"article-journal","volume":"14"},"uris":["http://www.mendeley.com/documents/?uuid=54032255-3072-3506-8296-dbc740dab36f"]}],"mendeley":{"formattedCitation":"(Zhang, 2020)","plainTextFormattedCitation":"(Zhang, 2020)","previouslyFormattedCitation":"(Zhang, 2020)"},"properties":{"noteIndex":0},"schema":"https://github.com/citation-style-language/schema/raw/master/csl-citation.json"}</w:instrText>
      </w:r>
      <w:r w:rsidR="009A214C" w:rsidRPr="0038189C">
        <w:rPr>
          <w:rFonts w:ascii="Arial" w:hAnsi="Arial" w:cs="Arial"/>
          <w:sz w:val="24"/>
          <w:szCs w:val="24"/>
        </w:rPr>
        <w:fldChar w:fldCharType="separate"/>
      </w:r>
      <w:r w:rsidR="009A214C" w:rsidRPr="0038189C">
        <w:rPr>
          <w:rFonts w:ascii="Arial" w:hAnsi="Arial" w:cs="Arial"/>
          <w:noProof/>
          <w:sz w:val="24"/>
          <w:szCs w:val="24"/>
        </w:rPr>
        <w:t>(Zhang, 2020)</w:t>
      </w:r>
      <w:r w:rsidR="009A214C" w:rsidRPr="0038189C">
        <w:rPr>
          <w:rFonts w:ascii="Arial" w:hAnsi="Arial" w:cs="Arial"/>
          <w:sz w:val="24"/>
          <w:szCs w:val="24"/>
        </w:rPr>
        <w:fldChar w:fldCharType="end"/>
      </w:r>
      <w:r w:rsidR="009A214C" w:rsidRPr="0038189C">
        <w:rPr>
          <w:rFonts w:ascii="Arial" w:hAnsi="Arial" w:cs="Arial"/>
          <w:sz w:val="24"/>
          <w:szCs w:val="24"/>
        </w:rPr>
        <w:t xml:space="preserve">. As reported by Ant Financial </w:t>
      </w:r>
      <w:r w:rsidR="009A214C" w:rsidRPr="0038189C">
        <w:rPr>
          <w:rFonts w:ascii="Arial" w:hAnsi="Arial" w:cs="Arial"/>
          <w:sz w:val="24"/>
          <w:szCs w:val="24"/>
        </w:rPr>
        <w:fldChar w:fldCharType="begin" w:fldLock="1"/>
      </w:r>
      <w:r w:rsidR="009A214C" w:rsidRPr="0038189C">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2021)","manualFormatting":"(2021)","plainTextFormattedCitation":"(Ant Financial, 2021)","previouslyFormattedCitation":"(Ant Financial, 2021)"},"properties":{"noteIndex":0},"schema":"https://github.com/citation-style-language/schema/raw/master/csl-citation.json"}</w:instrText>
      </w:r>
      <w:r w:rsidR="009A214C" w:rsidRPr="0038189C">
        <w:rPr>
          <w:rFonts w:ascii="Arial" w:hAnsi="Arial" w:cs="Arial"/>
          <w:sz w:val="24"/>
          <w:szCs w:val="24"/>
        </w:rPr>
        <w:fldChar w:fldCharType="separate"/>
      </w:r>
      <w:r w:rsidR="009A214C" w:rsidRPr="0038189C">
        <w:rPr>
          <w:rFonts w:ascii="Arial" w:hAnsi="Arial" w:cs="Arial"/>
          <w:noProof/>
          <w:sz w:val="24"/>
          <w:szCs w:val="24"/>
        </w:rPr>
        <w:t>(2021)</w:t>
      </w:r>
      <w:r w:rsidR="009A214C" w:rsidRPr="0038189C">
        <w:rPr>
          <w:rFonts w:ascii="Arial" w:hAnsi="Arial" w:cs="Arial"/>
          <w:sz w:val="24"/>
          <w:szCs w:val="24"/>
        </w:rPr>
        <w:fldChar w:fldCharType="end"/>
      </w:r>
      <w:r w:rsidR="009A214C" w:rsidRPr="0038189C">
        <w:rPr>
          <w:rFonts w:ascii="Arial" w:hAnsi="Arial" w:cs="Arial"/>
          <w:sz w:val="24"/>
          <w:szCs w:val="24"/>
        </w:rPr>
        <w:t xml:space="preserve">, the company has achieved that over 90% of the data </w:t>
      </w:r>
      <w:r w:rsidR="00231EEC" w:rsidRPr="0038189C">
        <w:rPr>
          <w:rFonts w:ascii="Arial" w:hAnsi="Arial" w:cs="Arial"/>
          <w:sz w:val="24"/>
          <w:szCs w:val="24"/>
        </w:rPr>
        <w:t>centres</w:t>
      </w:r>
      <w:r w:rsidR="009A214C" w:rsidRPr="0038189C">
        <w:rPr>
          <w:rFonts w:ascii="Arial" w:hAnsi="Arial" w:cs="Arial"/>
          <w:sz w:val="24"/>
          <w:szCs w:val="24"/>
        </w:rPr>
        <w:t xml:space="preserve"> and data farms are built based on the technologies developed by the company. In this regard, the bargaining power of the suppliers is low.</w:t>
      </w:r>
    </w:p>
    <w:p w14:paraId="16AC68CC" w14:textId="775E4D74" w:rsidR="009A214C" w:rsidRPr="0038189C" w:rsidRDefault="009A214C"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Threats from market entrants</w:t>
      </w:r>
    </w:p>
    <w:p w14:paraId="46E53622" w14:textId="2B76200E" w:rsidR="009A214C" w:rsidRPr="0038189C" w:rsidRDefault="009A214C"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threat from market entrants is moderate for Ant Financial. Regarding the dominant position of the company in the FinTech industry in China, which has been deemed as harming the innovation and upgrade of the industry, the regulatory bodies have been advocating the introduction of competitors from both domestic and overseas markets to enhance the competence of Chinese FinTech companies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DOI":"10.1080/10438599.2020.1868069","ISSN":"1043-8599","author":[{"dropping-particle":"","family":"Bu","given":"Ya","non-dropping-particle":"","parse-names":false,"suffix":""},{"dropping-particle":"","family":"Li","given":"Hui","non-dropping-particle":"","parse-names":false,"suffix":""},{"dropping-particle":"","family":"Wu","given":"Xiaoqing","non-dropping-particle":"","parse-names":false,"suffix":""}],"container-title":"Economics of Innovation and New Technology","id":"ITEM-1","issued":{"date-parts":[["2021","1","6"]]},"note":"doi: 10.1080/10438599.2020.1868069","page":"1-19","publisher":"Routledge","title":"Effective regulations of FinTech innovations: the case of China","type":"article-journal"},"uris":["http://www.mendeley.com/documents/?uuid=411eef5d-6a9c-4cb8-91e8-ac4238e241a6"]}],"mendeley":{"formattedCitation":"(Bu, Li and Wu, 2021)","plainTextFormattedCitation":"(Bu, Li and Wu, 2021)","previouslyFormattedCitation":"(Bu, Li and Wu, 2021)"},"properties":{"noteIndex":0},"schema":"https://github.com/citation-style-language/schema/raw/master/csl-citation.json"}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(Bu, Li and Wu, 2021)</w:t>
      </w:r>
      <w:r w:rsidRPr="0038189C">
        <w:rPr>
          <w:rFonts w:ascii="Arial" w:hAnsi="Arial" w:cs="Arial"/>
          <w:sz w:val="24"/>
          <w:szCs w:val="24"/>
        </w:rPr>
        <w:fldChar w:fldCharType="end"/>
      </w:r>
      <w:r w:rsidRPr="0038189C">
        <w:rPr>
          <w:rFonts w:ascii="Arial" w:hAnsi="Arial" w:cs="Arial"/>
          <w:sz w:val="24"/>
          <w:szCs w:val="24"/>
        </w:rPr>
        <w:t xml:space="preserve">. </w:t>
      </w:r>
    </w:p>
    <w:p w14:paraId="55B0C0EE" w14:textId="06B6A7B0" w:rsidR="009A214C" w:rsidRPr="0038189C" w:rsidRDefault="009A214C"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lastRenderedPageBreak/>
        <w:t xml:space="preserve">What should be noted is that, the primary advantage in the FinTech industry is not solely technology, in which field the Ant Financial is also leading, but the user data and the understanding of user </w:t>
      </w:r>
      <w:r w:rsidR="00231EEC" w:rsidRPr="0038189C">
        <w:rPr>
          <w:rFonts w:ascii="Arial" w:hAnsi="Arial" w:cs="Arial"/>
          <w:sz w:val="24"/>
          <w:szCs w:val="24"/>
        </w:rPr>
        <w:t>behaviour</w:t>
      </w:r>
      <w:r w:rsidRPr="0038189C">
        <w:rPr>
          <w:rFonts w:ascii="Arial" w:hAnsi="Arial" w:cs="Arial"/>
          <w:sz w:val="24"/>
          <w:szCs w:val="24"/>
        </w:rPr>
        <w:t xml:space="preserve">, in which field Ant Financial is the most experienced company in China </w:t>
      </w:r>
      <w:r w:rsidRPr="0038189C">
        <w:rPr>
          <w:rFonts w:ascii="Arial" w:hAnsi="Arial" w:cs="Arial"/>
          <w:sz w:val="24"/>
          <w:szCs w:val="24"/>
        </w:rPr>
        <w:fldChar w:fldCharType="begin" w:fldLock="1"/>
      </w:r>
      <w:r w:rsidR="005B5CA5" w:rsidRPr="0038189C">
        <w:rPr>
          <w:rFonts w:ascii="Arial" w:hAnsi="Arial" w:cs="Arial"/>
          <w:sz w:val="24"/>
          <w:szCs w:val="24"/>
        </w:rPr>
        <w:instrText>ADDIN CSL_CITATION {"citationItems":[{"id":"ITEM-1","itemData":{"author":[{"dropping-particle":"","family":"Deng","given":"Zhirong","non-dropping-particle":"","parse-names":false,"suffix":""}],"id":"ITEM-1","issued":{"date-parts":[["2020"]]},"title":"Influence of E-commerce Innovation on Consumer Behavior in China. Case: Alibaba Group","type":"article-journal"},"uris":["http://www.mendeley.com/documents/?uuid=d9b62e39-0f4f-36a8-9624-de2099c27398"]}],"mendeley":{"formattedCitation":"(Deng, 2020)","plainTextFormattedCitation":"(Deng, 2020)","previouslyFormattedCitation":"(Deng, 2020)"},"properties":{"noteIndex":0},"schema":"https://github.com/citation-style-language/schema/raw/master/csl-citation.json"}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(Deng, 2020)</w:t>
      </w:r>
      <w:r w:rsidRPr="0038189C">
        <w:rPr>
          <w:rFonts w:ascii="Arial" w:hAnsi="Arial" w:cs="Arial"/>
          <w:sz w:val="24"/>
          <w:szCs w:val="24"/>
        </w:rPr>
        <w:fldChar w:fldCharType="end"/>
      </w:r>
      <w:r w:rsidRPr="0038189C">
        <w:rPr>
          <w:rFonts w:ascii="Arial" w:hAnsi="Arial" w:cs="Arial"/>
          <w:sz w:val="24"/>
          <w:szCs w:val="24"/>
        </w:rPr>
        <w:t xml:space="preserve">. In this regard, the threats from market entrants are moderate. </w:t>
      </w:r>
    </w:p>
    <w:p w14:paraId="63A14B45" w14:textId="109F0DAA" w:rsidR="009A214C" w:rsidRPr="0038189C" w:rsidRDefault="009A214C"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38189C">
        <w:rPr>
          <w:rFonts w:ascii="Arial" w:hAnsi="Arial" w:cs="Arial"/>
          <w:b/>
          <w:bCs/>
          <w:i/>
          <w:iCs/>
          <w:sz w:val="24"/>
          <w:szCs w:val="24"/>
          <w:u w:val="single"/>
        </w:rPr>
        <w:t xml:space="preserve">Threats from market incumbents </w:t>
      </w:r>
    </w:p>
    <w:p w14:paraId="72C2C08B" w14:textId="1B48F833" w:rsidR="009A214C" w:rsidRPr="0038189C" w:rsidRDefault="009A214C"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Threats from market incumbents are moderate also. As aforementioned, though the Ant Financial company has strong competitors in the market as the Tencent company, both of them have exclusive business lines that the other can hardly tap into. As in the example of e-commerce, Tencent has </w:t>
      </w:r>
      <w:r w:rsidR="00231EEC" w:rsidRPr="0038189C">
        <w:rPr>
          <w:rFonts w:ascii="Arial" w:hAnsi="Arial" w:cs="Arial"/>
          <w:sz w:val="24"/>
          <w:szCs w:val="24"/>
        </w:rPr>
        <w:t>trialled</w:t>
      </w:r>
      <w:r w:rsidRPr="0038189C">
        <w:rPr>
          <w:rFonts w:ascii="Arial" w:hAnsi="Arial" w:cs="Arial"/>
          <w:sz w:val="24"/>
          <w:szCs w:val="24"/>
        </w:rPr>
        <w:t xml:space="preserve"> several times in establishing its own e-commerce platform based on WeChat, all of which have failed. Ant Financial has been trying to establish social networking functions in the Alipay platform which has also failed</w:t>
      </w:r>
      <w:r w:rsidR="005B5CA5" w:rsidRPr="0038189C">
        <w:rPr>
          <w:rFonts w:ascii="Arial" w:hAnsi="Arial" w:cs="Arial"/>
          <w:sz w:val="24"/>
          <w:szCs w:val="24"/>
        </w:rPr>
        <w:t xml:space="preserve"> </w:t>
      </w:r>
      <w:r w:rsidR="005B5CA5" w:rsidRPr="0038189C">
        <w:rPr>
          <w:rFonts w:ascii="Arial" w:hAnsi="Arial" w:cs="Arial"/>
          <w:sz w:val="24"/>
          <w:szCs w:val="24"/>
        </w:rPr>
        <w:fldChar w:fldCharType="begin" w:fldLock="1"/>
      </w:r>
      <w:r w:rsidR="0038189C" w:rsidRPr="0038189C">
        <w:rPr>
          <w:rFonts w:ascii="Arial" w:hAnsi="Arial" w:cs="Arial"/>
          <w:sz w:val="24"/>
          <w:szCs w:val="24"/>
        </w:rPr>
        <w:instrText>ADDIN CSL_CITATION {"citationItems":[{"id":"ITEM-1","itemData":{"ISBN":"1591847540","abstract":"\"Over the past two decades, an unprecedented burst of entrepreneurialism has transformed China's economy from a closed, impoverished, state-run system into a major power in global business. As products in China become more and more sophisticated, and as its companies embrace domestically developed technology, we will increasingly see Chinese goods setting global standards. Meanwhile, companies in the rest of the world wonder how they can access the fast-rising incomes of China's 1.3 billion consumers. Now Edward Tse, a leading global strategy consultant, reveals how China got to this point, and what the country's rise means for the United States and the rest of the world\"--","author":[{"dropping-particle":"","family":"Tse","given":"Edward","non-dropping-particle":"","parse-names":false,"suffix":""}],"id":"ITEM-1","issued":{"date-parts":[["2015"]]},"number-of-pages":"256","publisher":"Penguin Publishing Group","title":"China's disruptors : how Alibaba, Xiaomi, Tencent, and other companies are changing the rules of business","type":"book"},"uris":["http://www.mendeley.com/documents/?uuid=1cf7ce96-42f7-4979-a0ba-9e6e67d4e4f6"]}],"mendeley":{"formattedCitation":"(Tse, 2015)","plainTextFormattedCitation":"(Tse, 2015)","previouslyFormattedCitation":"(Tse, 2015)"},"properties":{"noteIndex":0},"schema":"https://github.com/citation-style-language/schema/raw/master/csl-citation.json"}</w:instrText>
      </w:r>
      <w:r w:rsidR="005B5CA5" w:rsidRPr="0038189C">
        <w:rPr>
          <w:rFonts w:ascii="Arial" w:hAnsi="Arial" w:cs="Arial"/>
          <w:sz w:val="24"/>
          <w:szCs w:val="24"/>
        </w:rPr>
        <w:fldChar w:fldCharType="separate"/>
      </w:r>
      <w:r w:rsidR="005B5CA5" w:rsidRPr="0038189C">
        <w:rPr>
          <w:rFonts w:ascii="Arial" w:hAnsi="Arial" w:cs="Arial"/>
          <w:noProof/>
          <w:sz w:val="24"/>
          <w:szCs w:val="24"/>
        </w:rPr>
        <w:t>(Tse, 2015)</w:t>
      </w:r>
      <w:r w:rsidR="005B5CA5" w:rsidRPr="0038189C">
        <w:rPr>
          <w:rFonts w:ascii="Arial" w:hAnsi="Arial" w:cs="Arial"/>
          <w:sz w:val="24"/>
          <w:szCs w:val="24"/>
        </w:rPr>
        <w:fldChar w:fldCharType="end"/>
      </w:r>
      <w:r w:rsidRPr="0038189C">
        <w:rPr>
          <w:rFonts w:ascii="Arial" w:hAnsi="Arial" w:cs="Arial"/>
          <w:sz w:val="24"/>
          <w:szCs w:val="24"/>
        </w:rPr>
        <w:t xml:space="preserve">. This clearly shows that, though the competition of both companies is strong in the market, the </w:t>
      </w:r>
      <w:r w:rsidR="00F0758F" w:rsidRPr="0038189C">
        <w:rPr>
          <w:rFonts w:ascii="Arial" w:hAnsi="Arial" w:cs="Arial"/>
          <w:sz w:val="24"/>
          <w:szCs w:val="24"/>
        </w:rPr>
        <w:t>exclusive</w:t>
      </w:r>
      <w:r w:rsidRPr="0038189C">
        <w:rPr>
          <w:rFonts w:ascii="Arial" w:hAnsi="Arial" w:cs="Arial"/>
          <w:sz w:val="24"/>
          <w:szCs w:val="24"/>
        </w:rPr>
        <w:t xml:space="preserve"> business lines owned by each of them essentially protected them from harsh </w:t>
      </w:r>
      <w:r w:rsidR="00F0758F" w:rsidRPr="0038189C">
        <w:rPr>
          <w:rFonts w:ascii="Arial" w:hAnsi="Arial" w:cs="Arial"/>
          <w:sz w:val="24"/>
          <w:szCs w:val="24"/>
        </w:rPr>
        <w:t>competitions</w:t>
      </w:r>
      <w:r w:rsidRPr="0038189C">
        <w:rPr>
          <w:rFonts w:ascii="Arial" w:hAnsi="Arial" w:cs="Arial"/>
          <w:sz w:val="24"/>
          <w:szCs w:val="24"/>
        </w:rPr>
        <w:t xml:space="preserve"> from market incumbents.</w:t>
      </w:r>
    </w:p>
    <w:p w14:paraId="7FA29828" w14:textId="144C280A" w:rsidR="005B5CA5" w:rsidRPr="0038189C" w:rsidRDefault="005B5CA5"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analysis in the above two sections shows that the overall external environment for Ant Financial is </w:t>
      </w:r>
      <w:r w:rsidR="00231EEC" w:rsidRPr="0038189C">
        <w:rPr>
          <w:rFonts w:ascii="Arial" w:hAnsi="Arial" w:cs="Arial"/>
          <w:sz w:val="24"/>
          <w:szCs w:val="24"/>
        </w:rPr>
        <w:t>favourable</w:t>
      </w:r>
      <w:r w:rsidRPr="0038189C">
        <w:rPr>
          <w:rFonts w:ascii="Arial" w:hAnsi="Arial" w:cs="Arial"/>
          <w:sz w:val="24"/>
          <w:szCs w:val="24"/>
        </w:rPr>
        <w:t xml:space="preserve"> with threats being primarily in the short-run and opportunities in the long-run. The company can establish its future strategy, from the external environmental perspective, by maintaining its advantage in user data and </w:t>
      </w:r>
      <w:r w:rsidR="00231EEC" w:rsidRPr="0038189C">
        <w:rPr>
          <w:rFonts w:ascii="Arial" w:hAnsi="Arial" w:cs="Arial"/>
          <w:sz w:val="24"/>
          <w:szCs w:val="24"/>
        </w:rPr>
        <w:t>behaviour</w:t>
      </w:r>
      <w:r w:rsidRPr="0038189C">
        <w:rPr>
          <w:rFonts w:ascii="Arial" w:hAnsi="Arial" w:cs="Arial"/>
          <w:sz w:val="24"/>
          <w:szCs w:val="24"/>
        </w:rPr>
        <w:t xml:space="preserve"> analytics, technological development to work with regulatory bodies under the context of increasing adoption of digital financial service in China. </w:t>
      </w:r>
    </w:p>
    <w:p w14:paraId="58A2FFC4" w14:textId="04785E82" w:rsidR="005B5CA5" w:rsidRPr="0038189C" w:rsidRDefault="005B5CA5" w:rsidP="00B16050">
      <w:pPr>
        <w:pStyle w:val="a7"/>
        <w:widowControl/>
        <w:numPr>
          <w:ilvl w:val="1"/>
          <w:numId w:val="2"/>
        </w:numPr>
        <w:spacing w:beforeLines="50" w:before="156" w:afterLines="50" w:after="156" w:line="480" w:lineRule="auto"/>
        <w:ind w:firstLineChars="0"/>
        <w:outlineLvl w:val="1"/>
        <w:rPr>
          <w:rFonts w:ascii="Arial" w:hAnsi="Arial" w:cs="Arial"/>
          <w:b/>
          <w:bCs/>
          <w:i/>
          <w:iCs/>
          <w:sz w:val="24"/>
          <w:szCs w:val="24"/>
        </w:rPr>
      </w:pPr>
      <w:bookmarkStart w:id="10" w:name="_Toc90658111"/>
      <w:r w:rsidRPr="0038189C">
        <w:rPr>
          <w:rFonts w:ascii="Arial" w:hAnsi="Arial" w:cs="Arial"/>
          <w:b/>
          <w:bCs/>
          <w:i/>
          <w:iCs/>
          <w:sz w:val="24"/>
          <w:szCs w:val="24"/>
        </w:rPr>
        <w:lastRenderedPageBreak/>
        <w:t>Internal environmental analysis</w:t>
      </w:r>
      <w:bookmarkEnd w:id="10"/>
      <w:r w:rsidRPr="0038189C">
        <w:rPr>
          <w:rFonts w:ascii="Arial" w:hAnsi="Arial" w:cs="Arial"/>
          <w:b/>
          <w:bCs/>
          <w:i/>
          <w:iCs/>
          <w:sz w:val="24"/>
          <w:szCs w:val="24"/>
        </w:rPr>
        <w:t xml:space="preserve"> </w:t>
      </w:r>
    </w:p>
    <w:p w14:paraId="18CE55C1" w14:textId="58FD7A2D" w:rsidR="005B5CA5" w:rsidRPr="0038189C" w:rsidRDefault="005B5CA5"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internal environmental analysis provides the analysis of the Ant Financial company using the VRIO model for the analysis of its advantages and the SWOT model as the summary of the environmental analysis. </w:t>
      </w:r>
    </w:p>
    <w:p w14:paraId="0F44E5C5" w14:textId="26FAB7E7" w:rsidR="005B5CA5" w:rsidRPr="0038189C" w:rsidRDefault="005B5CA5" w:rsidP="00B16050">
      <w:pPr>
        <w:pStyle w:val="a7"/>
        <w:widowControl/>
        <w:numPr>
          <w:ilvl w:val="2"/>
          <w:numId w:val="2"/>
        </w:numPr>
        <w:spacing w:beforeLines="50" w:before="156" w:afterLines="50" w:after="156" w:line="480" w:lineRule="auto"/>
        <w:ind w:firstLineChars="0"/>
        <w:outlineLvl w:val="2"/>
        <w:rPr>
          <w:rFonts w:ascii="Arial" w:hAnsi="Arial" w:cs="Arial"/>
          <w:b/>
          <w:bCs/>
          <w:i/>
          <w:iCs/>
          <w:sz w:val="24"/>
          <w:szCs w:val="24"/>
        </w:rPr>
      </w:pPr>
      <w:bookmarkStart w:id="11" w:name="_Toc90658112"/>
      <w:r w:rsidRPr="0038189C">
        <w:rPr>
          <w:rFonts w:ascii="Arial" w:hAnsi="Arial" w:cs="Arial"/>
          <w:b/>
          <w:bCs/>
          <w:i/>
          <w:iCs/>
          <w:sz w:val="24"/>
          <w:szCs w:val="24"/>
        </w:rPr>
        <w:t>VRIO analysis</w:t>
      </w:r>
      <w:bookmarkEnd w:id="11"/>
      <w:r w:rsidRPr="0038189C">
        <w:rPr>
          <w:rFonts w:ascii="Arial" w:hAnsi="Arial" w:cs="Arial"/>
          <w:b/>
          <w:bCs/>
          <w:i/>
          <w:iCs/>
          <w:sz w:val="24"/>
          <w:szCs w:val="24"/>
        </w:rPr>
        <w:t xml:space="preserve"> </w:t>
      </w:r>
    </w:p>
    <w:p w14:paraId="20175B46" w14:textId="7816BCD2" w:rsidR="009A214C" w:rsidRPr="0038189C" w:rsidRDefault="005B5CA5"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VRIO analysis is to extract key capabilities and resources of the company and to examine whether the capabilities are valuable, rare, imitable and organizationally supporting. The primary capabilities and resources of one FinTech company can be typically extracted from the perspective of financial resource, human resource, operational resource, technological resource</w:t>
      </w:r>
      <w:r w:rsidR="0038189C" w:rsidRPr="0038189C">
        <w:rPr>
          <w:rFonts w:ascii="Arial" w:hAnsi="Arial" w:cs="Arial"/>
          <w:sz w:val="24"/>
          <w:szCs w:val="24"/>
        </w:rPr>
        <w:t xml:space="preserve"> </w:t>
      </w:r>
      <w:r w:rsidR="0038189C" w:rsidRPr="0038189C">
        <w:rPr>
          <w:rFonts w:ascii="Arial" w:hAnsi="Arial" w:cs="Arial"/>
          <w:sz w:val="24"/>
          <w:szCs w:val="24"/>
        </w:rPr>
        <w:fldChar w:fldCharType="begin" w:fldLock="1"/>
      </w:r>
      <w:r w:rsidR="0038189C" w:rsidRPr="0038189C">
        <w:rPr>
          <w:rFonts w:ascii="Arial" w:hAnsi="Arial" w:cs="Arial"/>
          <w:sz w:val="24"/>
          <w:szCs w:val="24"/>
        </w:rPr>
        <w:instrText>ADDIN CSL_CITATION {"citationItems":[{"id":"ITEM-1","itemData":{"DOI":"10.1007/978-3-030-53945-0_2","ISBN":"978-3-030-53945-0","abstract":"Technology is a critical factor that leads to higher performance and sustainable competitive advantage. However, technology alone is unable to accomplish such an objective. Instead, scarce resources and capabilities across the organization are the foundation to develop a sustainable competitive advantage in the form of brand equity, value offering, and customer relationships. This chapter discusses an overarching framework to assess how technologies as unique resources can help exploit opportunities to achieve sustainable competitive advantages. The VRIO framework enables managers to assess a number of dimensions of resources that make them unique to better positioning in the marketplace. This chapter discusses how firms can develop dynamic capabilities to sense, seize, and take advantage of market and technology opportunities along with a survey of suitable technologies for fintech.","author":[{"dropping-particle":"","family":"Reyes-Mercado","given":"Pável","non-dropping-particle":"","parse-names":false,"suffix":""}],"editor":[{"dropping-particle":"","family":"Reyes-Mercado","given":"Pável","non-dropping-particle":"","parse-names":false,"suffix":""}],"id":"ITEM-1","issued":{"date-parts":[["2021"]]},"page":"17-32","publisher":"Springer International Publishing","publisher-place":"Cham","title":"Technology as a Resource for FinTech BT  - FinTech Strategy: Linking Entrepreneurship, Finance, and Technology","type":"chapter"},"uris":["http://www.mendeley.com/documents/?uuid=08efd1b7-6055-4d4c-a43b-a95ea741fe5c"]}],"mendeley":{"formattedCitation":"(Reyes-Mercado, 2021)","plainTextFormattedCitation":"(Reyes-Mercado, 2021)","previouslyFormattedCitation":"(Reyes-Mercado, 2021)"},"properties":{"noteIndex":0},"schema":"https://github.com/citation-style-language/schema/raw/master/csl-citation.json"}</w:instrText>
      </w:r>
      <w:r w:rsidR="0038189C" w:rsidRPr="0038189C">
        <w:rPr>
          <w:rFonts w:ascii="Arial" w:hAnsi="Arial" w:cs="Arial"/>
          <w:sz w:val="24"/>
          <w:szCs w:val="24"/>
        </w:rPr>
        <w:fldChar w:fldCharType="separate"/>
      </w:r>
      <w:r w:rsidR="0038189C" w:rsidRPr="0038189C">
        <w:rPr>
          <w:rFonts w:ascii="Arial" w:hAnsi="Arial" w:cs="Arial"/>
          <w:noProof/>
          <w:sz w:val="24"/>
          <w:szCs w:val="24"/>
        </w:rPr>
        <w:t>(Reyes-Mercado, 2021)</w:t>
      </w:r>
      <w:r w:rsidR="0038189C" w:rsidRPr="0038189C">
        <w:rPr>
          <w:rFonts w:ascii="Arial" w:hAnsi="Arial" w:cs="Arial"/>
          <w:sz w:val="24"/>
          <w:szCs w:val="24"/>
        </w:rPr>
        <w:fldChar w:fldCharType="end"/>
      </w:r>
      <w:r w:rsidR="0038189C" w:rsidRPr="0038189C">
        <w:rPr>
          <w:rFonts w:ascii="Arial" w:hAnsi="Arial" w:cs="Arial"/>
          <w:sz w:val="24"/>
          <w:szCs w:val="24"/>
        </w:rPr>
        <w:t xml:space="preserve">. </w:t>
      </w:r>
    </w:p>
    <w:p w14:paraId="0E2715E0" w14:textId="47B7C4AA" w:rsidR="005B5CA5" w:rsidRPr="0038189C" w:rsidRDefault="005B5CA5"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Regarding financial resources, the company, though failing to complete its </w:t>
      </w:r>
      <w:r w:rsidR="0038189C" w:rsidRPr="0038189C">
        <w:rPr>
          <w:rFonts w:ascii="Arial" w:hAnsi="Arial" w:cs="Arial"/>
          <w:sz w:val="24"/>
          <w:szCs w:val="24"/>
        </w:rPr>
        <w:t xml:space="preserve">IPO for financing, remains to be some of the wealthiest companies in China especially when its parent company, Alibaba is considered. As by 2020, the company has reported a profit of over 9 billion US dollars with over 20 billion US dollars. The company has a strong financial capability. As in 2020 alone, Ant Financial, by investing and acquiring, has become one of the largest investor company in China </w:t>
      </w:r>
      <w:r w:rsidR="0038189C" w:rsidRPr="0038189C">
        <w:rPr>
          <w:rFonts w:ascii="Arial" w:hAnsi="Arial" w:cs="Arial"/>
          <w:sz w:val="24"/>
          <w:szCs w:val="24"/>
        </w:rPr>
        <w:fldChar w:fldCharType="begin" w:fldLock="1"/>
      </w:r>
      <w:r w:rsidR="0038189C" w:rsidRPr="0038189C">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2021)","plainTextFormattedCitation":"(Ant Financial, 2021)","previouslyFormattedCitation":"(Ant Financial, 2021)"},"properties":{"noteIndex":0},"schema":"https://github.com/citation-style-language/schema/raw/master/csl-citation.json"}</w:instrText>
      </w:r>
      <w:r w:rsidR="0038189C" w:rsidRPr="0038189C">
        <w:rPr>
          <w:rFonts w:ascii="Arial" w:hAnsi="Arial" w:cs="Arial"/>
          <w:sz w:val="24"/>
          <w:szCs w:val="24"/>
        </w:rPr>
        <w:fldChar w:fldCharType="separate"/>
      </w:r>
      <w:r w:rsidR="0038189C" w:rsidRPr="0038189C">
        <w:rPr>
          <w:rFonts w:ascii="Arial" w:hAnsi="Arial" w:cs="Arial"/>
          <w:noProof/>
          <w:sz w:val="24"/>
          <w:szCs w:val="24"/>
        </w:rPr>
        <w:t>(Ant Financial, 2021)</w:t>
      </w:r>
      <w:r w:rsidR="0038189C" w:rsidRPr="0038189C">
        <w:rPr>
          <w:rFonts w:ascii="Arial" w:hAnsi="Arial" w:cs="Arial"/>
          <w:sz w:val="24"/>
          <w:szCs w:val="24"/>
        </w:rPr>
        <w:fldChar w:fldCharType="end"/>
      </w:r>
      <w:r w:rsidR="0038189C" w:rsidRPr="0038189C">
        <w:rPr>
          <w:rFonts w:ascii="Arial" w:hAnsi="Arial" w:cs="Arial"/>
          <w:sz w:val="24"/>
          <w:szCs w:val="24"/>
        </w:rPr>
        <w:t xml:space="preserve">. </w:t>
      </w:r>
    </w:p>
    <w:p w14:paraId="0E7AFB1E" w14:textId="338B16C2" w:rsidR="0038189C" w:rsidRDefault="0038189C" w:rsidP="00B16050">
      <w:pPr>
        <w:widowControl/>
        <w:spacing w:beforeLines="50" w:before="156" w:afterLines="50" w:after="156" w:line="480" w:lineRule="auto"/>
        <w:rPr>
          <w:rFonts w:ascii="Arial" w:hAnsi="Arial" w:cs="Arial"/>
          <w:sz w:val="24"/>
          <w:szCs w:val="24"/>
        </w:rPr>
      </w:pPr>
      <w:r w:rsidRPr="0038189C">
        <w:rPr>
          <w:rFonts w:ascii="Arial" w:hAnsi="Arial" w:cs="Arial"/>
          <w:sz w:val="24"/>
          <w:szCs w:val="24"/>
        </w:rPr>
        <w:t xml:space="preserve">The financial resources in this regard are valuable as the company can use them to invest in multiple fields including emerging technologies, human resources and to counter the risks such as the economic downfall brought by the pandemic. The resources are relatively rare as other internet companies such as Tencent and ByteDance have the same of higher level of financial resources in terms of profitability </w:t>
      </w:r>
      <w:r w:rsidRPr="0038189C">
        <w:rPr>
          <w:rFonts w:ascii="Arial" w:hAnsi="Arial" w:cs="Arial"/>
          <w:sz w:val="24"/>
          <w:szCs w:val="24"/>
        </w:rPr>
        <w:lastRenderedPageBreak/>
        <w:t xml:space="preserve">and cash flow compared to the Ant Financial company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{"citationItems":[{"id":"ITEM-1","itemData":{"DOI":"10.1108/JIDE-07-2021-0003","ISSN":"2752-6356, 2752-6364","abstract":"Purpose This paper outlines the rapid rise of China's fintech companies over the past decade with a focus on their globalization strategies as they enter their next phase of development. Design/methodology/approach The author examines China's current and prospective influence on global financial digitization trends, and assesses both domestic and foreign opportunities and challenges confronted by China's fintech firms as they look to expand abroad. Findings The Chinese government is experimenting with a radically new fintech system and a regulatory regime in response to it. Chinese ambitions to expand fintech influence through private companies and the state-led “digital RMB” (e-CNY) will likely provoke a wave of “digital protectionism” among developed nations to protect internal digital payments. Originality/value This paper is an original economic history research on China's fintech industry.","author":[{"dropping-particle":"","family":"Han","given":"Alice Siqi","non-dropping-particle":"","parse-names":false,"suffix":""}],"container-title":"Journal of Internet and Digital Economics","id":"ITEM-1","issue":"1","issued":{"date-parts":[["2021","1","1"]]},"page":"47-63","publisher":"Emerald Publishing Limited","title":"Chinese fintech companies and their “going out” strategies","type":"article-journal","volume":"1"},"uris":["http://www.mendeley.com/documents/?uuid=0a186c6b-79a6-4993-9f7c-87e9c7f207c7"]}],"mendeley":{"formattedCitation":"(Han, 2021)","plainTextFormattedCitation":"(Han, 2021)","previouslyFormattedCitation":"(Han, 2021)"},"properties":{"noteIndex":0},"schema":"https://github.com/citation-style-language/schema/raw/master/csl-citation.json"}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(Han, 2021)</w:t>
      </w:r>
      <w:r w:rsidRPr="0038189C">
        <w:rPr>
          <w:rFonts w:ascii="Arial" w:hAnsi="Arial" w:cs="Arial"/>
          <w:sz w:val="24"/>
          <w:szCs w:val="24"/>
        </w:rPr>
        <w:fldChar w:fldCharType="end"/>
      </w:r>
      <w:r w:rsidRPr="0038189C">
        <w:rPr>
          <w:rFonts w:ascii="Arial" w:hAnsi="Arial" w:cs="Arial"/>
          <w:sz w:val="24"/>
          <w:szCs w:val="24"/>
        </w:rPr>
        <w:t xml:space="preserve">. The financial resources are highly non-imitable as such financial capability could be only found in limited industries in China especially in the private sector. The imitation of the financial resource of Ant Financial essentially requires the establishment of another Alibaba company </w:t>
      </w:r>
      <w:r w:rsidRPr="0038189C">
        <w:rPr>
          <w:rFonts w:ascii="Arial" w:hAnsi="Arial" w:cs="Arial"/>
          <w:sz w:val="24"/>
          <w:szCs w:val="24"/>
        </w:rPr>
        <w:fldChar w:fldCharType="begin" w:fldLock="1"/>
      </w:r>
      <w:r w:rsidRPr="0038189C">
        <w:rPr>
          <w:rFonts w:ascii="Arial" w:hAnsi="Arial" w:cs="Arial"/>
          <w:sz w:val="24"/>
          <w:szCs w:val="24"/>
        </w:rPr>
        <w:instrText>ADDIN CSL_CITATION {"citationItems":[{"id":"ITEM-1","itemData":{"ISSN":"2357-1705","abstract":"Data-driven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Communication","id":"ITEM-1","issue":"June 2013","issued":{"date-parts":[["2018"]]},"page":"25-37","title":"The Ant Empire: Fintech Media and Corporate Convergence within and beyond Alibaba","type":"article-journal","volume":"6"},"uris":["http://www.mendeley.com/documents/?uuid=99ba5a8e-c8e6-4c73-81bf-b65265025d91"]}],"mendeley":{"formattedCitation":"(Wang and Doan, 2018)","plainTextFormattedCitation":"(Wang and Doan, 2018)","previouslyFormattedCitation":"(Wang and Doan, 2018)"},"properties":{"noteIndex":0},"schema":"https://github.com/citation-style-language/schema/raw/master/csl-citation.json"}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(Wang and Doan, 2018)</w:t>
      </w:r>
      <w:r w:rsidRPr="0038189C">
        <w:rPr>
          <w:rFonts w:ascii="Arial" w:hAnsi="Arial" w:cs="Arial"/>
          <w:sz w:val="24"/>
          <w:szCs w:val="24"/>
        </w:rPr>
        <w:fldChar w:fldCharType="end"/>
      </w:r>
      <w:r w:rsidRPr="0038189C">
        <w:rPr>
          <w:rFonts w:ascii="Arial" w:hAnsi="Arial" w:cs="Arial"/>
          <w:sz w:val="24"/>
          <w:szCs w:val="24"/>
        </w:rPr>
        <w:t>. The financial resources are highly organi</w:t>
      </w:r>
      <w:r>
        <w:rPr>
          <w:rFonts w:ascii="Arial" w:hAnsi="Arial" w:cs="Arial"/>
          <w:sz w:val="24"/>
          <w:szCs w:val="24"/>
        </w:rPr>
        <w:t>s</w:t>
      </w:r>
      <w:r w:rsidRPr="0038189C">
        <w:rPr>
          <w:rFonts w:ascii="Arial" w:hAnsi="Arial" w:cs="Arial"/>
          <w:sz w:val="24"/>
          <w:szCs w:val="24"/>
        </w:rPr>
        <w:t xml:space="preserve">ationally supportive as the company has established its own investment departments specialising in the investment in emerging advanced technologies, in the hiring of top talents on the global scale </w:t>
      </w:r>
      <w:r w:rsidRPr="0038189C">
        <w:rPr>
          <w:rFonts w:ascii="Arial" w:hAnsi="Arial" w:cs="Arial"/>
          <w:sz w:val="24"/>
          <w:szCs w:val="24"/>
        </w:rPr>
        <w:fldChar w:fldCharType="begin" w:fldLock="1"/>
      </w:r>
      <w:r w:rsidR="006F24B3">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2021)","plainTextFormattedCitation":"(Ant Financial, 2021)","previouslyFormattedCitation":"(Ant Financial, 2021)"},"properties":{"noteIndex":0},"schema":"https://github.com/citation-style-language/schema/raw/master/csl-citation.json"}</w:instrText>
      </w:r>
      <w:r w:rsidRPr="0038189C">
        <w:rPr>
          <w:rFonts w:ascii="Arial" w:hAnsi="Arial" w:cs="Arial"/>
          <w:sz w:val="24"/>
          <w:szCs w:val="24"/>
        </w:rPr>
        <w:fldChar w:fldCharType="separate"/>
      </w:r>
      <w:r w:rsidRPr="0038189C">
        <w:rPr>
          <w:rFonts w:ascii="Arial" w:hAnsi="Arial" w:cs="Arial"/>
          <w:noProof/>
          <w:sz w:val="24"/>
          <w:szCs w:val="24"/>
        </w:rPr>
        <w:t>(Ant Financial, 2021)</w:t>
      </w:r>
      <w:r w:rsidRPr="0038189C">
        <w:rPr>
          <w:rFonts w:ascii="Arial" w:hAnsi="Arial" w:cs="Arial"/>
          <w:sz w:val="24"/>
          <w:szCs w:val="24"/>
        </w:rPr>
        <w:fldChar w:fldCharType="end"/>
      </w:r>
      <w:r w:rsidRPr="0038189C">
        <w:rPr>
          <w:rFonts w:ascii="Arial" w:hAnsi="Arial" w:cs="Arial"/>
          <w:sz w:val="24"/>
          <w:szCs w:val="24"/>
        </w:rPr>
        <w:t xml:space="preserve">. </w:t>
      </w:r>
    </w:p>
    <w:p w14:paraId="5690F827" w14:textId="6C6EA966" w:rsidR="0038189C" w:rsidRDefault="0038189C" w:rsidP="00B16050">
      <w:pPr>
        <w:widowControl/>
        <w:spacing w:beforeLines="50" w:before="156" w:afterLines="50" w:after="156" w:line="480" w:lineRule="auto"/>
        <w:rPr>
          <w:rFonts w:ascii="Arial" w:hAnsi="Arial" w:cs="Arial"/>
          <w:sz w:val="24"/>
          <w:szCs w:val="24"/>
        </w:rPr>
      </w:pPr>
      <w:r>
        <w:rPr>
          <w:rFonts w:ascii="Arial" w:hAnsi="Arial" w:cs="Arial"/>
          <w:sz w:val="24"/>
          <w:szCs w:val="24"/>
        </w:rPr>
        <w:t>In terms of human resources, the company by 2020 has offered the highest paid positions in the Chinese labour market. The company has established a highly competitive employee team with its early employees being the most experienced team in China building nation-wide digital and online financial systems</w:t>
      </w:r>
      <w:r w:rsidR="006F24B3">
        <w:rPr>
          <w:rFonts w:ascii="Arial" w:hAnsi="Arial" w:cs="Arial"/>
          <w:sz w:val="24"/>
          <w:szCs w:val="24"/>
        </w:rPr>
        <w:t xml:space="preserve"> </w:t>
      </w:r>
      <w:r w:rsidR="006F24B3">
        <w:rPr>
          <w:rFonts w:ascii="Arial" w:hAnsi="Arial" w:cs="Arial"/>
          <w:sz w:val="24"/>
          <w:szCs w:val="24"/>
        </w:rPr>
        <w:fldChar w:fldCharType="begin" w:fldLock="1"/>
      </w:r>
      <w:r w:rsidR="006F24B3">
        <w:rPr>
          <w:rFonts w:ascii="Arial" w:hAnsi="Arial" w:cs="Arial"/>
          <w:sz w:val="24"/>
          <w:szCs w:val="24"/>
        </w:rPr>
        <w:instrText>ADDIN CSL_CITATION {"citationItems":[{"id":"ITEM-1","itemData":{"DOI":"10.1007/978-981-15-7405-4_2","ISBN":"978-981-15-7405-4","abstract":"This chapter analyzes the evolution of Alibaba Group’s corporate governance and the choices that the company has made regarding its overseas investments. First, key events in the development of Alibaba Group provide a summary of the company’s situation to form a preliminary understanding of the evolution of its strategic-organizational structure-corporate governance model. Equity changes in the parent company, the composition of the board of directors, and the evolution of control-rights are also analysed, demonstrating the company’s pathway to successful governance. Finally, Alibaba Group’s international development strategy and foreign entry mode choices are reviewed and subjected to analysis, along with the challenges faced by Alibaba Group as it grapples with complex transnational governance issues.","author":[{"dropping-particle":"","family":"Lin","given":"Runhui","non-dropping-particle":"","parse-names":false,"suffix":""},{"dropping-particle":"","family":"Chen","given":"Jean Jinghan","non-dropping-particle":"","parse-names":false,"suffix":""},{"dropping-particle":"","family":"Xie","given":"Li","non-dropping-particle":"","parse-names":false,"suffix":""}],"editor":[{"dropping-particle":"","family":"Lin","given":"Runhui","non-dropping-particle":"","parse-names":false,"suffix":""},{"dropping-particle":"","family":"Chen","given":"Jean Jinghan","non-dropping-particle":"","parse-names":false,"suffix":""},{"dropping-particle":"","family":"Xie","given":"Li","non-dropping-particle":"","parse-names":false,"suffix":""}],"id":"ITEM-1","issued":{"date-parts":[["2020"]]},"page":"5-44","publisher":"Springer Singapore","publisher-place":"Singapore","title":"Alibaba Group—The Evolution of Transnational Governance BT  - Corporate Governance of Chinese Multinational Corporations: Case Studies","type":"chapter"},"uris":["http://www.mendeley.com/documents/?uuid=72fc517a-5231-4ce6-b330-f730b6f29de2"]}],"mendeley":{"formattedCitation":"(Lin, Chen and Xie, 2020)","plainTextFormattedCitation":"(Lin, Chen and Xie, 2020)","previouslyFormattedCitation":"(Lin, Chen and Xie, 2020)"},"properties":{"noteIndex":0},"schema":"https://github.com/citation-style-language/schema/raw/master/csl-citation.json"}</w:instrText>
      </w:r>
      <w:r w:rsidR="006F24B3">
        <w:rPr>
          <w:rFonts w:ascii="Arial" w:hAnsi="Arial" w:cs="Arial"/>
          <w:sz w:val="24"/>
          <w:szCs w:val="24"/>
        </w:rPr>
        <w:fldChar w:fldCharType="separate"/>
      </w:r>
      <w:r w:rsidR="006F24B3" w:rsidRPr="006F24B3">
        <w:rPr>
          <w:rFonts w:ascii="Arial" w:hAnsi="Arial" w:cs="Arial"/>
          <w:noProof/>
          <w:sz w:val="24"/>
          <w:szCs w:val="24"/>
        </w:rPr>
        <w:t>(Lin, Chen and Xie, 2020)</w:t>
      </w:r>
      <w:r w:rsidR="006F24B3">
        <w:rPr>
          <w:rFonts w:ascii="Arial" w:hAnsi="Arial" w:cs="Arial"/>
          <w:sz w:val="24"/>
          <w:szCs w:val="24"/>
        </w:rPr>
        <w:fldChar w:fldCharType="end"/>
      </w:r>
      <w:r>
        <w:rPr>
          <w:rFonts w:ascii="Arial" w:hAnsi="Arial" w:cs="Arial"/>
          <w:sz w:val="24"/>
          <w:szCs w:val="24"/>
        </w:rPr>
        <w:t xml:space="preserve">. As in the example of the 12306 platform, the railway ticket sales platform in China, the issues in the platform such as </w:t>
      </w:r>
      <w:r w:rsidR="006F24B3">
        <w:rPr>
          <w:rFonts w:ascii="Arial" w:hAnsi="Arial" w:cs="Arial"/>
          <w:sz w:val="24"/>
          <w:szCs w:val="24"/>
        </w:rPr>
        <w:t xml:space="preserve">visiting speed and processing capacity were resolved by borrowing employees from the Ant Financial moderated by the Hangzhou government </w:t>
      </w:r>
      <w:r w:rsidR="006F24B3">
        <w:rPr>
          <w:rFonts w:ascii="Arial" w:hAnsi="Arial" w:cs="Arial"/>
          <w:sz w:val="24"/>
          <w:szCs w:val="24"/>
        </w:rPr>
        <w:fldChar w:fldCharType="begin" w:fldLock="1"/>
      </w:r>
      <w:r w:rsidR="006F24B3">
        <w:rPr>
          <w:rFonts w:ascii="Arial" w:hAnsi="Arial" w:cs="Arial"/>
          <w:sz w:val="24"/>
          <w:szCs w:val="24"/>
        </w:rPr>
        <w:instrText>ADDIN CSL_CITATION {"citationItems":[{"id":"ITEM-1","itemData":{"URL":"https://qz.com/330340/thanks-to-alibaba-the-worlds-largest-human-migration-may-go-a-little-smoother-this-year/","accessed":{"date-parts":[["2021","12","17"]]},"author":[{"dropping-particle":"","family":"Quartz","given":"","non-dropping-particle":"","parse-names":false,"suffix":""}],"id":"ITEM-1","issued":{"date-parts":[["2015"]]},"title":"Thanks to Alibaba, the world’s largest human migration may go a little smoother this year ","type":"webpage"},"uris":["http://www.mendeley.com/documents/?uuid=bb245d23-cc24-3432-a1ca-7962fe68db60"]}],"mendeley":{"formattedCitation":"(Quartz, 2015)","plainTextFormattedCitation":"(Quartz, 2015)","previouslyFormattedCitation":"(Quartz, 2015)"},"properties":{"noteIndex":0},"schema":"https://github.com/citation-style-language/schema/raw/master/csl-citation.json"}</w:instrText>
      </w:r>
      <w:r w:rsidR="006F24B3">
        <w:rPr>
          <w:rFonts w:ascii="Arial" w:hAnsi="Arial" w:cs="Arial"/>
          <w:sz w:val="24"/>
          <w:szCs w:val="24"/>
        </w:rPr>
        <w:fldChar w:fldCharType="separate"/>
      </w:r>
      <w:r w:rsidR="006F24B3" w:rsidRPr="006F24B3">
        <w:rPr>
          <w:rFonts w:ascii="Arial" w:hAnsi="Arial" w:cs="Arial"/>
          <w:noProof/>
          <w:sz w:val="24"/>
          <w:szCs w:val="24"/>
        </w:rPr>
        <w:t>(Quartz, 2015)</w:t>
      </w:r>
      <w:r w:rsidR="006F24B3">
        <w:rPr>
          <w:rFonts w:ascii="Arial" w:hAnsi="Arial" w:cs="Arial"/>
          <w:sz w:val="24"/>
          <w:szCs w:val="24"/>
        </w:rPr>
        <w:fldChar w:fldCharType="end"/>
      </w:r>
      <w:r w:rsidR="006F24B3">
        <w:rPr>
          <w:rFonts w:ascii="Arial" w:hAnsi="Arial" w:cs="Arial"/>
          <w:sz w:val="24"/>
          <w:szCs w:val="24"/>
        </w:rPr>
        <w:t xml:space="preserve">. </w:t>
      </w:r>
    </w:p>
    <w:p w14:paraId="601C4C40" w14:textId="6D6C8367" w:rsidR="006F24B3" w:rsidRDefault="006F24B3"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human resources in Ant Financial are thus valuable for the company’s future development and </w:t>
      </w:r>
      <w:r>
        <w:rPr>
          <w:rFonts w:ascii="Arial" w:hAnsi="Arial" w:cs="Arial" w:hint="eastAsia"/>
          <w:sz w:val="24"/>
          <w:szCs w:val="24"/>
        </w:rPr>
        <w:t>r</w:t>
      </w:r>
      <w:r>
        <w:rPr>
          <w:rFonts w:ascii="Arial" w:hAnsi="Arial" w:cs="Arial"/>
          <w:sz w:val="24"/>
          <w:szCs w:val="24"/>
        </w:rPr>
        <w:t xml:space="preserve">elatively rare as the company has been suffering issues including  increasing turnover rates, in which employees of Ant Financial tend to leave the company for positions in start-ups which could bring more benefits if the start-up is acquired or publicly listed </w:t>
      </w:r>
      <w:r>
        <w:rPr>
          <w:rFonts w:ascii="Arial" w:hAnsi="Arial" w:cs="Arial"/>
          <w:sz w:val="24"/>
          <w:szCs w:val="24"/>
        </w:rPr>
        <w:fldChar w:fldCharType="begin" w:fldLock="1"/>
      </w:r>
      <w:r>
        <w:rPr>
          <w:rFonts w:ascii="Arial" w:hAnsi="Arial" w:cs="Arial"/>
          <w:sz w:val="24"/>
          <w:szCs w:val="24"/>
        </w:rPr>
        <w:instrText>ADDIN CSL_CITATION {"citationItems":[{"id":"ITEM-1","itemData":{"DOI":"10.1145/3450148.3450186","ISBN":"9781450388542","abstract":"Fintech, which means the combination of finance and technology, is becoming increasingly popular in the world. In the first section of this article, it consists the definition and classification, history, current situation, characters, application of fintech, as well as the news in fintech industry. Then, it involves an industry analysis of fintech, divided into three parts, saving, lending and paying. Finally, there is a case study of some typical fintech companies, for instance, Ping An Finance, Yirendai as well as Ant Finance.","author":[{"dropping-particle":"","family":"Haotian","given":"Haotian","non-dropping-particle":"","parse-names":false,"suffix":""},{"dropping-particle":"","family":"Dong","given":"Yihui","non-dropping-particle":"","parse-names":false,"suffix":""},{"dropping-particle":"","family":"Li","given":"Yitao","non-dropping-particle":"","parse-names":false,"suffix":""}],"collection-title":"IC4E 2021","container-title":"ACM International Conference Proceeding Series","id":"ITEM-1","issued":{"date-parts":[["2021"]]},"page":"323-332","publisher":"Association for Computing Machinery","publisher-place":"New York, NY, USA","title":"The Analyse of Financial Technology Industry and Case Study of Some Typical Companies","type":"paper-conference"},"uris":["http://www.mendeley.com/documents/?uuid=ca22cc6e-9565-4755-8b59-17494845c79f"]}],"mendeley":{"formattedCitation":"(Haotian, Dong and Li, 2021)","plainTextFormattedCitation":"(Haotian, Dong and Li, 2021)","previouslyFormattedCitation":"(Haotian, Dong and Li, 2021)"},"properties":{"noteIndex":0},"schema":"https://github.com/citation-style-language/schema/raw/master/csl-citation.json"}</w:instrText>
      </w:r>
      <w:r>
        <w:rPr>
          <w:rFonts w:ascii="Arial" w:hAnsi="Arial" w:cs="Arial"/>
          <w:sz w:val="24"/>
          <w:szCs w:val="24"/>
        </w:rPr>
        <w:fldChar w:fldCharType="separate"/>
      </w:r>
      <w:r w:rsidRPr="006F24B3">
        <w:rPr>
          <w:rFonts w:ascii="Arial" w:hAnsi="Arial" w:cs="Arial"/>
          <w:noProof/>
          <w:sz w:val="24"/>
          <w:szCs w:val="24"/>
        </w:rPr>
        <w:t>(Haotian, Dong and Li, 2021)</w:t>
      </w:r>
      <w:r>
        <w:rPr>
          <w:rFonts w:ascii="Arial" w:hAnsi="Arial" w:cs="Arial"/>
          <w:sz w:val="24"/>
          <w:szCs w:val="24"/>
        </w:rPr>
        <w:fldChar w:fldCharType="end"/>
      </w:r>
      <w:r>
        <w:rPr>
          <w:rFonts w:ascii="Arial" w:hAnsi="Arial" w:cs="Arial"/>
          <w:sz w:val="24"/>
          <w:szCs w:val="24"/>
        </w:rPr>
        <w:t xml:space="preserve">. The human resources of the company are highly non-imitable. As pointed out by </w:t>
      </w:r>
      <w:r w:rsidRPr="006F24B3">
        <w:rPr>
          <w:rFonts w:ascii="Arial" w:hAnsi="Arial" w:cs="Arial"/>
          <w:noProof/>
          <w:sz w:val="24"/>
          <w:szCs w:val="24"/>
        </w:rPr>
        <w:t>Lu</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2018)","manualFormatting":"(2018)","plainTextFormattedCitation":"(Lu, 2018)","previouslyFormattedCitation":"(Lu, 2018)"},"properties":{"noteIndex":0},"schema":"https://github.com/citation-style-language/schema/raw/master/csl-citation.json"}</w:instrText>
      </w:r>
      <w:r>
        <w:rPr>
          <w:rFonts w:ascii="Arial" w:hAnsi="Arial" w:cs="Arial"/>
          <w:sz w:val="24"/>
          <w:szCs w:val="24"/>
        </w:rPr>
        <w:fldChar w:fldCharType="separate"/>
      </w:r>
      <w:r w:rsidRPr="006F24B3">
        <w:rPr>
          <w:rFonts w:ascii="Arial" w:hAnsi="Arial" w:cs="Arial"/>
          <w:noProof/>
          <w:sz w:val="24"/>
          <w:szCs w:val="24"/>
        </w:rPr>
        <w:t>(2018)</w:t>
      </w:r>
      <w:r>
        <w:rPr>
          <w:rFonts w:ascii="Arial" w:hAnsi="Arial" w:cs="Arial"/>
          <w:sz w:val="24"/>
          <w:szCs w:val="24"/>
        </w:rPr>
        <w:fldChar w:fldCharType="end"/>
      </w:r>
      <w:r>
        <w:rPr>
          <w:rFonts w:ascii="Arial" w:hAnsi="Arial" w:cs="Arial"/>
          <w:sz w:val="24"/>
          <w:szCs w:val="24"/>
        </w:rPr>
        <w:t xml:space="preserve">, employees are </w:t>
      </w:r>
      <w:r>
        <w:rPr>
          <w:rFonts w:ascii="Arial" w:hAnsi="Arial" w:cs="Arial"/>
          <w:sz w:val="24"/>
          <w:szCs w:val="24"/>
        </w:rPr>
        <w:lastRenderedPageBreak/>
        <w:t xml:space="preserve">attracted to the Ant Financial company not simply by the financial rewards but by the working environment of the company as to work with the best technology engineers in the Chinese internet industry. The human resources of Ant Financial are highly organisationally supported. Alibaba is one of the earliest adaptors of modern human resource management in China introducing experts from IBM and GE to establish its human resource management structure </w:t>
      </w:r>
      <w:r>
        <w:rPr>
          <w:rFonts w:ascii="Arial" w:hAnsi="Arial" w:cs="Arial"/>
          <w:sz w:val="24"/>
          <w:szCs w:val="24"/>
        </w:rPr>
        <w:fldChar w:fldCharType="begin" w:fldLock="1"/>
      </w:r>
      <w:r>
        <w:rPr>
          <w:rFonts w:ascii="Arial" w:hAnsi="Arial" w:cs="Arial"/>
          <w:sz w:val="24"/>
          <w:szCs w:val="24"/>
        </w:rPr>
        <w:instrText>ADDIN CSL_CITATION {"citationItems":[{"id":"ITEM-1","itemData":{"DOI":"10.1145/3450148.3450186","ISBN":"9781450388542","abstract":"Fintech, which means the combination of finance and technology, is becoming increasingly popular in the world. In the first section of this article, it consists the definition and classification, history, current situation, characters, application of fintech, as well as the news in fintech industry. Then, it involves an industry analysis of fintech, divided into three parts, saving, lending and paying. Finally, there is a case study of some typical fintech companies, for instance, Ping An Finance, Yirendai as well as Ant Finance.","author":[{"dropping-particle":"","family":"Haotian","given":"Haotian","non-dropping-particle":"","parse-names":false,"suffix":""},{"dropping-particle":"","family":"Dong","given":"Yihui","non-dropping-particle":"","parse-names":false,"suffix":""},{"dropping-particle":"","family":"Li","given":"Yitao","non-dropping-particle":"","parse-names":false,"suffix":""}],"collection-title":"IC4E 2021","container-title":"ACM International Conference Proceeding Series","id":"ITEM-1","issued":{"date-parts":[["2021"]]},"page":"323-332","publisher":"Association for Computing Machinery","publisher-place":"New York, NY, USA","title":"The Analyse of Financial Technology Industry and Case Study of Some Typical Companies","type":"paper-conference"},"uris":["http://www.mendeley.com/documents/?uuid=ca22cc6e-9565-4755-8b59-17494845c79f"]}],"mendeley":{"formattedCitation":"(Haotian, Dong and Li, 2021)","plainTextFormattedCitation":"(Haotian, Dong and Li, 2021)","previouslyFormattedCitation":"(Haotian, Dong and Li, 2021)"},"properties":{"noteIndex":0},"schema":"https://github.com/citation-style-language/schema/raw/master/csl-citation.json"}</w:instrText>
      </w:r>
      <w:r>
        <w:rPr>
          <w:rFonts w:ascii="Arial" w:hAnsi="Arial" w:cs="Arial"/>
          <w:sz w:val="24"/>
          <w:szCs w:val="24"/>
        </w:rPr>
        <w:fldChar w:fldCharType="separate"/>
      </w:r>
      <w:r w:rsidRPr="006F24B3">
        <w:rPr>
          <w:rFonts w:ascii="Arial" w:hAnsi="Arial" w:cs="Arial"/>
          <w:noProof/>
          <w:sz w:val="24"/>
          <w:szCs w:val="24"/>
        </w:rPr>
        <w:t>(Haotian, Dong and Li, 2021)</w:t>
      </w:r>
      <w:r>
        <w:rPr>
          <w:rFonts w:ascii="Arial" w:hAnsi="Arial" w:cs="Arial"/>
          <w:sz w:val="24"/>
          <w:szCs w:val="24"/>
        </w:rPr>
        <w:fldChar w:fldCharType="end"/>
      </w:r>
      <w:r>
        <w:rPr>
          <w:rFonts w:ascii="Arial" w:hAnsi="Arial" w:cs="Arial"/>
          <w:sz w:val="24"/>
          <w:szCs w:val="24"/>
        </w:rPr>
        <w:t xml:space="preserve">. </w:t>
      </w:r>
    </w:p>
    <w:p w14:paraId="2525D390" w14:textId="31313606" w:rsidR="006F24B3" w:rsidRDefault="006F24B3"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Operational resources primarily include the resources in day-to-day operations including marketing and sales. The Ant Financial company has strong resources in this regard. As born from the largest and earliest e-commerce company in China, Ant Financial was established with experiences sales and marketing team for the promotion of their payment and other financial products </w:t>
      </w:r>
      <w:r>
        <w:rPr>
          <w:rFonts w:ascii="Arial" w:hAnsi="Arial" w:cs="Arial"/>
          <w:sz w:val="24"/>
          <w:szCs w:val="24"/>
        </w:rPr>
        <w:fldChar w:fldCharType="begin" w:fldLock="1"/>
      </w:r>
      <w:r w:rsidR="00231EEC">
        <w:rPr>
          <w:rFonts w:ascii="Arial" w:hAnsi="Arial" w:cs="Arial"/>
          <w:sz w:val="24"/>
          <w:szCs w:val="24"/>
        </w:rPr>
        <w:instrText>ADDIN CSL_CITATION {"citationItems":[{"id":"ITEM-1","itemData":{"ISSN":"2357-1705","abstract":"Data-driven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Communication","id":"ITEM-1","issue":"June 2013","issued":{"date-parts":[["2018"]]},"page":"25-37","title":"The Ant Empire: Fintech Media and Corporate Convergence within and beyond Alibaba","type":"article-journal","volume":"6"},"uris":["http://www.mendeley.com/documents/?uuid=99ba5a8e-c8e6-4c73-81bf-b65265025d91"]}],"mendeley":{"formattedCitation":"(Wang and Doan, 2018)","plainTextFormattedCitation":"(Wang and Doan, 2018)","previouslyFormattedCitation":"(Wang and Doan, 2018)"},"properties":{"noteIndex":0},"schema":"https://github.com/citation-style-language/schema/raw/master/csl-citation.json"}</w:instrText>
      </w:r>
      <w:r>
        <w:rPr>
          <w:rFonts w:ascii="Arial" w:hAnsi="Arial" w:cs="Arial"/>
          <w:sz w:val="24"/>
          <w:szCs w:val="24"/>
        </w:rPr>
        <w:fldChar w:fldCharType="separate"/>
      </w:r>
      <w:r w:rsidRPr="006F24B3">
        <w:rPr>
          <w:rFonts w:ascii="Arial" w:hAnsi="Arial" w:cs="Arial"/>
          <w:noProof/>
          <w:sz w:val="24"/>
          <w:szCs w:val="24"/>
        </w:rPr>
        <w:t>(Wang and Doan, 2018)</w:t>
      </w:r>
      <w:r>
        <w:rPr>
          <w:rFonts w:ascii="Arial" w:hAnsi="Arial" w:cs="Arial"/>
          <w:sz w:val="24"/>
          <w:szCs w:val="24"/>
        </w:rPr>
        <w:fldChar w:fldCharType="end"/>
      </w:r>
      <w:r>
        <w:rPr>
          <w:rFonts w:ascii="Arial" w:hAnsi="Arial" w:cs="Arial"/>
          <w:sz w:val="24"/>
          <w:szCs w:val="24"/>
        </w:rPr>
        <w:t>. In the beginning of the promotion of the QR code payment, teams of Ant Financial were sent to all over China to convince businesses to use this payment method which is safe and costly effective compared to the usage of bank services</w:t>
      </w:r>
      <w:r w:rsidR="00231EEC">
        <w:rPr>
          <w:rFonts w:ascii="Arial" w:hAnsi="Arial" w:cs="Arial"/>
          <w:sz w:val="24"/>
          <w:szCs w:val="24"/>
        </w:rPr>
        <w:t xml:space="preserve"> </w:t>
      </w:r>
      <w:r w:rsidR="00231EEC">
        <w:rPr>
          <w:rFonts w:ascii="Arial" w:hAnsi="Arial" w:cs="Arial"/>
          <w:sz w:val="24"/>
          <w:szCs w:val="24"/>
        </w:rPr>
        <w:fldChar w:fldCharType="begin" w:fldLock="1"/>
      </w:r>
      <w:r w:rsidR="00231EEC">
        <w:rPr>
          <w:rFonts w:ascii="Arial" w:hAnsi="Arial" w:cs="Arial"/>
          <w:sz w:val="24"/>
          <w:szCs w:val="24"/>
        </w:rPr>
        <w:instrText>ADDIN CSL_CITATION {"citationItems":[{"id":"ITEM-1","itemData":{"DOI":"10.1007/978-981-15-7405-4_2","ISBN":"978-981-15-7405-4","abstract":"This chapter analyzes the evolution of Alibaba Group’s corporate governance and the choices that the company has made regarding its overseas investments. First, key events in the development of Alibaba Group provide a summary of the company’s situation to form a preliminary understanding of the evolution of its strategic-organizational structure-corporate governance model. Equity changes in the parent company, the composition of the board of directors, and the evolution of control-rights are also analysed, demonstrating the company’s pathway to successful governance. Finally, Alibaba Group’s international development strategy and foreign entry mode choices are reviewed and subjected to analysis, along with the challenges faced by Alibaba Group as it grapples with complex transnational governance issues.","author":[{"dropping-particle":"","family":"Lin","given":"Runhui","non-dropping-particle":"","parse-names":false,"suffix":""},{"dropping-particle":"","family":"Chen","given":"Jean Jinghan","non-dropping-particle":"","parse-names":false,"suffix":""},{"dropping-particle":"","family":"Xie","given":"Li","non-dropping-particle":"","parse-names":false,"suffix":""}],"editor":[{"dropping-particle":"","family":"Lin","given":"Runhui","non-dropping-particle":"","parse-names":false,"suffix":""},{"dropping-particle":"","family":"Chen","given":"Jean Jinghan","non-dropping-particle":"","parse-names":false,"suffix":""},{"dropping-particle":"","family":"Xie","given":"Li","non-dropping-particle":"","parse-names":false,"suffix":""}],"id":"ITEM-1","issued":{"date-parts":[["2020"]]},"page":"5-44","publisher":"Springer Singapore","publisher-place":"Singapore","title":"Alibaba Group—The Evolution of Transnational Governance BT  - Corporate Governance of Chinese Multinational Corporations: Case Studies","type":"chapter"},"uris":["http://www.mendeley.com/documents/?uuid=72fc517a-5231-4ce6-b330-f730b6f29de2"]}],"mendeley":{"formattedCitation":"(Lin, Chen and Xie, 2020)","plainTextFormattedCitation":"(Lin, Chen and Xie, 2020)","previouslyFormattedCitation":"(Lin, Chen and Xie, 2020)"},"properties":{"noteIndex":0},"schema":"https://github.com/citation-style-language/schema/raw/master/csl-citation.json"}</w:instrText>
      </w:r>
      <w:r w:rsidR="00231EEC">
        <w:rPr>
          <w:rFonts w:ascii="Arial" w:hAnsi="Arial" w:cs="Arial"/>
          <w:sz w:val="24"/>
          <w:szCs w:val="24"/>
        </w:rPr>
        <w:fldChar w:fldCharType="separate"/>
      </w:r>
      <w:r w:rsidR="00231EEC" w:rsidRPr="00231EEC">
        <w:rPr>
          <w:rFonts w:ascii="Arial" w:hAnsi="Arial" w:cs="Arial"/>
          <w:noProof/>
          <w:sz w:val="24"/>
          <w:szCs w:val="24"/>
        </w:rPr>
        <w:t>(Lin, Chen and Xie, 2020)</w:t>
      </w:r>
      <w:r w:rsidR="00231EEC">
        <w:rPr>
          <w:rFonts w:ascii="Arial" w:hAnsi="Arial" w:cs="Arial"/>
          <w:sz w:val="24"/>
          <w:szCs w:val="24"/>
        </w:rPr>
        <w:fldChar w:fldCharType="end"/>
      </w:r>
      <w:r>
        <w:rPr>
          <w:rFonts w:ascii="Arial" w:hAnsi="Arial" w:cs="Arial"/>
          <w:sz w:val="24"/>
          <w:szCs w:val="24"/>
        </w:rPr>
        <w:t xml:space="preserve">. </w:t>
      </w:r>
    </w:p>
    <w:p w14:paraId="64041BF5" w14:textId="63DB4588" w:rsidR="00231EEC"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operational resources of the company are thus highly valuable and rare as its primary operational resources, including the marketing and sales resources, were inherited from the largest e-commerce company in China which is highly non-imitable. The resources are, however, less supported by the organisation as the company is now shifting its focus to technology rather than sales and marketing activities </w:t>
      </w:r>
      <w:r>
        <w:rPr>
          <w:rFonts w:ascii="Arial" w:hAnsi="Arial" w:cs="Arial"/>
          <w:sz w:val="24"/>
          <w:szCs w:val="24"/>
        </w:rPr>
        <w:fldChar w:fldCharType="begin" w:fldLock="1"/>
      </w:r>
      <w:r>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2021)","plainTextFormattedCitation":"(Ant Financial, 2021)","previouslyFormattedCitation":"(Ant Financial, 2021)"},"properties":{"noteIndex":0},"schema":"https://github.com/citation-style-language/schema/raw/master/csl-citation.json"}</w:instrText>
      </w:r>
      <w:r>
        <w:rPr>
          <w:rFonts w:ascii="Arial" w:hAnsi="Arial" w:cs="Arial"/>
          <w:sz w:val="24"/>
          <w:szCs w:val="24"/>
        </w:rPr>
        <w:fldChar w:fldCharType="separate"/>
      </w:r>
      <w:r w:rsidRPr="00231EEC">
        <w:rPr>
          <w:rFonts w:ascii="Arial" w:hAnsi="Arial" w:cs="Arial"/>
          <w:noProof/>
          <w:sz w:val="24"/>
          <w:szCs w:val="24"/>
        </w:rPr>
        <w:t>(Ant Financial, 2021)</w:t>
      </w:r>
      <w:r>
        <w:rPr>
          <w:rFonts w:ascii="Arial" w:hAnsi="Arial" w:cs="Arial"/>
          <w:sz w:val="24"/>
          <w:szCs w:val="24"/>
        </w:rPr>
        <w:fldChar w:fldCharType="end"/>
      </w:r>
      <w:r>
        <w:rPr>
          <w:rFonts w:ascii="Arial" w:hAnsi="Arial" w:cs="Arial"/>
          <w:sz w:val="24"/>
          <w:szCs w:val="24"/>
        </w:rPr>
        <w:t xml:space="preserve">. </w:t>
      </w:r>
    </w:p>
    <w:p w14:paraId="49DE710C" w14:textId="77204CE1" w:rsidR="00B87F49"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lastRenderedPageBreak/>
        <w:t>The technological resources of the company primarily include the technology know-hows regarding the establishment of safe and sound online financial service platforms such as Alipay.</w:t>
      </w:r>
      <w:r w:rsidR="00B87F49">
        <w:rPr>
          <w:rFonts w:ascii="Arial" w:hAnsi="Arial" w:cs="Arial"/>
          <w:sz w:val="24"/>
          <w:szCs w:val="24"/>
        </w:rPr>
        <w:t xml:space="preserve"> The technological resources of the company also include the highly personalised service sphere based on its comprehensive understanding of user data. Based on the analysis of user data, the company provides a automatically personalised service line to each customer, making the company one of the few in the marketing being able to roll out customised and personalised financial service products </w:t>
      </w:r>
      <w:r w:rsidR="00B87F49">
        <w:rPr>
          <w:rFonts w:ascii="Arial" w:hAnsi="Arial" w:cs="Arial"/>
          <w:sz w:val="24"/>
          <w:szCs w:val="24"/>
        </w:rPr>
        <w:fldChar w:fldCharType="begin" w:fldLock="1"/>
      </w:r>
      <w:r w:rsidR="00B87F49">
        <w:rPr>
          <w:rFonts w:ascii="Arial" w:hAnsi="Arial" w:cs="Arial"/>
          <w:sz w:val="24"/>
          <w:szCs w:val="24"/>
        </w:rPr>
        <w:instrText>ADDIN CSL_CITATION {"citationItems":[{"id":"ITEM-1","itemData":{"URL":"https://www.antgroup.com/en/ir/notices","accessed":{"date-parts":[["2021","12","17"]]},"author":[{"dropping-particle":"","family":"Ant Financial","given":"","non-dropping-particle":"","parse-names":false,"suffix":""}],"id":"ITEM-1","issued":{"date-parts":[["2021"]]},"title":"Ant Group - Investor Relations","type":"webpage"},"uris":["http://www.mendeley.com/documents/?uuid=90d74e50-f2ec-3f33-9c38-02c49aa0ebc4"]}],"mendeley":{"formattedCitation":"(Ant Financial, 2021)","plainTextFormattedCitation":"(Ant Financial, 2021)","previouslyFormattedCitation":"(Ant Financial, 2021)"},"properties":{"noteIndex":0},"schema":"https://github.com/citation-style-language/schema/raw/master/csl-citation.json"}</w:instrText>
      </w:r>
      <w:r w:rsidR="00B87F49">
        <w:rPr>
          <w:rFonts w:ascii="Arial" w:hAnsi="Arial" w:cs="Arial"/>
          <w:sz w:val="24"/>
          <w:szCs w:val="24"/>
        </w:rPr>
        <w:fldChar w:fldCharType="separate"/>
      </w:r>
      <w:r w:rsidR="00B87F49" w:rsidRPr="00B87F49">
        <w:rPr>
          <w:rFonts w:ascii="Arial" w:hAnsi="Arial" w:cs="Arial"/>
          <w:noProof/>
          <w:sz w:val="24"/>
          <w:szCs w:val="24"/>
        </w:rPr>
        <w:t>(Ant Financial, 2021)</w:t>
      </w:r>
      <w:r w:rsidR="00B87F49">
        <w:rPr>
          <w:rFonts w:ascii="Arial" w:hAnsi="Arial" w:cs="Arial"/>
          <w:sz w:val="24"/>
          <w:szCs w:val="24"/>
        </w:rPr>
        <w:fldChar w:fldCharType="end"/>
      </w:r>
      <w:r w:rsidR="00B87F49">
        <w:rPr>
          <w:rFonts w:ascii="Arial" w:hAnsi="Arial" w:cs="Arial"/>
          <w:sz w:val="24"/>
          <w:szCs w:val="24"/>
        </w:rPr>
        <w:t xml:space="preserve">. </w:t>
      </w:r>
    </w:p>
    <w:p w14:paraId="27FABC7C" w14:textId="466EC3EE" w:rsidR="00231EEC"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technological resources of the company, as based on the analysis in section 2, are highly valuable as they have supported the company’s growth and its position in the market. More importantly, the technological resources of the company serve as the primary advantage of the company that it could leverage to seize opportunities presented by unexpected events such as the Covid-19 pandemic. The resources are also rare and non-imitable </w:t>
      </w:r>
      <w:r>
        <w:rPr>
          <w:rFonts w:ascii="Arial" w:hAnsi="Arial" w:cs="Arial"/>
          <w:sz w:val="24"/>
          <w:szCs w:val="24"/>
        </w:rPr>
        <w:fldChar w:fldCharType="begin" w:fldLock="1"/>
      </w:r>
      <w:r>
        <w:rPr>
          <w:rFonts w:ascii="Arial" w:hAnsi="Arial" w:cs="Arial"/>
          <w:sz w:val="24"/>
          <w:szCs w:val="24"/>
        </w:rPr>
        <w:instrText>ADDIN CSL_CITATION {"citationItems":[{"id":"ITEM-1","itemData":{"DOI":"10.1145/3450148.3450186","ISBN":"9781450388542","abstract":"Fintech, which means the combination of finance and technology, is becoming increasingly popular in the world. In the first section of this article, it consists the definition and classification, history, current situation, characters, application of fintech, as well as the news in fintech industry. Then, it involves an industry analysis of fintech, divided into three parts, saving, lending and paying. Finally, there is a case study of some typical fintech companies, for instance, Ping An Finance, Yirendai as well as Ant Finance.","author":[{"dropping-particle":"","family":"Haotian","given":"Haotian","non-dropping-particle":"","parse-names":false,"suffix":""},{"dropping-particle":"","family":"Dong","given":"Yihui","non-dropping-particle":"","parse-names":false,"suffix":""},{"dropping-particle":"","family":"Li","given":"Yitao","non-dropping-particle":"","parse-names":false,"suffix":""}],"collection-title":"IC4E 2021","container-title":"ACM International Conference Proceeding Series","id":"ITEM-1","issued":{"date-parts":[["2021"]]},"page":"323-332","publisher":"Association for Computing Machinery","publisher-place":"New York, NY, USA","title":"The Analyse of Financial Technology Industry and Case Study of Some Typical Companies","type":"paper-conference"},"uris":["http://www.mendeley.com/documents/?uuid=ca22cc6e-9565-4755-8b59-17494845c79f"]}],"mendeley":{"formattedCitation":"(Haotian, Dong and Li, 2021)","plainTextFormattedCitation":"(Haotian, Dong and Li, 2021)","previouslyFormattedCitation":"(Haotian, Dong and Li, 2021)"},"properties":{"noteIndex":0},"schema":"https://github.com/citation-style-language/schema/raw/master/csl-citation.json"}</w:instrText>
      </w:r>
      <w:r>
        <w:rPr>
          <w:rFonts w:ascii="Arial" w:hAnsi="Arial" w:cs="Arial"/>
          <w:sz w:val="24"/>
          <w:szCs w:val="24"/>
        </w:rPr>
        <w:fldChar w:fldCharType="separate"/>
      </w:r>
      <w:r w:rsidRPr="00231EEC">
        <w:rPr>
          <w:rFonts w:ascii="Arial" w:hAnsi="Arial" w:cs="Arial"/>
          <w:noProof/>
          <w:sz w:val="24"/>
          <w:szCs w:val="24"/>
        </w:rPr>
        <w:t>(Haotian, Dong and Li, 2021)</w:t>
      </w:r>
      <w:r>
        <w:rPr>
          <w:rFonts w:ascii="Arial" w:hAnsi="Arial" w:cs="Arial"/>
          <w:sz w:val="24"/>
          <w:szCs w:val="24"/>
        </w:rPr>
        <w:fldChar w:fldCharType="end"/>
      </w:r>
      <w:r>
        <w:rPr>
          <w:rFonts w:ascii="Arial" w:hAnsi="Arial" w:cs="Arial"/>
          <w:sz w:val="24"/>
          <w:szCs w:val="24"/>
        </w:rPr>
        <w:t xml:space="preserve">. As in the example of the company’s establishment of autonomous server farms and data centres, such practices have not been made by any other internet company in China, who critically depend on foreign companies such as Oricon and IBM </w:t>
      </w:r>
      <w:r>
        <w:rPr>
          <w:rFonts w:ascii="Arial" w:hAnsi="Arial" w:cs="Arial"/>
          <w:sz w:val="24"/>
          <w:szCs w:val="24"/>
        </w:rPr>
        <w:fldChar w:fldCharType="begin" w:fldLock="1"/>
      </w:r>
      <w:r>
        <w:rPr>
          <w:rFonts w:ascii="Arial" w:hAnsi="Arial" w:cs="Arial"/>
          <w:sz w:val="24"/>
          <w:szCs w:val="24"/>
        </w:rPr>
        <w:instrText>ADDIN CSL_CITATION {"citationItems":[{"id":"ITEM-1","itemData":{"DOI":"10.3390/computers10040052","ISBN":"2073-431X","ISSN":"2073431X","abstract":"The financial crisis of the last decade has left many financial institutions with limited personnel and equipment resources. Thus, the IT departments of these institutions are being asked to explore novel approaches to resolve these constraints in a cost-effective and efficient manner. The goal of this paper is to measure the impact of modern enabling technologies, such as virtualization, in the process of replacing legacy infrastructures. This paper proposes an IT services upgrade plan approach for an organization by using modern technologies. For this purpose, research took place in an operating financial institution, which required a significant upgrade of both its service-level and its hardware infrastructure. A virtualization implementation and deployment assessment for the entire infrastructure was conducted and the resulting consolidated data are presented and analysed. The paper concludes with a five-year financial-based evaluation of the proposed approach with respect to the projection of expenditures, the return of investment and profitability.","author":[{"dropping-particle":"","family":"Lambropoulos","given":"Georgios","non-dropping-particle":"","parse-names":false,"suffix":""},{"dropping-particle":"","family":"Mitropoulos","given":"Sarandis","non-dropping-particle":"","parse-names":false,"suffix":""},{"dropping-particle":"","family":"Douligeris","given":"Christos","non-dropping-particle":"","parse-names":false,"suffix":""}],"container-title":"Computers","id":"ITEM-1","issue":"4","issued":{"date-parts":[["2021"]]},"title":"Improving business performance by employing virtualization technology: A case study in the financial sector","type":"article-journal","volume":"10"},"uris":["http://www.mendeley.com/documents/?uuid=1d8e5b31-f305-4b07-a10d-5daa088683fd"]}],"mendeley":{"formattedCitation":"(Lambropoulos, Mitropoulos and Douligeris, 2021)","plainTextFormattedCitation":"(Lambropoulos, Mitropoulos and Douligeris, 2021)","previouslyFormattedCitation":"(Lambropoulos, Mitropoulos and Douligeris, 2021)"},"properties":{"noteIndex":0},"schema":"https://github.com/citation-style-language/schema/raw/master/csl-citation.json"}</w:instrText>
      </w:r>
      <w:r>
        <w:rPr>
          <w:rFonts w:ascii="Arial" w:hAnsi="Arial" w:cs="Arial"/>
          <w:sz w:val="24"/>
          <w:szCs w:val="24"/>
        </w:rPr>
        <w:fldChar w:fldCharType="separate"/>
      </w:r>
      <w:r w:rsidRPr="00231EEC">
        <w:rPr>
          <w:rFonts w:ascii="Arial" w:hAnsi="Arial" w:cs="Arial"/>
          <w:noProof/>
          <w:sz w:val="24"/>
          <w:szCs w:val="24"/>
        </w:rPr>
        <w:t>(Lambropoulos, Mitropoulos and Douligeris, 2021)</w:t>
      </w:r>
      <w:r>
        <w:rPr>
          <w:rFonts w:ascii="Arial" w:hAnsi="Arial" w:cs="Arial"/>
          <w:sz w:val="24"/>
          <w:szCs w:val="24"/>
        </w:rPr>
        <w:fldChar w:fldCharType="end"/>
      </w:r>
      <w:r>
        <w:rPr>
          <w:rFonts w:ascii="Arial" w:hAnsi="Arial" w:cs="Arial"/>
          <w:sz w:val="24"/>
          <w:szCs w:val="24"/>
        </w:rPr>
        <w:t xml:space="preserve">. The resources are also highly organisationally supported as the company has decided to establish its own expert team on building all key component and technologies based on in-house and open-source technologies rather than relying on global leaders such as IBM and Oricon </w:t>
      </w:r>
      <w:r>
        <w:rPr>
          <w:rFonts w:ascii="Arial" w:hAnsi="Arial" w:cs="Arial"/>
          <w:sz w:val="24"/>
          <w:szCs w:val="24"/>
        </w:rPr>
        <w:fldChar w:fldCharType="begin" w:fldLock="1"/>
      </w:r>
      <w:r w:rsidR="00B87F49">
        <w:rPr>
          <w:rFonts w:ascii="Arial" w:hAnsi="Arial" w:cs="Arial"/>
          <w:sz w:val="24"/>
          <w:szCs w:val="24"/>
        </w:rPr>
        <w:instrText>ADDIN CSL_CITATION {"citationItems":[{"id":"ITEM-1","itemData":{"author":[{"dropping-particle":"","family":"Zhu","given":"Feng","non-dropping-particle":"","parse-names":false,"suffix":""},{"dropping-particle":"","family":"Zhang","given":"Ying","non-dropping-particle":"","parse-names":false,"suffix":""},{"dropping-particle":"","family":"Palepu","given":"Krishna G.","non-dropping-particle":"","parse-names":false,"suffix":""},{"dropping-particle":"","family":"Woo","given":"Anthony K.","non-dropping-particle":"","parse-names":false,"suffix":""},{"dropping-particle":"","family":"Dai","given":"Nancy Hua","non-dropping-particle":"","parse-names":false,"suffix":""}],"id":"ITEM-1","issued":{"date-parts":[["2017"]]},"title":"Ant Financial (A)","type":"legal_case"},"uris":["http://www.mendeley.com/documents/?uuid=a4bfdd6c-565c-4820-a7d1-eccb84002dd6"]}],"mendeley":{"formattedCitation":"(Zhu &lt;i&gt;et al.&lt;/i&gt;, 2017)","plainTextFormattedCitation":"(Zhu et al., 2017)","previouslyFormattedCitation":"(Zhu &lt;i&gt;et al.&lt;/i&gt;, 2017)"},"properties":{"noteIndex":0},"schema":"https://github.com/citation-style-language/schema/raw/master/csl-citation.json"}</w:instrText>
      </w:r>
      <w:r>
        <w:rPr>
          <w:rFonts w:ascii="Arial" w:hAnsi="Arial" w:cs="Arial"/>
          <w:sz w:val="24"/>
          <w:szCs w:val="24"/>
        </w:rPr>
        <w:fldChar w:fldCharType="separate"/>
      </w:r>
      <w:r w:rsidRPr="00231EEC">
        <w:rPr>
          <w:rFonts w:ascii="Arial" w:hAnsi="Arial" w:cs="Arial"/>
          <w:noProof/>
          <w:sz w:val="24"/>
          <w:szCs w:val="24"/>
        </w:rPr>
        <w:t xml:space="preserve">(Zhu </w:t>
      </w:r>
      <w:r w:rsidRPr="00231EEC">
        <w:rPr>
          <w:rFonts w:ascii="Arial" w:hAnsi="Arial" w:cs="Arial"/>
          <w:i/>
          <w:noProof/>
          <w:sz w:val="24"/>
          <w:szCs w:val="24"/>
        </w:rPr>
        <w:t>et al.</w:t>
      </w:r>
      <w:r w:rsidRPr="00231EEC">
        <w:rPr>
          <w:rFonts w:ascii="Arial" w:hAnsi="Arial" w:cs="Arial"/>
          <w:noProof/>
          <w:sz w:val="24"/>
          <w:szCs w:val="24"/>
        </w:rPr>
        <w:t>, 2017)</w:t>
      </w:r>
      <w:r>
        <w:rPr>
          <w:rFonts w:ascii="Arial" w:hAnsi="Arial" w:cs="Arial"/>
          <w:sz w:val="24"/>
          <w:szCs w:val="24"/>
        </w:rPr>
        <w:fldChar w:fldCharType="end"/>
      </w:r>
      <w:r>
        <w:rPr>
          <w:rFonts w:ascii="Arial" w:hAnsi="Arial" w:cs="Arial"/>
          <w:sz w:val="24"/>
          <w:szCs w:val="24"/>
        </w:rPr>
        <w:t xml:space="preserve">. </w:t>
      </w:r>
    </w:p>
    <w:p w14:paraId="5D93BEEA" w14:textId="0439FCE8" w:rsidR="00231EEC"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lastRenderedPageBreak/>
        <w:t xml:space="preserve">The above analysis shows that the key resources of Ant Financial are highly valuable, rara and non-imitable and with organisational support. This could be the result of the fact the company was recently detached from the Alibaba group so that the company could better focus on the establishment of its own capabilities and resources. </w:t>
      </w:r>
    </w:p>
    <w:p w14:paraId="3FA80F4C" w14:textId="74AFF251" w:rsidR="00231EEC" w:rsidRPr="00231EEC" w:rsidRDefault="00231EEC" w:rsidP="00B16050">
      <w:pPr>
        <w:pStyle w:val="a7"/>
        <w:widowControl/>
        <w:numPr>
          <w:ilvl w:val="2"/>
          <w:numId w:val="2"/>
        </w:numPr>
        <w:spacing w:beforeLines="50" w:before="156" w:afterLines="50" w:after="156" w:line="480" w:lineRule="auto"/>
        <w:ind w:firstLineChars="0"/>
        <w:outlineLvl w:val="2"/>
        <w:rPr>
          <w:rFonts w:ascii="Arial" w:hAnsi="Arial" w:cs="Arial"/>
          <w:b/>
          <w:bCs/>
          <w:i/>
          <w:iCs/>
          <w:sz w:val="24"/>
          <w:szCs w:val="24"/>
        </w:rPr>
      </w:pPr>
      <w:bookmarkStart w:id="12" w:name="_Toc90658113"/>
      <w:r w:rsidRPr="00231EEC">
        <w:rPr>
          <w:rFonts w:ascii="Arial" w:hAnsi="Arial" w:cs="Arial" w:hint="eastAsia"/>
          <w:b/>
          <w:bCs/>
          <w:i/>
          <w:iCs/>
          <w:sz w:val="24"/>
          <w:szCs w:val="24"/>
        </w:rPr>
        <w:t>S</w:t>
      </w:r>
      <w:r w:rsidRPr="00231EEC">
        <w:rPr>
          <w:rFonts w:ascii="Arial" w:hAnsi="Arial" w:cs="Arial"/>
          <w:b/>
          <w:bCs/>
          <w:i/>
          <w:iCs/>
          <w:sz w:val="24"/>
          <w:szCs w:val="24"/>
        </w:rPr>
        <w:t>WOT analysis</w:t>
      </w:r>
      <w:bookmarkEnd w:id="12"/>
      <w:r w:rsidRPr="00231EEC">
        <w:rPr>
          <w:rFonts w:ascii="Arial" w:hAnsi="Arial" w:cs="Arial"/>
          <w:b/>
          <w:bCs/>
          <w:i/>
          <w:iCs/>
          <w:sz w:val="24"/>
          <w:szCs w:val="24"/>
        </w:rPr>
        <w:t xml:space="preserve"> </w:t>
      </w:r>
    </w:p>
    <w:p w14:paraId="1CEFF5BA" w14:textId="29274C96" w:rsidR="00231EEC"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SWOT analysis provides the synthesis of the environmental analysis of the company, offering the overview of the strengths, weaknesses, opportunities and threats faced by the company. </w:t>
      </w:r>
    </w:p>
    <w:p w14:paraId="63B1E4A4" w14:textId="47EFE47F" w:rsidR="00231EEC" w:rsidRPr="00231EEC" w:rsidRDefault="00231EEC"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231EEC">
        <w:rPr>
          <w:rFonts w:ascii="Arial" w:hAnsi="Arial" w:cs="Arial"/>
          <w:b/>
          <w:bCs/>
          <w:i/>
          <w:iCs/>
          <w:sz w:val="24"/>
          <w:szCs w:val="24"/>
          <w:u w:val="single"/>
        </w:rPr>
        <w:t xml:space="preserve">Strengths </w:t>
      </w:r>
    </w:p>
    <w:p w14:paraId="1222ABFD" w14:textId="3799AF65" w:rsidR="006605A1"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primary strength, according to the analysis in section 2.1 and 2.2, are the capabilities and resources of the company, as the strong financial capability, human resource, and the technology leading position. More importantly, this report finds that these resources or capabilities are mounting in the company, making them more valuable and non-imitable against its competitors. </w:t>
      </w:r>
    </w:p>
    <w:p w14:paraId="1DEA923B" w14:textId="68EC67CC" w:rsidR="00231EEC" w:rsidRPr="00231EEC" w:rsidRDefault="00231EEC"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231EEC">
        <w:rPr>
          <w:rFonts w:ascii="Arial" w:hAnsi="Arial" w:cs="Arial"/>
          <w:b/>
          <w:bCs/>
          <w:i/>
          <w:iCs/>
          <w:sz w:val="24"/>
          <w:szCs w:val="24"/>
          <w:u w:val="single"/>
        </w:rPr>
        <w:t xml:space="preserve">Weaknesses </w:t>
      </w:r>
    </w:p>
    <w:p w14:paraId="02017B2B" w14:textId="721A2A66" w:rsidR="00C866CB" w:rsidRDefault="00231EEC"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primary weakness of the company is that the company has not been able to penetrate into the business lines of its competitors. As in platforms such as </w:t>
      </w:r>
      <w:proofErr w:type="gramStart"/>
      <w:r>
        <w:rPr>
          <w:rFonts w:ascii="Arial" w:hAnsi="Arial" w:cs="Arial"/>
          <w:sz w:val="24"/>
          <w:szCs w:val="24"/>
        </w:rPr>
        <w:t>JD.Com</w:t>
      </w:r>
      <w:proofErr w:type="gramEnd"/>
      <w:r>
        <w:rPr>
          <w:rFonts w:ascii="Arial" w:hAnsi="Arial" w:cs="Arial"/>
          <w:sz w:val="24"/>
          <w:szCs w:val="24"/>
        </w:rPr>
        <w:t xml:space="preserve"> which is also a major e-commerce platform in China, users can still not use the Alipay. </w:t>
      </w:r>
    </w:p>
    <w:p w14:paraId="70D991FF" w14:textId="234AEE07" w:rsidR="00B87F49" w:rsidRDefault="00B87F49" w:rsidP="00B16050">
      <w:pPr>
        <w:widowControl/>
        <w:spacing w:beforeLines="50" w:before="156" w:afterLines="50" w:after="156" w:line="480" w:lineRule="auto"/>
        <w:rPr>
          <w:rFonts w:ascii="Arial" w:hAnsi="Arial" w:cs="Arial"/>
          <w:sz w:val="24"/>
          <w:szCs w:val="24"/>
        </w:rPr>
      </w:pPr>
      <w:r>
        <w:rPr>
          <w:rFonts w:ascii="Arial" w:hAnsi="Arial" w:cs="Arial"/>
          <w:sz w:val="24"/>
          <w:szCs w:val="24"/>
        </w:rPr>
        <w:lastRenderedPageBreak/>
        <w:t xml:space="preserve">Another weakness of the company is that the company has been stopped on the IPO process as discussed in this study, which could undermine the financing capability of the company in the long-run. </w:t>
      </w:r>
    </w:p>
    <w:p w14:paraId="0C9A3892" w14:textId="3DED989F" w:rsidR="00B87F49" w:rsidRPr="00B87F49" w:rsidRDefault="00B87F49"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B87F49">
        <w:rPr>
          <w:rFonts w:ascii="Arial" w:hAnsi="Arial" w:cs="Arial"/>
          <w:b/>
          <w:bCs/>
          <w:i/>
          <w:iCs/>
          <w:sz w:val="24"/>
          <w:szCs w:val="24"/>
          <w:u w:val="single"/>
        </w:rPr>
        <w:t xml:space="preserve">Opportunities </w:t>
      </w:r>
    </w:p>
    <w:p w14:paraId="5B75BB09" w14:textId="118E2B03" w:rsidR="00B87F49" w:rsidRDefault="00B87F49" w:rsidP="00B16050">
      <w:pPr>
        <w:widowControl/>
        <w:spacing w:beforeLines="50" w:before="156" w:afterLines="50" w:after="156" w:line="480" w:lineRule="auto"/>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 primary opportunity is the increasing acceptance and adoption of digital financial services in China, which allows the company to expand to more business lines in the years to come. The secondary opportunity is provided by the regulatory bodies in China, though could harm the company, but also could harm its competitors. </w:t>
      </w:r>
    </w:p>
    <w:p w14:paraId="1614DE25" w14:textId="16211BBE" w:rsidR="00B87F49" w:rsidRPr="00B87F49" w:rsidRDefault="00B87F49" w:rsidP="00B16050">
      <w:pPr>
        <w:pStyle w:val="a7"/>
        <w:widowControl/>
        <w:numPr>
          <w:ilvl w:val="0"/>
          <w:numId w:val="5"/>
        </w:numPr>
        <w:spacing w:beforeLines="50" w:before="156" w:afterLines="50" w:after="156" w:line="480" w:lineRule="auto"/>
        <w:ind w:firstLineChars="0"/>
        <w:outlineLvl w:val="3"/>
        <w:rPr>
          <w:rFonts w:ascii="Arial" w:hAnsi="Arial" w:cs="Arial"/>
          <w:b/>
          <w:bCs/>
          <w:i/>
          <w:iCs/>
          <w:sz w:val="24"/>
          <w:szCs w:val="24"/>
          <w:u w:val="single"/>
        </w:rPr>
      </w:pPr>
      <w:r w:rsidRPr="00B87F49">
        <w:rPr>
          <w:rFonts w:ascii="Arial" w:hAnsi="Arial" w:cs="Arial"/>
          <w:b/>
          <w:bCs/>
          <w:i/>
          <w:iCs/>
          <w:sz w:val="24"/>
          <w:szCs w:val="24"/>
          <w:u w:val="single"/>
        </w:rPr>
        <w:t>Threats</w:t>
      </w:r>
    </w:p>
    <w:p w14:paraId="296A7F33" w14:textId="62B00999" w:rsidR="00B87F49" w:rsidRDefault="00B87F49"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The threats to the company are not directly from the market but from the regulatory bodies in China and the macro-economic environment in China under the pandemic. The regulatory bodies, as in the example of the halting of the IPO process, could significantly affect the company’s routine operations and strategic design. </w:t>
      </w:r>
    </w:p>
    <w:p w14:paraId="166D1DCF" w14:textId="77777777" w:rsidR="00B87F49" w:rsidRDefault="00B87F49" w:rsidP="00B16050">
      <w:pPr>
        <w:widowControl/>
        <w:spacing w:line="480" w:lineRule="auto"/>
        <w:jc w:val="left"/>
        <w:rPr>
          <w:rFonts w:ascii="Arial" w:hAnsi="Arial" w:cs="Arial"/>
          <w:sz w:val="24"/>
          <w:szCs w:val="24"/>
        </w:rPr>
      </w:pPr>
      <w:r>
        <w:rPr>
          <w:rFonts w:ascii="Arial" w:hAnsi="Arial" w:cs="Arial"/>
          <w:sz w:val="24"/>
          <w:szCs w:val="24"/>
        </w:rPr>
        <w:br w:type="page"/>
      </w:r>
    </w:p>
    <w:p w14:paraId="6E9C7D08" w14:textId="25D291AA" w:rsidR="00B87F49" w:rsidRPr="00B87F49" w:rsidRDefault="00B87F49" w:rsidP="00B16050">
      <w:pPr>
        <w:pStyle w:val="a7"/>
        <w:widowControl/>
        <w:numPr>
          <w:ilvl w:val="0"/>
          <w:numId w:val="2"/>
        </w:numPr>
        <w:pBdr>
          <w:bottom w:val="single" w:sz="18" w:space="1" w:color="9F2936" w:themeColor="accent2"/>
        </w:pBdr>
        <w:spacing w:beforeLines="150" w:before="468" w:afterLines="150" w:after="468" w:line="480" w:lineRule="auto"/>
        <w:ind w:firstLineChars="0"/>
        <w:jc w:val="center"/>
        <w:outlineLvl w:val="0"/>
        <w:rPr>
          <w:rFonts w:ascii="Arial" w:hAnsi="Arial" w:cs="Arial"/>
          <w:b/>
          <w:bCs/>
          <w:color w:val="14415C" w:themeColor="accent3" w:themeShade="BF"/>
          <w:sz w:val="36"/>
          <w:szCs w:val="36"/>
        </w:rPr>
      </w:pPr>
      <w:bookmarkStart w:id="13" w:name="_Toc90658114"/>
      <w:r w:rsidRPr="00B87F49">
        <w:rPr>
          <w:rFonts w:ascii="Arial" w:hAnsi="Arial" w:cs="Arial"/>
          <w:b/>
          <w:bCs/>
          <w:color w:val="14415C" w:themeColor="accent3" w:themeShade="BF"/>
          <w:sz w:val="36"/>
          <w:szCs w:val="36"/>
        </w:rPr>
        <w:lastRenderedPageBreak/>
        <w:t>The management of future strategies</w:t>
      </w:r>
      <w:bookmarkEnd w:id="13"/>
      <w:r w:rsidRPr="00B87F49">
        <w:rPr>
          <w:rFonts w:ascii="Arial" w:hAnsi="Arial" w:cs="Arial"/>
          <w:b/>
          <w:bCs/>
          <w:color w:val="14415C" w:themeColor="accent3" w:themeShade="BF"/>
          <w:sz w:val="36"/>
          <w:szCs w:val="36"/>
        </w:rPr>
        <w:t xml:space="preserve"> </w:t>
      </w:r>
    </w:p>
    <w:p w14:paraId="47A78D77" w14:textId="75F1A242" w:rsidR="00B87F49" w:rsidRDefault="00B87F49" w:rsidP="00B16050">
      <w:pPr>
        <w:widowControl/>
        <w:spacing w:beforeLines="50" w:before="156" w:afterLines="50" w:after="156" w:line="480" w:lineRule="auto"/>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 current strategy of the company, as to focus on digital and financial innovation, has been leading the company well as exampled by the strong strengths established in the company. It should be pointed out that, though these strengths have brought the company to a place that could serve the individual and small private business in China, they can hardly help to prepare the company for future threats </w:t>
      </w:r>
      <w:r>
        <w:rPr>
          <w:rFonts w:ascii="Arial" w:hAnsi="Arial" w:cs="Arial"/>
          <w:sz w:val="24"/>
          <w:szCs w:val="24"/>
        </w:rPr>
        <w:fldChar w:fldCharType="begin" w:fldLock="1"/>
      </w:r>
      <w:r>
        <w:rPr>
          <w:rFonts w:ascii="Arial" w:hAnsi="Arial" w:cs="Arial"/>
          <w:sz w:val="24"/>
          <w:szCs w:val="24"/>
        </w:rPr>
        <w:instrText>ADDIN CSL_CITATION {"citationItems":[{"id":"ITEM-1","itemData":{"abstract":"The financial industry has witnessed the so-called “fintech revolution” in recent years. Due to the emergence of information technologies such as cloud computing, big data, blockchain and artificial intelligence, the landscape of the traditional financial industry has been largely transformed. The interplay between finance and technology has resulted in various new forms of financial services and products, like online P2P lending, digital-based banking, insurtech, bitcoin as well as the burgeoning mobile payment sector. Alipay, the mobile payment service arm of the Ant Financial Services Group (hereafter referred to as Ant Financial), is a perfect example to illustrate the ongoing fintech revolution and how it is disrupting the conventional retail banking model and payment industry. This article aims to introduce and analyse the world’s largest mobile payment system as well as some of the regulatory challenges it poses. It attempts to offer some guidance for legal practitioners in banking and finance, in particular, the multi-billion dollar fintech sector.","author":[{"dropping-particle":"","family":"Lu","given":"Lerong","non-dropping-particle":"","parse-names":false,"suffix":""}],"container-title":"Butterworths Journal of International Banking and Financial Law","id":"ITEM-1","issue":"1","issued":{"date-parts":[["2018"]]},"page":"40-43","title":"Decoding Alipay: mobile payments, a cashless society and regulatory challenges","type":"article-journal","volume":"33"},"uris":["http://www.mendeley.com/documents/?uuid=a53c8279-4a1e-4fdc-913d-d901255fc8ce"]}],"mendeley":{"formattedCitation":"(Lu, 2018)","plainTextFormattedCitation":"(Lu, 2018)","previouslyFormattedCitation":"(Lu, 2018)"},"properties":{"noteIndex":0},"schema":"https://github.com/citation-style-language/schema/raw/master/csl-citation.json"}</w:instrText>
      </w:r>
      <w:r>
        <w:rPr>
          <w:rFonts w:ascii="Arial" w:hAnsi="Arial" w:cs="Arial"/>
          <w:sz w:val="24"/>
          <w:szCs w:val="24"/>
        </w:rPr>
        <w:fldChar w:fldCharType="separate"/>
      </w:r>
      <w:r w:rsidRPr="00B87F49">
        <w:rPr>
          <w:rFonts w:ascii="Arial" w:hAnsi="Arial" w:cs="Arial"/>
          <w:noProof/>
          <w:sz w:val="24"/>
          <w:szCs w:val="24"/>
        </w:rPr>
        <w:t>(Lu, 2018)</w:t>
      </w:r>
      <w:r>
        <w:rPr>
          <w:rFonts w:ascii="Arial" w:hAnsi="Arial" w:cs="Arial"/>
          <w:sz w:val="24"/>
          <w:szCs w:val="24"/>
        </w:rPr>
        <w:fldChar w:fldCharType="end"/>
      </w:r>
      <w:r>
        <w:rPr>
          <w:rFonts w:ascii="Arial" w:hAnsi="Arial" w:cs="Arial"/>
          <w:sz w:val="24"/>
          <w:szCs w:val="24"/>
        </w:rPr>
        <w:t xml:space="preserve">. As in the example of personalised financial services provided to users, the company is on one hand appraised by users for providing highly convenient financial services and on the other hand criticized by the regulatory body regarding the potential abuse of user privacy </w:t>
      </w:r>
      <w:r>
        <w:rPr>
          <w:rFonts w:ascii="Arial" w:hAnsi="Arial" w:cs="Arial"/>
          <w:sz w:val="24"/>
          <w:szCs w:val="24"/>
        </w:rPr>
        <w:fldChar w:fldCharType="begin" w:fldLock="1"/>
      </w:r>
      <w:r w:rsidR="006F6EDE">
        <w:rPr>
          <w:rFonts w:ascii="Arial" w:hAnsi="Arial" w:cs="Arial"/>
          <w:sz w:val="24"/>
          <w:szCs w:val="24"/>
        </w:rPr>
        <w:instrText>ADDIN CSL_CITATION {"citationItems":[{"id":"ITEM-1","itemData":{"ISSN":"2357-1705","abstract":"Data-driven technologies and platform economies have been widely employed by Chinese companies in a variety of business sectors. In the past decade, these digital applications have profoundly restructured economic development and power relations in Chinese society. This article examines how the promotions of fintech media and communication technologies for transactions, loans, investments and many other financial practices-engender and enlarge Alibaba's digital financial platform, Ant Financial, the largest digital financial company in China. From a political economy of communication perspective, we consider Ant Financial as a product of data-centric corporate convergence in which fintech media have extracted user data from Alibaba's e-commerce and digital payment platforms and utilized this data to drive Alibaba's growth in financial businesses. The consolidation of multiple platforms has transformed financial industries, challenged policy and regulatory regimes, and reshaped the cultures of finance in China. The convergence paradigm underpins the digital, technology-driven logic facilitated by the state in resource allocation and policy-making. The government's supportive role is a vital condition for the rise of Chinese fintech giants such as Baidu Finance, Ant Financial, Tencent Finance, and Jingdong Finance. In June 2013, China's largest e-commerce company, Alibaba, launched an online application, Yu'ebao, which allowed e-shoppers to transfer dormant cash from their payment account on Alipay to an investment account. Through the user-friendly app, the 'investors' get higher return rates than their regular deposits at banks and through other sorts of financial investment. In less than a year, Yu'ebao had attracted more than US$65 million and, by 2017, had accumulated $165 billion dollars of assets under management to become the world's largest money market fund (Lucas, 2017). A year after the launch of Yu'ebao, Alibaba integrated its digital payment sector and services into a financial","author":[{"dropping-particle":"","family":"Wang","given":"Jing","non-dropping-particle":"","parse-names":false,"suffix":""},{"dropping-particle":"","family":"Doan","given":"Mai Anh","non-dropping-particle":"","parse-names":false,"suffix":""}],"container-title":"The Political Economy of Communication","id":"ITEM-1","issue":"June 2013","issued":{"date-parts":[["2018"]]},"page":"25-37","title":"The Ant Empire: Fintech Media and Corporate Convergence within and beyond Alibaba","type":"article-journal","volume":"6"},"uris":["http://www.mendeley.com/documents/?uuid=99ba5a8e-c8e6-4c73-81bf-b65265025d91"]}],"mendeley":{"formattedCitation":"(Wang and Doan, 2018)","plainTextFormattedCitation":"(Wang and Doan, 2018)","previouslyFormattedCitation":"(Wang and Doan, 2018)"},"properties":{"noteIndex":0},"schema":"https://github.com/citation-style-language/schema/raw/master/csl-citation.json"}</w:instrText>
      </w:r>
      <w:r>
        <w:rPr>
          <w:rFonts w:ascii="Arial" w:hAnsi="Arial" w:cs="Arial"/>
          <w:sz w:val="24"/>
          <w:szCs w:val="24"/>
        </w:rPr>
        <w:fldChar w:fldCharType="separate"/>
      </w:r>
      <w:r w:rsidRPr="00B87F49">
        <w:rPr>
          <w:rFonts w:ascii="Arial" w:hAnsi="Arial" w:cs="Arial"/>
          <w:noProof/>
          <w:sz w:val="24"/>
          <w:szCs w:val="24"/>
        </w:rPr>
        <w:t>(Wang and Doan, 2018)</w:t>
      </w:r>
      <w:r>
        <w:rPr>
          <w:rFonts w:ascii="Arial" w:hAnsi="Arial" w:cs="Arial"/>
          <w:sz w:val="24"/>
          <w:szCs w:val="24"/>
        </w:rPr>
        <w:fldChar w:fldCharType="end"/>
      </w:r>
      <w:r>
        <w:rPr>
          <w:rFonts w:ascii="Arial" w:hAnsi="Arial" w:cs="Arial"/>
          <w:sz w:val="24"/>
          <w:szCs w:val="24"/>
        </w:rPr>
        <w:t xml:space="preserve">. </w:t>
      </w:r>
    </w:p>
    <w:p w14:paraId="68B188EF" w14:textId="2C561F97" w:rsidR="00B87F49" w:rsidRDefault="00B87F49"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In this regard, the company is thus to redesign its business development strategy based on the current business strategy. Apart from focusing on the financial and technological innovation, the company should focus on the collaboration with regulatory bodies and on the investment on inclusive financial services. The collaboration with the regulatory body can help the company to gain a better understanding of the regulatory environment and helps the regulatory bodies to understand the market, which could ultimately benefit the market leader, as the Ant Financial company. The focus on the inclusive finance could benefit more individual and small private businesses, by doing which not only the data analytics capacity of the company can be enhanced, it could also gain more experience on protecting the user data and their privacy. </w:t>
      </w:r>
    </w:p>
    <w:p w14:paraId="7F06C017" w14:textId="1BA26740" w:rsidR="00B87F49" w:rsidRDefault="006F6EDE" w:rsidP="00B16050">
      <w:pPr>
        <w:widowControl/>
        <w:spacing w:beforeLines="50" w:before="156" w:afterLines="50" w:after="156" w:line="480" w:lineRule="auto"/>
        <w:rPr>
          <w:rFonts w:ascii="Arial" w:hAnsi="Arial" w:cs="Arial"/>
          <w:sz w:val="24"/>
          <w:szCs w:val="24"/>
        </w:rPr>
      </w:pPr>
      <w:r>
        <w:rPr>
          <w:rFonts w:ascii="Arial" w:hAnsi="Arial" w:cs="Arial"/>
          <w:sz w:val="24"/>
          <w:szCs w:val="24"/>
        </w:rPr>
        <w:lastRenderedPageBreak/>
        <w:t>T</w:t>
      </w:r>
      <w:r w:rsidR="00B87F49">
        <w:rPr>
          <w:rFonts w:ascii="Arial" w:hAnsi="Arial" w:cs="Arial"/>
          <w:sz w:val="24"/>
          <w:szCs w:val="24"/>
        </w:rPr>
        <w:t xml:space="preserve">he company has provided products that are exclusive and highly valuable, rate and non-imitable to the market with </w:t>
      </w:r>
      <w:r>
        <w:rPr>
          <w:rFonts w:ascii="Arial" w:hAnsi="Arial" w:cs="Arial"/>
          <w:sz w:val="24"/>
          <w:szCs w:val="24"/>
        </w:rPr>
        <w:t>moderate</w:t>
      </w:r>
      <w:r w:rsidR="00B87F49">
        <w:rPr>
          <w:rFonts w:ascii="Arial" w:hAnsi="Arial" w:cs="Arial"/>
          <w:sz w:val="24"/>
          <w:szCs w:val="24"/>
        </w:rPr>
        <w:t xml:space="preserve"> price as the primary cost is charged to data users</w:t>
      </w:r>
      <w:r>
        <w:rPr>
          <w:rFonts w:ascii="Arial" w:hAnsi="Arial" w:cs="Arial"/>
          <w:sz w:val="24"/>
          <w:szCs w:val="24"/>
        </w:rPr>
        <w:t xml:space="preserve">. In this regard, based on the </w:t>
      </w:r>
      <w:r w:rsidRPr="00B87F49">
        <w:rPr>
          <w:rFonts w:ascii="Arial" w:hAnsi="Arial" w:cs="Arial"/>
          <w:sz w:val="24"/>
          <w:szCs w:val="24"/>
        </w:rPr>
        <w:t>Bowman’s model</w:t>
      </w:r>
      <w:r>
        <w:rPr>
          <w:rFonts w:ascii="Arial" w:hAnsi="Arial" w:cs="Arial"/>
          <w:sz w:val="24"/>
          <w:szCs w:val="24"/>
        </w:rPr>
        <w:t>,</w:t>
      </w:r>
      <w:r w:rsidRPr="006F6EDE">
        <w:rPr>
          <w:rFonts w:ascii="Arial" w:hAnsi="Arial" w:cs="Arial"/>
          <w:sz w:val="24"/>
          <w:szCs w:val="24"/>
        </w:rPr>
        <w:t xml:space="preserve"> </w:t>
      </w:r>
      <w:r>
        <w:rPr>
          <w:rFonts w:ascii="Arial" w:hAnsi="Arial" w:cs="Arial"/>
          <w:sz w:val="24"/>
          <w:szCs w:val="24"/>
        </w:rPr>
        <w:t xml:space="preserve">the strategy of the company is focus on the differentiation of products and services </w:t>
      </w:r>
      <w:r>
        <w:rPr>
          <w:rFonts w:ascii="Arial" w:hAnsi="Arial" w:cs="Arial"/>
          <w:sz w:val="24"/>
          <w:szCs w:val="24"/>
        </w:rPr>
        <w:fldChar w:fldCharType="begin" w:fldLock="1"/>
      </w:r>
      <w:r w:rsidR="005A3BEF">
        <w:rPr>
          <w:rFonts w:ascii="Arial" w:hAnsi="Arial" w:cs="Arial"/>
          <w:sz w:val="24"/>
          <w:szCs w:val="24"/>
        </w:rPr>
        <w:instrText>ADDIN CSL_CITATION {"citationItems":[{"id":"ITEM-1","itemData":{"DOI":"10.1057/s41270-018-0043-9","ISSN":"2050-3326","abstract":"Several authors developed predictive analytic models that link the value that represents customers to a firm (i.e., customer lifetime value) to several outcome variables, such as customer profitability, in relationship marketing. However, similar models that link the value that customers perceive and firm outcomes or customer responses are uncommon. To reduce this gap, we construct an analytic model that links customer-perceived value and a company’s competitive strategy, achieved through a multi-attribute model, analytic hierarchy processing, and a conceptualization of value that considers disparity between benefits and sacrifices. Operationalized in a context of industrial enterprise, the model predicts and orients a company’s competitive strategy and extends generic competitive strategies introduced in Bowman’s strategy clock mode by identifying when two strategies create competitive advantages.","author":[{"dropping-particle":"","family":"Echchakoui","given":"Said","non-dropping-particle":"","parse-names":false,"suffix":""}],"container-title":"Journal of Marketing Analytics","id":"ITEM-1","issue":"4","issued":{"date-parts":[["2018"]]},"page":"138-149","title":"An analytical model that links customer-perceived value and competitive strategies","type":"article-journal","volume":"6"},"uris":["http://www.mendeley.com/documents/?uuid=8bb4506e-4883-48b5-9941-3e1e5c3dcf52"]}],"mendeley":{"formattedCitation":"(Echchakoui, 2018)","plainTextFormattedCitation":"(Echchakoui, 2018)","previouslyFormattedCitation":"(Echchakoui, 2018)"},"properties":{"noteIndex":0},"schema":"https://github.com/citation-style-language/schema/raw/master/csl-citation.json"}</w:instrText>
      </w:r>
      <w:r>
        <w:rPr>
          <w:rFonts w:ascii="Arial" w:hAnsi="Arial" w:cs="Arial"/>
          <w:sz w:val="24"/>
          <w:szCs w:val="24"/>
        </w:rPr>
        <w:fldChar w:fldCharType="separate"/>
      </w:r>
      <w:r w:rsidRPr="006F6EDE">
        <w:rPr>
          <w:rFonts w:ascii="Arial" w:hAnsi="Arial" w:cs="Arial"/>
          <w:noProof/>
          <w:sz w:val="24"/>
          <w:szCs w:val="24"/>
        </w:rPr>
        <w:t>(Echchakoui, 2018)</w:t>
      </w:r>
      <w:r>
        <w:rPr>
          <w:rFonts w:ascii="Arial" w:hAnsi="Arial" w:cs="Arial"/>
          <w:sz w:val="24"/>
          <w:szCs w:val="24"/>
        </w:rPr>
        <w:fldChar w:fldCharType="end"/>
      </w:r>
      <w:r>
        <w:rPr>
          <w:rFonts w:ascii="Arial" w:hAnsi="Arial" w:cs="Arial"/>
          <w:sz w:val="24"/>
          <w:szCs w:val="24"/>
        </w:rPr>
        <w:t xml:space="preserve">. This echoes with the previous discussion as to provide services from the regulatory perspective and to provide service to those underserved in the market. </w:t>
      </w:r>
    </w:p>
    <w:p w14:paraId="67F946EB" w14:textId="5F06134B" w:rsidR="006F6EDE" w:rsidRPr="006F6EDE" w:rsidRDefault="006F6EDE" w:rsidP="00B16050">
      <w:pPr>
        <w:pStyle w:val="a7"/>
        <w:widowControl/>
        <w:numPr>
          <w:ilvl w:val="0"/>
          <w:numId w:val="2"/>
        </w:numPr>
        <w:pBdr>
          <w:bottom w:val="single" w:sz="18" w:space="1" w:color="9F2936" w:themeColor="accent2"/>
        </w:pBdr>
        <w:spacing w:beforeLines="150" w:before="468" w:afterLines="150" w:after="468" w:line="480" w:lineRule="auto"/>
        <w:ind w:firstLineChars="0"/>
        <w:jc w:val="center"/>
        <w:outlineLvl w:val="0"/>
        <w:rPr>
          <w:rFonts w:ascii="Arial" w:hAnsi="Arial" w:cs="Arial"/>
          <w:b/>
          <w:bCs/>
          <w:color w:val="14415C" w:themeColor="accent3" w:themeShade="BF"/>
          <w:sz w:val="36"/>
          <w:szCs w:val="36"/>
        </w:rPr>
      </w:pPr>
      <w:bookmarkStart w:id="14" w:name="_Toc90658115"/>
      <w:r w:rsidRPr="006F6EDE">
        <w:rPr>
          <w:rFonts w:ascii="Arial" w:hAnsi="Arial" w:cs="Arial"/>
          <w:b/>
          <w:bCs/>
          <w:color w:val="14415C" w:themeColor="accent3" w:themeShade="BF"/>
          <w:sz w:val="36"/>
          <w:szCs w:val="36"/>
        </w:rPr>
        <w:t>Conclusion</w:t>
      </w:r>
      <w:bookmarkEnd w:id="14"/>
      <w:r w:rsidRPr="006F6EDE">
        <w:rPr>
          <w:rFonts w:ascii="Arial" w:hAnsi="Arial" w:cs="Arial"/>
          <w:b/>
          <w:bCs/>
          <w:color w:val="14415C" w:themeColor="accent3" w:themeShade="BF"/>
          <w:sz w:val="36"/>
          <w:szCs w:val="36"/>
        </w:rPr>
        <w:t xml:space="preserve"> </w:t>
      </w:r>
    </w:p>
    <w:p w14:paraId="071F0D26" w14:textId="358946A3" w:rsidR="006F6EDE" w:rsidRDefault="006F6EDE" w:rsidP="00B16050">
      <w:pPr>
        <w:widowControl/>
        <w:spacing w:beforeLines="50" w:before="156" w:afterLines="50" w:after="156" w:line="480" w:lineRule="auto"/>
        <w:rPr>
          <w:rFonts w:ascii="Arial" w:hAnsi="Arial" w:cs="Arial"/>
          <w:sz w:val="24"/>
          <w:szCs w:val="24"/>
        </w:rPr>
      </w:pPr>
      <w:r>
        <w:rPr>
          <w:rFonts w:ascii="Arial" w:hAnsi="Arial" w:cs="Arial"/>
          <w:sz w:val="24"/>
          <w:szCs w:val="24"/>
        </w:rPr>
        <w:t>Based on the analysis in this report, it is concluded that the company has achieved to establish an effective strategy. The company has established a highly valuable and non-imitable resource set. The company has been able to transform its advantages in key resources to business growth and financial performance. This report concludes that the future strategy of the company, as facing the challenges from the macro-economic environment and the regulatory bodies, to collaborate with regulatory bodies in China and to tap into the underserved FinTech market in China. This echoes with the Bowman’s strategic clock model, which also suggests the establishment of a differentiation model.</w:t>
      </w:r>
    </w:p>
    <w:p w14:paraId="6E67B414" w14:textId="4FCF940B" w:rsidR="005A3BEF" w:rsidRDefault="006F6EDE" w:rsidP="00B16050">
      <w:pPr>
        <w:widowControl/>
        <w:spacing w:beforeLines="50" w:before="156" w:afterLines="50" w:after="156" w:line="480" w:lineRule="auto"/>
        <w:rPr>
          <w:rFonts w:ascii="Arial" w:hAnsi="Arial" w:cs="Arial"/>
          <w:sz w:val="24"/>
          <w:szCs w:val="24"/>
        </w:rPr>
      </w:pPr>
      <w:r>
        <w:rPr>
          <w:rFonts w:ascii="Arial" w:hAnsi="Arial" w:cs="Arial"/>
          <w:sz w:val="24"/>
          <w:szCs w:val="24"/>
        </w:rPr>
        <w:t xml:space="preserve">It should be pointed out that the analysis in this report is not holistic as more aspects, such as detailed financial performance, should be analysed, which is suggested to be conducted by future studies. </w:t>
      </w:r>
    </w:p>
    <w:p w14:paraId="696F4D20" w14:textId="77777777" w:rsidR="005A3BEF" w:rsidRDefault="005A3BEF" w:rsidP="00B16050">
      <w:pPr>
        <w:widowControl/>
        <w:spacing w:line="480" w:lineRule="auto"/>
        <w:jc w:val="left"/>
        <w:rPr>
          <w:rFonts w:ascii="Arial" w:hAnsi="Arial" w:cs="Arial"/>
          <w:sz w:val="24"/>
          <w:szCs w:val="24"/>
        </w:rPr>
      </w:pPr>
      <w:r>
        <w:rPr>
          <w:rFonts w:ascii="Arial" w:hAnsi="Arial" w:cs="Arial"/>
          <w:sz w:val="24"/>
          <w:szCs w:val="24"/>
        </w:rPr>
        <w:br w:type="page"/>
      </w:r>
    </w:p>
    <w:p w14:paraId="7AD17056" w14:textId="3EA82F23" w:rsidR="006F6EDE" w:rsidRPr="005A3BEF" w:rsidRDefault="005A3BEF" w:rsidP="00B16050">
      <w:pPr>
        <w:widowControl/>
        <w:pBdr>
          <w:bottom w:val="single" w:sz="18" w:space="1" w:color="9F2936" w:themeColor="accent2"/>
        </w:pBdr>
        <w:spacing w:beforeLines="150" w:before="468" w:afterLines="150" w:after="468" w:line="480" w:lineRule="auto"/>
        <w:jc w:val="center"/>
        <w:outlineLvl w:val="0"/>
        <w:rPr>
          <w:rFonts w:ascii="Arial" w:hAnsi="Arial" w:cs="Arial"/>
          <w:b/>
          <w:bCs/>
          <w:color w:val="14415C" w:themeColor="accent3" w:themeShade="BF"/>
          <w:sz w:val="36"/>
          <w:szCs w:val="36"/>
        </w:rPr>
      </w:pPr>
      <w:bookmarkStart w:id="15" w:name="_Toc90658116"/>
      <w:r w:rsidRPr="005A3BEF">
        <w:rPr>
          <w:rFonts w:ascii="Arial" w:hAnsi="Arial" w:cs="Arial"/>
          <w:b/>
          <w:bCs/>
          <w:color w:val="14415C" w:themeColor="accent3" w:themeShade="BF"/>
          <w:sz w:val="36"/>
          <w:szCs w:val="36"/>
        </w:rPr>
        <w:lastRenderedPageBreak/>
        <w:t>References</w:t>
      </w:r>
      <w:bookmarkEnd w:id="15"/>
    </w:p>
    <w:p w14:paraId="356A41F9" w14:textId="071BFCD8"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Pr="005A3BEF">
        <w:rPr>
          <w:rFonts w:ascii="Arial" w:hAnsi="Arial" w:cs="Arial"/>
          <w:noProof/>
          <w:kern w:val="0"/>
          <w:sz w:val="24"/>
          <w:szCs w:val="24"/>
        </w:rPr>
        <w:t xml:space="preserve">Almuhammadi, A. (2020) ‘An overview of mobile payments, fintech, and digital wallet in Saudi Arabia’, in </w:t>
      </w:r>
      <w:r w:rsidRPr="005A3BEF">
        <w:rPr>
          <w:rFonts w:ascii="Arial" w:hAnsi="Arial" w:cs="Arial"/>
          <w:i/>
          <w:iCs/>
          <w:noProof/>
          <w:kern w:val="0"/>
          <w:sz w:val="24"/>
          <w:szCs w:val="24"/>
        </w:rPr>
        <w:t>Proceedings of the 7th International Conference on Computing for Sustainable Global Development, INDIACom 2020</w:t>
      </w:r>
      <w:r w:rsidRPr="005A3BEF">
        <w:rPr>
          <w:rFonts w:ascii="Arial" w:hAnsi="Arial" w:cs="Arial"/>
          <w:noProof/>
          <w:kern w:val="0"/>
          <w:sz w:val="24"/>
          <w:szCs w:val="24"/>
        </w:rPr>
        <w:t>, pp. 271–278. doi: 10.23919/INDIACom49435.2020.9083726.</w:t>
      </w:r>
    </w:p>
    <w:p w14:paraId="4871B4DD"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Ant Financial (2021) </w:t>
      </w:r>
      <w:r w:rsidRPr="005A3BEF">
        <w:rPr>
          <w:rFonts w:ascii="Arial" w:hAnsi="Arial" w:cs="Arial"/>
          <w:i/>
          <w:iCs/>
          <w:noProof/>
          <w:kern w:val="0"/>
          <w:sz w:val="24"/>
          <w:szCs w:val="24"/>
        </w:rPr>
        <w:t>Ant Group - Investor Relations</w:t>
      </w:r>
      <w:r w:rsidRPr="005A3BEF">
        <w:rPr>
          <w:rFonts w:ascii="Arial" w:hAnsi="Arial" w:cs="Arial"/>
          <w:noProof/>
          <w:kern w:val="0"/>
          <w:sz w:val="24"/>
          <w:szCs w:val="24"/>
        </w:rPr>
        <w:t>. Available at: https://www.antgroup.com/en/ir/notices (Accessed: 17 December 2021).</w:t>
      </w:r>
    </w:p>
    <w:p w14:paraId="4D346018"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Barberis, J. and Arner, D. W. (2016) ‘FinTech in China: From shadow banking to P2P lending’, in </w:t>
      </w:r>
      <w:r w:rsidRPr="005A3BEF">
        <w:rPr>
          <w:rFonts w:ascii="Arial" w:hAnsi="Arial" w:cs="Arial"/>
          <w:i/>
          <w:iCs/>
          <w:noProof/>
          <w:kern w:val="0"/>
          <w:sz w:val="24"/>
          <w:szCs w:val="24"/>
        </w:rPr>
        <w:t>New Economic Windows</w:t>
      </w:r>
      <w:r w:rsidRPr="005A3BEF">
        <w:rPr>
          <w:rFonts w:ascii="Arial" w:hAnsi="Arial" w:cs="Arial"/>
          <w:noProof/>
          <w:kern w:val="0"/>
          <w:sz w:val="24"/>
          <w:szCs w:val="24"/>
        </w:rPr>
        <w:t>. Springer, pp. 69–96. doi: 10.1007/978-3-319-42448-4_5.</w:t>
      </w:r>
    </w:p>
    <w:p w14:paraId="6D576271"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Bloomberg (2021a) </w:t>
      </w:r>
      <w:r w:rsidRPr="005A3BEF">
        <w:rPr>
          <w:rFonts w:ascii="Arial" w:hAnsi="Arial" w:cs="Arial"/>
          <w:i/>
          <w:iCs/>
          <w:noProof/>
          <w:kern w:val="0"/>
          <w:sz w:val="24"/>
          <w:szCs w:val="24"/>
        </w:rPr>
        <w:t>China Factory Inflation Slows in November From 26-Year High</w:t>
      </w:r>
      <w:r w:rsidRPr="005A3BEF">
        <w:rPr>
          <w:rFonts w:ascii="Arial" w:hAnsi="Arial" w:cs="Arial"/>
          <w:noProof/>
          <w:kern w:val="0"/>
          <w:sz w:val="24"/>
          <w:szCs w:val="24"/>
        </w:rPr>
        <w:t>. Available at: https://www.bloomberg.com/news/articles/2021-12-09/china-factory-inflation-slows-in-november-from-26-year-high (Accessed: 17 December 2021).</w:t>
      </w:r>
    </w:p>
    <w:p w14:paraId="4C686E34"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Bloomberg (2021b) </w:t>
      </w:r>
      <w:r w:rsidRPr="005A3BEF">
        <w:rPr>
          <w:rFonts w:ascii="Arial" w:hAnsi="Arial" w:cs="Arial"/>
          <w:i/>
          <w:iCs/>
          <w:noProof/>
          <w:kern w:val="0"/>
          <w:sz w:val="24"/>
          <w:szCs w:val="24"/>
        </w:rPr>
        <w:t xml:space="preserve">Jack Ma’s Terrible Year Ends With Ant Group IPO Stuck in Limbo </w:t>
      </w:r>
      <w:r w:rsidRPr="005A3BEF">
        <w:rPr>
          <w:rFonts w:ascii="Arial" w:hAnsi="Arial" w:cs="Arial"/>
          <w:noProof/>
          <w:kern w:val="0"/>
          <w:sz w:val="24"/>
          <w:szCs w:val="24"/>
        </w:rPr>
        <w:t>. Available at: https://www.bloomberg.com/news/articles/2021-10-19/ant-s-record-ipo-remains-in-limbo-a-year-after-china-crackdown (Accessed: 17 December 2021).</w:t>
      </w:r>
    </w:p>
    <w:p w14:paraId="5D58A31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Bu, Y., Li, H. and Wu, X. (2021) ‘Effective regulations of FinTech innovations: the case of China’, </w:t>
      </w:r>
      <w:r w:rsidRPr="005A3BEF">
        <w:rPr>
          <w:rFonts w:ascii="Arial" w:hAnsi="Arial" w:cs="Arial"/>
          <w:i/>
          <w:iCs/>
          <w:noProof/>
          <w:kern w:val="0"/>
          <w:sz w:val="24"/>
          <w:szCs w:val="24"/>
        </w:rPr>
        <w:t>Economics of Innovation and New Technology</w:t>
      </w:r>
      <w:r w:rsidRPr="005A3BEF">
        <w:rPr>
          <w:rFonts w:ascii="Arial" w:hAnsi="Arial" w:cs="Arial"/>
          <w:noProof/>
          <w:kern w:val="0"/>
          <w:sz w:val="24"/>
          <w:szCs w:val="24"/>
        </w:rPr>
        <w:t>, pp. 1–19. doi: 10.1080/10438599.2020.1868069.</w:t>
      </w:r>
    </w:p>
    <w:p w14:paraId="2C76BB1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lastRenderedPageBreak/>
        <w:t>Chang, Y. and Hu, J. (2020) ‘Research on Fintech , Regtech and Financial Regulation in China’, pp. 369–377. doi: 10.4236/ojbm.2020.81023.</w:t>
      </w:r>
    </w:p>
    <w:p w14:paraId="61F56C73"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Chen, L. (2016) ‘From Fintech to Finlife: the case of Fintech Development in China’, </w:t>
      </w:r>
      <w:r w:rsidRPr="005A3BEF">
        <w:rPr>
          <w:rFonts w:ascii="Arial" w:hAnsi="Arial" w:cs="Arial"/>
          <w:i/>
          <w:iCs/>
          <w:noProof/>
          <w:kern w:val="0"/>
          <w:sz w:val="24"/>
          <w:szCs w:val="24"/>
        </w:rPr>
        <w:t>China Economic Journal</w:t>
      </w:r>
      <w:r w:rsidRPr="005A3BEF">
        <w:rPr>
          <w:rFonts w:ascii="Arial" w:hAnsi="Arial" w:cs="Arial"/>
          <w:noProof/>
          <w:kern w:val="0"/>
          <w:sz w:val="24"/>
          <w:szCs w:val="24"/>
        </w:rPr>
        <w:t>, 9(3), pp. 225–239. doi: 10.1080/17538963.2016.1215057.</w:t>
      </w:r>
    </w:p>
    <w:p w14:paraId="1F4E6FF7"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Deng, Z. (2020) ‘Influence of E-commerce Innovation on Consumer Behavior in China. Case: Alibaba Group’.</w:t>
      </w:r>
    </w:p>
    <w:p w14:paraId="1F2A17B2"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Echchakoui, S. (2018) ‘An analytical model that links customer-perceived value and competitive strategies’, </w:t>
      </w:r>
      <w:r w:rsidRPr="005A3BEF">
        <w:rPr>
          <w:rFonts w:ascii="Arial" w:hAnsi="Arial" w:cs="Arial"/>
          <w:i/>
          <w:iCs/>
          <w:noProof/>
          <w:kern w:val="0"/>
          <w:sz w:val="24"/>
          <w:szCs w:val="24"/>
        </w:rPr>
        <w:t>Journal of Marketing Analytics</w:t>
      </w:r>
      <w:r w:rsidRPr="005A3BEF">
        <w:rPr>
          <w:rFonts w:ascii="Arial" w:hAnsi="Arial" w:cs="Arial"/>
          <w:noProof/>
          <w:kern w:val="0"/>
          <w:sz w:val="24"/>
          <w:szCs w:val="24"/>
        </w:rPr>
        <w:t>, 6(4), pp. 138–149. doi: 10.1057/s41270-018-0043-9.</w:t>
      </w:r>
    </w:p>
    <w:p w14:paraId="2CDBCDA6"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Fang, Z. and Zhu, J. (2019) ‘How UnionPay Quick Pass is Beating Alipay and WeChat Pay in China’, </w:t>
      </w:r>
      <w:r w:rsidRPr="005A3BEF">
        <w:rPr>
          <w:rFonts w:ascii="Arial" w:hAnsi="Arial" w:cs="Arial"/>
          <w:i/>
          <w:iCs/>
          <w:noProof/>
          <w:kern w:val="0"/>
          <w:sz w:val="24"/>
          <w:szCs w:val="24"/>
        </w:rPr>
        <w:t>The PayTech Book: The Payment Technology Handbook for Investors, Entrepreneurs and FinTech Visionaries</w:t>
      </w:r>
      <w:r w:rsidRPr="005A3BEF">
        <w:rPr>
          <w:rFonts w:ascii="Arial" w:hAnsi="Arial" w:cs="Arial"/>
          <w:noProof/>
          <w:kern w:val="0"/>
          <w:sz w:val="24"/>
          <w:szCs w:val="24"/>
        </w:rPr>
        <w:t>, pp. 155–157.</w:t>
      </w:r>
    </w:p>
    <w:p w14:paraId="076D25C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Godwin, A. </w:t>
      </w:r>
      <w:r w:rsidRPr="005A3BEF">
        <w:rPr>
          <w:rFonts w:ascii="Arial" w:hAnsi="Arial" w:cs="Arial"/>
          <w:i/>
          <w:iCs/>
          <w:noProof/>
          <w:kern w:val="0"/>
          <w:sz w:val="24"/>
          <w:szCs w:val="24"/>
        </w:rPr>
        <w:t>et al.</w:t>
      </w:r>
      <w:r w:rsidRPr="005A3BEF">
        <w:rPr>
          <w:rFonts w:ascii="Arial" w:hAnsi="Arial" w:cs="Arial"/>
          <w:noProof/>
          <w:kern w:val="0"/>
          <w:sz w:val="24"/>
          <w:szCs w:val="24"/>
        </w:rPr>
        <w:t xml:space="preserve"> (2021) ‘RegTech innovation and cooperation - Australia and China compared’, </w:t>
      </w:r>
      <w:r w:rsidRPr="005A3BEF">
        <w:rPr>
          <w:rFonts w:ascii="Arial" w:hAnsi="Arial" w:cs="Arial"/>
          <w:i/>
          <w:iCs/>
          <w:noProof/>
          <w:kern w:val="0"/>
          <w:sz w:val="24"/>
          <w:szCs w:val="24"/>
        </w:rPr>
        <w:t>Australian Journal of Asian Law</w:t>
      </w:r>
      <w:r w:rsidRPr="005A3BEF">
        <w:rPr>
          <w:rFonts w:ascii="Arial" w:hAnsi="Arial" w:cs="Arial"/>
          <w:noProof/>
          <w:kern w:val="0"/>
          <w:sz w:val="24"/>
          <w:szCs w:val="24"/>
        </w:rPr>
        <w:t>. doi: 10.3316/informit.065619657207698.</w:t>
      </w:r>
    </w:p>
    <w:p w14:paraId="01503B23"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Greenspan, A. (2021) ‘QR codes and the sentient city’, </w:t>
      </w:r>
      <w:r w:rsidRPr="005A3BEF">
        <w:rPr>
          <w:rFonts w:ascii="Arial" w:hAnsi="Arial" w:cs="Arial"/>
          <w:i/>
          <w:iCs/>
          <w:noProof/>
          <w:kern w:val="0"/>
          <w:sz w:val="24"/>
          <w:szCs w:val="24"/>
        </w:rPr>
        <w:t>Studia Neophilologica</w:t>
      </w:r>
      <w:r w:rsidRPr="005A3BEF">
        <w:rPr>
          <w:rFonts w:ascii="Arial" w:hAnsi="Arial" w:cs="Arial"/>
          <w:noProof/>
          <w:kern w:val="0"/>
          <w:sz w:val="24"/>
          <w:szCs w:val="24"/>
        </w:rPr>
        <w:t>, 93(2), pp. 206–218. doi: 10.1080/00393274.2021.1916993.</w:t>
      </w:r>
    </w:p>
    <w:p w14:paraId="7DF96562"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Greeven, M. J. and Wei, W. (2017) </w:t>
      </w:r>
      <w:r w:rsidRPr="005A3BEF">
        <w:rPr>
          <w:rFonts w:ascii="Arial" w:hAnsi="Arial" w:cs="Arial"/>
          <w:i/>
          <w:iCs/>
          <w:noProof/>
          <w:kern w:val="0"/>
          <w:sz w:val="24"/>
          <w:szCs w:val="24"/>
        </w:rPr>
        <w:t>Business ecosystems in China: Alibaba and competing Baidu, tencent, Xiaomi and LeEco</w:t>
      </w:r>
      <w:r w:rsidRPr="005A3BEF">
        <w:rPr>
          <w:rFonts w:ascii="Arial" w:hAnsi="Arial" w:cs="Arial"/>
          <w:noProof/>
          <w:kern w:val="0"/>
          <w:sz w:val="24"/>
          <w:szCs w:val="24"/>
        </w:rPr>
        <w:t xml:space="preserve">, </w:t>
      </w:r>
      <w:r w:rsidRPr="005A3BEF">
        <w:rPr>
          <w:rFonts w:ascii="Arial" w:hAnsi="Arial" w:cs="Arial"/>
          <w:i/>
          <w:iCs/>
          <w:noProof/>
          <w:kern w:val="0"/>
          <w:sz w:val="24"/>
          <w:szCs w:val="24"/>
        </w:rPr>
        <w:t>Business Ecosystems in China: Alibaba and Competing Baidu, Tencent, Xiaomi and LeEco</w:t>
      </w:r>
      <w:r w:rsidRPr="005A3BEF">
        <w:rPr>
          <w:rFonts w:ascii="Arial" w:hAnsi="Arial" w:cs="Arial"/>
          <w:noProof/>
          <w:kern w:val="0"/>
          <w:sz w:val="24"/>
          <w:szCs w:val="24"/>
        </w:rPr>
        <w:t xml:space="preserve">. Routledge. doi: </w:t>
      </w:r>
      <w:r w:rsidRPr="005A3BEF">
        <w:rPr>
          <w:rFonts w:ascii="Arial" w:hAnsi="Arial" w:cs="Arial"/>
          <w:noProof/>
          <w:kern w:val="0"/>
          <w:sz w:val="24"/>
          <w:szCs w:val="24"/>
        </w:rPr>
        <w:lastRenderedPageBreak/>
        <w:t>10.4324/9781315209142.</w:t>
      </w:r>
    </w:p>
    <w:p w14:paraId="63B35F3B"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Gruin, J. and Knaack, P. (2020) ‘Not Just Another Shadow Bank: Chinese Authoritarian Capitalism and the “Developmental” Promise of Digital Financial Innovation’, </w:t>
      </w:r>
      <w:r w:rsidRPr="005A3BEF">
        <w:rPr>
          <w:rFonts w:ascii="Arial" w:hAnsi="Arial" w:cs="Arial"/>
          <w:i/>
          <w:iCs/>
          <w:noProof/>
          <w:kern w:val="0"/>
          <w:sz w:val="24"/>
          <w:szCs w:val="24"/>
        </w:rPr>
        <w:t>New Political Economy</w:t>
      </w:r>
      <w:r w:rsidRPr="005A3BEF">
        <w:rPr>
          <w:rFonts w:ascii="Arial" w:hAnsi="Arial" w:cs="Arial"/>
          <w:noProof/>
          <w:kern w:val="0"/>
          <w:sz w:val="24"/>
          <w:szCs w:val="24"/>
        </w:rPr>
        <w:t>, 25(3), pp. 370–387. doi: 10.1080/13563467.2018.1562437.</w:t>
      </w:r>
    </w:p>
    <w:p w14:paraId="73593EC3"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Han, A. S. (2021) ‘Chinese fintech companies and their “going out” strategies’, </w:t>
      </w:r>
      <w:r w:rsidRPr="005A3BEF">
        <w:rPr>
          <w:rFonts w:ascii="Arial" w:hAnsi="Arial" w:cs="Arial"/>
          <w:i/>
          <w:iCs/>
          <w:noProof/>
          <w:kern w:val="0"/>
          <w:sz w:val="24"/>
          <w:szCs w:val="24"/>
        </w:rPr>
        <w:t>Journal of Internet and Digital Economics</w:t>
      </w:r>
      <w:r w:rsidRPr="005A3BEF">
        <w:rPr>
          <w:rFonts w:ascii="Arial" w:hAnsi="Arial" w:cs="Arial"/>
          <w:noProof/>
          <w:kern w:val="0"/>
          <w:sz w:val="24"/>
          <w:szCs w:val="24"/>
        </w:rPr>
        <w:t>, 1(1), pp. 47–63. doi: 10.1108/JIDE-07-2021-0003.</w:t>
      </w:r>
    </w:p>
    <w:p w14:paraId="41C9A0F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Han, B. R. </w:t>
      </w:r>
      <w:r w:rsidRPr="005A3BEF">
        <w:rPr>
          <w:rFonts w:ascii="Arial" w:hAnsi="Arial" w:cs="Arial"/>
          <w:i/>
          <w:iCs/>
          <w:noProof/>
          <w:kern w:val="0"/>
          <w:sz w:val="24"/>
          <w:szCs w:val="24"/>
        </w:rPr>
        <w:t>et al.</w:t>
      </w:r>
      <w:r w:rsidRPr="005A3BEF">
        <w:rPr>
          <w:rFonts w:ascii="Arial" w:hAnsi="Arial" w:cs="Arial"/>
          <w:noProof/>
          <w:kern w:val="0"/>
          <w:sz w:val="24"/>
          <w:szCs w:val="24"/>
        </w:rPr>
        <w:t xml:space="preserve"> (2020) ‘COVID-19 and E-commerce Operations_ Evidence from Alibaba’, (0), pp. 1–8.</w:t>
      </w:r>
    </w:p>
    <w:p w14:paraId="6F322EAD"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Haotian, H., Dong, Y. and Li, Y. (2021) ‘The Analyse of Financial Technology Industry and Case Study of Some Typical Companies’, in </w:t>
      </w:r>
      <w:r w:rsidRPr="005A3BEF">
        <w:rPr>
          <w:rFonts w:ascii="Arial" w:hAnsi="Arial" w:cs="Arial"/>
          <w:i/>
          <w:iCs/>
          <w:noProof/>
          <w:kern w:val="0"/>
          <w:sz w:val="24"/>
          <w:szCs w:val="24"/>
        </w:rPr>
        <w:t>ACM International Conference Proceeding Series</w:t>
      </w:r>
      <w:r w:rsidRPr="005A3BEF">
        <w:rPr>
          <w:rFonts w:ascii="Arial" w:hAnsi="Arial" w:cs="Arial"/>
          <w:noProof/>
          <w:kern w:val="0"/>
          <w:sz w:val="24"/>
          <w:szCs w:val="24"/>
        </w:rPr>
        <w:t>. New York, NY, USA: Association for Computing Machinery (IC4E 2021), pp. 323–332. doi: 10.1145/3450148.3450186.</w:t>
      </w:r>
    </w:p>
    <w:p w14:paraId="73358D18"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Jia, L. (2020) ‘Unpacking China’s Social Credit System: Informatization, Regulatory Framework, and Market Dynamics.’, </w:t>
      </w:r>
      <w:r w:rsidRPr="005A3BEF">
        <w:rPr>
          <w:rFonts w:ascii="Arial" w:hAnsi="Arial" w:cs="Arial"/>
          <w:i/>
          <w:iCs/>
          <w:noProof/>
          <w:kern w:val="0"/>
          <w:sz w:val="24"/>
          <w:szCs w:val="24"/>
        </w:rPr>
        <w:t>Canadian Journal of Communication</w:t>
      </w:r>
      <w:r w:rsidRPr="005A3BEF">
        <w:rPr>
          <w:rFonts w:ascii="Arial" w:hAnsi="Arial" w:cs="Arial"/>
          <w:noProof/>
          <w:kern w:val="0"/>
          <w:sz w:val="24"/>
          <w:szCs w:val="24"/>
        </w:rPr>
        <w:t>, 45(1), pp. 113–127.</w:t>
      </w:r>
    </w:p>
    <w:p w14:paraId="6872C16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Kostka, G., Steinacker, L. and Meckel, M. (2020) ‘Between Privacy and Convenience: Facial Recognition Technology in the Eyes of Citizens in China, Germany, the UK and the US’, </w:t>
      </w:r>
      <w:r w:rsidRPr="005A3BEF">
        <w:rPr>
          <w:rFonts w:ascii="Arial" w:hAnsi="Arial" w:cs="Arial"/>
          <w:i/>
          <w:iCs/>
          <w:noProof/>
          <w:kern w:val="0"/>
          <w:sz w:val="24"/>
          <w:szCs w:val="24"/>
        </w:rPr>
        <w:t>SSRN Electronic Journal</w:t>
      </w:r>
      <w:r w:rsidRPr="005A3BEF">
        <w:rPr>
          <w:rFonts w:ascii="Arial" w:hAnsi="Arial" w:cs="Arial"/>
          <w:noProof/>
          <w:kern w:val="0"/>
          <w:sz w:val="24"/>
          <w:szCs w:val="24"/>
        </w:rPr>
        <w:t>. doi: 10.2139/SSRN.3518857.</w:t>
      </w:r>
    </w:p>
    <w:p w14:paraId="1573B8F0"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lastRenderedPageBreak/>
        <w:t xml:space="preserve">Lambropoulos, G., Mitropoulos, S. and Douligeris, C. (2021) ‘Improving business performance by employing virtualization technology: A case study in the financial sector’, </w:t>
      </w:r>
      <w:r w:rsidRPr="005A3BEF">
        <w:rPr>
          <w:rFonts w:ascii="Arial" w:hAnsi="Arial" w:cs="Arial"/>
          <w:i/>
          <w:iCs/>
          <w:noProof/>
          <w:kern w:val="0"/>
          <w:sz w:val="24"/>
          <w:szCs w:val="24"/>
        </w:rPr>
        <w:t>Computers</w:t>
      </w:r>
      <w:r w:rsidRPr="005A3BEF">
        <w:rPr>
          <w:rFonts w:ascii="Arial" w:hAnsi="Arial" w:cs="Arial"/>
          <w:noProof/>
          <w:kern w:val="0"/>
          <w:sz w:val="24"/>
          <w:szCs w:val="24"/>
        </w:rPr>
        <w:t>, 10(4). doi: 10.3390/computers10040052.</w:t>
      </w:r>
    </w:p>
    <w:p w14:paraId="138A7B19"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Li, Z. (2021) ‘Some Thoughts on Innovation and Regulation of Financial Technology’, </w:t>
      </w:r>
      <w:r w:rsidRPr="005A3BEF">
        <w:rPr>
          <w:rFonts w:ascii="Arial" w:hAnsi="Arial" w:cs="Arial"/>
          <w:i/>
          <w:iCs/>
          <w:noProof/>
          <w:kern w:val="0"/>
          <w:sz w:val="24"/>
          <w:szCs w:val="24"/>
        </w:rPr>
        <w:t>BCP Business &amp; Management</w:t>
      </w:r>
      <w:r w:rsidRPr="005A3BEF">
        <w:rPr>
          <w:rFonts w:ascii="Arial" w:hAnsi="Arial" w:cs="Arial"/>
          <w:noProof/>
          <w:kern w:val="0"/>
          <w:sz w:val="24"/>
          <w:szCs w:val="24"/>
        </w:rPr>
        <w:t>, 13, pp. 127–132. doi: 10.54691/BCPBM.V13I.64.</w:t>
      </w:r>
    </w:p>
    <w:p w14:paraId="42A1327E"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Lin, K. J. </w:t>
      </w:r>
      <w:r w:rsidRPr="005A3BEF">
        <w:rPr>
          <w:rFonts w:ascii="Arial" w:hAnsi="Arial" w:cs="Arial"/>
          <w:i/>
          <w:iCs/>
          <w:noProof/>
          <w:kern w:val="0"/>
          <w:sz w:val="24"/>
          <w:szCs w:val="24"/>
        </w:rPr>
        <w:t>et al.</w:t>
      </w:r>
      <w:r w:rsidRPr="005A3BEF">
        <w:rPr>
          <w:rFonts w:ascii="Arial" w:hAnsi="Arial" w:cs="Arial"/>
          <w:noProof/>
          <w:kern w:val="0"/>
          <w:sz w:val="24"/>
          <w:szCs w:val="24"/>
        </w:rPr>
        <w:t xml:space="preserve"> (2020) ‘State-owned enterprises in China: A review of 40 years of research and practice’, </w:t>
      </w:r>
      <w:r w:rsidRPr="005A3BEF">
        <w:rPr>
          <w:rFonts w:ascii="Arial" w:hAnsi="Arial" w:cs="Arial"/>
          <w:i/>
          <w:iCs/>
          <w:noProof/>
          <w:kern w:val="0"/>
          <w:sz w:val="24"/>
          <w:szCs w:val="24"/>
        </w:rPr>
        <w:t>China Journal of Accounting Research</w:t>
      </w:r>
      <w:r w:rsidRPr="005A3BEF">
        <w:rPr>
          <w:rFonts w:ascii="Arial" w:hAnsi="Arial" w:cs="Arial"/>
          <w:noProof/>
          <w:kern w:val="0"/>
          <w:sz w:val="24"/>
          <w:szCs w:val="24"/>
        </w:rPr>
        <w:t>, 13(1), pp. 31–55. doi: https://doi.org/10.1016/j.cjar.2019.12.001.</w:t>
      </w:r>
    </w:p>
    <w:p w14:paraId="3D1ADF65"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Lin, R., Chen, J. J. and Xie, L. (2020) ‘Alibaba Group—The Evolution of Transnational Governance BT  - Corporate Governance of Chinese Multinational Corporations: Case Studies’, in Lin, R., Chen, J. J., and Xie, L. (eds). Singapore: Springer Singapore, pp. 5–44. doi: 10.1007/978-981-15-7405-4_2.</w:t>
      </w:r>
    </w:p>
    <w:p w14:paraId="4AF8F471"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Liu, L. (2020) ‘Problems And Solutions Of China’s Credit Rating Industry Under The Background Of Big Data’, </w:t>
      </w:r>
      <w:r w:rsidRPr="005A3BEF">
        <w:rPr>
          <w:rFonts w:ascii="Arial" w:hAnsi="Arial" w:cs="Arial"/>
          <w:i/>
          <w:iCs/>
          <w:noProof/>
          <w:kern w:val="0"/>
          <w:sz w:val="24"/>
          <w:szCs w:val="24"/>
        </w:rPr>
        <w:t>IOP Conference Series: Materials Science and Engineering</w:t>
      </w:r>
      <w:r w:rsidRPr="005A3BEF">
        <w:rPr>
          <w:rFonts w:ascii="Arial" w:hAnsi="Arial" w:cs="Arial"/>
          <w:noProof/>
          <w:kern w:val="0"/>
          <w:sz w:val="24"/>
          <w:szCs w:val="24"/>
        </w:rPr>
        <w:t>, 806(1), p. 12009. doi: 10.1088/1757-899x/806/1/012009.</w:t>
      </w:r>
    </w:p>
    <w:p w14:paraId="4BC66938"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Lu, L. (2018) ‘Decoding Alipay: mobile payments, a cashless society and regulatory challenges’, </w:t>
      </w:r>
      <w:r w:rsidRPr="005A3BEF">
        <w:rPr>
          <w:rFonts w:ascii="Arial" w:hAnsi="Arial" w:cs="Arial"/>
          <w:i/>
          <w:iCs/>
          <w:noProof/>
          <w:kern w:val="0"/>
          <w:sz w:val="24"/>
          <w:szCs w:val="24"/>
        </w:rPr>
        <w:t>Butterworths Journal of International Banking and Financial Law</w:t>
      </w:r>
      <w:r w:rsidRPr="005A3BEF">
        <w:rPr>
          <w:rFonts w:ascii="Arial" w:hAnsi="Arial" w:cs="Arial"/>
          <w:noProof/>
          <w:kern w:val="0"/>
          <w:sz w:val="24"/>
          <w:szCs w:val="24"/>
        </w:rPr>
        <w:t>, 33(1), pp. 40–43.</w:t>
      </w:r>
    </w:p>
    <w:p w14:paraId="15BF5ED7"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Lu, Z., Wu, J. and Liu, J. (2020) ‘Bank concentration and SME financing availability: the impact of promotion of financial inclusion in China’, </w:t>
      </w:r>
      <w:r w:rsidRPr="005A3BEF">
        <w:rPr>
          <w:rFonts w:ascii="Arial" w:hAnsi="Arial" w:cs="Arial"/>
          <w:i/>
          <w:iCs/>
          <w:noProof/>
          <w:kern w:val="0"/>
          <w:sz w:val="24"/>
          <w:szCs w:val="24"/>
        </w:rPr>
        <w:t>International Journal of Bank Marketing</w:t>
      </w:r>
      <w:r w:rsidRPr="005A3BEF">
        <w:rPr>
          <w:rFonts w:ascii="Arial" w:hAnsi="Arial" w:cs="Arial"/>
          <w:noProof/>
          <w:kern w:val="0"/>
          <w:sz w:val="24"/>
          <w:szCs w:val="24"/>
        </w:rPr>
        <w:t>, 38(6), pp. 1329–1349. doi: 10.1108/IJBM-01-2020-0007.</w:t>
      </w:r>
    </w:p>
    <w:p w14:paraId="69A61B3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lastRenderedPageBreak/>
        <w:t xml:space="preserve">Quartz (2015) </w:t>
      </w:r>
      <w:r w:rsidRPr="005A3BEF">
        <w:rPr>
          <w:rFonts w:ascii="Arial" w:hAnsi="Arial" w:cs="Arial"/>
          <w:i/>
          <w:iCs/>
          <w:noProof/>
          <w:kern w:val="0"/>
          <w:sz w:val="24"/>
          <w:szCs w:val="24"/>
        </w:rPr>
        <w:t xml:space="preserve">Thanks to Alibaba, the world’s largest human migration may go a little smoother this year </w:t>
      </w:r>
      <w:r w:rsidRPr="005A3BEF">
        <w:rPr>
          <w:rFonts w:ascii="Arial" w:hAnsi="Arial" w:cs="Arial"/>
          <w:noProof/>
          <w:kern w:val="0"/>
          <w:sz w:val="24"/>
          <w:szCs w:val="24"/>
        </w:rPr>
        <w:t>. Available at: https://qz.com/330340/thanks-to-alibaba-the-worlds-largest-human-migration-may-go-a-little-smoother-this-year/ (Accessed: 17 December 2021).</w:t>
      </w:r>
    </w:p>
    <w:p w14:paraId="2470221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Reuters (2021) </w:t>
      </w:r>
      <w:r w:rsidRPr="005A3BEF">
        <w:rPr>
          <w:rFonts w:ascii="Arial" w:hAnsi="Arial" w:cs="Arial"/>
          <w:i/>
          <w:iCs/>
          <w:noProof/>
          <w:kern w:val="0"/>
          <w:sz w:val="24"/>
          <w:szCs w:val="24"/>
        </w:rPr>
        <w:t xml:space="preserve">China’s cyber watchdog scolds Ant Financial over user privacy breach </w:t>
      </w:r>
      <w:r w:rsidRPr="005A3BEF">
        <w:rPr>
          <w:rFonts w:ascii="Arial" w:hAnsi="Arial" w:cs="Arial"/>
          <w:noProof/>
          <w:kern w:val="0"/>
          <w:sz w:val="24"/>
          <w:szCs w:val="24"/>
        </w:rPr>
        <w:t>. Available at: https://www.reuters.com/article/us-ant-financial-china/chinas-cyber-watchdog-scolds-ant-financial-over-user-privacy-breach-idUSKBN1F006B (Accessed: 17 December 2021).</w:t>
      </w:r>
    </w:p>
    <w:p w14:paraId="7CD9B7C1"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Reyes-Mercado, P. (2021) ‘Technology as a Resource for FinTech BT  - FinTech Strategy: Linking Entrepreneurship, Finance, and Technology’, in Reyes-Mercado, P. (ed.). Cham: Springer International Publishing, pp. 17–32. doi: 10.1007/978-3-030-53945-0_2.</w:t>
      </w:r>
    </w:p>
    <w:p w14:paraId="476B65AB"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Saunders, M. (2000) </w:t>
      </w:r>
      <w:r w:rsidRPr="005A3BEF">
        <w:rPr>
          <w:rFonts w:ascii="Arial" w:hAnsi="Arial" w:cs="Arial"/>
          <w:i/>
          <w:iCs/>
          <w:noProof/>
          <w:kern w:val="0"/>
          <w:sz w:val="24"/>
          <w:szCs w:val="24"/>
        </w:rPr>
        <w:t>Research Methods for Business Students</w:t>
      </w:r>
      <w:r w:rsidRPr="005A3BEF">
        <w:rPr>
          <w:rFonts w:ascii="Arial" w:hAnsi="Arial" w:cs="Arial"/>
          <w:noProof/>
          <w:kern w:val="0"/>
          <w:sz w:val="24"/>
          <w:szCs w:val="24"/>
        </w:rPr>
        <w:t xml:space="preserve">, </w:t>
      </w:r>
      <w:r w:rsidRPr="005A3BEF">
        <w:rPr>
          <w:rFonts w:ascii="Arial" w:hAnsi="Arial" w:cs="Arial"/>
          <w:i/>
          <w:iCs/>
          <w:noProof/>
          <w:kern w:val="0"/>
          <w:sz w:val="24"/>
          <w:szCs w:val="24"/>
        </w:rPr>
        <w:t>Qualitative Market Research: An International Journal</w:t>
      </w:r>
      <w:r w:rsidRPr="005A3BEF">
        <w:rPr>
          <w:rFonts w:ascii="Arial" w:hAnsi="Arial" w:cs="Arial"/>
          <w:noProof/>
          <w:kern w:val="0"/>
          <w:sz w:val="24"/>
          <w:szCs w:val="24"/>
        </w:rPr>
        <w:t>. doi: 10.1108/qmr.2000.3.4.215.2.</w:t>
      </w:r>
    </w:p>
    <w:p w14:paraId="7E282304"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Shim, Y. and Shin, D. H. (2016) </w:t>
      </w:r>
      <w:r w:rsidRPr="005A3BEF">
        <w:rPr>
          <w:rFonts w:ascii="Arial" w:hAnsi="Arial" w:cs="Arial"/>
          <w:i/>
          <w:iCs/>
          <w:noProof/>
          <w:kern w:val="0"/>
          <w:sz w:val="24"/>
          <w:szCs w:val="24"/>
        </w:rPr>
        <w:t>Analyzing China’s Fintech Industry from the Perspective of Actor-Network Theory</w:t>
      </w:r>
      <w:r w:rsidRPr="005A3BEF">
        <w:rPr>
          <w:rFonts w:ascii="Arial" w:hAnsi="Arial" w:cs="Arial"/>
          <w:noProof/>
          <w:kern w:val="0"/>
          <w:sz w:val="24"/>
          <w:szCs w:val="24"/>
        </w:rPr>
        <w:t xml:space="preserve">, </w:t>
      </w:r>
      <w:r w:rsidRPr="005A3BEF">
        <w:rPr>
          <w:rFonts w:ascii="Arial" w:hAnsi="Arial" w:cs="Arial"/>
          <w:i/>
          <w:iCs/>
          <w:noProof/>
          <w:kern w:val="0"/>
          <w:sz w:val="24"/>
          <w:szCs w:val="24"/>
        </w:rPr>
        <w:t>Telecommunications Policy</w:t>
      </w:r>
      <w:r w:rsidRPr="005A3BEF">
        <w:rPr>
          <w:rFonts w:ascii="Arial" w:hAnsi="Arial" w:cs="Arial"/>
          <w:noProof/>
          <w:kern w:val="0"/>
          <w:sz w:val="24"/>
          <w:szCs w:val="24"/>
        </w:rPr>
        <w:t>. doi: 10.1016/j.telpol.2015.11.005.</w:t>
      </w:r>
    </w:p>
    <w:p w14:paraId="64D43EBF"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Statista (2021) </w:t>
      </w:r>
      <w:r w:rsidRPr="005A3BEF">
        <w:rPr>
          <w:rFonts w:ascii="Arial" w:hAnsi="Arial" w:cs="Arial"/>
          <w:i/>
          <w:iCs/>
          <w:noProof/>
          <w:kern w:val="0"/>
          <w:sz w:val="24"/>
          <w:szCs w:val="24"/>
        </w:rPr>
        <w:t>Chart: China’s Post-Pandemic GDP Growth Disappoints</w:t>
      </w:r>
      <w:r w:rsidRPr="005A3BEF">
        <w:rPr>
          <w:rFonts w:ascii="Arial" w:hAnsi="Arial" w:cs="Arial"/>
          <w:noProof/>
          <w:kern w:val="0"/>
          <w:sz w:val="24"/>
          <w:szCs w:val="24"/>
        </w:rPr>
        <w:t>. Available at: https://www.statista.com/chart/17747/china-quarterly-gdp-growth/ (Accessed: 17 December 2021).</w:t>
      </w:r>
    </w:p>
    <w:p w14:paraId="3D780D9D"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Sun, T. (2018) ‘Balancing Innovation and Risks in Digital Financial Inclusion-</w:t>
      </w:r>
      <w:r w:rsidRPr="005A3BEF">
        <w:rPr>
          <w:rFonts w:ascii="Arial" w:hAnsi="Arial" w:cs="Arial"/>
          <w:noProof/>
          <w:kern w:val="0"/>
          <w:sz w:val="24"/>
          <w:szCs w:val="24"/>
        </w:rPr>
        <w:lastRenderedPageBreak/>
        <w:t xml:space="preserve">Experiences of Ant Financial Services Group’, in </w:t>
      </w:r>
      <w:r w:rsidRPr="005A3BEF">
        <w:rPr>
          <w:rFonts w:ascii="Arial" w:hAnsi="Arial" w:cs="Arial"/>
          <w:i/>
          <w:iCs/>
          <w:noProof/>
          <w:kern w:val="0"/>
          <w:sz w:val="24"/>
          <w:szCs w:val="24"/>
        </w:rPr>
        <w:t>Handbook of Blockchain, Digital Finance, and Inclusion</w:t>
      </w:r>
      <w:r w:rsidRPr="005A3BEF">
        <w:rPr>
          <w:rFonts w:ascii="Arial" w:hAnsi="Arial" w:cs="Arial"/>
          <w:noProof/>
          <w:kern w:val="0"/>
          <w:sz w:val="24"/>
          <w:szCs w:val="24"/>
        </w:rPr>
        <w:t>. Elsevier, pp. 37–43. doi: 10.1016/B978-0-12-812282-2.00002-4.</w:t>
      </w:r>
    </w:p>
    <w:p w14:paraId="41AF0CE9"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The New York Times (2021) </w:t>
      </w:r>
      <w:r w:rsidRPr="005A3BEF">
        <w:rPr>
          <w:rFonts w:ascii="Arial" w:hAnsi="Arial" w:cs="Arial"/>
          <w:i/>
          <w:iCs/>
          <w:noProof/>
          <w:kern w:val="0"/>
          <w:sz w:val="24"/>
          <w:szCs w:val="24"/>
        </w:rPr>
        <w:t xml:space="preserve">Why China Halted Ant’s I.P.O., Dealing Jack Ma a Blow </w:t>
      </w:r>
      <w:r w:rsidRPr="005A3BEF">
        <w:rPr>
          <w:rFonts w:ascii="Arial" w:hAnsi="Arial" w:cs="Arial"/>
          <w:noProof/>
          <w:kern w:val="0"/>
          <w:sz w:val="24"/>
          <w:szCs w:val="24"/>
        </w:rPr>
        <w:t>. Available at: https://www.nytimes.com/2020/11/06/technology/china-ant-group-ipo.html (Accessed: 17 December 2021).</w:t>
      </w:r>
    </w:p>
    <w:p w14:paraId="738F2E6B"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Tse, E. (2015) </w:t>
      </w:r>
      <w:r w:rsidRPr="005A3BEF">
        <w:rPr>
          <w:rFonts w:ascii="Arial" w:hAnsi="Arial" w:cs="Arial"/>
          <w:i/>
          <w:iCs/>
          <w:noProof/>
          <w:kern w:val="0"/>
          <w:sz w:val="24"/>
          <w:szCs w:val="24"/>
        </w:rPr>
        <w:t>China’s disruptors : how Alibaba, Xiaomi, Tencent, and other companies are changing the rules of business</w:t>
      </w:r>
      <w:r w:rsidRPr="005A3BEF">
        <w:rPr>
          <w:rFonts w:ascii="Arial" w:hAnsi="Arial" w:cs="Arial"/>
          <w:noProof/>
          <w:kern w:val="0"/>
          <w:sz w:val="24"/>
          <w:szCs w:val="24"/>
        </w:rPr>
        <w:t>. Penguin Publishing Group.</w:t>
      </w:r>
    </w:p>
    <w:p w14:paraId="56F4AEAA"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Wang, J. and Doan, M. A. (2018) ‘The Ant Empire: Fintech Media and Corporate Convergence within and beyond Alibaba’, </w:t>
      </w:r>
      <w:r w:rsidRPr="005A3BEF">
        <w:rPr>
          <w:rFonts w:ascii="Arial" w:hAnsi="Arial" w:cs="Arial"/>
          <w:i/>
          <w:iCs/>
          <w:noProof/>
          <w:kern w:val="0"/>
          <w:sz w:val="24"/>
          <w:szCs w:val="24"/>
        </w:rPr>
        <w:t>The Political Economy of Communication</w:t>
      </w:r>
      <w:r w:rsidRPr="005A3BEF">
        <w:rPr>
          <w:rFonts w:ascii="Arial" w:hAnsi="Arial" w:cs="Arial"/>
          <w:noProof/>
          <w:kern w:val="0"/>
          <w:sz w:val="24"/>
          <w:szCs w:val="24"/>
        </w:rPr>
        <w:t>, 6(June 2013), pp. 25–37.</w:t>
      </w:r>
    </w:p>
    <w:p w14:paraId="03DD89E7"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Wonglimpiyarat, J. (2017) ‘FinTech banking industry: a systemic approach’, </w:t>
      </w:r>
      <w:r w:rsidRPr="005A3BEF">
        <w:rPr>
          <w:rFonts w:ascii="Arial" w:hAnsi="Arial" w:cs="Arial"/>
          <w:i/>
          <w:iCs/>
          <w:noProof/>
          <w:kern w:val="0"/>
          <w:sz w:val="24"/>
          <w:szCs w:val="24"/>
        </w:rPr>
        <w:t>Foresight</w:t>
      </w:r>
      <w:r w:rsidRPr="005A3BEF">
        <w:rPr>
          <w:rFonts w:ascii="Arial" w:hAnsi="Arial" w:cs="Arial"/>
          <w:noProof/>
          <w:kern w:val="0"/>
          <w:sz w:val="24"/>
          <w:szCs w:val="24"/>
        </w:rPr>
        <w:t>, 19(6), pp. 590–603. doi: 10.1108/FS-07-2017-0026.</w:t>
      </w:r>
    </w:p>
    <w:p w14:paraId="650003BC"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Ye, J., Zhang, A. and Dong, Y. (2019) ‘Banking reform and industry structure: Evidence from China’, </w:t>
      </w:r>
      <w:r w:rsidRPr="005A3BEF">
        <w:rPr>
          <w:rFonts w:ascii="Arial" w:hAnsi="Arial" w:cs="Arial"/>
          <w:i/>
          <w:iCs/>
          <w:noProof/>
          <w:kern w:val="0"/>
          <w:sz w:val="24"/>
          <w:szCs w:val="24"/>
        </w:rPr>
        <w:t>Journal of Banking &amp; Finance</w:t>
      </w:r>
      <w:r w:rsidRPr="005A3BEF">
        <w:rPr>
          <w:rFonts w:ascii="Arial" w:hAnsi="Arial" w:cs="Arial"/>
          <w:noProof/>
          <w:kern w:val="0"/>
          <w:sz w:val="24"/>
          <w:szCs w:val="24"/>
        </w:rPr>
        <w:t>, 104, pp. 70–84.</w:t>
      </w:r>
    </w:p>
    <w:p w14:paraId="4C9C3291"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Zhang, L. (2020) ‘When Platform Capitalism Meets Petty Capitalism in China: Alibaba and an Integrated Approach to Platformization’, </w:t>
      </w:r>
      <w:r w:rsidRPr="005A3BEF">
        <w:rPr>
          <w:rFonts w:ascii="Arial" w:hAnsi="Arial" w:cs="Arial"/>
          <w:i/>
          <w:iCs/>
          <w:noProof/>
          <w:kern w:val="0"/>
          <w:sz w:val="24"/>
          <w:szCs w:val="24"/>
        </w:rPr>
        <w:t>International Journal of Communication</w:t>
      </w:r>
      <w:r w:rsidRPr="005A3BEF">
        <w:rPr>
          <w:rFonts w:ascii="Arial" w:hAnsi="Arial" w:cs="Arial"/>
          <w:noProof/>
          <w:kern w:val="0"/>
          <w:sz w:val="24"/>
          <w:szCs w:val="24"/>
        </w:rPr>
        <w:t>, 14(0), p. 21.</w:t>
      </w:r>
    </w:p>
    <w:p w14:paraId="1F4CB467" w14:textId="77777777" w:rsidR="005A3BEF" w:rsidRPr="005A3BEF" w:rsidRDefault="005A3BEF" w:rsidP="00B16050">
      <w:pPr>
        <w:autoSpaceDE w:val="0"/>
        <w:autoSpaceDN w:val="0"/>
        <w:adjustRightInd w:val="0"/>
        <w:spacing w:before="160" w:after="160" w:line="480" w:lineRule="auto"/>
        <w:jc w:val="left"/>
        <w:rPr>
          <w:rFonts w:ascii="Arial" w:hAnsi="Arial" w:cs="Arial"/>
          <w:noProof/>
          <w:kern w:val="0"/>
          <w:sz w:val="24"/>
          <w:szCs w:val="24"/>
        </w:rPr>
      </w:pPr>
      <w:r w:rsidRPr="005A3BEF">
        <w:rPr>
          <w:rFonts w:ascii="Arial" w:hAnsi="Arial" w:cs="Arial"/>
          <w:noProof/>
          <w:kern w:val="0"/>
          <w:sz w:val="24"/>
          <w:szCs w:val="24"/>
        </w:rPr>
        <w:t xml:space="preserve">Zhao, Y. (2017) ‘Research on the Consumer Finance System of Ant Financial Service Group’, </w:t>
      </w:r>
      <w:r w:rsidRPr="005A3BEF">
        <w:rPr>
          <w:rFonts w:ascii="Arial" w:hAnsi="Arial" w:cs="Arial"/>
          <w:i/>
          <w:iCs/>
          <w:noProof/>
          <w:kern w:val="0"/>
          <w:sz w:val="24"/>
          <w:szCs w:val="24"/>
        </w:rPr>
        <w:t>American Journal of Industrial and Business Management</w:t>
      </w:r>
      <w:r w:rsidRPr="005A3BEF">
        <w:rPr>
          <w:rFonts w:ascii="Arial" w:hAnsi="Arial" w:cs="Arial"/>
          <w:noProof/>
          <w:kern w:val="0"/>
          <w:sz w:val="24"/>
          <w:szCs w:val="24"/>
        </w:rPr>
        <w:t xml:space="preserve">, 7(5), pp. </w:t>
      </w:r>
      <w:r w:rsidRPr="005A3BEF">
        <w:rPr>
          <w:rFonts w:ascii="Arial" w:hAnsi="Arial" w:cs="Arial"/>
          <w:noProof/>
          <w:kern w:val="0"/>
          <w:sz w:val="24"/>
          <w:szCs w:val="24"/>
        </w:rPr>
        <w:lastRenderedPageBreak/>
        <w:t>559–565. doi: 10.4236/AJIBM.2017.75041.</w:t>
      </w:r>
    </w:p>
    <w:p w14:paraId="5CB19115" w14:textId="77777777" w:rsidR="005A3BEF" w:rsidRPr="005A3BEF" w:rsidRDefault="005A3BEF" w:rsidP="00B16050">
      <w:pPr>
        <w:autoSpaceDE w:val="0"/>
        <w:autoSpaceDN w:val="0"/>
        <w:adjustRightInd w:val="0"/>
        <w:spacing w:before="160" w:after="160" w:line="480" w:lineRule="auto"/>
        <w:jc w:val="left"/>
        <w:rPr>
          <w:rFonts w:ascii="Arial" w:hAnsi="Arial" w:cs="Arial"/>
          <w:noProof/>
          <w:sz w:val="24"/>
        </w:rPr>
      </w:pPr>
      <w:r w:rsidRPr="005A3BEF">
        <w:rPr>
          <w:rFonts w:ascii="Arial" w:hAnsi="Arial" w:cs="Arial"/>
          <w:noProof/>
          <w:kern w:val="0"/>
          <w:sz w:val="24"/>
          <w:szCs w:val="24"/>
        </w:rPr>
        <w:t xml:space="preserve">Zhu, F. </w:t>
      </w:r>
      <w:r w:rsidRPr="005A3BEF">
        <w:rPr>
          <w:rFonts w:ascii="Arial" w:hAnsi="Arial" w:cs="Arial"/>
          <w:i/>
          <w:iCs/>
          <w:noProof/>
          <w:kern w:val="0"/>
          <w:sz w:val="24"/>
          <w:szCs w:val="24"/>
        </w:rPr>
        <w:t>et al.</w:t>
      </w:r>
      <w:r w:rsidRPr="005A3BEF">
        <w:rPr>
          <w:rFonts w:ascii="Arial" w:hAnsi="Arial" w:cs="Arial"/>
          <w:noProof/>
          <w:kern w:val="0"/>
          <w:sz w:val="24"/>
          <w:szCs w:val="24"/>
        </w:rPr>
        <w:t xml:space="preserve"> (2017) </w:t>
      </w:r>
      <w:r w:rsidRPr="005A3BEF">
        <w:rPr>
          <w:rFonts w:ascii="Arial" w:hAnsi="Arial" w:cs="Arial"/>
          <w:i/>
          <w:iCs/>
          <w:noProof/>
          <w:kern w:val="0"/>
          <w:sz w:val="24"/>
          <w:szCs w:val="24"/>
        </w:rPr>
        <w:t>Ant Financial (A)</w:t>
      </w:r>
      <w:r w:rsidRPr="005A3BEF">
        <w:rPr>
          <w:rFonts w:ascii="Arial" w:hAnsi="Arial" w:cs="Arial"/>
          <w:noProof/>
          <w:kern w:val="0"/>
          <w:sz w:val="24"/>
          <w:szCs w:val="24"/>
        </w:rPr>
        <w:t>.</w:t>
      </w:r>
    </w:p>
    <w:p w14:paraId="20DC1D56" w14:textId="633E80D5" w:rsidR="00CA624D" w:rsidRPr="0038189C" w:rsidRDefault="005A3BEF" w:rsidP="00B16050">
      <w:pPr>
        <w:widowControl/>
        <w:spacing w:beforeLines="50" w:before="156" w:afterLines="50" w:after="156" w:line="480" w:lineRule="auto"/>
      </w:pPr>
      <w:r>
        <w:rPr>
          <w:rFonts w:ascii="Arial" w:hAnsi="Arial" w:cs="Arial"/>
          <w:sz w:val="24"/>
          <w:szCs w:val="24"/>
        </w:rPr>
        <w:fldChar w:fldCharType="end"/>
      </w:r>
    </w:p>
    <w:sectPr w:rsidR="00CA624D" w:rsidRPr="0038189C" w:rsidSect="005A3BEF">
      <w:footerReference w:type="default" r:id="rId10"/>
      <w:pgSz w:w="11906" w:h="16838"/>
      <w:pgMar w:top="1440" w:right="1440" w:bottom="1440" w:left="144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DE5F2" w14:textId="77777777" w:rsidR="00E40F6F" w:rsidRDefault="00E40F6F" w:rsidP="00CA624D">
      <w:r>
        <w:separator/>
      </w:r>
    </w:p>
  </w:endnote>
  <w:endnote w:type="continuationSeparator" w:id="0">
    <w:p w14:paraId="7B10EC4C" w14:textId="77777777" w:rsidR="00E40F6F" w:rsidRDefault="00E40F6F" w:rsidP="00CA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609715"/>
      <w:docPartObj>
        <w:docPartGallery w:val="Page Numbers (Bottom of Page)"/>
        <w:docPartUnique/>
      </w:docPartObj>
    </w:sdtPr>
    <w:sdtEndPr/>
    <w:sdtContent>
      <w:p w14:paraId="53FEC53F" w14:textId="7D7B7013" w:rsidR="005A3BEF" w:rsidRDefault="00E40F6F">
        <w:pPr>
          <w:pStyle w:val="a5"/>
          <w:jc w:val="center"/>
        </w:pPr>
      </w:p>
    </w:sdtContent>
  </w:sdt>
  <w:p w14:paraId="606190A3" w14:textId="77777777" w:rsidR="005A3BEF" w:rsidRDefault="005A3BE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141568"/>
      <w:docPartObj>
        <w:docPartGallery w:val="Page Numbers (Bottom of Page)"/>
        <w:docPartUnique/>
      </w:docPartObj>
    </w:sdtPr>
    <w:sdtEndPr/>
    <w:sdtContent>
      <w:p w14:paraId="73CD3164" w14:textId="77777777" w:rsidR="005A3BEF" w:rsidRDefault="005A3BEF">
        <w:pPr>
          <w:pStyle w:val="a5"/>
          <w:jc w:val="center"/>
        </w:pPr>
        <w:r w:rsidRPr="005A3BEF">
          <w:rPr>
            <w:rFonts w:ascii="Arial" w:hAnsi="Arial" w:cs="Arial"/>
            <w:b/>
            <w:bCs/>
            <w:i/>
            <w:iCs/>
          </w:rPr>
          <w:fldChar w:fldCharType="begin"/>
        </w:r>
        <w:r w:rsidRPr="005A3BEF">
          <w:rPr>
            <w:rFonts w:ascii="Arial" w:hAnsi="Arial" w:cs="Arial"/>
            <w:b/>
            <w:bCs/>
            <w:i/>
            <w:iCs/>
          </w:rPr>
          <w:instrText>PAGE   \* MERGEFORMAT</w:instrText>
        </w:r>
        <w:r w:rsidRPr="005A3BEF">
          <w:rPr>
            <w:rFonts w:ascii="Arial" w:hAnsi="Arial" w:cs="Arial"/>
            <w:b/>
            <w:bCs/>
            <w:i/>
            <w:iCs/>
          </w:rPr>
          <w:fldChar w:fldCharType="separate"/>
        </w:r>
        <w:r w:rsidRPr="005A3BEF">
          <w:rPr>
            <w:rFonts w:ascii="Arial" w:hAnsi="Arial" w:cs="Arial"/>
            <w:b/>
            <w:bCs/>
            <w:i/>
            <w:iCs/>
            <w:lang w:val="zh-CN"/>
          </w:rPr>
          <w:t>2</w:t>
        </w:r>
        <w:r w:rsidRPr="005A3BEF">
          <w:rPr>
            <w:rFonts w:ascii="Arial" w:hAnsi="Arial" w:cs="Arial"/>
            <w:b/>
            <w:bCs/>
            <w:i/>
            <w:iCs/>
          </w:rPr>
          <w:fldChar w:fldCharType="end"/>
        </w:r>
      </w:p>
    </w:sdtContent>
  </w:sdt>
  <w:p w14:paraId="21ECD213" w14:textId="77777777" w:rsidR="005A3BEF" w:rsidRDefault="005A3BE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CD098" w14:textId="77777777" w:rsidR="00E40F6F" w:rsidRDefault="00E40F6F" w:rsidP="00CA624D">
      <w:r>
        <w:separator/>
      </w:r>
    </w:p>
  </w:footnote>
  <w:footnote w:type="continuationSeparator" w:id="0">
    <w:p w14:paraId="66C5EEAC" w14:textId="77777777" w:rsidR="00E40F6F" w:rsidRDefault="00E40F6F" w:rsidP="00CA6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F3D5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184A726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53440BED"/>
    <w:multiLevelType w:val="hybridMultilevel"/>
    <w:tmpl w:val="5BDEB6EA"/>
    <w:lvl w:ilvl="0" w:tplc="F0F8DB5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53AD5E5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666041A7"/>
    <w:multiLevelType w:val="hybridMultilevel"/>
    <w:tmpl w:val="DBE464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2C"/>
    <w:rsid w:val="000A23B0"/>
    <w:rsid w:val="00100F1F"/>
    <w:rsid w:val="001B212C"/>
    <w:rsid w:val="00231EEC"/>
    <w:rsid w:val="00233019"/>
    <w:rsid w:val="0027001E"/>
    <w:rsid w:val="0038189C"/>
    <w:rsid w:val="00385E59"/>
    <w:rsid w:val="003D709D"/>
    <w:rsid w:val="004876F3"/>
    <w:rsid w:val="004C0690"/>
    <w:rsid w:val="004E0E0D"/>
    <w:rsid w:val="005124E5"/>
    <w:rsid w:val="005167FE"/>
    <w:rsid w:val="00556DF7"/>
    <w:rsid w:val="005A3BEF"/>
    <w:rsid w:val="005B5CA5"/>
    <w:rsid w:val="005C2E13"/>
    <w:rsid w:val="00640104"/>
    <w:rsid w:val="006605A1"/>
    <w:rsid w:val="006B679C"/>
    <w:rsid w:val="006F040B"/>
    <w:rsid w:val="006F24B3"/>
    <w:rsid w:val="006F6EDE"/>
    <w:rsid w:val="00752009"/>
    <w:rsid w:val="007A3A5F"/>
    <w:rsid w:val="008452C1"/>
    <w:rsid w:val="00897927"/>
    <w:rsid w:val="0090796E"/>
    <w:rsid w:val="009359C6"/>
    <w:rsid w:val="009A214C"/>
    <w:rsid w:val="009D0CC7"/>
    <w:rsid w:val="009F4201"/>
    <w:rsid w:val="00A03C06"/>
    <w:rsid w:val="00A84ACE"/>
    <w:rsid w:val="00A8678F"/>
    <w:rsid w:val="00A91402"/>
    <w:rsid w:val="00AF7A14"/>
    <w:rsid w:val="00B16050"/>
    <w:rsid w:val="00B552AF"/>
    <w:rsid w:val="00B87F49"/>
    <w:rsid w:val="00C866CB"/>
    <w:rsid w:val="00CA624D"/>
    <w:rsid w:val="00CF7053"/>
    <w:rsid w:val="00D158EF"/>
    <w:rsid w:val="00D74622"/>
    <w:rsid w:val="00E40F6F"/>
    <w:rsid w:val="00E61725"/>
    <w:rsid w:val="00E638DF"/>
    <w:rsid w:val="00ED479C"/>
    <w:rsid w:val="00F0758F"/>
    <w:rsid w:val="00F10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8750"/>
  <w15:chartTrackingRefBased/>
  <w15:docId w15:val="{E8A5314C-AF69-4D2C-B353-94AE8BD97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5A3BE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624D"/>
    <w:pPr>
      <w:pBdr>
        <w:bottom w:val="single" w:sz="6" w:space="1" w:color="auto"/>
      </w:pBdr>
      <w:tabs>
        <w:tab w:val="center" w:pos="4513"/>
        <w:tab w:val="right" w:pos="9026"/>
      </w:tabs>
      <w:snapToGrid w:val="0"/>
      <w:jc w:val="center"/>
    </w:pPr>
    <w:rPr>
      <w:sz w:val="18"/>
      <w:szCs w:val="18"/>
    </w:rPr>
  </w:style>
  <w:style w:type="character" w:customStyle="1" w:styleId="a4">
    <w:name w:val="页眉 字符"/>
    <w:basedOn w:val="a0"/>
    <w:link w:val="a3"/>
    <w:uiPriority w:val="99"/>
    <w:rsid w:val="00CA624D"/>
    <w:rPr>
      <w:sz w:val="18"/>
      <w:szCs w:val="18"/>
      <w:lang w:val="en-GB"/>
    </w:rPr>
  </w:style>
  <w:style w:type="paragraph" w:styleId="a5">
    <w:name w:val="footer"/>
    <w:basedOn w:val="a"/>
    <w:link w:val="a6"/>
    <w:uiPriority w:val="99"/>
    <w:unhideWhenUsed/>
    <w:rsid w:val="00CA624D"/>
    <w:pPr>
      <w:tabs>
        <w:tab w:val="center" w:pos="4513"/>
        <w:tab w:val="right" w:pos="9026"/>
      </w:tabs>
      <w:snapToGrid w:val="0"/>
      <w:jc w:val="left"/>
    </w:pPr>
    <w:rPr>
      <w:sz w:val="18"/>
      <w:szCs w:val="18"/>
    </w:rPr>
  </w:style>
  <w:style w:type="character" w:customStyle="1" w:styleId="a6">
    <w:name w:val="页脚 字符"/>
    <w:basedOn w:val="a0"/>
    <w:link w:val="a5"/>
    <w:uiPriority w:val="99"/>
    <w:rsid w:val="00CA624D"/>
    <w:rPr>
      <w:sz w:val="18"/>
      <w:szCs w:val="18"/>
      <w:lang w:val="en-GB"/>
    </w:rPr>
  </w:style>
  <w:style w:type="paragraph" w:styleId="a7">
    <w:name w:val="List Paragraph"/>
    <w:basedOn w:val="a"/>
    <w:uiPriority w:val="34"/>
    <w:qFormat/>
    <w:rsid w:val="00CA624D"/>
    <w:pPr>
      <w:ind w:firstLineChars="200" w:firstLine="420"/>
    </w:pPr>
  </w:style>
  <w:style w:type="character" w:customStyle="1" w:styleId="10">
    <w:name w:val="标题 1 字符"/>
    <w:basedOn w:val="a0"/>
    <w:link w:val="1"/>
    <w:uiPriority w:val="9"/>
    <w:rsid w:val="005A3BEF"/>
    <w:rPr>
      <w:b/>
      <w:bCs/>
      <w:kern w:val="44"/>
      <w:sz w:val="44"/>
      <w:szCs w:val="44"/>
      <w:lang w:val="en-GB"/>
    </w:rPr>
  </w:style>
  <w:style w:type="paragraph" w:styleId="TOC">
    <w:name w:val="TOC Heading"/>
    <w:basedOn w:val="1"/>
    <w:next w:val="a"/>
    <w:uiPriority w:val="39"/>
    <w:unhideWhenUsed/>
    <w:qFormat/>
    <w:rsid w:val="005A3BEF"/>
    <w:pPr>
      <w:widowControl/>
      <w:spacing w:before="240" w:after="0" w:line="259" w:lineRule="auto"/>
      <w:jc w:val="left"/>
      <w:outlineLvl w:val="9"/>
    </w:pPr>
    <w:rPr>
      <w:rFonts w:asciiTheme="majorHAnsi" w:eastAsiaTheme="majorEastAsia" w:hAnsiTheme="majorHAnsi" w:cstheme="majorBidi"/>
      <w:b w:val="0"/>
      <w:bCs w:val="0"/>
      <w:color w:val="B35E06" w:themeColor="accent1" w:themeShade="BF"/>
      <w:kern w:val="0"/>
      <w:sz w:val="32"/>
      <w:szCs w:val="32"/>
      <w:lang w:val="en-US"/>
    </w:rPr>
  </w:style>
  <w:style w:type="paragraph" w:styleId="TOC1">
    <w:name w:val="toc 1"/>
    <w:basedOn w:val="a"/>
    <w:next w:val="a"/>
    <w:autoRedefine/>
    <w:uiPriority w:val="39"/>
    <w:unhideWhenUsed/>
    <w:rsid w:val="005A3BEF"/>
  </w:style>
  <w:style w:type="paragraph" w:styleId="TOC2">
    <w:name w:val="toc 2"/>
    <w:basedOn w:val="a"/>
    <w:next w:val="a"/>
    <w:autoRedefine/>
    <w:uiPriority w:val="39"/>
    <w:unhideWhenUsed/>
    <w:rsid w:val="005A3BEF"/>
    <w:pPr>
      <w:ind w:leftChars="200" w:left="420"/>
    </w:pPr>
  </w:style>
  <w:style w:type="paragraph" w:styleId="TOC3">
    <w:name w:val="toc 3"/>
    <w:basedOn w:val="a"/>
    <w:next w:val="a"/>
    <w:autoRedefine/>
    <w:uiPriority w:val="39"/>
    <w:unhideWhenUsed/>
    <w:rsid w:val="005A3BEF"/>
    <w:pPr>
      <w:ind w:leftChars="400" w:left="840"/>
    </w:pPr>
  </w:style>
  <w:style w:type="character" w:styleId="a8">
    <w:name w:val="Hyperlink"/>
    <w:basedOn w:val="a0"/>
    <w:uiPriority w:val="99"/>
    <w:unhideWhenUsed/>
    <w:rsid w:val="005A3BEF"/>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1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视点">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797EB-3754-47A3-8A3E-BF4450C0C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22412</Words>
  <Characters>127750</Characters>
  <Application>Microsoft Office Word</Application>
  <DocSecurity>0</DocSecurity>
  <Lines>1064</Lines>
  <Paragraphs>299</Paragraphs>
  <ScaleCrop>false</ScaleCrop>
  <Company/>
  <LinksUpToDate>false</LinksUpToDate>
  <CharactersWithSpaces>149863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JPY JPY</dc:creator>
  <cp:keywords/>
  <dc:description/>
  <cp:lastModifiedBy>Haomiao Rao (2000344)</cp:lastModifiedBy>
  <cp:revision>2</cp:revision>
  <dcterms:created xsi:type="dcterms:W3CDTF">2021-12-17T16:50:00Z</dcterms:created>
  <dcterms:modified xsi:type="dcterms:W3CDTF">2021-12-17T16:50:00Z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http://www.zotero.org/styles/harvard-coventry-university</vt:lpwstr>
  </property>
  <property fmtid="{D5CDD505-2E9C-101B-9397-08002B2CF9AE}" pid="18" name="Mendeley Recent Style Name 6_1">
    <vt:lpwstr>Coventry University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