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F15782C" wp14:paraId="5FE4B502" wp14:textId="4013E610">
      <w:pPr>
        <w:spacing w:before="240" w:beforeAutospacing="off" w:after="240" w:afterAutospacing="off"/>
        <w:rPr>
          <w:rFonts w:ascii="Aptos" w:hAnsi="Aptos" w:eastAsia="Aptos" w:cs="Aptos"/>
          <w:noProof w:val="0"/>
          <w:sz w:val="72"/>
          <w:szCs w:val="72"/>
          <w:lang w:val="en-GB"/>
        </w:rPr>
      </w:pPr>
      <w:r w:rsidRPr="5F15782C" w:rsidR="68205798">
        <w:rPr>
          <w:rFonts w:ascii="Aptos" w:hAnsi="Aptos" w:eastAsia="Aptos" w:cs="Aptos"/>
          <w:noProof w:val="0"/>
          <w:sz w:val="72"/>
          <w:szCs w:val="72"/>
          <w:lang w:val="en-GB"/>
        </w:rPr>
        <w:t xml:space="preserve">Connecting </w:t>
      </w:r>
      <w:r w:rsidRPr="5F15782C" w:rsidR="68205798">
        <w:rPr>
          <w:rFonts w:ascii="Aptos" w:hAnsi="Aptos" w:eastAsia="Aptos" w:cs="Aptos"/>
          <w:noProof w:val="0"/>
          <w:sz w:val="72"/>
          <w:szCs w:val="72"/>
          <w:lang w:val="en-GB"/>
        </w:rPr>
        <w:t>students</w:t>
      </w:r>
      <w:r w:rsidRPr="5F15782C" w:rsidR="68205798">
        <w:rPr>
          <w:rFonts w:ascii="Aptos" w:hAnsi="Aptos" w:eastAsia="Aptos" w:cs="Aptos"/>
          <w:noProof w:val="0"/>
          <w:sz w:val="72"/>
          <w:szCs w:val="72"/>
          <w:lang w:val="en-GB"/>
        </w:rPr>
        <w:t xml:space="preserve"> coaches with grassroot clubs: A Digital platform to support experiential learning</w:t>
      </w:r>
    </w:p>
    <w:p xmlns:wp14="http://schemas.microsoft.com/office/word/2010/wordml" w:rsidP="5F15782C" wp14:paraId="26F1E6F9" wp14:textId="2024C88B">
      <w:pPr>
        <w:spacing w:before="240" w:beforeAutospacing="off" w:after="240" w:afterAutospacing="off"/>
        <w:rPr>
          <w:rFonts w:ascii="Aptos" w:hAnsi="Aptos" w:eastAsia="Aptos" w:cs="Aptos"/>
          <w:noProof w:val="0"/>
          <w:sz w:val="72"/>
          <w:szCs w:val="72"/>
          <w:lang w:val="en-GB"/>
        </w:rPr>
      </w:pPr>
    </w:p>
    <w:p xmlns:wp14="http://schemas.microsoft.com/office/word/2010/wordml" w:rsidP="5F15782C" wp14:paraId="775C5A14" wp14:textId="41CA8842">
      <w:pPr>
        <w:spacing w:before="240" w:beforeAutospacing="off" w:after="240" w:afterAutospacing="off"/>
        <w:rPr>
          <w:rFonts w:ascii="Aptos" w:hAnsi="Aptos" w:eastAsia="Aptos" w:cs="Aptos"/>
          <w:noProof w:val="0"/>
          <w:sz w:val="72"/>
          <w:szCs w:val="72"/>
          <w:lang w:val="en-GB"/>
        </w:rPr>
      </w:pPr>
    </w:p>
    <w:p xmlns:wp14="http://schemas.microsoft.com/office/word/2010/wordml" w:rsidP="5F15782C" wp14:paraId="0A1E1602" wp14:textId="6A5BAD65">
      <w:pPr>
        <w:spacing w:before="240" w:beforeAutospacing="off" w:after="240" w:afterAutospacing="off"/>
        <w:rPr>
          <w:rFonts w:ascii="Aptos" w:hAnsi="Aptos" w:eastAsia="Aptos" w:cs="Aptos"/>
          <w:noProof w:val="0"/>
          <w:sz w:val="72"/>
          <w:szCs w:val="72"/>
          <w:lang w:val="en-GB"/>
        </w:rPr>
      </w:pPr>
    </w:p>
    <w:p xmlns:wp14="http://schemas.microsoft.com/office/word/2010/wordml" w:rsidP="5F15782C" wp14:paraId="388BF900" wp14:textId="322C629F">
      <w:pPr>
        <w:spacing w:before="240" w:beforeAutospacing="off" w:after="240" w:afterAutospacing="off"/>
        <w:rPr>
          <w:rFonts w:ascii="Aptos" w:hAnsi="Aptos" w:eastAsia="Aptos" w:cs="Aptos"/>
          <w:noProof w:val="0"/>
          <w:sz w:val="72"/>
          <w:szCs w:val="72"/>
          <w:lang w:val="en-GB"/>
        </w:rPr>
      </w:pPr>
    </w:p>
    <w:p xmlns:wp14="http://schemas.microsoft.com/office/word/2010/wordml" w:rsidP="5F15782C" wp14:paraId="68BE0DAA" wp14:textId="081605C0">
      <w:pPr>
        <w:spacing w:before="240" w:beforeAutospacing="off" w:after="240" w:afterAutospacing="off"/>
        <w:ind w:left="1440"/>
        <w:rPr>
          <w:rFonts w:ascii="Aptos" w:hAnsi="Aptos" w:eastAsia="Aptos" w:cs="Aptos"/>
          <w:noProof w:val="0"/>
          <w:sz w:val="72"/>
          <w:szCs w:val="72"/>
          <w:lang w:val="en-GB"/>
        </w:rPr>
      </w:pPr>
      <w:r w:rsidRPr="5F15782C" w:rsidR="68205798">
        <w:rPr>
          <w:rFonts w:ascii="Aptos" w:hAnsi="Aptos" w:eastAsia="Aptos" w:cs="Aptos"/>
          <w:noProof w:val="0"/>
          <w:sz w:val="72"/>
          <w:szCs w:val="72"/>
          <w:lang w:val="en-GB"/>
        </w:rPr>
        <w:t>Individual project</w:t>
      </w:r>
    </w:p>
    <w:p xmlns:wp14="http://schemas.microsoft.com/office/word/2010/wordml" w:rsidP="5F15782C" wp14:paraId="584313AC" wp14:textId="0674D343">
      <w:pPr>
        <w:pStyle w:val="Normal"/>
        <w:spacing w:before="240" w:beforeAutospacing="off" w:after="240" w:afterAutospacing="off"/>
        <w:ind w:left="1440"/>
        <w:rPr>
          <w:rFonts w:ascii="Aptos" w:hAnsi="Aptos" w:eastAsia="Aptos" w:cs="Aptos"/>
          <w:noProof w:val="0"/>
          <w:sz w:val="72"/>
          <w:szCs w:val="72"/>
          <w:lang w:val="en-GB"/>
        </w:rPr>
      </w:pPr>
      <w:r w:rsidRPr="5F15782C" w:rsidR="68205798">
        <w:rPr>
          <w:rFonts w:ascii="Aptos" w:hAnsi="Aptos" w:eastAsia="Aptos" w:cs="Aptos"/>
          <w:noProof w:val="0"/>
          <w:sz w:val="72"/>
          <w:szCs w:val="72"/>
          <w:lang w:val="en-GB"/>
        </w:rPr>
        <w:t>Element 2</w:t>
      </w:r>
    </w:p>
    <w:p xmlns:wp14="http://schemas.microsoft.com/office/word/2010/wordml" w:rsidP="5F15782C" wp14:paraId="78918748" wp14:textId="3BF1A16C">
      <w:pPr>
        <w:spacing w:before="240" w:beforeAutospacing="off" w:after="240" w:afterAutospacing="off"/>
        <w:ind w:left="1440"/>
        <w:rPr>
          <w:rFonts w:ascii="Aptos" w:hAnsi="Aptos" w:eastAsia="Aptos" w:cs="Aptos"/>
          <w:noProof w:val="0"/>
          <w:sz w:val="72"/>
          <w:szCs w:val="72"/>
          <w:lang w:val="en-GB"/>
        </w:rPr>
      </w:pPr>
      <w:r w:rsidRPr="5F15782C" w:rsidR="68205798">
        <w:rPr>
          <w:rFonts w:ascii="Aptos" w:hAnsi="Aptos" w:eastAsia="Aptos" w:cs="Aptos"/>
          <w:noProof w:val="0"/>
          <w:sz w:val="72"/>
          <w:szCs w:val="72"/>
          <w:lang w:val="en-GB"/>
        </w:rPr>
        <w:t>Literature Review</w:t>
      </w:r>
    </w:p>
    <w:p xmlns:wp14="http://schemas.microsoft.com/office/word/2010/wordml" w:rsidP="5F15782C" wp14:paraId="1B880D39" wp14:textId="7C80E6EF">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46DD32FE" wp14:textId="362A42F1">
      <w:pPr>
        <w:spacing w:before="240" w:beforeAutospacing="off" w:after="240" w:afterAutospacing="off"/>
        <w:ind w:left="2880"/>
        <w:jc w:val="left"/>
        <w:rPr>
          <w:rFonts w:ascii="Aptos" w:hAnsi="Aptos" w:eastAsia="Aptos" w:cs="Aptos"/>
          <w:noProof w:val="0"/>
          <w:sz w:val="40"/>
          <w:szCs w:val="40"/>
          <w:lang w:val="en-GB"/>
        </w:rPr>
      </w:pPr>
      <w:r w:rsidRPr="5F15782C" w:rsidR="68205798">
        <w:rPr>
          <w:rFonts w:ascii="Aptos" w:hAnsi="Aptos" w:eastAsia="Aptos" w:cs="Aptos"/>
          <w:noProof w:val="0"/>
          <w:sz w:val="40"/>
          <w:szCs w:val="40"/>
          <w:lang w:val="en-GB"/>
        </w:rPr>
        <w:t xml:space="preserve">Contents </w:t>
      </w:r>
    </w:p>
    <w:p xmlns:wp14="http://schemas.microsoft.com/office/word/2010/wordml" w:rsidP="5F15782C" wp14:paraId="27EE78C5" wp14:textId="74A45E01">
      <w:pPr>
        <w:spacing w:before="240" w:beforeAutospacing="off" w:after="240" w:afterAutospacing="off"/>
      </w:pPr>
      <w:r w:rsidRPr="5F15782C" w:rsidR="46F0C1BF">
        <w:rPr>
          <w:rFonts w:ascii="Aptos" w:hAnsi="Aptos" w:eastAsia="Aptos" w:cs="Aptos"/>
          <w:noProof w:val="0"/>
          <w:sz w:val="24"/>
          <w:szCs w:val="24"/>
          <w:lang w:val="en-GB"/>
        </w:rPr>
        <w:t>Contents page...... Page 2</w:t>
      </w:r>
    </w:p>
    <w:p xmlns:wp14="http://schemas.microsoft.com/office/word/2010/wordml" w:rsidP="5F15782C" wp14:paraId="55E1E9AC" wp14:textId="3864FD0A">
      <w:pPr>
        <w:spacing w:before="240" w:beforeAutospacing="off" w:after="240" w:afterAutospacing="off"/>
      </w:pPr>
      <w:r w:rsidRPr="5F15782C" w:rsidR="68205798">
        <w:rPr>
          <w:rFonts w:ascii="Aptos" w:hAnsi="Aptos" w:eastAsia="Aptos" w:cs="Aptos"/>
          <w:noProof w:val="0"/>
          <w:sz w:val="24"/>
          <w:szCs w:val="24"/>
          <w:lang w:val="en-GB"/>
        </w:rPr>
        <w:t xml:space="preserve">Aim of project...... Page </w:t>
      </w:r>
      <w:r w:rsidRPr="5F15782C" w:rsidR="7637CFC0">
        <w:rPr>
          <w:rFonts w:ascii="Aptos" w:hAnsi="Aptos" w:eastAsia="Aptos" w:cs="Aptos"/>
          <w:noProof w:val="0"/>
          <w:sz w:val="24"/>
          <w:szCs w:val="24"/>
          <w:lang w:val="en-GB"/>
        </w:rPr>
        <w:t>3</w:t>
      </w:r>
    </w:p>
    <w:p xmlns:wp14="http://schemas.microsoft.com/office/word/2010/wordml" w:rsidP="5F15782C" wp14:paraId="7B42B002" wp14:textId="2DFAF541">
      <w:pPr>
        <w:spacing w:before="240" w:beforeAutospacing="off" w:after="240" w:afterAutospacing="off"/>
      </w:pPr>
      <w:r w:rsidRPr="5F15782C" w:rsidR="68205798">
        <w:rPr>
          <w:rFonts w:ascii="Aptos" w:hAnsi="Aptos" w:eastAsia="Aptos" w:cs="Aptos"/>
          <w:noProof w:val="0"/>
          <w:sz w:val="24"/>
          <w:szCs w:val="24"/>
          <w:lang w:val="en-GB"/>
        </w:rPr>
        <w:t>Background and context......</w:t>
      </w:r>
      <w:r w:rsidRPr="5F15782C" w:rsidR="4C556E07">
        <w:rPr>
          <w:rFonts w:ascii="Aptos" w:hAnsi="Aptos" w:eastAsia="Aptos" w:cs="Aptos"/>
          <w:noProof w:val="0"/>
          <w:sz w:val="24"/>
          <w:szCs w:val="24"/>
          <w:lang w:val="en-GB"/>
        </w:rPr>
        <w:t xml:space="preserve"> Page 4/5</w:t>
      </w:r>
    </w:p>
    <w:p xmlns:wp14="http://schemas.microsoft.com/office/word/2010/wordml" w:rsidP="5F15782C" wp14:paraId="1C6DCF18" wp14:textId="7925C206">
      <w:pPr>
        <w:spacing w:before="240" w:beforeAutospacing="off" w:after="240" w:afterAutospacing="off"/>
      </w:pPr>
      <w:r w:rsidRPr="5F15782C" w:rsidR="68205798">
        <w:rPr>
          <w:rFonts w:ascii="Aptos" w:hAnsi="Aptos" w:eastAsia="Aptos" w:cs="Aptos"/>
          <w:noProof w:val="0"/>
          <w:sz w:val="24"/>
          <w:szCs w:val="24"/>
          <w:lang w:val="en-GB"/>
        </w:rPr>
        <w:t>Literature review</w:t>
      </w:r>
    </w:p>
    <w:p xmlns:wp14="http://schemas.microsoft.com/office/word/2010/wordml" w:rsidP="5F15782C" wp14:paraId="1EAFCCCB" wp14:textId="6C2EA728">
      <w:pPr>
        <w:spacing w:before="240" w:beforeAutospacing="off" w:after="240" w:afterAutospacing="off"/>
      </w:pPr>
      <w:r w:rsidRPr="5F15782C" w:rsidR="68205798">
        <w:rPr>
          <w:rFonts w:ascii="Aptos" w:hAnsi="Aptos" w:eastAsia="Aptos" w:cs="Aptos"/>
          <w:noProof w:val="0"/>
          <w:sz w:val="24"/>
          <w:szCs w:val="24"/>
          <w:lang w:val="en-GB"/>
        </w:rPr>
        <w:t>3.1 coach education and development pathways in football.........</w:t>
      </w:r>
      <w:r w:rsidRPr="5F15782C" w:rsidR="4FC6722A">
        <w:rPr>
          <w:rFonts w:ascii="Aptos" w:hAnsi="Aptos" w:eastAsia="Aptos" w:cs="Aptos"/>
          <w:noProof w:val="0"/>
          <w:sz w:val="24"/>
          <w:szCs w:val="24"/>
          <w:lang w:val="en-GB"/>
        </w:rPr>
        <w:t xml:space="preserve">  Page 6/7</w:t>
      </w:r>
    </w:p>
    <w:p xmlns:wp14="http://schemas.microsoft.com/office/word/2010/wordml" w:rsidP="5F15782C" wp14:paraId="030272DD" wp14:textId="7944DC05">
      <w:pPr>
        <w:spacing w:before="240" w:beforeAutospacing="off" w:after="240" w:afterAutospacing="off"/>
        <w:rPr>
          <w:rFonts w:ascii="Aptos" w:hAnsi="Aptos" w:eastAsia="Aptos" w:cs="Aptos"/>
          <w:noProof w:val="0"/>
          <w:sz w:val="24"/>
          <w:szCs w:val="24"/>
          <w:lang w:val="en-GB"/>
        </w:rPr>
      </w:pPr>
      <w:r w:rsidRPr="5F15782C" w:rsidR="68205798">
        <w:rPr>
          <w:rFonts w:ascii="Aptos" w:hAnsi="Aptos" w:eastAsia="Aptos" w:cs="Aptos"/>
          <w:noProof w:val="0"/>
          <w:sz w:val="24"/>
          <w:szCs w:val="24"/>
          <w:lang w:val="en-GB"/>
        </w:rPr>
        <w:t>3.2 experiential learning and employability in sport management........</w:t>
      </w:r>
      <w:r w:rsidRPr="5F15782C" w:rsidR="72A1613F">
        <w:rPr>
          <w:rFonts w:ascii="Aptos" w:hAnsi="Aptos" w:eastAsia="Aptos" w:cs="Aptos"/>
          <w:noProof w:val="0"/>
          <w:sz w:val="24"/>
          <w:szCs w:val="24"/>
          <w:lang w:val="en-GB"/>
        </w:rPr>
        <w:t xml:space="preserve"> Page 7/8</w:t>
      </w:r>
    </w:p>
    <w:p xmlns:wp14="http://schemas.microsoft.com/office/word/2010/wordml" w:rsidP="5F15782C" wp14:paraId="57BBA983" wp14:textId="52B6FBB9">
      <w:pPr>
        <w:spacing w:before="240" w:beforeAutospacing="off" w:after="240" w:afterAutospacing="off"/>
      </w:pPr>
      <w:r w:rsidRPr="5F15782C" w:rsidR="68205798">
        <w:rPr>
          <w:rFonts w:ascii="Aptos" w:hAnsi="Aptos" w:eastAsia="Aptos" w:cs="Aptos"/>
          <w:noProof w:val="0"/>
          <w:sz w:val="24"/>
          <w:szCs w:val="24"/>
          <w:lang w:val="en-GB"/>
        </w:rPr>
        <w:t>3.3 Higher education-community and football club collaboration..........</w:t>
      </w:r>
      <w:r w:rsidRPr="5F15782C" w:rsidR="2C08D34C">
        <w:rPr>
          <w:rFonts w:ascii="Aptos" w:hAnsi="Aptos" w:eastAsia="Aptos" w:cs="Aptos"/>
          <w:noProof w:val="0"/>
          <w:sz w:val="24"/>
          <w:szCs w:val="24"/>
          <w:lang w:val="en-GB"/>
        </w:rPr>
        <w:t xml:space="preserve"> Page 9/10</w:t>
      </w:r>
    </w:p>
    <w:p xmlns:wp14="http://schemas.microsoft.com/office/word/2010/wordml" w:rsidP="5F15782C" wp14:paraId="59B40ECF" wp14:textId="0ED9DBBA">
      <w:pPr>
        <w:spacing w:before="240" w:beforeAutospacing="off" w:after="240" w:afterAutospacing="off"/>
      </w:pPr>
      <w:r w:rsidRPr="5F15782C" w:rsidR="68205798">
        <w:rPr>
          <w:rFonts w:ascii="Aptos" w:hAnsi="Aptos" w:eastAsia="Aptos" w:cs="Aptos"/>
          <w:noProof w:val="0"/>
          <w:sz w:val="24"/>
          <w:szCs w:val="24"/>
          <w:lang w:val="en-GB"/>
        </w:rPr>
        <w:t>3.4 Digital platforms and technology in sport management...........</w:t>
      </w:r>
      <w:r w:rsidRPr="5F15782C" w:rsidR="54FD8570">
        <w:rPr>
          <w:rFonts w:ascii="Aptos" w:hAnsi="Aptos" w:eastAsia="Aptos" w:cs="Aptos"/>
          <w:noProof w:val="0"/>
          <w:sz w:val="24"/>
          <w:szCs w:val="24"/>
          <w:lang w:val="en-GB"/>
        </w:rPr>
        <w:t xml:space="preserve">  Page 10/11</w:t>
      </w:r>
    </w:p>
    <w:p xmlns:wp14="http://schemas.microsoft.com/office/word/2010/wordml" w:rsidP="5F15782C" wp14:paraId="2551E459" wp14:textId="48332C0D">
      <w:pPr>
        <w:pStyle w:val="Normal"/>
        <w:spacing w:before="240" w:beforeAutospacing="off" w:after="240" w:afterAutospacing="off"/>
      </w:pPr>
      <w:r w:rsidRPr="5F15782C" w:rsidR="54FD8570">
        <w:rPr>
          <w:rFonts w:ascii="Aptos" w:hAnsi="Aptos" w:eastAsia="Aptos" w:cs="Aptos"/>
          <w:noProof w:val="0"/>
          <w:sz w:val="24"/>
          <w:szCs w:val="24"/>
          <w:lang w:val="en-GB"/>
        </w:rPr>
        <w:t xml:space="preserve">Synthesis of Literature and Identification of Gaps </w:t>
      </w:r>
      <w:r w:rsidRPr="5F15782C" w:rsidR="68205798">
        <w:rPr>
          <w:rFonts w:ascii="Aptos" w:hAnsi="Aptos" w:eastAsia="Aptos" w:cs="Aptos"/>
          <w:noProof w:val="0"/>
          <w:sz w:val="24"/>
          <w:szCs w:val="24"/>
          <w:lang w:val="en-GB"/>
        </w:rPr>
        <w:t>.........</w:t>
      </w:r>
      <w:r w:rsidRPr="5F15782C" w:rsidR="54319AD5">
        <w:rPr>
          <w:rFonts w:ascii="Aptos" w:hAnsi="Aptos" w:eastAsia="Aptos" w:cs="Aptos"/>
          <w:noProof w:val="0"/>
          <w:sz w:val="24"/>
          <w:szCs w:val="24"/>
          <w:lang w:val="en-GB"/>
        </w:rPr>
        <w:t xml:space="preserve"> Page 12</w:t>
      </w:r>
    </w:p>
    <w:p xmlns:wp14="http://schemas.microsoft.com/office/word/2010/wordml" w:rsidP="5F15782C" wp14:paraId="044F25E5" wp14:textId="3F4B8784">
      <w:pPr>
        <w:pStyle w:val="Normal"/>
        <w:spacing w:before="240" w:beforeAutospacing="off" w:after="240" w:afterAutospacing="off"/>
      </w:pPr>
      <w:r w:rsidRPr="5F15782C" w:rsidR="54319AD5">
        <w:rPr>
          <w:rFonts w:ascii="Aptos" w:hAnsi="Aptos" w:eastAsia="Aptos" w:cs="Aptos"/>
          <w:noProof w:val="0"/>
          <w:sz w:val="24"/>
          <w:szCs w:val="24"/>
          <w:lang w:val="en-GB"/>
        </w:rPr>
        <w:t>Conclusion and justification for element 3....... Page 13/14</w:t>
      </w:r>
    </w:p>
    <w:p xmlns:wp14="http://schemas.microsoft.com/office/word/2010/wordml" w:rsidP="5F15782C" wp14:paraId="59D2EBDD" wp14:textId="619080BA">
      <w:pPr>
        <w:spacing w:before="240" w:beforeAutospacing="off" w:after="240" w:afterAutospacing="off"/>
        <w:rPr>
          <w:rFonts w:ascii="Aptos" w:hAnsi="Aptos" w:eastAsia="Aptos" w:cs="Aptos"/>
          <w:noProof w:val="0"/>
          <w:sz w:val="24"/>
          <w:szCs w:val="24"/>
          <w:lang w:val="en-GB"/>
        </w:rPr>
      </w:pPr>
      <w:r w:rsidRPr="5F15782C" w:rsidR="68205798">
        <w:rPr>
          <w:rFonts w:ascii="Aptos" w:hAnsi="Aptos" w:eastAsia="Aptos" w:cs="Aptos"/>
          <w:noProof w:val="0"/>
          <w:sz w:val="24"/>
          <w:szCs w:val="24"/>
          <w:lang w:val="en-GB"/>
        </w:rPr>
        <w:t>Reference list..........</w:t>
      </w:r>
      <w:r w:rsidRPr="5F15782C" w:rsidR="029A88CD">
        <w:rPr>
          <w:rFonts w:ascii="Aptos" w:hAnsi="Aptos" w:eastAsia="Aptos" w:cs="Aptos"/>
          <w:noProof w:val="0"/>
          <w:sz w:val="24"/>
          <w:szCs w:val="24"/>
          <w:lang w:val="en-GB"/>
        </w:rPr>
        <w:t xml:space="preserve"> Page 16/17/18</w:t>
      </w:r>
    </w:p>
    <w:p xmlns:wp14="http://schemas.microsoft.com/office/word/2010/wordml" w:rsidP="5F15782C" wp14:paraId="00A26066" wp14:textId="1141A676">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4491F2E2" wp14:textId="60802E2C">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3E5D904C" wp14:textId="40DCA238">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3ACAB7BE" wp14:textId="1BA535C6">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6CCF95D5" wp14:textId="4102599E">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5F19F907" wp14:textId="2CB5D701">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3634C9D9" wp14:textId="2FD5118A">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2DE199F0" wp14:textId="34D6061C">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52D6D925" wp14:textId="784A85A9">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0FE5F98F" wp14:textId="44E7E2BA">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1E6A500C" wp14:textId="6360A451">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2D39ECDA" wp14:textId="5FE327E0">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1A1D4BB1" wp14:textId="029A7598">
      <w:pPr>
        <w:spacing w:before="240" w:beforeAutospacing="off" w:after="240" w:afterAutospacing="off"/>
        <w:jc w:val="both"/>
      </w:pPr>
      <w:r w:rsidRPr="5F15782C" w:rsidR="68205798">
        <w:rPr>
          <w:rFonts w:ascii="Aptos" w:hAnsi="Aptos" w:eastAsia="Aptos" w:cs="Aptos"/>
          <w:noProof w:val="0"/>
          <w:sz w:val="24"/>
          <w:szCs w:val="24"/>
          <w:lang w:val="en-GB"/>
        </w:rPr>
        <w:t>Project Aim</w:t>
      </w:r>
    </w:p>
    <w:p xmlns:wp14="http://schemas.microsoft.com/office/word/2010/wordml" w:rsidP="5F15782C" wp14:paraId="0C2F32AF" wp14:textId="30055EDA">
      <w:pPr>
        <w:spacing w:before="240" w:beforeAutospacing="off" w:after="240" w:afterAutospacing="off"/>
        <w:jc w:val="both"/>
      </w:pPr>
      <w:r w:rsidRPr="5F15782C" w:rsidR="68205798">
        <w:rPr>
          <w:rFonts w:ascii="Aptos" w:hAnsi="Aptos" w:eastAsia="Aptos" w:cs="Aptos"/>
          <w:noProof w:val="0"/>
          <w:sz w:val="24"/>
          <w:szCs w:val="24"/>
          <w:lang w:val="en-GB"/>
        </w:rPr>
        <w:t>The development of effective coach education pathways has become an increasingly important focus within sport management and football development due to the growing professionalisation of coaching roles (Cushion et al., 2003; Lyle, 2007). Higher education institutions have been identified as key contributors to coach development by providing theoretical knowledge and professional skills aligned with industry expectations (Jones et al., 2012). However, research consistently shows that student coaches often experience limited opportunities to use academic learning within proper coaching environments which can create a disconnect between education and practice (Nelson, Cushion and Potrac, 2013).</w:t>
      </w:r>
    </w:p>
    <w:p xmlns:wp14="http://schemas.microsoft.com/office/word/2010/wordml" w:rsidP="5F15782C" wp14:paraId="36249D70" wp14:textId="4B3798A3">
      <w:pPr>
        <w:spacing w:before="240" w:beforeAutospacing="off" w:after="240" w:afterAutospacing="off"/>
        <w:jc w:val="both"/>
      </w:pPr>
      <w:r w:rsidRPr="5F15782C" w:rsidR="68205798">
        <w:rPr>
          <w:rFonts w:ascii="Aptos" w:hAnsi="Aptos" w:eastAsia="Aptos" w:cs="Aptos"/>
          <w:noProof w:val="0"/>
          <w:sz w:val="24"/>
          <w:szCs w:val="24"/>
          <w:lang w:val="en-GB"/>
        </w:rPr>
        <w:t xml:space="preserve">Experiential learning has been widely recognised as a critical mechanism for developing coaching competence, </w:t>
      </w:r>
      <w:r w:rsidRPr="5F15782C" w:rsidR="68205798">
        <w:rPr>
          <w:rFonts w:ascii="Aptos" w:hAnsi="Aptos" w:eastAsia="Aptos" w:cs="Aptos"/>
          <w:noProof w:val="0"/>
          <w:sz w:val="24"/>
          <w:szCs w:val="24"/>
          <w:lang w:val="en-GB"/>
        </w:rPr>
        <w:t>confidence</w:t>
      </w:r>
      <w:r w:rsidRPr="5F15782C" w:rsidR="68205798">
        <w:rPr>
          <w:rFonts w:ascii="Aptos" w:hAnsi="Aptos" w:eastAsia="Aptos" w:cs="Aptos"/>
          <w:noProof w:val="0"/>
          <w:sz w:val="24"/>
          <w:szCs w:val="24"/>
          <w:lang w:val="en-GB"/>
        </w:rPr>
        <w:t xml:space="preserve"> and employability. Especially when integrated alongside formal education (Kolb, 1984; Billett, 2011). Within football, the availability of real-world coaching experience is often dependent on informal networks and personal connections, which can disadvantage student coaches who lack established links with local clubs (Cushion et al., 2010). Research shows the structural barrier as a limitation within existing coach education systems and has implications for both graduate readiness and grassroots football development (Piggott, 2015).</w:t>
      </w:r>
    </w:p>
    <w:p xmlns:wp14="http://schemas.microsoft.com/office/word/2010/wordml" w:rsidP="5F15782C" wp14:paraId="531227EC" wp14:textId="3917E398">
      <w:pPr>
        <w:spacing w:before="240" w:beforeAutospacing="off" w:after="240" w:afterAutospacing="off"/>
        <w:jc w:val="both"/>
      </w:pPr>
      <w:r w:rsidRPr="5F15782C" w:rsidR="68205798">
        <w:rPr>
          <w:rFonts w:ascii="Aptos" w:hAnsi="Aptos" w:eastAsia="Aptos" w:cs="Aptos"/>
          <w:noProof w:val="0"/>
          <w:sz w:val="24"/>
          <w:szCs w:val="24"/>
          <w:lang w:val="en-GB"/>
        </w:rPr>
        <w:t>Digital technology is now widely used across football and sport-related roles as a way of improving communication, access to information and day-to-day organisation (</w:t>
      </w:r>
      <w:r w:rsidRPr="5F15782C" w:rsidR="68205798">
        <w:rPr>
          <w:rFonts w:ascii="Aptos" w:hAnsi="Aptos" w:eastAsia="Aptos" w:cs="Aptos"/>
          <w:noProof w:val="0"/>
          <w:sz w:val="24"/>
          <w:szCs w:val="24"/>
          <w:lang w:val="en-GB"/>
        </w:rPr>
        <w:t>Ratten</w:t>
      </w:r>
      <w:r w:rsidRPr="5F15782C" w:rsidR="68205798">
        <w:rPr>
          <w:rFonts w:ascii="Aptos" w:hAnsi="Aptos" w:eastAsia="Aptos" w:cs="Aptos"/>
          <w:noProof w:val="0"/>
          <w:sz w:val="24"/>
          <w:szCs w:val="24"/>
          <w:lang w:val="en-GB"/>
        </w:rPr>
        <w:t xml:space="preserve">, 2020; Winand et al., 2019). Studies suggest that online platforms can also help to bring </w:t>
      </w:r>
      <w:r w:rsidRPr="5F15782C" w:rsidR="68205798">
        <w:rPr>
          <w:rFonts w:ascii="Aptos" w:hAnsi="Aptos" w:eastAsia="Aptos" w:cs="Aptos"/>
          <w:noProof w:val="0"/>
          <w:sz w:val="24"/>
          <w:szCs w:val="24"/>
          <w:lang w:val="en-GB"/>
        </w:rPr>
        <w:t>different groups</w:t>
      </w:r>
      <w:r w:rsidRPr="5F15782C" w:rsidR="68205798">
        <w:rPr>
          <w:rFonts w:ascii="Aptos" w:hAnsi="Aptos" w:eastAsia="Aptos" w:cs="Aptos"/>
          <w:noProof w:val="0"/>
          <w:sz w:val="24"/>
          <w:szCs w:val="24"/>
          <w:lang w:val="en-GB"/>
        </w:rPr>
        <w:t xml:space="preserve"> together and support learning and development within sport settings (Pizzo et al., 2021). However, there has been </w:t>
      </w:r>
      <w:r w:rsidRPr="5F15782C" w:rsidR="68205798">
        <w:rPr>
          <w:rFonts w:ascii="Aptos" w:hAnsi="Aptos" w:eastAsia="Aptos" w:cs="Aptos"/>
          <w:noProof w:val="0"/>
          <w:sz w:val="24"/>
          <w:szCs w:val="24"/>
          <w:lang w:val="en-GB"/>
        </w:rPr>
        <w:t>relatively little</w:t>
      </w:r>
      <w:r w:rsidRPr="5F15782C" w:rsidR="68205798">
        <w:rPr>
          <w:rFonts w:ascii="Aptos" w:hAnsi="Aptos" w:eastAsia="Aptos" w:cs="Aptos"/>
          <w:noProof w:val="0"/>
          <w:sz w:val="24"/>
          <w:szCs w:val="24"/>
          <w:lang w:val="en-GB"/>
        </w:rPr>
        <w:t xml:space="preserve"> focus on using these tools to create clear and accessible links between student coaches and community football clubs (Misener and Doherty, 2012).</w:t>
      </w:r>
    </w:p>
    <w:p xmlns:wp14="http://schemas.microsoft.com/office/word/2010/wordml" w:rsidP="5F15782C" wp14:paraId="3ACBA7FD" wp14:textId="19C5A185">
      <w:pPr>
        <w:spacing w:before="240" w:beforeAutospacing="off" w:after="240" w:afterAutospacing="off"/>
        <w:jc w:val="both"/>
      </w:pPr>
      <w:r w:rsidRPr="5F15782C" w:rsidR="68205798">
        <w:rPr>
          <w:rFonts w:ascii="Aptos" w:hAnsi="Aptos" w:eastAsia="Aptos" w:cs="Aptos"/>
          <w:noProof w:val="0"/>
          <w:sz w:val="24"/>
          <w:szCs w:val="24"/>
          <w:lang w:val="en-GB"/>
        </w:rPr>
        <w:t xml:space="preserve">Because of this, the aim of this project is to develop Coach Connect, a user-friendly web-based platform designed to connect student football coaches with local football teams thereby supporting experiential learning opportunities and enhancing the integration of academic study with applied coaching practice (Kolb, 1984; </w:t>
      </w:r>
      <w:r w:rsidRPr="5F15782C" w:rsidR="68205798">
        <w:rPr>
          <w:rFonts w:ascii="Aptos" w:hAnsi="Aptos" w:eastAsia="Aptos" w:cs="Aptos"/>
          <w:noProof w:val="0"/>
          <w:sz w:val="24"/>
          <w:szCs w:val="24"/>
          <w:lang w:val="en-GB"/>
        </w:rPr>
        <w:t>Ratten</w:t>
      </w:r>
      <w:r w:rsidRPr="5F15782C" w:rsidR="68205798">
        <w:rPr>
          <w:rFonts w:ascii="Aptos" w:hAnsi="Aptos" w:eastAsia="Aptos" w:cs="Aptos"/>
          <w:noProof w:val="0"/>
          <w:sz w:val="24"/>
          <w:szCs w:val="24"/>
          <w:lang w:val="en-GB"/>
        </w:rPr>
        <w:t>, 2020). By addressing identified gaps in access to coaching experience and stakeholder connectivity. the project seeks to contribute to more effective coach development pathways in the sports sector and football contexts (Nelson et al., 2013; Cushion, 2016).</w:t>
      </w:r>
    </w:p>
    <w:p xmlns:wp14="http://schemas.microsoft.com/office/word/2010/wordml" w:rsidP="5F15782C" wp14:paraId="591264E9" wp14:textId="64F9B549">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26E734B5" wp14:textId="1BA0D528">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7859E091" wp14:textId="67A132C6">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292554AD" wp14:textId="193307D2">
      <w:pPr>
        <w:spacing w:before="240" w:beforeAutospacing="off" w:after="240" w:afterAutospacing="off"/>
        <w:jc w:val="both"/>
      </w:pPr>
      <w:r w:rsidRPr="5F15782C" w:rsidR="68205798">
        <w:rPr>
          <w:rFonts w:ascii="Aptos" w:hAnsi="Aptos" w:eastAsia="Aptos" w:cs="Aptos"/>
          <w:noProof w:val="0"/>
          <w:sz w:val="24"/>
          <w:szCs w:val="24"/>
          <w:lang w:val="en-GB"/>
        </w:rPr>
        <w:t>Project Background</w:t>
      </w:r>
    </w:p>
    <w:p xmlns:wp14="http://schemas.microsoft.com/office/word/2010/wordml" w:rsidP="5F15782C" wp14:paraId="5A99C751" wp14:textId="7A68169A">
      <w:pPr>
        <w:spacing w:before="240" w:beforeAutospacing="off" w:after="240" w:afterAutospacing="off"/>
        <w:jc w:val="both"/>
      </w:pPr>
      <w:r w:rsidRPr="5F15782C" w:rsidR="68205798">
        <w:rPr>
          <w:rFonts w:ascii="Aptos" w:hAnsi="Aptos" w:eastAsia="Aptos" w:cs="Aptos"/>
          <w:noProof w:val="0"/>
          <w:sz w:val="24"/>
          <w:szCs w:val="24"/>
          <w:lang w:val="en-GB"/>
        </w:rPr>
        <w:t xml:space="preserve">Sport coaching has become an increasingly significant area of study within sport management due to its role in athlete development, organisational </w:t>
      </w:r>
      <w:r w:rsidRPr="5F15782C" w:rsidR="68205798">
        <w:rPr>
          <w:rFonts w:ascii="Aptos" w:hAnsi="Aptos" w:eastAsia="Aptos" w:cs="Aptos"/>
          <w:noProof w:val="0"/>
          <w:sz w:val="24"/>
          <w:szCs w:val="24"/>
          <w:lang w:val="en-GB"/>
        </w:rPr>
        <w:t>effectiveness</w:t>
      </w:r>
      <w:r w:rsidRPr="5F15782C" w:rsidR="68205798">
        <w:rPr>
          <w:rFonts w:ascii="Aptos" w:hAnsi="Aptos" w:eastAsia="Aptos" w:cs="Aptos"/>
          <w:noProof w:val="0"/>
          <w:sz w:val="24"/>
          <w:szCs w:val="24"/>
          <w:lang w:val="en-GB"/>
        </w:rPr>
        <w:t xml:space="preserve"> and community sport provision (Lyle, 2007; Cushion, 2016). In football the demand for qualified and competent coaches has grown alongside the expansion of grassroots participation and formalised development pathways (Cushion et al., 2003). As a result, higher education institutions have increasingly incorporated coaching-related content into sport management and sport science programmes to enhance graduate employability and industry readiness (Jones et al., 2012).</w:t>
      </w:r>
    </w:p>
    <w:p xmlns:wp14="http://schemas.microsoft.com/office/word/2010/wordml" w:rsidP="5F15782C" wp14:paraId="36E8D28F" wp14:textId="63211EA6">
      <w:pPr>
        <w:spacing w:before="240" w:beforeAutospacing="off" w:after="240" w:afterAutospacing="off"/>
        <w:jc w:val="both"/>
      </w:pPr>
      <w:r w:rsidRPr="5F15782C" w:rsidR="68205798">
        <w:rPr>
          <w:rFonts w:ascii="Aptos" w:hAnsi="Aptos" w:eastAsia="Aptos" w:cs="Aptos"/>
          <w:noProof w:val="0"/>
          <w:sz w:val="24"/>
          <w:szCs w:val="24"/>
          <w:lang w:val="en-GB"/>
        </w:rPr>
        <w:t>Although higher education programmes in coaching have continued to grow, research shows that many students still experience a gap between what they learn in the classroom and the skills needed in real coaching settings (Nelson, Cushion and Potrac, 2013). For student coaches, this often means struggling to find enough sustained and meaningful opportunities to apply their learning alongside their studies, which has been identified as an ongoing challenge within coach education (Piggott, 2015). These difficulties affect not only individual development but also have wider implications for the quality and long-term sustainability of grassroots football provision (Misener and Doherty, 2012).</w:t>
      </w:r>
    </w:p>
    <w:p xmlns:wp14="http://schemas.microsoft.com/office/word/2010/wordml" w:rsidP="5F15782C" wp14:paraId="18B5A7B3" wp14:textId="1C9CE503">
      <w:pPr>
        <w:spacing w:before="240" w:beforeAutospacing="off" w:after="240" w:afterAutospacing="off"/>
        <w:jc w:val="both"/>
      </w:pPr>
      <w:r w:rsidRPr="5F15782C" w:rsidR="68205798">
        <w:rPr>
          <w:rFonts w:ascii="Aptos" w:hAnsi="Aptos" w:eastAsia="Aptos" w:cs="Aptos"/>
          <w:noProof w:val="0"/>
          <w:sz w:val="24"/>
          <w:szCs w:val="24"/>
          <w:lang w:val="en-GB"/>
        </w:rPr>
        <w:t xml:space="preserve">Experiential learning theory suggests that people learn most effectively when they </w:t>
      </w:r>
      <w:r w:rsidRPr="5F15782C" w:rsidR="68205798">
        <w:rPr>
          <w:rFonts w:ascii="Aptos" w:hAnsi="Aptos" w:eastAsia="Aptos" w:cs="Aptos"/>
          <w:noProof w:val="0"/>
          <w:sz w:val="24"/>
          <w:szCs w:val="24"/>
          <w:lang w:val="en-GB"/>
        </w:rPr>
        <w:t>are able to</w:t>
      </w:r>
      <w:r w:rsidRPr="5F15782C" w:rsidR="68205798">
        <w:rPr>
          <w:rFonts w:ascii="Aptos" w:hAnsi="Aptos" w:eastAsia="Aptos" w:cs="Aptos"/>
          <w:noProof w:val="0"/>
          <w:sz w:val="24"/>
          <w:szCs w:val="24"/>
          <w:lang w:val="en-GB"/>
        </w:rPr>
        <w:t xml:space="preserve"> apply theoretical ideas in real situations, supported by opportunities to reflect on their practice and receive feedback (Kolb, 1984; Billett, 2011). In sport management education, work-integrated learning and placement opportunities are therefore widely used to help students build skills, </w:t>
      </w:r>
      <w:r w:rsidRPr="5F15782C" w:rsidR="68205798">
        <w:rPr>
          <w:rFonts w:ascii="Aptos" w:hAnsi="Aptos" w:eastAsia="Aptos" w:cs="Aptos"/>
          <w:noProof w:val="0"/>
          <w:sz w:val="24"/>
          <w:szCs w:val="24"/>
          <w:lang w:val="en-GB"/>
        </w:rPr>
        <w:t>confidence</w:t>
      </w:r>
      <w:r w:rsidRPr="5F15782C" w:rsidR="68205798">
        <w:rPr>
          <w:rFonts w:ascii="Aptos" w:hAnsi="Aptos" w:eastAsia="Aptos" w:cs="Aptos"/>
          <w:noProof w:val="0"/>
          <w:sz w:val="24"/>
          <w:szCs w:val="24"/>
          <w:lang w:val="en-GB"/>
        </w:rPr>
        <w:t xml:space="preserve"> and employment-related outcomes (Fleming et al., 2018). However, within coaching contexts, these opportunities are often inconsistent and poorly organised, which can reduce their overall value for student development (Nelson et al., 2013).</w:t>
      </w:r>
    </w:p>
    <w:p xmlns:wp14="http://schemas.microsoft.com/office/word/2010/wordml" w:rsidP="5F15782C" wp14:paraId="30521874" wp14:textId="1CA6CB8D">
      <w:pPr>
        <w:spacing w:before="240" w:beforeAutospacing="off" w:after="240" w:afterAutospacing="off"/>
        <w:jc w:val="both"/>
      </w:pPr>
      <w:r w:rsidRPr="5F15782C" w:rsidR="68205798">
        <w:rPr>
          <w:rFonts w:ascii="Aptos" w:hAnsi="Aptos" w:eastAsia="Aptos" w:cs="Aptos"/>
          <w:noProof w:val="0"/>
          <w:sz w:val="24"/>
          <w:szCs w:val="24"/>
          <w:lang w:val="en-GB"/>
        </w:rPr>
        <w:t xml:space="preserve">In response to these challenges, scholars have increasingly explored the role of digital technology in </w:t>
      </w:r>
      <w:r w:rsidRPr="5F15782C" w:rsidR="68205798">
        <w:rPr>
          <w:rFonts w:ascii="Aptos" w:hAnsi="Aptos" w:eastAsia="Aptos" w:cs="Aptos"/>
          <w:noProof w:val="0"/>
          <w:sz w:val="24"/>
          <w:szCs w:val="24"/>
          <w:lang w:val="en-GB"/>
        </w:rPr>
        <w:t>facilitating</w:t>
      </w:r>
      <w:r w:rsidRPr="5F15782C" w:rsidR="68205798">
        <w:rPr>
          <w:rFonts w:ascii="Aptos" w:hAnsi="Aptos" w:eastAsia="Aptos" w:cs="Aptos"/>
          <w:noProof w:val="0"/>
          <w:sz w:val="24"/>
          <w:szCs w:val="24"/>
          <w:lang w:val="en-GB"/>
        </w:rPr>
        <w:t xml:space="preserve"> learning, </w:t>
      </w:r>
      <w:r w:rsidRPr="5F15782C" w:rsidR="68205798">
        <w:rPr>
          <w:rFonts w:ascii="Aptos" w:hAnsi="Aptos" w:eastAsia="Aptos" w:cs="Aptos"/>
          <w:noProof w:val="0"/>
          <w:sz w:val="24"/>
          <w:szCs w:val="24"/>
          <w:lang w:val="en-GB"/>
        </w:rPr>
        <w:t>communication</w:t>
      </w:r>
      <w:r w:rsidRPr="5F15782C" w:rsidR="68205798">
        <w:rPr>
          <w:rFonts w:ascii="Aptos" w:hAnsi="Aptos" w:eastAsia="Aptos" w:cs="Aptos"/>
          <w:noProof w:val="0"/>
          <w:sz w:val="24"/>
          <w:szCs w:val="24"/>
          <w:lang w:val="en-GB"/>
        </w:rPr>
        <w:t xml:space="preserve"> and stakeholder engagement within sport organisations (</w:t>
      </w:r>
      <w:r w:rsidRPr="5F15782C" w:rsidR="68205798">
        <w:rPr>
          <w:rFonts w:ascii="Aptos" w:hAnsi="Aptos" w:eastAsia="Aptos" w:cs="Aptos"/>
          <w:noProof w:val="0"/>
          <w:sz w:val="24"/>
          <w:szCs w:val="24"/>
          <w:lang w:val="en-GB"/>
        </w:rPr>
        <w:t>Ratten</w:t>
      </w:r>
      <w:r w:rsidRPr="5F15782C" w:rsidR="68205798">
        <w:rPr>
          <w:rFonts w:ascii="Aptos" w:hAnsi="Aptos" w:eastAsia="Aptos" w:cs="Aptos"/>
          <w:noProof w:val="0"/>
          <w:sz w:val="24"/>
          <w:szCs w:val="24"/>
          <w:lang w:val="en-GB"/>
        </w:rPr>
        <w:t xml:space="preserve">, 2020; Winand et al., 2019). Digital platforms have been identified as potential tools for improving access to opportunities, reducing organisational </w:t>
      </w:r>
      <w:r w:rsidRPr="5F15782C" w:rsidR="68205798">
        <w:rPr>
          <w:rFonts w:ascii="Aptos" w:hAnsi="Aptos" w:eastAsia="Aptos" w:cs="Aptos"/>
          <w:noProof w:val="0"/>
          <w:sz w:val="24"/>
          <w:szCs w:val="24"/>
          <w:lang w:val="en-GB"/>
        </w:rPr>
        <w:t>barriers</w:t>
      </w:r>
      <w:r w:rsidRPr="5F15782C" w:rsidR="68205798">
        <w:rPr>
          <w:rFonts w:ascii="Aptos" w:hAnsi="Aptos" w:eastAsia="Aptos" w:cs="Aptos"/>
          <w:noProof w:val="0"/>
          <w:sz w:val="24"/>
          <w:szCs w:val="24"/>
          <w:lang w:val="en-GB"/>
        </w:rPr>
        <w:t xml:space="preserve"> and supporting collaboration between educational institutions and community sport organisations (Pizzo et al., 2021). </w:t>
      </w:r>
      <w:r w:rsidRPr="5F15782C" w:rsidR="68205798">
        <w:rPr>
          <w:rFonts w:ascii="Aptos" w:hAnsi="Aptos" w:eastAsia="Aptos" w:cs="Aptos"/>
          <w:noProof w:val="0"/>
          <w:sz w:val="24"/>
          <w:szCs w:val="24"/>
          <w:lang w:val="en-GB"/>
        </w:rPr>
        <w:t>In spite of</w:t>
      </w:r>
      <w:r w:rsidRPr="5F15782C" w:rsidR="68205798">
        <w:rPr>
          <w:rFonts w:ascii="Aptos" w:hAnsi="Aptos" w:eastAsia="Aptos" w:cs="Aptos"/>
          <w:noProof w:val="0"/>
          <w:sz w:val="24"/>
          <w:szCs w:val="24"/>
          <w:lang w:val="en-GB"/>
        </w:rPr>
        <w:t xml:space="preserve"> that, there </w:t>
      </w:r>
      <w:r w:rsidRPr="5F15782C" w:rsidR="68205798">
        <w:rPr>
          <w:rFonts w:ascii="Aptos" w:hAnsi="Aptos" w:eastAsia="Aptos" w:cs="Aptos"/>
          <w:noProof w:val="0"/>
          <w:sz w:val="24"/>
          <w:szCs w:val="24"/>
          <w:lang w:val="en-GB"/>
        </w:rPr>
        <w:t>remains</w:t>
      </w:r>
      <w:r w:rsidRPr="5F15782C" w:rsidR="68205798">
        <w:rPr>
          <w:rFonts w:ascii="Aptos" w:hAnsi="Aptos" w:eastAsia="Aptos" w:cs="Aptos"/>
          <w:noProof w:val="0"/>
          <w:sz w:val="24"/>
          <w:szCs w:val="24"/>
          <w:lang w:val="en-GB"/>
        </w:rPr>
        <w:t xml:space="preserve"> limited empirical focus on digital solutions that specifically address the needs of student coaches seeking practical experience within local football clubs (Cushion, 2016).</w:t>
      </w:r>
    </w:p>
    <w:p xmlns:wp14="http://schemas.microsoft.com/office/word/2010/wordml" w:rsidP="5F15782C" wp14:paraId="67AE4821" wp14:textId="1F4BA0AD">
      <w:pPr>
        <w:spacing w:before="240" w:beforeAutospacing="off" w:after="240" w:afterAutospacing="off"/>
        <w:jc w:val="both"/>
      </w:pPr>
      <w:r w:rsidRPr="5F15782C" w:rsidR="68205798">
        <w:rPr>
          <w:rFonts w:ascii="Aptos" w:hAnsi="Aptos" w:eastAsia="Aptos" w:cs="Aptos"/>
          <w:noProof w:val="0"/>
          <w:sz w:val="24"/>
          <w:szCs w:val="24"/>
          <w:lang w:val="en-GB"/>
        </w:rPr>
        <w:t xml:space="preserve">Because of this, this literature review aims to critically examine key research relating to coach education and development pathways, experiential learning and employability within sport management, university–community partnerships, and the role of digital platforms in sport contexts (Nelson et al., 2013; </w:t>
      </w:r>
      <w:r w:rsidRPr="5F15782C" w:rsidR="68205798">
        <w:rPr>
          <w:rFonts w:ascii="Aptos" w:hAnsi="Aptos" w:eastAsia="Aptos" w:cs="Aptos"/>
          <w:noProof w:val="0"/>
          <w:sz w:val="24"/>
          <w:szCs w:val="24"/>
          <w:lang w:val="en-GB"/>
        </w:rPr>
        <w:t>Ratten</w:t>
      </w:r>
      <w:r w:rsidRPr="5F15782C" w:rsidR="68205798">
        <w:rPr>
          <w:rFonts w:ascii="Aptos" w:hAnsi="Aptos" w:eastAsia="Aptos" w:cs="Aptos"/>
          <w:noProof w:val="0"/>
          <w:sz w:val="24"/>
          <w:szCs w:val="24"/>
          <w:lang w:val="en-GB"/>
        </w:rPr>
        <w:t xml:space="preserve">, 2020). By synthesising and evaluating existing literature across these themes, the review seeks to </w:t>
      </w:r>
      <w:r w:rsidRPr="5F15782C" w:rsidR="68205798">
        <w:rPr>
          <w:rFonts w:ascii="Aptos" w:hAnsi="Aptos" w:eastAsia="Aptos" w:cs="Aptos"/>
          <w:noProof w:val="0"/>
          <w:sz w:val="24"/>
          <w:szCs w:val="24"/>
          <w:lang w:val="en-GB"/>
        </w:rPr>
        <w:t>identify</w:t>
      </w:r>
      <w:r w:rsidRPr="5F15782C" w:rsidR="68205798">
        <w:rPr>
          <w:rFonts w:ascii="Aptos" w:hAnsi="Aptos" w:eastAsia="Aptos" w:cs="Aptos"/>
          <w:noProof w:val="0"/>
          <w:sz w:val="24"/>
          <w:szCs w:val="24"/>
          <w:lang w:val="en-GB"/>
        </w:rPr>
        <w:t xml:space="preserve"> gaps and limitations that justify the development of an applied digital solution to support student coach engagement within grassroots football (Misener and Doherty, 2012; Pizzo et al., 2021). The review is structured thematically, beginning with an examination of coach education pathways, before exploring experiential learning, collaborative partnerships, and digital innovation within sport management.</w:t>
      </w:r>
    </w:p>
    <w:p xmlns:wp14="http://schemas.microsoft.com/office/word/2010/wordml" w:rsidP="5F15782C" wp14:paraId="35F93C49" wp14:textId="72C33C62">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16928923" wp14:textId="2EBDE0AA">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75872244" wp14:textId="08C76ED3">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748B5DCB" wp14:textId="796B20A7">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2EA014E9" wp14:textId="38637DDC">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03775472" wp14:textId="23BFE70F">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21983D13" wp14:textId="2E2E8B99">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16161438" wp14:textId="2B02A757">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580505A2" wp14:textId="6328244E">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336EE0A9" wp14:textId="1F3F72D3">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47A3BBF7" wp14:textId="7769847F">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577D5300" wp14:textId="52BC87F9">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4A3E99C3" wp14:textId="0DD87BFB">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57C3A09B" wp14:textId="07B8D56A">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17EC6D60" wp14:textId="379C38B2">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555AA98B" wp14:textId="00CDE1A4">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7640F2FD" wp14:textId="58D90554">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3FD38B2A" wp14:textId="35972649">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1308D146" wp14:textId="62765EC7">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19FB2CB4" wp14:textId="59880F4F">
      <w:pPr>
        <w:spacing w:before="240" w:beforeAutospacing="off" w:after="240" w:afterAutospacing="off"/>
        <w:jc w:val="both"/>
      </w:pPr>
      <w:r w:rsidRPr="5F15782C" w:rsidR="68205798">
        <w:rPr>
          <w:rFonts w:ascii="Aptos" w:hAnsi="Aptos" w:eastAsia="Aptos" w:cs="Aptos"/>
          <w:noProof w:val="0"/>
          <w:sz w:val="24"/>
          <w:szCs w:val="24"/>
          <w:lang w:val="en-GB"/>
        </w:rPr>
        <w:t xml:space="preserve">Theme 1- Coach Education and Development Pathways in Football Coach education plays </w:t>
      </w:r>
      <w:r w:rsidRPr="5F15782C" w:rsidR="68205798">
        <w:rPr>
          <w:rFonts w:ascii="Aptos" w:hAnsi="Aptos" w:eastAsia="Aptos" w:cs="Aptos"/>
          <w:noProof w:val="0"/>
          <w:sz w:val="24"/>
          <w:szCs w:val="24"/>
          <w:lang w:val="en-GB"/>
        </w:rPr>
        <w:t>an important role</w:t>
      </w:r>
      <w:r w:rsidRPr="5F15782C" w:rsidR="68205798">
        <w:rPr>
          <w:rFonts w:ascii="Aptos" w:hAnsi="Aptos" w:eastAsia="Aptos" w:cs="Aptos"/>
          <w:noProof w:val="0"/>
          <w:sz w:val="24"/>
          <w:szCs w:val="24"/>
          <w:lang w:val="en-GB"/>
        </w:rPr>
        <w:t xml:space="preserve"> in the development of effective coaching practice, particularly within football, where the demands placed on coaches continue to increase (Cushion et al., 2003; Lyle, 2007). Traditionally, coach education has focused on formal qualification pathways delivered by governing bodies, with an emphasis on developing technical and tactical knowledge (Nelson et al., 2006). However, research has shown that these formal programmes alone do not fully prepare coaches for the complex and changing nature of real-world coaching environments (Cushion, </w:t>
      </w:r>
      <w:r w:rsidRPr="5F15782C" w:rsidR="68205798">
        <w:rPr>
          <w:rFonts w:ascii="Aptos" w:hAnsi="Aptos" w:eastAsia="Aptos" w:cs="Aptos"/>
          <w:noProof w:val="0"/>
          <w:sz w:val="24"/>
          <w:szCs w:val="24"/>
          <w:lang w:val="en-GB"/>
        </w:rPr>
        <w:t>Armour</w:t>
      </w:r>
      <w:r w:rsidRPr="5F15782C" w:rsidR="68205798">
        <w:rPr>
          <w:rFonts w:ascii="Aptos" w:hAnsi="Aptos" w:eastAsia="Aptos" w:cs="Aptos"/>
          <w:noProof w:val="0"/>
          <w:sz w:val="24"/>
          <w:szCs w:val="24"/>
          <w:lang w:val="en-GB"/>
        </w:rPr>
        <w:t xml:space="preserve"> and Jones, 2003).</w:t>
      </w:r>
    </w:p>
    <w:p xmlns:wp14="http://schemas.microsoft.com/office/word/2010/wordml" w:rsidP="5F15782C" wp14:paraId="22DDBB7F" wp14:textId="543BBDC9">
      <w:pPr>
        <w:spacing w:before="240" w:beforeAutospacing="off" w:after="240" w:afterAutospacing="off"/>
        <w:jc w:val="both"/>
      </w:pPr>
      <w:r w:rsidRPr="5F15782C" w:rsidR="68205798">
        <w:rPr>
          <w:rFonts w:ascii="Aptos" w:hAnsi="Aptos" w:eastAsia="Aptos" w:cs="Aptos"/>
          <w:noProof w:val="0"/>
          <w:sz w:val="24"/>
          <w:szCs w:val="24"/>
          <w:lang w:val="en-GB"/>
        </w:rPr>
        <w:t xml:space="preserve">Research into coach learning suggests that development takes place across a range of settings, including formal, non-formal and informal contexts, with experiential learning playing a particularly </w:t>
      </w:r>
      <w:r w:rsidRPr="5F15782C" w:rsidR="68205798">
        <w:rPr>
          <w:rFonts w:ascii="Aptos" w:hAnsi="Aptos" w:eastAsia="Aptos" w:cs="Aptos"/>
          <w:noProof w:val="0"/>
          <w:sz w:val="24"/>
          <w:szCs w:val="24"/>
          <w:lang w:val="en-GB"/>
        </w:rPr>
        <w:t>important role</w:t>
      </w:r>
      <w:r w:rsidRPr="5F15782C" w:rsidR="68205798">
        <w:rPr>
          <w:rFonts w:ascii="Aptos" w:hAnsi="Aptos" w:eastAsia="Aptos" w:cs="Aptos"/>
          <w:noProof w:val="0"/>
          <w:sz w:val="24"/>
          <w:szCs w:val="24"/>
          <w:lang w:val="en-GB"/>
        </w:rPr>
        <w:t xml:space="preserve"> (Nelson, Cushion and Potrac, 2013). Informal learning, such as gaining experience through coaching within clubs and community settings, is often one of the most influential sources of development because it allows coaches to learn through practice and reflection (Gilbert and Trudel, 2001). Despite this, many student coaches struggle to access consistent and meaningful coaching experiences, particularly when they do not already have strong connections with local football clubs (Cushion et al., 2010).</w:t>
      </w:r>
    </w:p>
    <w:p xmlns:wp14="http://schemas.microsoft.com/office/word/2010/wordml" w:rsidP="5F15782C" wp14:paraId="4CAA2C6E" wp14:textId="75CFA869">
      <w:pPr>
        <w:spacing w:before="240" w:beforeAutospacing="off" w:after="240" w:afterAutospacing="off"/>
        <w:jc w:val="both"/>
      </w:pPr>
      <w:r w:rsidRPr="5F15782C" w:rsidR="68205798">
        <w:rPr>
          <w:rFonts w:ascii="Aptos" w:hAnsi="Aptos" w:eastAsia="Aptos" w:cs="Aptos"/>
          <w:noProof w:val="0"/>
          <w:sz w:val="24"/>
          <w:szCs w:val="24"/>
          <w:lang w:val="en-GB"/>
        </w:rPr>
        <w:t xml:space="preserve">Within higher education, sport-related degree programmes aim to prepare students for employment in coaching and sport management, yet research continues to report a gap between academic learning and applied practice (Jones et al., 2012). This gap is often linked to limited opportunities for students to spend sustained time in authentic coaching environments while completing their studies (Piggott, 2015). As a result, some student coaches complete their degrees with a strong understanding of theory but </w:t>
      </w:r>
      <w:r w:rsidRPr="5F15782C" w:rsidR="68205798">
        <w:rPr>
          <w:rFonts w:ascii="Aptos" w:hAnsi="Aptos" w:eastAsia="Aptos" w:cs="Aptos"/>
          <w:noProof w:val="0"/>
          <w:sz w:val="24"/>
          <w:szCs w:val="24"/>
          <w:lang w:val="en-GB"/>
        </w:rPr>
        <w:t>relatively little</w:t>
      </w:r>
      <w:r w:rsidRPr="5F15782C" w:rsidR="68205798">
        <w:rPr>
          <w:rFonts w:ascii="Aptos" w:hAnsi="Aptos" w:eastAsia="Aptos" w:cs="Aptos"/>
          <w:noProof w:val="0"/>
          <w:sz w:val="24"/>
          <w:szCs w:val="24"/>
          <w:lang w:val="en-GB"/>
        </w:rPr>
        <w:t xml:space="preserve"> practical experience, which can affect both their confidence and their readiness for employment (Nelson et al., 2013).</w:t>
      </w:r>
    </w:p>
    <w:p xmlns:wp14="http://schemas.microsoft.com/office/word/2010/wordml" w:rsidP="5F15782C" wp14:paraId="2191B061" wp14:textId="02C6AD68">
      <w:pPr>
        <w:spacing w:before="240" w:beforeAutospacing="off" w:after="240" w:afterAutospacing="off"/>
        <w:jc w:val="both"/>
      </w:pPr>
      <w:r w:rsidRPr="5F15782C" w:rsidR="68205798">
        <w:rPr>
          <w:rFonts w:ascii="Aptos" w:hAnsi="Aptos" w:eastAsia="Aptos" w:cs="Aptos"/>
          <w:noProof w:val="0"/>
          <w:sz w:val="24"/>
          <w:szCs w:val="24"/>
          <w:lang w:val="en-GB"/>
        </w:rPr>
        <w:t xml:space="preserve">The literature also </w:t>
      </w:r>
      <w:r w:rsidRPr="5F15782C" w:rsidR="68205798">
        <w:rPr>
          <w:rFonts w:ascii="Aptos" w:hAnsi="Aptos" w:eastAsia="Aptos" w:cs="Aptos"/>
          <w:noProof w:val="0"/>
          <w:sz w:val="24"/>
          <w:szCs w:val="24"/>
          <w:lang w:val="en-GB"/>
        </w:rPr>
        <w:t>indicates</w:t>
      </w:r>
      <w:r w:rsidRPr="5F15782C" w:rsidR="68205798">
        <w:rPr>
          <w:rFonts w:ascii="Aptos" w:hAnsi="Aptos" w:eastAsia="Aptos" w:cs="Aptos"/>
          <w:noProof w:val="0"/>
          <w:sz w:val="24"/>
          <w:szCs w:val="24"/>
          <w:lang w:val="en-GB"/>
        </w:rPr>
        <w:t xml:space="preserve"> that effective coach development depends on structured support systems that help individuals access practice-based learning while encouraging reflection and skill development (Cushion, 2016). Grassroots football clubs provide valuable settings for this type of learning; however, many clubs lack the time, resources or systems needed to engage student coaches in a consistent way (Wicker and Breuer, 2014). This creates a disconnect between universities and community sport organisations, which limits opportunities for partnerships that could </w:t>
      </w:r>
      <w:r w:rsidRPr="5F15782C" w:rsidR="68205798">
        <w:rPr>
          <w:rFonts w:ascii="Aptos" w:hAnsi="Aptos" w:eastAsia="Aptos" w:cs="Aptos"/>
          <w:noProof w:val="0"/>
          <w:sz w:val="24"/>
          <w:szCs w:val="24"/>
          <w:lang w:val="en-GB"/>
        </w:rPr>
        <w:t>benefit</w:t>
      </w:r>
      <w:r w:rsidRPr="5F15782C" w:rsidR="68205798">
        <w:rPr>
          <w:rFonts w:ascii="Aptos" w:hAnsi="Aptos" w:eastAsia="Aptos" w:cs="Aptos"/>
          <w:noProof w:val="0"/>
          <w:sz w:val="24"/>
          <w:szCs w:val="24"/>
          <w:lang w:val="en-GB"/>
        </w:rPr>
        <w:t xml:space="preserve"> both students and clubs (Misener and Doherty, 2012).</w:t>
      </w:r>
    </w:p>
    <w:p xmlns:wp14="http://schemas.microsoft.com/office/word/2010/wordml" w:rsidP="5F15782C" wp14:paraId="23164E45" wp14:textId="47224F8E">
      <w:pPr>
        <w:spacing w:before="240" w:beforeAutospacing="off" w:after="240" w:afterAutospacing="off"/>
        <w:jc w:val="both"/>
      </w:pPr>
      <w:r w:rsidRPr="5F15782C" w:rsidR="68205798">
        <w:rPr>
          <w:rFonts w:ascii="Aptos" w:hAnsi="Aptos" w:eastAsia="Aptos" w:cs="Aptos"/>
          <w:noProof w:val="0"/>
          <w:sz w:val="24"/>
          <w:szCs w:val="24"/>
          <w:lang w:val="en-GB"/>
        </w:rPr>
        <w:t>Recent research has called for innovative approaches to bridge this gap, emphasising the need for mechanisms that better connect aspiring coaches with practical opportunities in real-world settings (</w:t>
      </w:r>
      <w:r w:rsidRPr="5F15782C" w:rsidR="68205798">
        <w:rPr>
          <w:rFonts w:ascii="Aptos" w:hAnsi="Aptos" w:eastAsia="Aptos" w:cs="Aptos"/>
          <w:noProof w:val="0"/>
          <w:sz w:val="24"/>
          <w:szCs w:val="24"/>
          <w:lang w:val="en-GB"/>
        </w:rPr>
        <w:t>Ratten</w:t>
      </w:r>
      <w:r w:rsidRPr="5F15782C" w:rsidR="68205798">
        <w:rPr>
          <w:rFonts w:ascii="Aptos" w:hAnsi="Aptos" w:eastAsia="Aptos" w:cs="Aptos"/>
          <w:noProof w:val="0"/>
          <w:sz w:val="24"/>
          <w:szCs w:val="24"/>
          <w:lang w:val="en-GB"/>
        </w:rPr>
        <w:t xml:space="preserve">, 2020). Digital solutions have been proposed as a means of improving accessibility and communication between stakeholders in sport systems, including coaches, clubs, and educational institutions (Winand et al., 2019). Within this context, </w:t>
      </w:r>
      <w:r w:rsidRPr="5F15782C" w:rsidR="68205798">
        <w:rPr>
          <w:rFonts w:ascii="Aptos" w:hAnsi="Aptos" w:eastAsia="Aptos" w:cs="Aptos"/>
          <w:noProof w:val="0"/>
          <w:sz w:val="24"/>
          <w:szCs w:val="24"/>
          <w:lang w:val="en-GB"/>
        </w:rPr>
        <w:t>facilitating</w:t>
      </w:r>
      <w:r w:rsidRPr="5F15782C" w:rsidR="68205798">
        <w:rPr>
          <w:rFonts w:ascii="Aptos" w:hAnsi="Aptos" w:eastAsia="Aptos" w:cs="Aptos"/>
          <w:noProof w:val="0"/>
          <w:sz w:val="24"/>
          <w:szCs w:val="24"/>
          <w:lang w:val="en-GB"/>
        </w:rPr>
        <w:t xml:space="preserve"> structured access to coaching opportunities through user-friendly platforms may support more effective coach development pathways and enhance the integration of academic learning with applied practice (Pizzo et al., 2021).</w:t>
      </w:r>
    </w:p>
    <w:p xmlns:wp14="http://schemas.microsoft.com/office/word/2010/wordml" w:rsidP="5F15782C" wp14:paraId="24A9A986" wp14:textId="6B0A2328">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78A68C44" wp14:textId="1E219588">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4DC53DDD" wp14:textId="612CD29C">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34FACBA0" wp14:textId="4B1C6316">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6E07B879" wp14:textId="20ECE83D">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0DBD155C" wp14:textId="412AC193">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75228BC6" wp14:textId="001A9BCF">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575CED26" wp14:textId="26EBBC4C">
      <w:pPr>
        <w:spacing w:before="240" w:beforeAutospacing="off" w:after="240" w:afterAutospacing="off"/>
        <w:jc w:val="both"/>
      </w:pPr>
      <w:r w:rsidRPr="5F15782C" w:rsidR="68205798">
        <w:rPr>
          <w:rFonts w:ascii="Aptos" w:hAnsi="Aptos" w:eastAsia="Aptos" w:cs="Aptos"/>
          <w:noProof w:val="0"/>
          <w:sz w:val="24"/>
          <w:szCs w:val="24"/>
          <w:lang w:val="en-GB"/>
        </w:rPr>
        <w:t>Theme 2- Experiential Learning and Employability in Sport Management</w:t>
      </w:r>
    </w:p>
    <w:p xmlns:wp14="http://schemas.microsoft.com/office/word/2010/wordml" w:rsidP="5F15782C" wp14:paraId="0D1C6EBA" wp14:textId="21E3AE29">
      <w:pPr>
        <w:spacing w:before="240" w:beforeAutospacing="off" w:after="240" w:afterAutospacing="off"/>
        <w:jc w:val="both"/>
      </w:pPr>
      <w:r w:rsidRPr="5F15782C" w:rsidR="68205798">
        <w:rPr>
          <w:rFonts w:ascii="Aptos" w:hAnsi="Aptos" w:eastAsia="Aptos" w:cs="Aptos"/>
          <w:noProof w:val="0"/>
          <w:sz w:val="24"/>
          <w:szCs w:val="24"/>
          <w:lang w:val="en-GB"/>
        </w:rPr>
        <w:t xml:space="preserve">Experiential learning has been widely recognised as </w:t>
      </w:r>
      <w:r w:rsidRPr="5F15782C" w:rsidR="68205798">
        <w:rPr>
          <w:rFonts w:ascii="Aptos" w:hAnsi="Aptos" w:eastAsia="Aptos" w:cs="Aptos"/>
          <w:noProof w:val="0"/>
          <w:sz w:val="24"/>
          <w:szCs w:val="24"/>
          <w:lang w:val="en-GB"/>
        </w:rPr>
        <w:t>a central component</w:t>
      </w:r>
      <w:r w:rsidRPr="5F15782C" w:rsidR="68205798">
        <w:rPr>
          <w:rFonts w:ascii="Aptos" w:hAnsi="Aptos" w:eastAsia="Aptos" w:cs="Aptos"/>
          <w:noProof w:val="0"/>
          <w:sz w:val="24"/>
          <w:szCs w:val="24"/>
          <w:lang w:val="en-GB"/>
        </w:rPr>
        <w:t xml:space="preserve"> of effective education within sport management, particularly in preparing students for the demands of professional practice (Kolb, 1984). Experiential learning theory proposes that knowledge is created through the transformation of experience, emphasising the integration of theory, practice, and reflection (Kolb, 1984; Billett, 2011). Within sport-related degree programmes, experiential learning opportunities have been associated with enhanced skill development, professional identity formation, and improved employability outcomes for graduates (Fleming et al., 2018).</w:t>
      </w:r>
    </w:p>
    <w:p xmlns:wp14="http://schemas.microsoft.com/office/word/2010/wordml" w:rsidP="5F15782C" wp14:paraId="06A1B519" wp14:textId="35A2189C">
      <w:pPr>
        <w:spacing w:before="240" w:beforeAutospacing="off" w:after="240" w:afterAutospacing="off"/>
        <w:jc w:val="both"/>
      </w:pPr>
      <w:r w:rsidRPr="5F15782C" w:rsidR="68205798">
        <w:rPr>
          <w:rFonts w:ascii="Aptos" w:hAnsi="Aptos" w:eastAsia="Aptos" w:cs="Aptos"/>
          <w:noProof w:val="0"/>
          <w:sz w:val="24"/>
          <w:szCs w:val="24"/>
          <w:lang w:val="en-GB"/>
        </w:rPr>
        <w:t xml:space="preserve">Work-integrated learning (WIL) is widely recognised as an important way of embedding experiential learning within higher education, particularly through placements, internships and applied projects (Billett, 2011; Fleming et al., 2018). In sport management, these experiences allow students to develop industry-relevant skills such as communication, leadership and problem-solving, which are highly valued by employers (Cunningham and Sagas, 2004). However, access to WIL opportunities within coaching contexts can </w:t>
      </w:r>
      <w:r w:rsidRPr="5F15782C" w:rsidR="68205798">
        <w:rPr>
          <w:rFonts w:ascii="Aptos" w:hAnsi="Aptos" w:eastAsia="Aptos" w:cs="Aptos"/>
          <w:noProof w:val="0"/>
          <w:sz w:val="24"/>
          <w:szCs w:val="24"/>
          <w:lang w:val="en-GB"/>
        </w:rPr>
        <w:t>vary considerably, often</w:t>
      </w:r>
      <w:r w:rsidRPr="5F15782C" w:rsidR="68205798">
        <w:rPr>
          <w:rFonts w:ascii="Aptos" w:hAnsi="Aptos" w:eastAsia="Aptos" w:cs="Aptos"/>
          <w:noProof w:val="0"/>
          <w:sz w:val="24"/>
          <w:szCs w:val="24"/>
          <w:lang w:val="en-GB"/>
        </w:rPr>
        <w:t xml:space="preserve"> depending on students’ personal networks and the level of institutional support available to them (Smith et al., 2019).</w:t>
      </w:r>
    </w:p>
    <w:p xmlns:wp14="http://schemas.microsoft.com/office/word/2010/wordml" w:rsidP="5F15782C" wp14:paraId="7F42CDE2" wp14:textId="2275EF3F">
      <w:pPr>
        <w:spacing w:before="240" w:beforeAutospacing="off" w:after="240" w:afterAutospacing="off"/>
        <w:jc w:val="both"/>
      </w:pPr>
      <w:r w:rsidRPr="5F15782C" w:rsidR="68205798">
        <w:rPr>
          <w:rFonts w:ascii="Aptos" w:hAnsi="Aptos" w:eastAsia="Aptos" w:cs="Aptos"/>
          <w:noProof w:val="0"/>
          <w:sz w:val="24"/>
          <w:szCs w:val="24"/>
          <w:lang w:val="en-GB"/>
        </w:rPr>
        <w:t xml:space="preserve">The sport industry is also highly competitive, and graduates are often expected to </w:t>
      </w:r>
      <w:r w:rsidRPr="5F15782C" w:rsidR="68205798">
        <w:rPr>
          <w:rFonts w:ascii="Aptos" w:hAnsi="Aptos" w:eastAsia="Aptos" w:cs="Aptos"/>
          <w:noProof w:val="0"/>
          <w:sz w:val="24"/>
          <w:szCs w:val="24"/>
          <w:lang w:val="en-GB"/>
        </w:rPr>
        <w:t>demonstrate</w:t>
      </w:r>
      <w:r w:rsidRPr="5F15782C" w:rsidR="68205798">
        <w:rPr>
          <w:rFonts w:ascii="Aptos" w:hAnsi="Aptos" w:eastAsia="Aptos" w:cs="Aptos"/>
          <w:noProof w:val="0"/>
          <w:sz w:val="24"/>
          <w:szCs w:val="24"/>
          <w:lang w:val="en-GB"/>
        </w:rPr>
        <w:t xml:space="preserve"> practical experience alongside their academic qualifications (</w:t>
      </w:r>
      <w:r w:rsidRPr="5F15782C" w:rsidR="68205798">
        <w:rPr>
          <w:rFonts w:ascii="Aptos" w:hAnsi="Aptos" w:eastAsia="Aptos" w:cs="Aptos"/>
          <w:noProof w:val="0"/>
          <w:sz w:val="24"/>
          <w:szCs w:val="24"/>
          <w:lang w:val="en-GB"/>
        </w:rPr>
        <w:t>Shilbury</w:t>
      </w:r>
      <w:r w:rsidRPr="5F15782C" w:rsidR="68205798">
        <w:rPr>
          <w:rFonts w:ascii="Aptos" w:hAnsi="Aptos" w:eastAsia="Aptos" w:cs="Aptos"/>
          <w:noProof w:val="0"/>
          <w:sz w:val="24"/>
          <w:szCs w:val="24"/>
          <w:lang w:val="en-GB"/>
        </w:rPr>
        <w:t xml:space="preserve"> et al., 2014). For students who are unable to secure applied learning opportunities during their studies, particularly within community and grassroots sport, this expectation can create </w:t>
      </w:r>
      <w:r w:rsidRPr="5F15782C" w:rsidR="68205798">
        <w:rPr>
          <w:rFonts w:ascii="Aptos" w:hAnsi="Aptos" w:eastAsia="Aptos" w:cs="Aptos"/>
          <w:noProof w:val="0"/>
          <w:sz w:val="24"/>
          <w:szCs w:val="24"/>
          <w:lang w:val="en-GB"/>
        </w:rPr>
        <w:t>additional</w:t>
      </w:r>
      <w:r w:rsidRPr="5F15782C" w:rsidR="68205798">
        <w:rPr>
          <w:rFonts w:ascii="Aptos" w:hAnsi="Aptos" w:eastAsia="Aptos" w:cs="Aptos"/>
          <w:noProof w:val="0"/>
          <w:sz w:val="24"/>
          <w:szCs w:val="24"/>
          <w:lang w:val="en-GB"/>
        </w:rPr>
        <w:t xml:space="preserve"> barriers to entering the profession (Nichols et al., 2017). As a result, limited access to experiential learning has been associated with lower confidence and greater difficulty when moving from education into sport-related employment (Fleming et al., 2018).</w:t>
      </w:r>
    </w:p>
    <w:p xmlns:wp14="http://schemas.microsoft.com/office/word/2010/wordml" w:rsidP="5F15782C" wp14:paraId="234B66F6" wp14:textId="367D84DA">
      <w:pPr>
        <w:spacing w:before="240" w:beforeAutospacing="off" w:after="240" w:afterAutospacing="off"/>
        <w:jc w:val="both"/>
      </w:pPr>
      <w:r w:rsidRPr="5F15782C" w:rsidR="68205798">
        <w:rPr>
          <w:rFonts w:ascii="Aptos" w:hAnsi="Aptos" w:eastAsia="Aptos" w:cs="Aptos"/>
          <w:noProof w:val="0"/>
          <w:sz w:val="24"/>
          <w:szCs w:val="24"/>
          <w:lang w:val="en-GB"/>
        </w:rPr>
        <w:t xml:space="preserve">Within coaching education, experiential learning is especially important because coaching is shaped by interpersonal relationships and the specific context in which practice takes place (Nelson, Cushion and Potrac, 2013). Student coaches develop most effectively when they </w:t>
      </w:r>
      <w:r w:rsidRPr="5F15782C" w:rsidR="68205798">
        <w:rPr>
          <w:rFonts w:ascii="Aptos" w:hAnsi="Aptos" w:eastAsia="Aptos" w:cs="Aptos"/>
          <w:noProof w:val="0"/>
          <w:sz w:val="24"/>
          <w:szCs w:val="24"/>
          <w:lang w:val="en-GB"/>
        </w:rPr>
        <w:t>are able to</w:t>
      </w:r>
      <w:r w:rsidRPr="5F15782C" w:rsidR="68205798">
        <w:rPr>
          <w:rFonts w:ascii="Aptos" w:hAnsi="Aptos" w:eastAsia="Aptos" w:cs="Aptos"/>
          <w:noProof w:val="0"/>
          <w:sz w:val="24"/>
          <w:szCs w:val="24"/>
          <w:lang w:val="en-GB"/>
        </w:rPr>
        <w:t xml:space="preserve"> spend sustained time in real coaching environments, where learning can occur through observation, </w:t>
      </w:r>
      <w:r w:rsidRPr="5F15782C" w:rsidR="68205798">
        <w:rPr>
          <w:rFonts w:ascii="Aptos" w:hAnsi="Aptos" w:eastAsia="Aptos" w:cs="Aptos"/>
          <w:noProof w:val="0"/>
          <w:sz w:val="24"/>
          <w:szCs w:val="24"/>
          <w:lang w:val="en-GB"/>
        </w:rPr>
        <w:t>interaction</w:t>
      </w:r>
      <w:r w:rsidRPr="5F15782C" w:rsidR="68205798">
        <w:rPr>
          <w:rFonts w:ascii="Aptos" w:hAnsi="Aptos" w:eastAsia="Aptos" w:cs="Aptos"/>
          <w:noProof w:val="0"/>
          <w:sz w:val="24"/>
          <w:szCs w:val="24"/>
          <w:lang w:val="en-GB"/>
        </w:rPr>
        <w:t xml:space="preserve"> and reflection (Gilbert and Trudel, 2001). Despite this, higher education programmes often struggle to provide consistent and </w:t>
      </w:r>
      <w:r w:rsidRPr="5F15782C" w:rsidR="68205798">
        <w:rPr>
          <w:rFonts w:ascii="Aptos" w:hAnsi="Aptos" w:eastAsia="Aptos" w:cs="Aptos"/>
          <w:noProof w:val="0"/>
          <w:sz w:val="24"/>
          <w:szCs w:val="24"/>
          <w:lang w:val="en-GB"/>
        </w:rPr>
        <w:t>equitable</w:t>
      </w:r>
      <w:r w:rsidRPr="5F15782C" w:rsidR="68205798">
        <w:rPr>
          <w:rFonts w:ascii="Aptos" w:hAnsi="Aptos" w:eastAsia="Aptos" w:cs="Aptos"/>
          <w:noProof w:val="0"/>
          <w:sz w:val="24"/>
          <w:szCs w:val="24"/>
          <w:lang w:val="en-GB"/>
        </w:rPr>
        <w:t xml:space="preserve"> access to these experiences, which can lead to uneven learning outcomes among students (Piggott, 2015).</w:t>
      </w:r>
    </w:p>
    <w:p xmlns:wp14="http://schemas.microsoft.com/office/word/2010/wordml" w:rsidP="5F15782C" wp14:paraId="244DE791" wp14:textId="4CD1FE25">
      <w:pPr>
        <w:spacing w:before="240" w:beforeAutospacing="off" w:after="240" w:afterAutospacing="off"/>
        <w:jc w:val="both"/>
      </w:pPr>
      <w:r w:rsidRPr="5F15782C" w:rsidR="68205798">
        <w:rPr>
          <w:rFonts w:ascii="Aptos" w:hAnsi="Aptos" w:eastAsia="Aptos" w:cs="Aptos"/>
          <w:noProof w:val="0"/>
          <w:sz w:val="24"/>
          <w:szCs w:val="24"/>
          <w:lang w:val="en-GB"/>
        </w:rPr>
        <w:t>In response to these challenges, recent research has called for more innovative and flexible approaches to supporting experiential learning within sport management education, including the use of digital technologies (</w:t>
      </w:r>
      <w:r w:rsidRPr="5F15782C" w:rsidR="68205798">
        <w:rPr>
          <w:rFonts w:ascii="Aptos" w:hAnsi="Aptos" w:eastAsia="Aptos" w:cs="Aptos"/>
          <w:noProof w:val="0"/>
          <w:sz w:val="24"/>
          <w:szCs w:val="24"/>
          <w:lang w:val="en-GB"/>
        </w:rPr>
        <w:t>Ratten</w:t>
      </w:r>
      <w:r w:rsidRPr="5F15782C" w:rsidR="68205798">
        <w:rPr>
          <w:rFonts w:ascii="Aptos" w:hAnsi="Aptos" w:eastAsia="Aptos" w:cs="Aptos"/>
          <w:noProof w:val="0"/>
          <w:sz w:val="24"/>
          <w:szCs w:val="24"/>
          <w:lang w:val="en-GB"/>
        </w:rPr>
        <w:t>, 2020). Online platforms have been highlighted as a potential way of improving access to opportunities, strengthening communication between students and organisations, and supporting reflective learning processes (Pizzo et al., 2021).</w:t>
      </w:r>
    </w:p>
    <w:p xmlns:wp14="http://schemas.microsoft.com/office/word/2010/wordml" w:rsidP="5F15782C" wp14:paraId="02549BA2" wp14:textId="62ED48F0">
      <w:pPr>
        <w:spacing w:before="240" w:beforeAutospacing="off" w:after="240" w:afterAutospacing="off"/>
        <w:jc w:val="both"/>
      </w:pPr>
      <w:r w:rsidRPr="5F15782C" w:rsidR="68205798">
        <w:rPr>
          <w:rFonts w:ascii="Aptos" w:hAnsi="Aptos" w:eastAsia="Aptos" w:cs="Aptos"/>
          <w:noProof w:val="0"/>
          <w:sz w:val="24"/>
          <w:szCs w:val="24"/>
          <w:lang w:val="en-GB"/>
        </w:rPr>
        <w:t xml:space="preserve">In this context, the integration of experiential learning principles with digital connectivity may offer a means of enhancing employability outcomes for student coaches while addressing structural barriers within traditional sport education pathways (Smith et al., 2019; </w:t>
      </w:r>
      <w:r w:rsidRPr="5F15782C" w:rsidR="68205798">
        <w:rPr>
          <w:rFonts w:ascii="Aptos" w:hAnsi="Aptos" w:eastAsia="Aptos" w:cs="Aptos"/>
          <w:noProof w:val="0"/>
          <w:sz w:val="24"/>
          <w:szCs w:val="24"/>
          <w:lang w:val="en-GB"/>
        </w:rPr>
        <w:t>Ratten</w:t>
      </w:r>
      <w:r w:rsidRPr="5F15782C" w:rsidR="68205798">
        <w:rPr>
          <w:rFonts w:ascii="Aptos" w:hAnsi="Aptos" w:eastAsia="Aptos" w:cs="Aptos"/>
          <w:noProof w:val="0"/>
          <w:sz w:val="24"/>
          <w:szCs w:val="24"/>
          <w:lang w:val="en-GB"/>
        </w:rPr>
        <w:t>, 2020).</w:t>
      </w:r>
    </w:p>
    <w:p xmlns:wp14="http://schemas.microsoft.com/office/word/2010/wordml" w:rsidP="5F15782C" wp14:paraId="7E296F78" wp14:textId="20660AB2">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7ECA6F8F" wp14:textId="66A435F4">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21EA792E" wp14:textId="3F603C4E">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4EDA6DC0" wp14:textId="5D37013A">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23F8D6F0" wp14:textId="509E7AFF">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5B86968C" wp14:textId="0D449BB5">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4CEDE592" wp14:textId="088CE103">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369B7974" wp14:textId="66949BE5">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554BCF81" wp14:textId="269E249D">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2CA1B654" wp14:textId="3FCCBA88">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036DA614" wp14:textId="04AF6F91">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76BEF6F8" wp14:textId="3326EF48">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1CFEBA91" wp14:textId="159A764D">
      <w:pPr>
        <w:spacing w:before="240" w:beforeAutospacing="off" w:after="240" w:afterAutospacing="off"/>
        <w:jc w:val="both"/>
      </w:pPr>
      <w:r w:rsidRPr="5F15782C" w:rsidR="68205798">
        <w:rPr>
          <w:rFonts w:ascii="Aptos" w:hAnsi="Aptos" w:eastAsia="Aptos" w:cs="Aptos"/>
          <w:noProof w:val="0"/>
          <w:sz w:val="24"/>
          <w:szCs w:val="24"/>
          <w:lang w:val="en-GB"/>
        </w:rPr>
        <w:t>Theme 3- Higher Education–Community and Football Club Collaboration</w:t>
      </w:r>
    </w:p>
    <w:p xmlns:wp14="http://schemas.microsoft.com/office/word/2010/wordml" w:rsidP="5F15782C" wp14:paraId="7008F11E" wp14:textId="7DCA6575">
      <w:pPr>
        <w:spacing w:before="240" w:beforeAutospacing="off" w:after="240" w:afterAutospacing="off"/>
        <w:jc w:val="both"/>
      </w:pPr>
      <w:r w:rsidRPr="5F15782C" w:rsidR="68205798">
        <w:rPr>
          <w:rFonts w:ascii="Aptos" w:hAnsi="Aptos" w:eastAsia="Aptos" w:cs="Aptos"/>
          <w:noProof w:val="0"/>
          <w:sz w:val="24"/>
          <w:szCs w:val="24"/>
          <w:lang w:val="en-GB"/>
        </w:rPr>
        <w:t xml:space="preserve">Partnerships between higher education institutions and community sport organisations have been increasingly recognised as an important mechanism for supporting experiential learning, workforce development, and community engagement within sport management (Misener and Doherty, 2012). Within football, collaboration between universities and local clubs can provide mutually beneficial outcomes by offering student coaches access to practical experience while supporting clubs with human resources and </w:t>
      </w:r>
      <w:r w:rsidRPr="5F15782C" w:rsidR="68205798">
        <w:rPr>
          <w:rFonts w:ascii="Aptos" w:hAnsi="Aptos" w:eastAsia="Aptos" w:cs="Aptos"/>
          <w:noProof w:val="0"/>
          <w:sz w:val="24"/>
          <w:szCs w:val="24"/>
          <w:lang w:val="en-GB"/>
        </w:rPr>
        <w:t>expertise</w:t>
      </w:r>
      <w:r w:rsidRPr="5F15782C" w:rsidR="68205798">
        <w:rPr>
          <w:rFonts w:ascii="Aptos" w:hAnsi="Aptos" w:eastAsia="Aptos" w:cs="Aptos"/>
          <w:noProof w:val="0"/>
          <w:sz w:val="24"/>
          <w:szCs w:val="24"/>
          <w:lang w:val="en-GB"/>
        </w:rPr>
        <w:t xml:space="preserve"> (Wicker and Breuer, 2014). Such partnerships align with broader policy agendas that emphasise community engagement and employability outcomes within higher education (Nichols et al., 2017).</w:t>
      </w:r>
    </w:p>
    <w:p xmlns:wp14="http://schemas.microsoft.com/office/word/2010/wordml" w:rsidP="5F15782C" wp14:paraId="22FC3C8F" wp14:textId="561F7FF5">
      <w:pPr>
        <w:spacing w:before="240" w:beforeAutospacing="off" w:after="240" w:afterAutospacing="off"/>
        <w:jc w:val="both"/>
      </w:pPr>
      <w:r w:rsidRPr="5F15782C" w:rsidR="68205798">
        <w:rPr>
          <w:rFonts w:ascii="Aptos" w:hAnsi="Aptos" w:eastAsia="Aptos" w:cs="Aptos"/>
          <w:noProof w:val="0"/>
          <w:sz w:val="24"/>
          <w:szCs w:val="24"/>
          <w:lang w:val="en-GB"/>
        </w:rPr>
        <w:t>Previous</w:t>
      </w:r>
      <w:r w:rsidRPr="5F15782C" w:rsidR="68205798">
        <w:rPr>
          <w:rFonts w:ascii="Aptos" w:hAnsi="Aptos" w:eastAsia="Aptos" w:cs="Aptos"/>
          <w:noProof w:val="0"/>
          <w:sz w:val="24"/>
          <w:szCs w:val="24"/>
          <w:lang w:val="en-GB"/>
        </w:rPr>
        <w:t xml:space="preserve"> research shows that effective higher education–club collaboration requires structured coordination, clear communication, and alignment of </w:t>
      </w:r>
      <w:r w:rsidRPr="5F15782C" w:rsidR="68205798">
        <w:rPr>
          <w:rFonts w:ascii="Aptos" w:hAnsi="Aptos" w:eastAsia="Aptos" w:cs="Aptos"/>
          <w:noProof w:val="0"/>
          <w:sz w:val="24"/>
          <w:szCs w:val="24"/>
          <w:lang w:val="en-GB"/>
        </w:rPr>
        <w:t>objectives</w:t>
      </w:r>
      <w:r w:rsidRPr="5F15782C" w:rsidR="68205798">
        <w:rPr>
          <w:rFonts w:ascii="Aptos" w:hAnsi="Aptos" w:eastAsia="Aptos" w:cs="Aptos"/>
          <w:noProof w:val="0"/>
          <w:sz w:val="24"/>
          <w:szCs w:val="24"/>
          <w:lang w:val="en-GB"/>
        </w:rPr>
        <w:t xml:space="preserve"> between stakeholders (Doherty, Misener and </w:t>
      </w:r>
      <w:r w:rsidRPr="5F15782C" w:rsidR="68205798">
        <w:rPr>
          <w:rFonts w:ascii="Aptos" w:hAnsi="Aptos" w:eastAsia="Aptos" w:cs="Aptos"/>
          <w:noProof w:val="0"/>
          <w:sz w:val="24"/>
          <w:szCs w:val="24"/>
          <w:lang w:val="en-GB"/>
        </w:rPr>
        <w:t>Cuskelly</w:t>
      </w:r>
      <w:r w:rsidRPr="5F15782C" w:rsidR="68205798">
        <w:rPr>
          <w:rFonts w:ascii="Aptos" w:hAnsi="Aptos" w:eastAsia="Aptos" w:cs="Aptos"/>
          <w:noProof w:val="0"/>
          <w:sz w:val="24"/>
          <w:szCs w:val="24"/>
          <w:lang w:val="en-GB"/>
        </w:rPr>
        <w:t xml:space="preserve">, 2014). When partnerships are well-managed, they can enhance learning outcomes for students and contribute to the sustainability of grassroots sport organisations (Kay, 2009). However, research also highlights that many collaborations </w:t>
      </w:r>
      <w:r w:rsidRPr="5F15782C" w:rsidR="68205798">
        <w:rPr>
          <w:rFonts w:ascii="Aptos" w:hAnsi="Aptos" w:eastAsia="Aptos" w:cs="Aptos"/>
          <w:noProof w:val="0"/>
          <w:sz w:val="24"/>
          <w:szCs w:val="24"/>
          <w:lang w:val="en-GB"/>
        </w:rPr>
        <w:t>remain</w:t>
      </w:r>
      <w:r w:rsidRPr="5F15782C" w:rsidR="68205798">
        <w:rPr>
          <w:rFonts w:ascii="Aptos" w:hAnsi="Aptos" w:eastAsia="Aptos" w:cs="Aptos"/>
          <w:noProof w:val="0"/>
          <w:sz w:val="24"/>
          <w:szCs w:val="24"/>
          <w:lang w:val="en-GB"/>
        </w:rPr>
        <w:t xml:space="preserve"> informal, ad hoc, and reliant on personal relationships, limiting their accessibility and long-term impact (Wicker and Breuer, 2014).</w:t>
      </w:r>
    </w:p>
    <w:p xmlns:wp14="http://schemas.microsoft.com/office/word/2010/wordml" w:rsidP="5F15782C" wp14:paraId="114F400A" wp14:textId="5E7BDEAB">
      <w:pPr>
        <w:spacing w:before="240" w:beforeAutospacing="off" w:after="240" w:afterAutospacing="off"/>
        <w:jc w:val="both"/>
      </w:pPr>
      <w:r w:rsidRPr="5F15782C" w:rsidR="68205798">
        <w:rPr>
          <w:rFonts w:ascii="Aptos" w:hAnsi="Aptos" w:eastAsia="Aptos" w:cs="Aptos"/>
          <w:noProof w:val="0"/>
          <w:sz w:val="24"/>
          <w:szCs w:val="24"/>
          <w:lang w:val="en-GB"/>
        </w:rPr>
        <w:t xml:space="preserve">In football specifically, grassroots clubs have been identified as resource-constrained organisations that often lack the capacity to recruit, train and </w:t>
      </w:r>
      <w:r w:rsidRPr="5F15782C" w:rsidR="68205798">
        <w:rPr>
          <w:rFonts w:ascii="Aptos" w:hAnsi="Aptos" w:eastAsia="Aptos" w:cs="Aptos"/>
          <w:noProof w:val="0"/>
          <w:sz w:val="24"/>
          <w:szCs w:val="24"/>
          <w:lang w:val="en-GB"/>
        </w:rPr>
        <w:t>retain</w:t>
      </w:r>
      <w:r w:rsidRPr="5F15782C" w:rsidR="68205798">
        <w:rPr>
          <w:rFonts w:ascii="Aptos" w:hAnsi="Aptos" w:eastAsia="Aptos" w:cs="Aptos"/>
          <w:noProof w:val="0"/>
          <w:sz w:val="24"/>
          <w:szCs w:val="24"/>
          <w:lang w:val="en-GB"/>
        </w:rPr>
        <w:t xml:space="preserve"> qualified coaches (Taylor et al., 2019). While student coaches </w:t>
      </w:r>
      <w:r w:rsidRPr="5F15782C" w:rsidR="68205798">
        <w:rPr>
          <w:rFonts w:ascii="Aptos" w:hAnsi="Aptos" w:eastAsia="Aptos" w:cs="Aptos"/>
          <w:noProof w:val="0"/>
          <w:sz w:val="24"/>
          <w:szCs w:val="24"/>
          <w:lang w:val="en-GB"/>
        </w:rPr>
        <w:t>represent</w:t>
      </w:r>
      <w:r w:rsidRPr="5F15782C" w:rsidR="68205798">
        <w:rPr>
          <w:rFonts w:ascii="Aptos" w:hAnsi="Aptos" w:eastAsia="Aptos" w:cs="Aptos"/>
          <w:noProof w:val="0"/>
          <w:sz w:val="24"/>
          <w:szCs w:val="24"/>
          <w:lang w:val="en-GB"/>
        </w:rPr>
        <w:t xml:space="preserve"> a potential solution to these challenges, clubs </w:t>
      </w:r>
      <w:r w:rsidRPr="5F15782C" w:rsidR="68205798">
        <w:rPr>
          <w:rFonts w:ascii="Aptos" w:hAnsi="Aptos" w:eastAsia="Aptos" w:cs="Aptos"/>
          <w:noProof w:val="0"/>
          <w:sz w:val="24"/>
          <w:szCs w:val="24"/>
          <w:lang w:val="en-GB"/>
        </w:rPr>
        <w:t>frequently</w:t>
      </w:r>
      <w:r w:rsidRPr="5F15782C" w:rsidR="68205798">
        <w:rPr>
          <w:rFonts w:ascii="Aptos" w:hAnsi="Aptos" w:eastAsia="Aptos" w:cs="Aptos"/>
          <w:noProof w:val="0"/>
          <w:sz w:val="24"/>
          <w:szCs w:val="24"/>
          <w:lang w:val="en-GB"/>
        </w:rPr>
        <w:t xml:space="preserve"> face difficulties in </w:t>
      </w:r>
      <w:r w:rsidRPr="5F15782C" w:rsidR="68205798">
        <w:rPr>
          <w:rFonts w:ascii="Aptos" w:hAnsi="Aptos" w:eastAsia="Aptos" w:cs="Aptos"/>
          <w:noProof w:val="0"/>
          <w:sz w:val="24"/>
          <w:szCs w:val="24"/>
          <w:lang w:val="en-GB"/>
        </w:rPr>
        <w:t>identifying</w:t>
      </w:r>
      <w:r w:rsidRPr="5F15782C" w:rsidR="68205798">
        <w:rPr>
          <w:rFonts w:ascii="Aptos" w:hAnsi="Aptos" w:eastAsia="Aptos" w:cs="Aptos"/>
          <w:noProof w:val="0"/>
          <w:sz w:val="24"/>
          <w:szCs w:val="24"/>
          <w:lang w:val="en-GB"/>
        </w:rPr>
        <w:t xml:space="preserve"> suitable candidates and managing engagement processes (Nichols et al., 2017). This has resulted in missed opportunities for collaboration and uneven access to coaching experiences for students (Misener and Doherty, 2012).</w:t>
      </w:r>
    </w:p>
    <w:p xmlns:wp14="http://schemas.microsoft.com/office/word/2010/wordml" w:rsidP="5F15782C" wp14:paraId="23DDDDE2" wp14:textId="02BFA4B4">
      <w:pPr>
        <w:spacing w:before="240" w:beforeAutospacing="off" w:after="240" w:afterAutospacing="off"/>
        <w:jc w:val="both"/>
      </w:pPr>
      <w:r w:rsidRPr="5F15782C" w:rsidR="68205798">
        <w:rPr>
          <w:rFonts w:ascii="Aptos" w:hAnsi="Aptos" w:eastAsia="Aptos" w:cs="Aptos"/>
          <w:noProof w:val="0"/>
          <w:sz w:val="24"/>
          <w:szCs w:val="24"/>
          <w:lang w:val="en-GB"/>
        </w:rPr>
        <w:t>From the perspective of higher education institutions, working with community clubs can be difficult because of safeguarding requirements, quality assurance processes and the administrative work involved in coordinating placements (</w:t>
      </w:r>
      <w:r w:rsidRPr="5F15782C" w:rsidR="68205798">
        <w:rPr>
          <w:rFonts w:ascii="Aptos" w:hAnsi="Aptos" w:eastAsia="Aptos" w:cs="Aptos"/>
          <w:noProof w:val="0"/>
          <w:sz w:val="24"/>
          <w:szCs w:val="24"/>
          <w:lang w:val="en-GB"/>
        </w:rPr>
        <w:t>Ferkins</w:t>
      </w:r>
      <w:r w:rsidRPr="5F15782C" w:rsidR="68205798">
        <w:rPr>
          <w:rFonts w:ascii="Aptos" w:hAnsi="Aptos" w:eastAsia="Aptos" w:cs="Aptos"/>
          <w:noProof w:val="0"/>
          <w:sz w:val="24"/>
          <w:szCs w:val="24"/>
          <w:lang w:val="en-GB"/>
        </w:rPr>
        <w:t xml:space="preserve"> and </w:t>
      </w:r>
      <w:r w:rsidRPr="5F15782C" w:rsidR="68205798">
        <w:rPr>
          <w:rFonts w:ascii="Aptos" w:hAnsi="Aptos" w:eastAsia="Aptos" w:cs="Aptos"/>
          <w:noProof w:val="0"/>
          <w:sz w:val="24"/>
          <w:szCs w:val="24"/>
          <w:lang w:val="en-GB"/>
        </w:rPr>
        <w:t>Shilbury</w:t>
      </w:r>
      <w:r w:rsidRPr="5F15782C" w:rsidR="68205798">
        <w:rPr>
          <w:rFonts w:ascii="Aptos" w:hAnsi="Aptos" w:eastAsia="Aptos" w:cs="Aptos"/>
          <w:noProof w:val="0"/>
          <w:sz w:val="24"/>
          <w:szCs w:val="24"/>
          <w:lang w:val="en-GB"/>
        </w:rPr>
        <w:t>, 2015). When these support structures are not clearly in place, universities may be reluctant to develop partnerships on a larger scale, particularly with small grassroots clubs (Doherty et al., 2014). In these situations, student coaches are often left to find opportunities on their own, which can reinforce existing inequalities linked to personal contacts and informal networks (Kay, 2009).</w:t>
      </w:r>
    </w:p>
    <w:p xmlns:wp14="http://schemas.microsoft.com/office/word/2010/wordml" w:rsidP="5F15782C" wp14:paraId="4A802EB0" wp14:textId="406D9083">
      <w:pPr>
        <w:spacing w:before="240" w:beforeAutospacing="off" w:after="240" w:afterAutospacing="off"/>
        <w:jc w:val="both"/>
      </w:pPr>
      <w:r w:rsidRPr="5F15782C" w:rsidR="68205798">
        <w:rPr>
          <w:rFonts w:ascii="Aptos" w:hAnsi="Aptos" w:eastAsia="Aptos" w:cs="Aptos"/>
          <w:noProof w:val="0"/>
          <w:sz w:val="24"/>
          <w:szCs w:val="24"/>
          <w:lang w:val="en-GB"/>
        </w:rPr>
        <w:t xml:space="preserve">Recent literature has highlighted the potential for digital technology to support and enhance </w:t>
      </w:r>
      <w:r w:rsidRPr="5F15782C" w:rsidR="68205798">
        <w:rPr>
          <w:rFonts w:ascii="Aptos" w:hAnsi="Aptos" w:eastAsia="Aptos" w:cs="Aptos"/>
          <w:noProof w:val="0"/>
          <w:sz w:val="24"/>
          <w:szCs w:val="24"/>
          <w:lang w:val="en-GB"/>
        </w:rPr>
        <w:t>collaborationconfidence,igher</w:t>
      </w:r>
      <w:r w:rsidRPr="5F15782C" w:rsidR="68205798">
        <w:rPr>
          <w:rFonts w:ascii="Aptos" w:hAnsi="Aptos" w:eastAsia="Aptos" w:cs="Aptos"/>
          <w:noProof w:val="0"/>
          <w:sz w:val="24"/>
          <w:szCs w:val="24"/>
          <w:lang w:val="en-GB"/>
        </w:rPr>
        <w:t xml:space="preserve"> education institutions and community sport organisations (</w:t>
      </w:r>
      <w:r w:rsidRPr="5F15782C" w:rsidR="68205798">
        <w:rPr>
          <w:rFonts w:ascii="Aptos" w:hAnsi="Aptos" w:eastAsia="Aptos" w:cs="Aptos"/>
          <w:noProof w:val="0"/>
          <w:sz w:val="24"/>
          <w:szCs w:val="24"/>
          <w:lang w:val="en-GB"/>
        </w:rPr>
        <w:t>Ratten</w:t>
      </w:r>
      <w:r w:rsidRPr="5F15782C" w:rsidR="68205798">
        <w:rPr>
          <w:rFonts w:ascii="Aptos" w:hAnsi="Aptos" w:eastAsia="Aptos" w:cs="Aptos"/>
          <w:noProof w:val="0"/>
          <w:sz w:val="24"/>
          <w:szCs w:val="24"/>
          <w:lang w:val="en-GB"/>
        </w:rPr>
        <w:t xml:space="preserve">, 2020). Digital platforms have been proposed as tools for improving transparency, </w:t>
      </w:r>
      <w:r w:rsidRPr="5F15782C" w:rsidR="68205798">
        <w:rPr>
          <w:rFonts w:ascii="Aptos" w:hAnsi="Aptos" w:eastAsia="Aptos" w:cs="Aptos"/>
          <w:noProof w:val="0"/>
          <w:sz w:val="24"/>
          <w:szCs w:val="24"/>
          <w:lang w:val="en-GB"/>
        </w:rPr>
        <w:t>accessibility</w:t>
      </w:r>
      <w:r w:rsidRPr="5F15782C" w:rsidR="68205798">
        <w:rPr>
          <w:rFonts w:ascii="Aptos" w:hAnsi="Aptos" w:eastAsia="Aptos" w:cs="Aptos"/>
          <w:noProof w:val="0"/>
          <w:sz w:val="24"/>
          <w:szCs w:val="24"/>
          <w:lang w:val="en-GB"/>
        </w:rPr>
        <w:t xml:space="preserve"> and efficiency within partnership arrangements by centralising communication and opportunity management (Winand et al., 2019). Within this context, technology-enabled collaboration may offer a means of addressing structural limitations in traditional HE–club partnerships while supporting more </w:t>
      </w:r>
      <w:r w:rsidRPr="5F15782C" w:rsidR="68205798">
        <w:rPr>
          <w:rFonts w:ascii="Aptos" w:hAnsi="Aptos" w:eastAsia="Aptos" w:cs="Aptos"/>
          <w:noProof w:val="0"/>
          <w:sz w:val="24"/>
          <w:szCs w:val="24"/>
          <w:lang w:val="en-GB"/>
        </w:rPr>
        <w:t>equitable</w:t>
      </w:r>
      <w:r w:rsidRPr="5F15782C" w:rsidR="68205798">
        <w:rPr>
          <w:rFonts w:ascii="Aptos" w:hAnsi="Aptos" w:eastAsia="Aptos" w:cs="Aptos"/>
          <w:noProof w:val="0"/>
          <w:sz w:val="24"/>
          <w:szCs w:val="24"/>
          <w:lang w:val="en-GB"/>
        </w:rPr>
        <w:t xml:space="preserve"> access to coaching opportunities (Pizzo et al., 2021).</w:t>
      </w:r>
    </w:p>
    <w:p xmlns:wp14="http://schemas.microsoft.com/office/word/2010/wordml" w:rsidP="5F15782C" wp14:paraId="4BA76320" wp14:textId="30C53460">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6A8F54C4" wp14:textId="706BB131">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6F41562E" wp14:textId="282DF48C">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7C6A94F2" wp14:textId="0264329D">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4790FF5A" wp14:textId="083B3A22">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75C7D913" wp14:textId="5EE8E98D">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561A8568" wp14:textId="7954C37C">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755A6674" wp14:textId="244757E0">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2DF3A0DB" wp14:textId="600CFCA1">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230B4271" wp14:textId="2520C433">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1FB8F170" wp14:textId="0E1165C9">
      <w:pPr>
        <w:pStyle w:val="Normal"/>
        <w:spacing w:before="240" w:beforeAutospacing="off" w:after="240" w:afterAutospacing="off"/>
        <w:jc w:val="both"/>
      </w:pPr>
      <w:r w:rsidRPr="5F15782C" w:rsidR="68205798">
        <w:rPr>
          <w:rFonts w:ascii="Aptos" w:hAnsi="Aptos" w:eastAsia="Aptos" w:cs="Aptos"/>
          <w:noProof w:val="0"/>
          <w:sz w:val="24"/>
          <w:szCs w:val="24"/>
          <w:lang w:val="en-GB"/>
        </w:rPr>
        <w:t>Theme 4- Digital Platforms and Technology in Sport Management</w:t>
      </w:r>
    </w:p>
    <w:p xmlns:wp14="http://schemas.microsoft.com/office/word/2010/wordml" w:rsidP="5F15782C" wp14:paraId="446879D9" wp14:textId="7CDE56B8">
      <w:pPr>
        <w:spacing w:before="240" w:beforeAutospacing="off" w:after="240" w:afterAutospacing="off"/>
        <w:jc w:val="both"/>
      </w:pPr>
      <w:r w:rsidRPr="5F15782C" w:rsidR="68205798">
        <w:rPr>
          <w:rFonts w:ascii="Aptos" w:hAnsi="Aptos" w:eastAsia="Aptos" w:cs="Aptos"/>
          <w:noProof w:val="0"/>
          <w:sz w:val="24"/>
          <w:szCs w:val="24"/>
          <w:lang w:val="en-GB"/>
        </w:rPr>
        <w:t xml:space="preserve">Digital transformation has become a central feature of contemporary sport management, with organisations increasingly adopting technology to improve </w:t>
      </w:r>
      <w:r w:rsidRPr="5F15782C" w:rsidR="68205798">
        <w:rPr>
          <w:rFonts w:ascii="Aptos" w:hAnsi="Aptos" w:eastAsia="Aptos" w:cs="Aptos"/>
          <w:noProof w:val="0"/>
          <w:sz w:val="24"/>
          <w:szCs w:val="24"/>
          <w:lang w:val="en-GB"/>
        </w:rPr>
        <w:t>coassurance,on</w:t>
      </w:r>
      <w:r w:rsidRPr="5F15782C" w:rsidR="68205798">
        <w:rPr>
          <w:rFonts w:ascii="Aptos" w:hAnsi="Aptos" w:eastAsia="Aptos" w:cs="Aptos"/>
          <w:noProof w:val="0"/>
          <w:sz w:val="24"/>
          <w:szCs w:val="24"/>
          <w:lang w:val="en-GB"/>
        </w:rPr>
        <w:t xml:space="preserve">, service delivery, and stakeholder engagement (Pedersen, 2014; </w:t>
      </w:r>
      <w:r w:rsidRPr="5F15782C" w:rsidR="68205798">
        <w:rPr>
          <w:rFonts w:ascii="Aptos" w:hAnsi="Aptos" w:eastAsia="Aptos" w:cs="Aptos"/>
          <w:noProof w:val="0"/>
          <w:sz w:val="24"/>
          <w:szCs w:val="24"/>
          <w:lang w:val="en-GB"/>
        </w:rPr>
        <w:t>Ratten</w:t>
      </w:r>
      <w:r w:rsidRPr="5F15782C" w:rsidR="68205798">
        <w:rPr>
          <w:rFonts w:ascii="Aptos" w:hAnsi="Aptos" w:eastAsia="Aptos" w:cs="Aptos"/>
          <w:noProof w:val="0"/>
          <w:sz w:val="24"/>
          <w:szCs w:val="24"/>
          <w:lang w:val="en-GB"/>
        </w:rPr>
        <w:t>, 2020). Sport organisations have been shown to use digital tools to streamline operational processes, enhance participant experiences and support decision-making across multiple levels of provision (Winand et al., 2019; Pizzo et al., 2021). Within community sport, digital adoption has been linked to improved efficiency in managing volunteers, programmes, and participation pathways, particularly where resources are limited (**Wicker and Breuer, 2014; Sharpe, 2006).</w:t>
      </w:r>
    </w:p>
    <w:p xmlns:wp14="http://schemas.microsoft.com/office/word/2010/wordml" w:rsidP="5F15782C" wp14:paraId="590D9E15" wp14:textId="7DAE677A">
      <w:pPr>
        <w:spacing w:before="240" w:beforeAutospacing="off" w:after="240" w:afterAutospacing="off"/>
        <w:jc w:val="both"/>
      </w:pPr>
      <w:r w:rsidRPr="5F15782C" w:rsidR="68205798">
        <w:rPr>
          <w:rFonts w:ascii="Aptos" w:hAnsi="Aptos" w:eastAsia="Aptos" w:cs="Aptos"/>
          <w:noProof w:val="0"/>
          <w:sz w:val="24"/>
          <w:szCs w:val="24"/>
          <w:lang w:val="en-GB"/>
        </w:rPr>
        <w:t xml:space="preserve">Platform-based models are </w:t>
      </w:r>
      <w:r w:rsidRPr="5F15782C" w:rsidR="68205798">
        <w:rPr>
          <w:rFonts w:ascii="Aptos" w:hAnsi="Aptos" w:eastAsia="Aptos" w:cs="Aptos"/>
          <w:noProof w:val="0"/>
          <w:sz w:val="24"/>
          <w:szCs w:val="24"/>
          <w:lang w:val="en-GB"/>
        </w:rPr>
        <w:t>frequently</w:t>
      </w:r>
      <w:r w:rsidRPr="5F15782C" w:rsidR="68205798">
        <w:rPr>
          <w:rFonts w:ascii="Aptos" w:hAnsi="Aptos" w:eastAsia="Aptos" w:cs="Aptos"/>
          <w:noProof w:val="0"/>
          <w:sz w:val="24"/>
          <w:szCs w:val="24"/>
          <w:lang w:val="en-GB"/>
        </w:rPr>
        <w:t xml:space="preserve"> positioned as mechanisms for connecting users and coordinating exchanges, which can be applied to matching opportunities with individuals seeking experience or development (Parker, Van Alstyne and Choudary, 2016). In sport contexts, platforms have been associated with reducing information asymmetries by making opportunities more visible and accessible to a wider range of stakeholders (**</w:t>
      </w:r>
      <w:r w:rsidRPr="5F15782C" w:rsidR="68205798">
        <w:rPr>
          <w:rFonts w:ascii="Aptos" w:hAnsi="Aptos" w:eastAsia="Aptos" w:cs="Aptos"/>
          <w:noProof w:val="0"/>
          <w:sz w:val="24"/>
          <w:szCs w:val="24"/>
          <w:lang w:val="en-GB"/>
        </w:rPr>
        <w:t>Ratten</w:t>
      </w:r>
      <w:r w:rsidRPr="5F15782C" w:rsidR="68205798">
        <w:rPr>
          <w:rFonts w:ascii="Aptos" w:hAnsi="Aptos" w:eastAsia="Aptos" w:cs="Aptos"/>
          <w:noProof w:val="0"/>
          <w:sz w:val="24"/>
          <w:szCs w:val="24"/>
          <w:lang w:val="en-GB"/>
        </w:rPr>
        <w:t>, 2020; Naraine and Parent, 2017). This is particularly relevant in environments where opportunities are traditionally accessed through informal networks, which can create barriers and inequalities for newcomers such as student coaches (Kay, 2009; Misener and Doherty, 2012).</w:t>
      </w:r>
    </w:p>
    <w:p xmlns:wp14="http://schemas.microsoft.com/office/word/2010/wordml" w:rsidP="5F15782C" wp14:paraId="59840B35" wp14:textId="282FC4E1">
      <w:pPr>
        <w:spacing w:before="240" w:beforeAutospacing="off" w:after="240" w:afterAutospacing="off"/>
        <w:jc w:val="both"/>
      </w:pPr>
      <w:r w:rsidRPr="5F15782C" w:rsidR="68205798">
        <w:rPr>
          <w:rFonts w:ascii="Aptos" w:hAnsi="Aptos" w:eastAsia="Aptos" w:cs="Aptos"/>
          <w:noProof w:val="0"/>
          <w:sz w:val="24"/>
          <w:szCs w:val="24"/>
          <w:lang w:val="en-GB"/>
        </w:rPr>
        <w:t xml:space="preserve">The literature on technology acceptance suggests that uptake of digital systems is influenced by perceived usefulness, perceived ease of use and user attitudes, </w:t>
      </w:r>
      <w:r w:rsidRPr="5F15782C" w:rsidR="68205798">
        <w:rPr>
          <w:rFonts w:ascii="Aptos" w:hAnsi="Aptos" w:eastAsia="Aptos" w:cs="Aptos"/>
          <w:noProof w:val="0"/>
          <w:sz w:val="24"/>
          <w:szCs w:val="24"/>
          <w:lang w:val="en-GB"/>
        </w:rPr>
        <w:t>indicating</w:t>
      </w:r>
      <w:r w:rsidRPr="5F15782C" w:rsidR="68205798">
        <w:rPr>
          <w:rFonts w:ascii="Aptos" w:hAnsi="Aptos" w:eastAsia="Aptos" w:cs="Aptos"/>
          <w:noProof w:val="0"/>
          <w:sz w:val="24"/>
          <w:szCs w:val="24"/>
          <w:lang w:val="en-GB"/>
        </w:rPr>
        <w:t xml:space="preserve"> that “user-friendly” design is not simply aesthetic but central to adoption (**Davis, 1989; Venkatesaccessibility,3). In sport service settings, perceived convenience and trust have also been linked to continued engagement with digital systems, particularly when users are asked to share personal information or commit time to participation (**Filo, Lock and Karg, 2015; Gefen, </w:t>
      </w:r>
      <w:r w:rsidRPr="5F15782C" w:rsidR="68205798">
        <w:rPr>
          <w:rFonts w:ascii="Aptos" w:hAnsi="Aptos" w:eastAsia="Aptos" w:cs="Aptos"/>
          <w:noProof w:val="0"/>
          <w:sz w:val="24"/>
          <w:szCs w:val="24"/>
          <w:lang w:val="en-GB"/>
        </w:rPr>
        <w:t>Karahanna</w:t>
      </w:r>
      <w:r w:rsidRPr="5F15782C" w:rsidR="68205798">
        <w:rPr>
          <w:rFonts w:ascii="Aptos" w:hAnsi="Aptos" w:eastAsia="Aptos" w:cs="Aptos"/>
          <w:noProof w:val="0"/>
          <w:sz w:val="24"/>
          <w:szCs w:val="24"/>
          <w:lang w:val="en-GB"/>
        </w:rPr>
        <w:t xml:space="preserve"> and Straub, 2003). Consequently, digital solutions intended to support stakeholder matching must prioritise usability and clarity to avoid reinforcing existing access barriers (Venkatesh et al., 2003; Pizzo et al., 2021).</w:t>
      </w:r>
    </w:p>
    <w:p xmlns:wp14="http://schemas.microsoft.com/office/word/2010/wordml" w:rsidP="5F15782C" wp14:paraId="1D87DFE8" wp14:textId="19998612">
      <w:pPr>
        <w:spacing w:before="240" w:beforeAutospacing="off" w:after="240" w:afterAutospacing="off"/>
        <w:jc w:val="both"/>
      </w:pPr>
      <w:r w:rsidRPr="5F15782C" w:rsidR="68205798">
        <w:rPr>
          <w:rFonts w:ascii="Aptos" w:hAnsi="Aptos" w:eastAsia="Aptos" w:cs="Aptos"/>
          <w:noProof w:val="0"/>
          <w:sz w:val="24"/>
          <w:szCs w:val="24"/>
          <w:lang w:val="en-GB"/>
        </w:rPr>
        <w:t xml:space="preserve">Research further </w:t>
      </w:r>
      <w:r w:rsidRPr="5F15782C" w:rsidR="68205798">
        <w:rPr>
          <w:rFonts w:ascii="Aptos" w:hAnsi="Aptos" w:eastAsia="Aptos" w:cs="Aptos"/>
          <w:noProof w:val="0"/>
          <w:sz w:val="24"/>
          <w:szCs w:val="24"/>
          <w:lang w:val="en-GB"/>
        </w:rPr>
        <w:t>indicates</w:t>
      </w:r>
      <w:r w:rsidRPr="5F15782C" w:rsidR="68205798">
        <w:rPr>
          <w:rFonts w:ascii="Aptos" w:hAnsi="Aptos" w:eastAsia="Aptos" w:cs="Aptos"/>
          <w:noProof w:val="0"/>
          <w:sz w:val="24"/>
          <w:szCs w:val="24"/>
          <w:lang w:val="en-GB"/>
        </w:rPr>
        <w:t xml:space="preserve"> that digital technology can support learning and development by enabling communication, </w:t>
      </w:r>
      <w:r w:rsidRPr="5F15782C" w:rsidR="68205798">
        <w:rPr>
          <w:rFonts w:ascii="Aptos" w:hAnsi="Aptos" w:eastAsia="Aptos" w:cs="Aptos"/>
          <w:noProof w:val="0"/>
          <w:sz w:val="24"/>
          <w:szCs w:val="24"/>
          <w:lang w:val="en-GB"/>
        </w:rPr>
        <w:t>feedback</w:t>
      </w:r>
      <w:r w:rsidRPr="5F15782C" w:rsidR="68205798">
        <w:rPr>
          <w:rFonts w:ascii="Aptos" w:hAnsi="Aptos" w:eastAsia="Aptos" w:cs="Aptos"/>
          <w:noProof w:val="0"/>
          <w:sz w:val="24"/>
          <w:szCs w:val="24"/>
          <w:lang w:val="en-GB"/>
        </w:rPr>
        <w:t xml:space="preserve"> and coordination </w:t>
      </w:r>
      <w:r w:rsidRPr="5F15782C" w:rsidR="68205798">
        <w:rPr>
          <w:rFonts w:ascii="Aptos" w:hAnsi="Aptos" w:eastAsia="Aptos" w:cs="Aptos"/>
          <w:noProof w:val="0"/>
          <w:sz w:val="24"/>
          <w:szCs w:val="24"/>
          <w:lang w:val="en-GB"/>
        </w:rPr>
        <w:t>effectnesses</w:t>
      </w:r>
      <w:r w:rsidRPr="5F15782C" w:rsidR="68205798">
        <w:rPr>
          <w:rFonts w:ascii="Aptos" w:hAnsi="Aptos" w:eastAsia="Aptos" w:cs="Aptos"/>
          <w:noProof w:val="0"/>
          <w:sz w:val="24"/>
          <w:szCs w:val="24"/>
          <w:lang w:val="en-GB"/>
        </w:rPr>
        <w:t xml:space="preserve"> and organisations, particularly where face-to-face contact is limited (**Billett, 2011; </w:t>
      </w:r>
      <w:r w:rsidRPr="5F15782C" w:rsidR="68205798">
        <w:rPr>
          <w:rFonts w:ascii="Aptos" w:hAnsi="Aptos" w:eastAsia="Aptos" w:cs="Aptos"/>
          <w:noProof w:val="0"/>
          <w:sz w:val="24"/>
          <w:szCs w:val="24"/>
          <w:lang w:val="en-GB"/>
        </w:rPr>
        <w:t>Hrastinski</w:t>
      </w:r>
      <w:r w:rsidRPr="5F15782C" w:rsidR="68205798">
        <w:rPr>
          <w:rFonts w:ascii="Aptos" w:hAnsi="Aptos" w:eastAsia="Aptos" w:cs="Aptos"/>
          <w:noProof w:val="0"/>
          <w:sz w:val="24"/>
          <w:szCs w:val="24"/>
          <w:lang w:val="en-GB"/>
        </w:rPr>
        <w:t xml:space="preserve">, 2008). In coaching and sport education, technology-facilitated support has been linked to enhanced reflective practice when structured opportunities for communication and guidance are available (**Cushion, 2016; </w:t>
      </w:r>
      <w:r w:rsidRPr="5F15782C" w:rsidR="68205798">
        <w:rPr>
          <w:rFonts w:ascii="Aptos" w:hAnsi="Aptos" w:eastAsia="Aptos" w:cs="Aptos"/>
          <w:noProof w:val="0"/>
          <w:sz w:val="24"/>
          <w:szCs w:val="24"/>
          <w:lang w:val="en-GB"/>
        </w:rPr>
        <w:t>Stoszkowski</w:t>
      </w:r>
      <w:r w:rsidRPr="5F15782C" w:rsidR="68205798">
        <w:rPr>
          <w:rFonts w:ascii="Aptos" w:hAnsi="Aptos" w:eastAsia="Aptos" w:cs="Aptos"/>
          <w:noProof w:val="0"/>
          <w:sz w:val="24"/>
          <w:szCs w:val="24"/>
          <w:lang w:val="en-GB"/>
        </w:rPr>
        <w:t xml:space="preserve"> and Collins, 2016). However, scholars also warn that digital tools are most effective when they complement, rather than replace, real-world experiential learning opportunities, reinforcing the importance of linking platform use to authentic coaching environments (Kolb, 1984; Cushion, 2016).</w:t>
      </w:r>
    </w:p>
    <w:p xmlns:wp14="http://schemas.microsoft.com/office/word/2010/wordml" w:rsidP="5F15782C" wp14:paraId="4609EB56" wp14:textId="712AB6AE">
      <w:pPr>
        <w:spacing w:before="240" w:beforeAutospacing="off" w:after="240" w:afterAutospacing="off"/>
        <w:jc w:val="both"/>
      </w:pPr>
      <w:r w:rsidRPr="5F15782C" w:rsidR="68205798">
        <w:rPr>
          <w:rFonts w:ascii="Aptos" w:hAnsi="Aptos" w:eastAsia="Aptos" w:cs="Aptos"/>
          <w:noProof w:val="0"/>
          <w:sz w:val="24"/>
          <w:szCs w:val="24"/>
          <w:lang w:val="en-GB"/>
        </w:rPr>
        <w:t xml:space="preserve">In relation to local football ecosystems, digital platforms may </w:t>
      </w:r>
      <w:r w:rsidRPr="5F15782C" w:rsidR="68205798">
        <w:rPr>
          <w:rFonts w:ascii="Aptos" w:hAnsi="Aptos" w:eastAsia="Aptos" w:cs="Aptos"/>
          <w:noProof w:val="0"/>
          <w:sz w:val="24"/>
          <w:szCs w:val="24"/>
          <w:lang w:val="en-GB"/>
        </w:rPr>
        <w:t>provide</w:t>
      </w:r>
      <w:r w:rsidRPr="5F15782C" w:rsidR="68205798">
        <w:rPr>
          <w:rFonts w:ascii="Aptos" w:hAnsi="Aptos" w:eastAsia="Aptos" w:cs="Aptos"/>
          <w:noProof w:val="0"/>
          <w:sz w:val="24"/>
          <w:szCs w:val="24"/>
          <w:lang w:val="en-GB"/>
        </w:rPr>
        <w:t xml:space="preserve"> a practical mechanism for improving coordination between student coaches and grassroots clubs by centralising opportunity information and reducing reliance on informal contacts (Misener and Doherty, 2012; </w:t>
      </w:r>
      <w:r w:rsidRPr="5F15782C" w:rsidR="68205798">
        <w:rPr>
          <w:rFonts w:ascii="Aptos" w:hAnsi="Aptos" w:eastAsia="Aptos" w:cs="Aptos"/>
          <w:noProof w:val="0"/>
          <w:sz w:val="24"/>
          <w:szCs w:val="24"/>
          <w:lang w:val="en-GB"/>
        </w:rPr>
        <w:t>Ratten</w:t>
      </w:r>
      <w:r w:rsidRPr="5F15782C" w:rsidR="68205798">
        <w:rPr>
          <w:rFonts w:ascii="Aptos" w:hAnsi="Aptos" w:eastAsia="Aptos" w:cs="Aptos"/>
          <w:noProof w:val="0"/>
          <w:sz w:val="24"/>
          <w:szCs w:val="24"/>
          <w:lang w:val="en-GB"/>
        </w:rPr>
        <w:t xml:space="preserve">, 2020). The strategic use of platforms can also support accountability and transparency by making requirements, expectations, and processes clearer to all stakeholders, which is valuable in placement-like arrangements (**Doherty, Misener and </w:t>
      </w:r>
      <w:r w:rsidRPr="5F15782C" w:rsidR="68205798">
        <w:rPr>
          <w:rFonts w:ascii="Aptos" w:hAnsi="Aptos" w:eastAsia="Aptos" w:cs="Aptos"/>
          <w:noProof w:val="0"/>
          <w:sz w:val="24"/>
          <w:szCs w:val="24"/>
          <w:lang w:val="en-GB"/>
        </w:rPr>
        <w:t>Cuskelly</w:t>
      </w:r>
      <w:r w:rsidRPr="5F15782C" w:rsidR="68205798">
        <w:rPr>
          <w:rFonts w:ascii="Aptos" w:hAnsi="Aptos" w:eastAsia="Aptos" w:cs="Aptos"/>
          <w:noProof w:val="0"/>
          <w:sz w:val="24"/>
          <w:szCs w:val="24"/>
          <w:lang w:val="en-GB"/>
        </w:rPr>
        <w:t xml:space="preserve">, 2014; </w:t>
      </w:r>
      <w:r w:rsidRPr="5F15782C" w:rsidR="68205798">
        <w:rPr>
          <w:rFonts w:ascii="Aptos" w:hAnsi="Aptos" w:eastAsia="Aptos" w:cs="Aptos"/>
          <w:noProof w:val="0"/>
          <w:sz w:val="24"/>
          <w:szCs w:val="24"/>
          <w:lang w:val="en-GB"/>
        </w:rPr>
        <w:t>Ferkins</w:t>
      </w:r>
      <w:r w:rsidRPr="5F15782C" w:rsidR="68205798">
        <w:rPr>
          <w:rFonts w:ascii="Aptos" w:hAnsi="Aptos" w:eastAsia="Aptos" w:cs="Aptos"/>
          <w:noProof w:val="0"/>
          <w:sz w:val="24"/>
          <w:szCs w:val="24"/>
          <w:lang w:val="en-GB"/>
        </w:rPr>
        <w:t xml:space="preserve"> and </w:t>
      </w:r>
      <w:r w:rsidRPr="5F15782C" w:rsidR="68205798">
        <w:rPr>
          <w:rFonts w:ascii="Aptos" w:hAnsi="Aptos" w:eastAsia="Aptos" w:cs="Aptos"/>
          <w:noProof w:val="0"/>
          <w:sz w:val="24"/>
          <w:szCs w:val="24"/>
          <w:lang w:val="en-GB"/>
        </w:rPr>
        <w:t>Shilbury</w:t>
      </w:r>
      <w:r w:rsidRPr="5F15782C" w:rsidR="68205798">
        <w:rPr>
          <w:rFonts w:ascii="Aptos" w:hAnsi="Aptos" w:eastAsia="Aptos" w:cs="Aptos"/>
          <w:noProof w:val="0"/>
          <w:sz w:val="24"/>
          <w:szCs w:val="24"/>
          <w:lang w:val="en-GB"/>
        </w:rPr>
        <w:t xml:space="preserve">, 2015). Overall, the literature </w:t>
      </w:r>
      <w:r w:rsidRPr="5F15782C" w:rsidR="68205798">
        <w:rPr>
          <w:rFonts w:ascii="Aptos" w:hAnsi="Aptos" w:eastAsia="Aptos" w:cs="Aptos"/>
          <w:noProof w:val="0"/>
          <w:sz w:val="24"/>
          <w:szCs w:val="24"/>
          <w:lang w:val="en-GB"/>
        </w:rPr>
        <w:t>indicates</w:t>
      </w:r>
      <w:r w:rsidRPr="5F15782C" w:rsidR="68205798">
        <w:rPr>
          <w:rFonts w:ascii="Aptos" w:hAnsi="Aptos" w:eastAsia="Aptos" w:cs="Aptos"/>
          <w:noProof w:val="0"/>
          <w:sz w:val="24"/>
          <w:szCs w:val="24"/>
          <w:lang w:val="en-GB"/>
        </w:rPr>
        <w:t xml:space="preserve"> that a user-friendly digital platform </w:t>
      </w:r>
      <w:r w:rsidRPr="5F15782C" w:rsidR="68205798">
        <w:rPr>
          <w:rFonts w:ascii="Aptos" w:hAnsi="Aptos" w:eastAsia="Aptos" w:cs="Aptos"/>
          <w:noProof w:val="0"/>
          <w:sz w:val="24"/>
          <w:szCs w:val="24"/>
          <w:lang w:val="en-GB"/>
        </w:rPr>
        <w:t>represents</w:t>
      </w:r>
      <w:r w:rsidRPr="5F15782C" w:rsidR="68205798">
        <w:rPr>
          <w:rFonts w:ascii="Aptos" w:hAnsi="Aptos" w:eastAsia="Aptos" w:cs="Aptos"/>
          <w:noProof w:val="0"/>
          <w:sz w:val="24"/>
          <w:szCs w:val="24"/>
          <w:lang w:val="en-GB"/>
        </w:rPr>
        <w:t xml:space="preserve"> a theoretically grounded approach to addressing access and coordination barriers within community sport and coach development pathways, provided it is designed around stakeholder needs and adoption drivers (Davis, 1989; Venkatesh et al., 2003; Pizzo et al., 2021).</w:t>
      </w:r>
    </w:p>
    <w:p xmlns:wp14="http://schemas.microsoft.com/office/word/2010/wordml" w:rsidP="5F15782C" wp14:paraId="14FA0357" wp14:textId="5526915B">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156A21BD" wp14:textId="06CC459B">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7295E3D6" wp14:textId="4D0C25C0">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16B84E26" wp14:textId="348A4D79">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62B8F53E" wp14:textId="299433DF">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07CA7211" wp14:textId="19B7FC90">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669A1C7A" wp14:textId="5A38A782">
      <w:pPr>
        <w:pStyle w:val="Normal"/>
        <w:spacing w:before="240" w:beforeAutospacing="off" w:after="240" w:afterAutospacing="off"/>
        <w:jc w:val="both"/>
      </w:pPr>
      <w:r w:rsidRPr="5F15782C" w:rsidR="1B4A8284">
        <w:rPr>
          <w:rFonts w:ascii="Aptos" w:hAnsi="Aptos" w:eastAsia="Aptos" w:cs="Aptos"/>
          <w:noProof w:val="0"/>
          <w:sz w:val="24"/>
          <w:szCs w:val="24"/>
          <w:lang w:val="en-GB"/>
        </w:rPr>
        <w:t xml:space="preserve">Synthesis of Literature and Identification of Gaps- </w:t>
      </w:r>
    </w:p>
    <w:p xmlns:wp14="http://schemas.microsoft.com/office/word/2010/wordml" w:rsidP="5F15782C" wp14:paraId="22F9649C" wp14:textId="367DDCF6">
      <w:pPr>
        <w:spacing w:before="240" w:beforeAutospacing="off" w:after="240" w:afterAutospacing="off"/>
        <w:jc w:val="both"/>
      </w:pPr>
      <w:r w:rsidRPr="5F15782C" w:rsidR="68205798">
        <w:rPr>
          <w:rFonts w:ascii="Aptos" w:hAnsi="Aptos" w:eastAsia="Aptos" w:cs="Aptos"/>
          <w:noProof w:val="0"/>
          <w:sz w:val="24"/>
          <w:szCs w:val="24"/>
          <w:lang w:val="en-GB"/>
        </w:rPr>
        <w:t xml:space="preserve">The preceding literature has </w:t>
      </w:r>
      <w:r w:rsidRPr="5F15782C" w:rsidR="68205798">
        <w:rPr>
          <w:rFonts w:ascii="Aptos" w:hAnsi="Aptos" w:eastAsia="Aptos" w:cs="Aptos"/>
          <w:noProof w:val="0"/>
          <w:sz w:val="24"/>
          <w:szCs w:val="24"/>
          <w:lang w:val="en-GB"/>
        </w:rPr>
        <w:t>demonstrated</w:t>
      </w:r>
      <w:r w:rsidRPr="5F15782C" w:rsidR="68205798">
        <w:rPr>
          <w:rFonts w:ascii="Aptos" w:hAnsi="Aptos" w:eastAsia="Aptos" w:cs="Aptos"/>
          <w:noProof w:val="0"/>
          <w:sz w:val="24"/>
          <w:szCs w:val="24"/>
          <w:lang w:val="en-GB"/>
        </w:rPr>
        <w:t xml:space="preserve"> that coach development within football is shaped by a combination of educational structures, experiential learning opportunities and organisational systems that influence access to practice-based experience (Nelson, Cushion and Potrac, 2013; Cushion, 2016). Across the reviewed themes, consistent challenges have been </w:t>
      </w:r>
      <w:r w:rsidRPr="5F15782C" w:rsidR="68205798">
        <w:rPr>
          <w:rFonts w:ascii="Aptos" w:hAnsi="Aptos" w:eastAsia="Aptos" w:cs="Aptos"/>
          <w:noProof w:val="0"/>
          <w:sz w:val="24"/>
          <w:szCs w:val="24"/>
          <w:lang w:val="en-GB"/>
        </w:rPr>
        <w:t>identified</w:t>
      </w:r>
      <w:r w:rsidRPr="5F15782C" w:rsidR="68205798">
        <w:rPr>
          <w:rFonts w:ascii="Aptos" w:hAnsi="Aptos" w:eastAsia="Aptos" w:cs="Aptos"/>
          <w:noProof w:val="0"/>
          <w:sz w:val="24"/>
          <w:szCs w:val="24"/>
          <w:lang w:val="en-GB"/>
        </w:rPr>
        <w:t xml:space="preserve"> relating to the theory–practice gap in coach education, unequal access to experiential learning and limitations in existing higher education–club collaboration models (Piggott, 2015; Misener and Doherty, 2012). In addition, the literature has highlighted the growing role of digital technology as facilitators of coordination, accessibility, and stakeholder engagement within sport management contexts (</w:t>
      </w:r>
      <w:r w:rsidRPr="5F15782C" w:rsidR="68205798">
        <w:rPr>
          <w:rFonts w:ascii="Aptos" w:hAnsi="Aptos" w:eastAsia="Aptos" w:cs="Aptos"/>
          <w:noProof w:val="0"/>
          <w:sz w:val="24"/>
          <w:szCs w:val="24"/>
          <w:lang w:val="en-GB"/>
        </w:rPr>
        <w:t>Ratten</w:t>
      </w:r>
      <w:r w:rsidRPr="5F15782C" w:rsidR="68205798">
        <w:rPr>
          <w:rFonts w:ascii="Aptos" w:hAnsi="Aptos" w:eastAsia="Aptos" w:cs="Aptos"/>
          <w:noProof w:val="0"/>
          <w:sz w:val="24"/>
          <w:szCs w:val="24"/>
          <w:lang w:val="en-GB"/>
        </w:rPr>
        <w:t xml:space="preserve">, 2020; Winand et al., 2019). Collectively, these themes provide a foundation for synthesising key insights and </w:t>
      </w:r>
      <w:r w:rsidRPr="5F15782C" w:rsidR="68205798">
        <w:rPr>
          <w:rFonts w:ascii="Aptos" w:hAnsi="Aptos" w:eastAsia="Aptos" w:cs="Aptos"/>
          <w:noProof w:val="0"/>
          <w:sz w:val="24"/>
          <w:szCs w:val="24"/>
          <w:lang w:val="en-GB"/>
        </w:rPr>
        <w:t>identifying</w:t>
      </w:r>
      <w:r w:rsidRPr="5F15782C" w:rsidR="68205798">
        <w:rPr>
          <w:rFonts w:ascii="Aptos" w:hAnsi="Aptos" w:eastAsia="Aptos" w:cs="Aptos"/>
          <w:noProof w:val="0"/>
          <w:sz w:val="24"/>
          <w:szCs w:val="24"/>
          <w:lang w:val="en-GB"/>
        </w:rPr>
        <w:t xml:space="preserve"> clear gaps that inform the justification for an applied solution within this project (Pizzo et al., 2021).</w:t>
      </w:r>
    </w:p>
    <w:p xmlns:wp14="http://schemas.microsoft.com/office/word/2010/wordml" w:rsidP="5F15782C" wp14:paraId="2ED71A7E" wp14:textId="17A6CA9A">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42ED617C" wp14:textId="19C28AA8">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7A83F90A" wp14:textId="7FBF62D7">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0BB432C5" wp14:textId="77ECF493">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37B7EF9F" wp14:textId="78FB4FB8">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3D430762" wp14:textId="7BF7601E">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041037FA" wp14:textId="653DADEC">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26ED3179" wp14:textId="03C53261">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38213024" wp14:textId="70275E37">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00EA04C7" wp14:textId="236FCB12">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1A9623A8" wp14:textId="52B18EDC">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4AA3B808" wp14:textId="6EC4E068">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1BA3B489" wp14:textId="4942D2D5">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17BA2221" wp14:textId="075C3B6F">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2D352A08" wp14:textId="523D2398">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03A7AB4F" wp14:textId="5491E207">
      <w:pPr>
        <w:spacing w:before="240" w:beforeAutospacing="off" w:after="240" w:afterAutospacing="off"/>
        <w:jc w:val="both"/>
        <w:rPr>
          <w:rFonts w:ascii="Aptos" w:hAnsi="Aptos" w:eastAsia="Aptos" w:cs="Aptos"/>
          <w:noProof w:val="0"/>
          <w:sz w:val="24"/>
          <w:szCs w:val="24"/>
          <w:lang w:val="en-GB"/>
        </w:rPr>
      </w:pPr>
    </w:p>
    <w:p xmlns:wp14="http://schemas.microsoft.com/office/word/2010/wordml" w:rsidP="5F15782C" wp14:paraId="5B62BCFB" wp14:textId="2A5DD156">
      <w:pPr>
        <w:spacing w:before="240" w:beforeAutospacing="off" w:after="240" w:afterAutospacing="off"/>
        <w:jc w:val="both"/>
        <w:rPr>
          <w:rFonts w:ascii="Aptos" w:hAnsi="Aptos" w:eastAsia="Aptos" w:cs="Aptos"/>
          <w:noProof w:val="0"/>
          <w:sz w:val="24"/>
          <w:szCs w:val="24"/>
          <w:lang w:val="en-GB"/>
        </w:rPr>
      </w:pPr>
      <w:r w:rsidRPr="5F15782C" w:rsidR="68205798">
        <w:rPr>
          <w:rFonts w:ascii="Aptos" w:hAnsi="Aptos" w:eastAsia="Aptos" w:cs="Aptos"/>
          <w:noProof w:val="0"/>
          <w:sz w:val="24"/>
          <w:szCs w:val="24"/>
          <w:lang w:val="en-GB"/>
        </w:rPr>
        <w:t>Conclusion</w:t>
      </w:r>
      <w:r w:rsidRPr="5F15782C" w:rsidR="75522EA8">
        <w:rPr>
          <w:rFonts w:ascii="Aptos" w:hAnsi="Aptos" w:eastAsia="Aptos" w:cs="Aptos"/>
          <w:noProof w:val="0"/>
          <w:sz w:val="24"/>
          <w:szCs w:val="24"/>
          <w:lang w:val="en-GB"/>
        </w:rPr>
        <w:t xml:space="preserve"> and </w:t>
      </w:r>
      <w:r w:rsidRPr="5F15782C" w:rsidR="68205798">
        <w:rPr>
          <w:rFonts w:ascii="Aptos" w:hAnsi="Aptos" w:eastAsia="Aptos" w:cs="Aptos"/>
          <w:noProof w:val="0"/>
          <w:sz w:val="24"/>
          <w:szCs w:val="24"/>
          <w:lang w:val="en-GB"/>
        </w:rPr>
        <w:t>Justification</w:t>
      </w:r>
      <w:r w:rsidRPr="5F15782C" w:rsidR="7B2A3E67">
        <w:rPr>
          <w:rFonts w:ascii="Aptos" w:hAnsi="Aptos" w:eastAsia="Aptos" w:cs="Aptos"/>
          <w:noProof w:val="0"/>
          <w:sz w:val="24"/>
          <w:szCs w:val="24"/>
          <w:lang w:val="en-GB"/>
        </w:rPr>
        <w:t xml:space="preserve"> for element 3</w:t>
      </w:r>
    </w:p>
    <w:p xmlns:wp14="http://schemas.microsoft.com/office/word/2010/wordml" w:rsidP="5F15782C" wp14:paraId="037A444B" wp14:textId="4D1BF21B">
      <w:pPr>
        <w:spacing w:before="240" w:beforeAutospacing="off" w:after="240" w:afterAutospacing="off"/>
        <w:jc w:val="both"/>
      </w:pPr>
      <w:r w:rsidRPr="5F15782C" w:rsidR="68205798">
        <w:rPr>
          <w:rFonts w:ascii="Aptos" w:hAnsi="Aptos" w:eastAsia="Aptos" w:cs="Aptos"/>
          <w:noProof w:val="0"/>
          <w:sz w:val="24"/>
          <w:szCs w:val="24"/>
          <w:lang w:val="en-GB"/>
        </w:rPr>
        <w:t xml:space="preserve">This literature review has critically examined key research relating to coach education and development pathways, experiential learning and employability, higher education–club collaboration, and the role of digital platforms within sport management. The reviewed literature consistently emphasises that effective coach development extends beyond formal education and qualifications, requiring sustained engagement in authentic coaching environments to support learning, confidence, and professional readiness (Nelson et al., 2013; Cushion, 2016). However, access to such opportunities </w:t>
      </w:r>
      <w:r w:rsidRPr="5F15782C" w:rsidR="68205798">
        <w:rPr>
          <w:rFonts w:ascii="Aptos" w:hAnsi="Aptos" w:eastAsia="Aptos" w:cs="Aptos"/>
          <w:noProof w:val="0"/>
          <w:sz w:val="24"/>
          <w:szCs w:val="24"/>
          <w:lang w:val="en-GB"/>
        </w:rPr>
        <w:t>remains</w:t>
      </w:r>
      <w:r w:rsidRPr="5F15782C" w:rsidR="68205798">
        <w:rPr>
          <w:rFonts w:ascii="Aptos" w:hAnsi="Aptos" w:eastAsia="Aptos" w:cs="Aptos"/>
          <w:noProof w:val="0"/>
          <w:sz w:val="24"/>
          <w:szCs w:val="24"/>
          <w:lang w:val="en-GB"/>
        </w:rPr>
        <w:t xml:space="preserve"> inconsistent for coaching students, particularly within grassroots football contexts where opportunities are often mediated through informal networks and personal connections (Kay, 2009; Piggott, 2015).</w:t>
      </w:r>
    </w:p>
    <w:p xmlns:wp14="http://schemas.microsoft.com/office/word/2010/wordml" w:rsidP="5F15782C" wp14:paraId="720DE66B" wp14:textId="7C5AFB09">
      <w:pPr>
        <w:spacing w:before="240" w:beforeAutospacing="off" w:after="240" w:afterAutospacing="off"/>
        <w:jc w:val="both"/>
      </w:pPr>
      <w:r w:rsidRPr="5F15782C" w:rsidR="68205798">
        <w:rPr>
          <w:rFonts w:ascii="Aptos" w:hAnsi="Aptos" w:eastAsia="Aptos" w:cs="Aptos"/>
          <w:noProof w:val="0"/>
          <w:sz w:val="24"/>
          <w:szCs w:val="24"/>
          <w:lang w:val="en-GB"/>
        </w:rPr>
        <w:t xml:space="preserve">Research on experiential and work-integrated learning shows that students benefit most when they are given structured and supported opportunities to put theory into practice and build skills that are valued by employers (Kolb, 1984; Billett, 2011; Fleming et al., 2018). However, within coaching programmes, universities often struggle to organise these experiences on a consistent basis, particularly when resources and administrative support are limited (Doherty et al., 2014; </w:t>
      </w:r>
      <w:r w:rsidRPr="5F15782C" w:rsidR="68205798">
        <w:rPr>
          <w:rFonts w:ascii="Aptos" w:hAnsi="Aptos" w:eastAsia="Aptos" w:cs="Aptos"/>
          <w:noProof w:val="0"/>
          <w:sz w:val="24"/>
          <w:szCs w:val="24"/>
          <w:lang w:val="en-GB"/>
        </w:rPr>
        <w:t>Ferkins</w:t>
      </w:r>
      <w:r w:rsidRPr="5F15782C" w:rsidR="68205798">
        <w:rPr>
          <w:rFonts w:ascii="Aptos" w:hAnsi="Aptos" w:eastAsia="Aptos" w:cs="Aptos"/>
          <w:noProof w:val="0"/>
          <w:sz w:val="24"/>
          <w:szCs w:val="24"/>
          <w:lang w:val="en-GB"/>
        </w:rPr>
        <w:t xml:space="preserve"> and </w:t>
      </w:r>
      <w:r w:rsidRPr="5F15782C" w:rsidR="68205798">
        <w:rPr>
          <w:rFonts w:ascii="Aptos" w:hAnsi="Aptos" w:eastAsia="Aptos" w:cs="Aptos"/>
          <w:noProof w:val="0"/>
          <w:sz w:val="24"/>
          <w:szCs w:val="24"/>
          <w:lang w:val="en-GB"/>
        </w:rPr>
        <w:t>Shilbury</w:t>
      </w:r>
      <w:r w:rsidRPr="5F15782C" w:rsidR="68205798">
        <w:rPr>
          <w:rFonts w:ascii="Aptos" w:hAnsi="Aptos" w:eastAsia="Aptos" w:cs="Aptos"/>
          <w:noProof w:val="0"/>
          <w:sz w:val="24"/>
          <w:szCs w:val="24"/>
          <w:lang w:val="en-GB"/>
        </w:rPr>
        <w:t xml:space="preserve">, 2015). When this happens, some coaching students complete their degrees with </w:t>
      </w:r>
      <w:r w:rsidRPr="5F15782C" w:rsidR="68205798">
        <w:rPr>
          <w:rFonts w:ascii="Aptos" w:hAnsi="Aptos" w:eastAsia="Aptos" w:cs="Aptos"/>
          <w:noProof w:val="0"/>
          <w:sz w:val="24"/>
          <w:szCs w:val="24"/>
          <w:lang w:val="en-GB"/>
        </w:rPr>
        <w:t>relatively little</w:t>
      </w:r>
      <w:r w:rsidRPr="5F15782C" w:rsidR="68205798">
        <w:rPr>
          <w:rFonts w:ascii="Aptos" w:hAnsi="Aptos" w:eastAsia="Aptos" w:cs="Aptos"/>
          <w:noProof w:val="0"/>
          <w:sz w:val="24"/>
          <w:szCs w:val="24"/>
          <w:lang w:val="en-GB"/>
        </w:rPr>
        <w:t xml:space="preserve"> applied experience, while local football clubs continue to face difficulties in recruiting and </w:t>
      </w:r>
      <w:r w:rsidRPr="5F15782C" w:rsidR="68205798">
        <w:rPr>
          <w:rFonts w:ascii="Aptos" w:hAnsi="Aptos" w:eastAsia="Aptos" w:cs="Aptos"/>
          <w:noProof w:val="0"/>
          <w:sz w:val="24"/>
          <w:szCs w:val="24"/>
          <w:lang w:val="en-GB"/>
        </w:rPr>
        <w:t>retaining</w:t>
      </w:r>
      <w:r w:rsidRPr="5F15782C" w:rsidR="68205798">
        <w:rPr>
          <w:rFonts w:ascii="Aptos" w:hAnsi="Aptos" w:eastAsia="Aptos" w:cs="Aptos"/>
          <w:noProof w:val="0"/>
          <w:sz w:val="24"/>
          <w:szCs w:val="24"/>
          <w:lang w:val="en-GB"/>
        </w:rPr>
        <w:t xml:space="preserve"> enough coaches (Wicker and Breuer, 2014; Taylor et al., 2019).</w:t>
      </w:r>
    </w:p>
    <w:p xmlns:wp14="http://schemas.microsoft.com/office/word/2010/wordml" w:rsidP="5F15782C" wp14:paraId="76951B1B" wp14:textId="04AB7EB4">
      <w:pPr>
        <w:spacing w:before="240" w:beforeAutospacing="off" w:after="240" w:afterAutospacing="off"/>
        <w:jc w:val="both"/>
      </w:pPr>
      <w:r w:rsidRPr="5F15782C" w:rsidR="68205798">
        <w:rPr>
          <w:rFonts w:ascii="Aptos" w:hAnsi="Aptos" w:eastAsia="Aptos" w:cs="Aptos"/>
          <w:noProof w:val="0"/>
          <w:sz w:val="24"/>
          <w:szCs w:val="24"/>
          <w:lang w:val="en-GB"/>
        </w:rPr>
        <w:t xml:space="preserve">The review further </w:t>
      </w:r>
      <w:r w:rsidRPr="5F15782C" w:rsidR="68205798">
        <w:rPr>
          <w:rFonts w:ascii="Aptos" w:hAnsi="Aptos" w:eastAsia="Aptos" w:cs="Aptos"/>
          <w:noProof w:val="0"/>
          <w:sz w:val="24"/>
          <w:szCs w:val="24"/>
          <w:lang w:val="en-GB"/>
        </w:rPr>
        <w:t>demonstrates</w:t>
      </w:r>
      <w:r w:rsidRPr="5F15782C" w:rsidR="68205798">
        <w:rPr>
          <w:rFonts w:ascii="Aptos" w:hAnsi="Aptos" w:eastAsia="Aptos" w:cs="Aptos"/>
          <w:noProof w:val="0"/>
          <w:sz w:val="24"/>
          <w:szCs w:val="24"/>
          <w:lang w:val="en-GB"/>
        </w:rPr>
        <w:t xml:space="preserve"> that digital platforms have been increasingly adopted within sport management to enhance coordination, accessibility, and stakeholder engagement, particularly in resource- constrained community sport environments (</w:t>
      </w:r>
      <w:r w:rsidRPr="5F15782C" w:rsidR="68205798">
        <w:rPr>
          <w:rFonts w:ascii="Aptos" w:hAnsi="Aptos" w:eastAsia="Aptos" w:cs="Aptos"/>
          <w:noProof w:val="0"/>
          <w:sz w:val="24"/>
          <w:szCs w:val="24"/>
          <w:lang w:val="en-GB"/>
        </w:rPr>
        <w:t>Ratten</w:t>
      </w:r>
      <w:r w:rsidRPr="5F15782C" w:rsidR="68205798">
        <w:rPr>
          <w:rFonts w:ascii="Aptos" w:hAnsi="Aptos" w:eastAsia="Aptos" w:cs="Aptos"/>
          <w:noProof w:val="0"/>
          <w:sz w:val="24"/>
          <w:szCs w:val="24"/>
          <w:lang w:val="en-GB"/>
        </w:rPr>
        <w:t xml:space="preserve">, 2020; Winand et al., 2019). Platform-based models have been shown to reduce reliance on informal networks by centralising information and improving transparency, thereby supporting more </w:t>
      </w:r>
      <w:r w:rsidRPr="5F15782C" w:rsidR="68205798">
        <w:rPr>
          <w:rFonts w:ascii="Aptos" w:hAnsi="Aptos" w:eastAsia="Aptos" w:cs="Aptos"/>
          <w:noProof w:val="0"/>
          <w:sz w:val="24"/>
          <w:szCs w:val="24"/>
          <w:lang w:val="en-GB"/>
        </w:rPr>
        <w:t>equitable</w:t>
      </w:r>
      <w:r w:rsidRPr="5F15782C" w:rsidR="68205798">
        <w:rPr>
          <w:rFonts w:ascii="Aptos" w:hAnsi="Aptos" w:eastAsia="Aptos" w:cs="Aptos"/>
          <w:noProof w:val="0"/>
          <w:sz w:val="24"/>
          <w:szCs w:val="24"/>
          <w:lang w:val="en-GB"/>
        </w:rPr>
        <w:t xml:space="preserve"> access to opportunities (Parker et al., 2016; Misener and Doherty, 2012). However, the literature also highlights that digital solutions are most effective when designed around user needs and when they complement, rather than replace, real-world experiential learning (Davis, 1989; Venkatesh et al., 2003; Cushion, 2016).</w:t>
      </w:r>
    </w:p>
    <w:p xmlns:wp14="http://schemas.microsoft.com/office/word/2010/wordml" w:rsidP="5F15782C" wp14:paraId="6F2AFE05" wp14:textId="5FC34243">
      <w:pPr>
        <w:spacing w:before="240" w:beforeAutospacing="off" w:after="240" w:afterAutospacing="off"/>
        <w:jc w:val="both"/>
      </w:pPr>
      <w:r w:rsidRPr="5F15782C" w:rsidR="68205798">
        <w:rPr>
          <w:rFonts w:ascii="Aptos" w:hAnsi="Aptos" w:eastAsia="Aptos" w:cs="Aptos"/>
          <w:noProof w:val="0"/>
          <w:sz w:val="24"/>
          <w:szCs w:val="24"/>
          <w:lang w:val="en-GB"/>
        </w:rPr>
        <w:t xml:space="preserve">Therefore, the literature </w:t>
      </w:r>
      <w:r w:rsidRPr="5F15782C" w:rsidR="68205798">
        <w:rPr>
          <w:rFonts w:ascii="Aptos" w:hAnsi="Aptos" w:eastAsia="Aptos" w:cs="Aptos"/>
          <w:noProof w:val="0"/>
          <w:sz w:val="24"/>
          <w:szCs w:val="24"/>
          <w:lang w:val="en-GB"/>
        </w:rPr>
        <w:t>identifies</w:t>
      </w:r>
      <w:r w:rsidRPr="5F15782C" w:rsidR="68205798">
        <w:rPr>
          <w:rFonts w:ascii="Aptos" w:hAnsi="Aptos" w:eastAsia="Aptos" w:cs="Aptos"/>
          <w:noProof w:val="0"/>
          <w:sz w:val="24"/>
          <w:szCs w:val="24"/>
          <w:lang w:val="en-GB"/>
        </w:rPr>
        <w:t xml:space="preserve"> a clear gap in the provision of structured, accessible mechanisms that connect student football coaches with local clubs in a manner that supports experiential learning and employability while addressing organisational constraints. In response to this gap, Element 3 of this project is justified through the development of Coach Connect, a user-friendly web-based platform designed to </w:t>
      </w:r>
      <w:r w:rsidRPr="5F15782C" w:rsidR="68205798">
        <w:rPr>
          <w:rFonts w:ascii="Aptos" w:hAnsi="Aptos" w:eastAsia="Aptos" w:cs="Aptos"/>
          <w:noProof w:val="0"/>
          <w:sz w:val="24"/>
          <w:szCs w:val="24"/>
          <w:lang w:val="en-GB"/>
        </w:rPr>
        <w:t>facilitate</w:t>
      </w:r>
      <w:r w:rsidRPr="5F15782C" w:rsidR="68205798">
        <w:rPr>
          <w:rFonts w:ascii="Aptos" w:hAnsi="Aptos" w:eastAsia="Aptos" w:cs="Aptos"/>
          <w:noProof w:val="0"/>
          <w:sz w:val="24"/>
          <w:szCs w:val="24"/>
          <w:lang w:val="en-GB"/>
        </w:rPr>
        <w:t xml:space="preserve"> connections between student coaches and grassroots football clubs. By operationalising insights from coach development, experiential learning and digital sport management literature, the platform </w:t>
      </w:r>
      <w:r w:rsidRPr="5F15782C" w:rsidR="68205798">
        <w:rPr>
          <w:rFonts w:ascii="Aptos" w:hAnsi="Aptos" w:eastAsia="Aptos" w:cs="Aptos"/>
          <w:noProof w:val="0"/>
          <w:sz w:val="24"/>
          <w:szCs w:val="24"/>
          <w:lang w:val="en-GB"/>
        </w:rPr>
        <w:t>represents</w:t>
      </w:r>
      <w:r w:rsidRPr="5F15782C" w:rsidR="68205798">
        <w:rPr>
          <w:rFonts w:ascii="Aptos" w:hAnsi="Aptos" w:eastAsia="Aptos" w:cs="Aptos"/>
          <w:noProof w:val="0"/>
          <w:sz w:val="24"/>
          <w:szCs w:val="24"/>
          <w:lang w:val="en-GB"/>
        </w:rPr>
        <w:t xml:space="preserve"> a theoretically informed and practical response to </w:t>
      </w:r>
      <w:r w:rsidRPr="5F15782C" w:rsidR="68205798">
        <w:rPr>
          <w:rFonts w:ascii="Aptos" w:hAnsi="Aptos" w:eastAsia="Aptos" w:cs="Aptos"/>
          <w:noProof w:val="0"/>
          <w:sz w:val="24"/>
          <w:szCs w:val="24"/>
          <w:lang w:val="en-GB"/>
        </w:rPr>
        <w:t>identified</w:t>
      </w:r>
      <w:r w:rsidRPr="5F15782C" w:rsidR="68205798">
        <w:rPr>
          <w:rFonts w:ascii="Aptos" w:hAnsi="Aptos" w:eastAsia="Aptos" w:cs="Aptos"/>
          <w:noProof w:val="0"/>
          <w:sz w:val="24"/>
          <w:szCs w:val="24"/>
          <w:lang w:val="en-GB"/>
        </w:rPr>
        <w:t xml:space="preserve"> limitations within existing systems (Kolb, 1984; </w:t>
      </w:r>
      <w:r w:rsidRPr="5F15782C" w:rsidR="68205798">
        <w:rPr>
          <w:rFonts w:ascii="Aptos" w:hAnsi="Aptos" w:eastAsia="Aptos" w:cs="Aptos"/>
          <w:noProof w:val="0"/>
          <w:sz w:val="24"/>
          <w:szCs w:val="24"/>
          <w:lang w:val="en-GB"/>
        </w:rPr>
        <w:t>Ratten</w:t>
      </w:r>
      <w:r w:rsidRPr="5F15782C" w:rsidR="68205798">
        <w:rPr>
          <w:rFonts w:ascii="Aptos" w:hAnsi="Aptos" w:eastAsia="Aptos" w:cs="Aptos"/>
          <w:noProof w:val="0"/>
          <w:sz w:val="24"/>
          <w:szCs w:val="24"/>
          <w:lang w:val="en-GB"/>
        </w:rPr>
        <w:t>, 2020; Pizzo et al., 2021).</w:t>
      </w:r>
    </w:p>
    <w:p xmlns:wp14="http://schemas.microsoft.com/office/word/2010/wordml" w:rsidP="5F15782C" wp14:paraId="0F60F780" wp14:textId="09C7B4D4">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30D42FE4" wp14:textId="64DF2EF4">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3280C9B3" wp14:textId="523B9AEC">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763D9155" wp14:textId="635C4A4A">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1CAEC472" wp14:textId="1BF2BB60">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4545927C" wp14:textId="001CADE7">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15919EB9" wp14:textId="0716659A">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096A464A" wp14:textId="0566CC6A">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3FAA22C3" wp14:textId="52177CC1">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6B52BA7A" wp14:textId="1E8902D4">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5966D1D9" wp14:textId="53EC930F">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37108311" wp14:textId="32EA5B2E">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5907F353" wp14:textId="470B838B">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12D38EBB" wp14:textId="7CEE7853">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79E22A1A" wp14:textId="265CB485">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52FFB216" wp14:textId="17B598F0">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6560D6F0" wp14:textId="395CD0D3">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0E89FD61" wp14:textId="366A49F4">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70B7CBC9" wp14:textId="6594DA32">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460965EA" wp14:textId="261A8D66">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17AF0FCD" wp14:textId="2E0A5BCE">
      <w:pPr>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3877132F" wp14:textId="5F4D22FD">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5F15782C" wp14:paraId="7122FEEC" wp14:textId="10F7CDE4">
      <w:pPr>
        <w:spacing w:before="240" w:beforeAutospacing="off" w:after="240" w:afterAutospacing="off"/>
      </w:pPr>
      <w:r w:rsidRPr="5F15782C" w:rsidR="68205798">
        <w:rPr>
          <w:rFonts w:ascii="Aptos" w:hAnsi="Aptos" w:eastAsia="Aptos" w:cs="Aptos"/>
          <w:noProof w:val="0"/>
          <w:sz w:val="24"/>
          <w:szCs w:val="24"/>
          <w:lang w:val="en-GB"/>
        </w:rPr>
        <w:t>Reference list</w:t>
      </w:r>
    </w:p>
    <w:p xmlns:wp14="http://schemas.microsoft.com/office/word/2010/wordml" w:rsidP="5F15782C" wp14:paraId="5A850591" wp14:textId="4408868F">
      <w:pPr>
        <w:pStyle w:val="Heading1"/>
        <w:spacing w:before="0" w:beforeAutospacing="off" w:after="360" w:afterAutospacing="off" w:line="360" w:lineRule="auto"/>
        <w:jc w:val="left"/>
      </w:pPr>
      <w:r w:rsidRPr="5F15782C" w:rsidR="3A6BFF88">
        <w:rPr>
          <w:rFonts w:ascii="Times New Roman" w:hAnsi="Times New Roman" w:eastAsia="Times New Roman" w:cs="Times New Roman"/>
          <w:b w:val="1"/>
          <w:bCs w:val="1"/>
          <w:noProof w:val="0"/>
          <w:sz w:val="36"/>
          <w:szCs w:val="36"/>
          <w:lang w:val="en-GB"/>
        </w:rPr>
        <w:t>Reference list</w:t>
      </w:r>
    </w:p>
    <w:p xmlns:wp14="http://schemas.microsoft.com/office/word/2010/wordml" w:rsidP="5F15782C" wp14:paraId="11FAC0BA" wp14:textId="59FA3616">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Billett, S. (2011). </w:t>
      </w:r>
      <w:r w:rsidRPr="5F15782C" w:rsidR="3A6BFF88">
        <w:rPr>
          <w:rFonts w:ascii="Times New Roman" w:hAnsi="Times New Roman" w:eastAsia="Times New Roman" w:cs="Times New Roman"/>
          <w:i w:val="1"/>
          <w:iCs w:val="1"/>
          <w:noProof w:val="0"/>
          <w:sz w:val="24"/>
          <w:szCs w:val="24"/>
          <w:lang w:val="en-GB"/>
        </w:rPr>
        <w:t>Vocational Education</w:t>
      </w:r>
      <w:r w:rsidRPr="5F15782C" w:rsidR="3A6BFF88">
        <w:rPr>
          <w:rFonts w:ascii="Times New Roman" w:hAnsi="Times New Roman" w:eastAsia="Times New Roman" w:cs="Times New Roman"/>
          <w:noProof w:val="0"/>
          <w:sz w:val="24"/>
          <w:szCs w:val="24"/>
          <w:lang w:val="en-GB"/>
        </w:rPr>
        <w:t>. Springer Science &amp; Business Media.</w:t>
      </w:r>
    </w:p>
    <w:p xmlns:wp14="http://schemas.microsoft.com/office/word/2010/wordml" w:rsidP="5F15782C" wp14:paraId="663C450E" wp14:textId="02B08168">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Cushion, C.J., Armour, K.M. and Jones, R.L. (2003). Coach Education and Continuing Professional Development: Experience and Learning to Coach. </w:t>
      </w:r>
      <w:r w:rsidRPr="5F15782C" w:rsidR="3A6BFF88">
        <w:rPr>
          <w:rFonts w:ascii="Times New Roman" w:hAnsi="Times New Roman" w:eastAsia="Times New Roman" w:cs="Times New Roman"/>
          <w:i w:val="1"/>
          <w:iCs w:val="1"/>
          <w:noProof w:val="0"/>
          <w:sz w:val="24"/>
          <w:szCs w:val="24"/>
          <w:lang w:val="en-GB"/>
        </w:rPr>
        <w:t>Quest</w:t>
      </w:r>
      <w:r w:rsidRPr="5F15782C" w:rsidR="3A6BFF88">
        <w:rPr>
          <w:rFonts w:ascii="Times New Roman" w:hAnsi="Times New Roman" w:eastAsia="Times New Roman" w:cs="Times New Roman"/>
          <w:noProof w:val="0"/>
          <w:sz w:val="24"/>
          <w:szCs w:val="24"/>
          <w:lang w:val="en-GB"/>
        </w:rPr>
        <w:t xml:space="preserve">, [online] 55(3), pp.215–230. Available at: </w:t>
      </w:r>
      <w:hyperlink r:id="Rab479f919f7a447d">
        <w:r w:rsidRPr="5F15782C" w:rsidR="3A6BFF88">
          <w:rPr>
            <w:rStyle w:val="Hyperlink"/>
            <w:rFonts w:ascii="Times New Roman" w:hAnsi="Times New Roman" w:eastAsia="Times New Roman" w:cs="Times New Roman"/>
            <w:noProof w:val="0"/>
            <w:sz w:val="24"/>
            <w:szCs w:val="24"/>
            <w:lang w:val="en-GB"/>
          </w:rPr>
          <w:t>https://www.tandfonline.com/doi/abs/10.1080/00336297.2003.10491800</w:t>
        </w:r>
      </w:hyperlink>
      <w:r w:rsidRPr="5F15782C" w:rsidR="3A6BFF88">
        <w:rPr>
          <w:rFonts w:ascii="Times New Roman" w:hAnsi="Times New Roman" w:eastAsia="Times New Roman" w:cs="Times New Roman"/>
          <w:noProof w:val="0"/>
          <w:sz w:val="24"/>
          <w:szCs w:val="24"/>
          <w:lang w:val="en-GB"/>
        </w:rPr>
        <w:t>.</w:t>
      </w:r>
    </w:p>
    <w:p xmlns:wp14="http://schemas.microsoft.com/office/word/2010/wordml" w:rsidP="5F15782C" wp14:paraId="6E456D7D" wp14:textId="36EFBEDC">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Davis, F.D. (1989). Perceived usefulness, perceived ease of use, and user acceptance of information technology. </w:t>
      </w:r>
      <w:r w:rsidRPr="5F15782C" w:rsidR="3A6BFF88">
        <w:rPr>
          <w:rFonts w:ascii="Times New Roman" w:hAnsi="Times New Roman" w:eastAsia="Times New Roman" w:cs="Times New Roman"/>
          <w:i w:val="1"/>
          <w:iCs w:val="1"/>
          <w:noProof w:val="0"/>
          <w:sz w:val="24"/>
          <w:szCs w:val="24"/>
          <w:lang w:val="en-GB"/>
        </w:rPr>
        <w:t>MIS Quarterly</w:t>
      </w:r>
      <w:r w:rsidRPr="5F15782C" w:rsidR="3A6BFF88">
        <w:rPr>
          <w:rFonts w:ascii="Times New Roman" w:hAnsi="Times New Roman" w:eastAsia="Times New Roman" w:cs="Times New Roman"/>
          <w:noProof w:val="0"/>
          <w:sz w:val="24"/>
          <w:szCs w:val="24"/>
          <w:lang w:val="en-GB"/>
        </w:rPr>
        <w:t>, [online] 13(3), pp.319–340. doi:https://doi.org/10.2307/249008.</w:t>
      </w:r>
    </w:p>
    <w:p xmlns:wp14="http://schemas.microsoft.com/office/word/2010/wordml" w:rsidP="5F15782C" wp14:paraId="176E364B" wp14:textId="738DF4DE">
      <w:pPr>
        <w:spacing w:before="0" w:beforeAutospacing="off" w:after="0" w:afterAutospacing="off"/>
      </w:pPr>
      <w:r w:rsidRPr="5F15782C" w:rsidR="3A6BFF88">
        <w:rPr>
          <w:rFonts w:ascii="Aptos" w:hAnsi="Aptos" w:eastAsia="Aptos" w:cs="Aptos"/>
          <w:noProof w:val="0"/>
          <w:sz w:val="24"/>
          <w:szCs w:val="24"/>
          <w:lang w:val="en-GB"/>
        </w:rPr>
        <w:t xml:space="preserve">Cushion, C., Nelson, L., Armour, K., Lyle, J., Jones, R., Sandford, R. and O’Callaghan, C., 2010. </w:t>
      </w:r>
      <w:r w:rsidRPr="5F15782C" w:rsidR="3A6BFF88">
        <w:rPr>
          <w:rFonts w:ascii="Aptos" w:hAnsi="Aptos" w:eastAsia="Aptos" w:cs="Aptos"/>
          <w:i w:val="1"/>
          <w:iCs w:val="1"/>
          <w:noProof w:val="0"/>
          <w:sz w:val="24"/>
          <w:szCs w:val="24"/>
          <w:lang w:val="en-GB"/>
        </w:rPr>
        <w:t>Coach learning and development: A review of literature</w:t>
      </w:r>
      <w:r w:rsidRPr="5F15782C" w:rsidR="3A6BFF88">
        <w:rPr>
          <w:rFonts w:ascii="Aptos" w:hAnsi="Aptos" w:eastAsia="Aptos" w:cs="Aptos"/>
          <w:noProof w:val="0"/>
          <w:sz w:val="24"/>
          <w:szCs w:val="24"/>
          <w:lang w:val="en-GB"/>
        </w:rPr>
        <w:t xml:space="preserve"> (pp. 1-104). Leeds: Sports coach UK.</w:t>
      </w:r>
    </w:p>
    <w:p xmlns:wp14="http://schemas.microsoft.com/office/word/2010/wordml" w:rsidP="5F15782C" wp14:paraId="0C7390B7" wp14:textId="637C4775">
      <w:pPr>
        <w:spacing w:before="0" w:beforeAutospacing="off" w:after="0" w:afterAutospacing="off"/>
      </w:pPr>
      <w:r w:rsidRPr="5F15782C" w:rsidR="3A6BFF88">
        <w:rPr>
          <w:rFonts w:ascii="Aptos" w:hAnsi="Aptos" w:eastAsia="Aptos" w:cs="Aptos"/>
          <w:noProof w:val="0"/>
          <w:sz w:val="24"/>
          <w:szCs w:val="24"/>
          <w:lang w:val="en-GB"/>
        </w:rPr>
        <w:t xml:space="preserve">Hrastinski, S., 2008. Asynchronous and synchronous e-learning. </w:t>
      </w:r>
      <w:r w:rsidRPr="5F15782C" w:rsidR="3A6BFF88">
        <w:rPr>
          <w:rFonts w:ascii="Aptos" w:hAnsi="Aptos" w:eastAsia="Aptos" w:cs="Aptos"/>
          <w:i w:val="1"/>
          <w:iCs w:val="1"/>
          <w:noProof w:val="0"/>
          <w:sz w:val="24"/>
          <w:szCs w:val="24"/>
          <w:lang w:val="en-GB"/>
        </w:rPr>
        <w:t>Educause quarterly</w:t>
      </w:r>
      <w:r w:rsidRPr="5F15782C" w:rsidR="3A6BFF88">
        <w:rPr>
          <w:rFonts w:ascii="Aptos" w:hAnsi="Aptos" w:eastAsia="Aptos" w:cs="Aptos"/>
          <w:noProof w:val="0"/>
          <w:sz w:val="24"/>
          <w:szCs w:val="24"/>
          <w:lang w:val="en-GB"/>
        </w:rPr>
        <w:t xml:space="preserve">, </w:t>
      </w:r>
      <w:r w:rsidRPr="5F15782C" w:rsidR="3A6BFF88">
        <w:rPr>
          <w:rFonts w:ascii="Aptos" w:hAnsi="Aptos" w:eastAsia="Aptos" w:cs="Aptos"/>
          <w:i w:val="1"/>
          <w:iCs w:val="1"/>
          <w:noProof w:val="0"/>
          <w:sz w:val="24"/>
          <w:szCs w:val="24"/>
          <w:lang w:val="en-GB"/>
        </w:rPr>
        <w:t>31</w:t>
      </w:r>
      <w:r w:rsidRPr="5F15782C" w:rsidR="3A6BFF88">
        <w:rPr>
          <w:rFonts w:ascii="Aptos" w:hAnsi="Aptos" w:eastAsia="Aptos" w:cs="Aptos"/>
          <w:noProof w:val="0"/>
          <w:sz w:val="24"/>
          <w:szCs w:val="24"/>
          <w:lang w:val="en-GB"/>
        </w:rPr>
        <w:t>(4), pp.51-55.</w:t>
      </w:r>
    </w:p>
    <w:p xmlns:wp14="http://schemas.microsoft.com/office/word/2010/wordml" w:rsidP="5F15782C" wp14:paraId="7AAB42C5" wp14:textId="2BD9A5E7">
      <w:pPr>
        <w:spacing w:before="0" w:beforeAutospacing="off" w:after="0" w:afterAutospacing="off"/>
      </w:pPr>
      <w:r w:rsidRPr="5F15782C" w:rsidR="3A6BFF88">
        <w:rPr>
          <w:rFonts w:ascii="Aptos" w:hAnsi="Aptos" w:eastAsia="Aptos" w:cs="Aptos"/>
          <w:noProof w:val="0"/>
          <w:sz w:val="24"/>
          <w:szCs w:val="24"/>
          <w:lang w:val="en-GB"/>
        </w:rPr>
        <w:t xml:space="preserve">Taylor, P., Barrett, D. and Nichols, G. (2019) ‘Survey of coaching shortages in community sport’, </w:t>
      </w:r>
      <w:r w:rsidRPr="5F15782C" w:rsidR="3A6BFF88">
        <w:rPr>
          <w:rFonts w:ascii="Aptos" w:hAnsi="Aptos" w:eastAsia="Aptos" w:cs="Aptos"/>
          <w:i w:val="1"/>
          <w:iCs w:val="1"/>
          <w:noProof w:val="0"/>
          <w:sz w:val="24"/>
          <w:szCs w:val="24"/>
          <w:lang w:val="en-GB"/>
        </w:rPr>
        <w:t>Managing Sport and Leisure</w:t>
      </w:r>
      <w:r w:rsidRPr="5F15782C" w:rsidR="3A6BFF88">
        <w:rPr>
          <w:rFonts w:ascii="Aptos" w:hAnsi="Aptos" w:eastAsia="Aptos" w:cs="Aptos"/>
          <w:noProof w:val="0"/>
          <w:sz w:val="24"/>
          <w:szCs w:val="24"/>
          <w:lang w:val="en-GB"/>
        </w:rPr>
        <w:t>, 24(4), pp. 299–315</w:t>
      </w:r>
    </w:p>
    <w:p xmlns:wp14="http://schemas.microsoft.com/office/word/2010/wordml" w:rsidP="5F15782C" wp14:paraId="7028DE9B" wp14:textId="30D4DEE3">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Doherty, A., Misener, K. and Cuskelly, G. (2013). Toward a Multidimensional Framework of Capacity in Community Sport Clubs. </w:t>
      </w:r>
      <w:r w:rsidRPr="5F15782C" w:rsidR="3A6BFF88">
        <w:rPr>
          <w:rFonts w:ascii="Times New Roman" w:hAnsi="Times New Roman" w:eastAsia="Times New Roman" w:cs="Times New Roman"/>
          <w:i w:val="1"/>
          <w:iCs w:val="1"/>
          <w:noProof w:val="0"/>
          <w:sz w:val="24"/>
          <w:szCs w:val="24"/>
          <w:lang w:val="en-GB"/>
        </w:rPr>
        <w:t>Nonprofit and Voluntary Sector Quarterly</w:t>
      </w:r>
      <w:r w:rsidRPr="5F15782C" w:rsidR="3A6BFF88">
        <w:rPr>
          <w:rFonts w:ascii="Times New Roman" w:hAnsi="Times New Roman" w:eastAsia="Times New Roman" w:cs="Times New Roman"/>
          <w:noProof w:val="0"/>
          <w:sz w:val="24"/>
          <w:szCs w:val="24"/>
          <w:lang w:val="en-GB"/>
        </w:rPr>
        <w:t>, 43(2_suppl), pp.124S142S. doi:https://doi.org/10.1177/0899764013509892.</w:t>
      </w:r>
    </w:p>
    <w:p xmlns:wp14="http://schemas.microsoft.com/office/word/2010/wordml" w:rsidP="5F15782C" wp14:paraId="0E7FBD09" wp14:textId="2AD01DDF">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Ferkins, L. and Shilbury, D., 2015. The stakeholder dilemma in sport governance: Toward the notion of “stakeowner”. </w:t>
      </w:r>
      <w:r w:rsidRPr="5F15782C" w:rsidR="3A6BFF88">
        <w:rPr>
          <w:rFonts w:ascii="Times New Roman" w:hAnsi="Times New Roman" w:eastAsia="Times New Roman" w:cs="Times New Roman"/>
          <w:i w:val="1"/>
          <w:iCs w:val="1"/>
          <w:noProof w:val="0"/>
          <w:sz w:val="24"/>
          <w:szCs w:val="24"/>
          <w:lang w:val="en-GB"/>
        </w:rPr>
        <w:t>Journal of sport management</w:t>
      </w:r>
      <w:r w:rsidRPr="5F15782C" w:rsidR="3A6BFF88">
        <w:rPr>
          <w:rFonts w:ascii="Times New Roman" w:hAnsi="Times New Roman" w:eastAsia="Times New Roman" w:cs="Times New Roman"/>
          <w:noProof w:val="0"/>
          <w:sz w:val="24"/>
          <w:szCs w:val="24"/>
          <w:lang w:val="en-GB"/>
        </w:rPr>
        <w:t xml:space="preserve">, </w:t>
      </w:r>
      <w:r w:rsidRPr="5F15782C" w:rsidR="3A6BFF88">
        <w:rPr>
          <w:rFonts w:ascii="Times New Roman" w:hAnsi="Times New Roman" w:eastAsia="Times New Roman" w:cs="Times New Roman"/>
          <w:i w:val="1"/>
          <w:iCs w:val="1"/>
          <w:noProof w:val="0"/>
          <w:sz w:val="24"/>
          <w:szCs w:val="24"/>
          <w:lang w:val="en-GB"/>
        </w:rPr>
        <w:t>29</w:t>
      </w:r>
      <w:r w:rsidRPr="5F15782C" w:rsidR="3A6BFF88">
        <w:rPr>
          <w:rFonts w:ascii="Times New Roman" w:hAnsi="Times New Roman" w:eastAsia="Times New Roman" w:cs="Times New Roman"/>
          <w:noProof w:val="0"/>
          <w:sz w:val="24"/>
          <w:szCs w:val="24"/>
          <w:lang w:val="en-GB"/>
        </w:rPr>
        <w:t xml:space="preserve">(1), pp.93-108. </w:t>
      </w:r>
    </w:p>
    <w:p xmlns:wp14="http://schemas.microsoft.com/office/word/2010/wordml" w:rsidP="5F15782C" wp14:paraId="43285DD2" wp14:textId="76D84B6E">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Filo, K., Lock, D. and Karg, A., 2015. Sport and social media research: A review. </w:t>
      </w:r>
      <w:r w:rsidRPr="5F15782C" w:rsidR="3A6BFF88">
        <w:rPr>
          <w:rFonts w:ascii="Times New Roman" w:hAnsi="Times New Roman" w:eastAsia="Times New Roman" w:cs="Times New Roman"/>
          <w:i w:val="1"/>
          <w:iCs w:val="1"/>
          <w:noProof w:val="0"/>
          <w:sz w:val="24"/>
          <w:szCs w:val="24"/>
          <w:lang w:val="en-GB"/>
        </w:rPr>
        <w:t>Sport management review</w:t>
      </w:r>
      <w:r w:rsidRPr="5F15782C" w:rsidR="3A6BFF88">
        <w:rPr>
          <w:rFonts w:ascii="Times New Roman" w:hAnsi="Times New Roman" w:eastAsia="Times New Roman" w:cs="Times New Roman"/>
          <w:noProof w:val="0"/>
          <w:sz w:val="24"/>
          <w:szCs w:val="24"/>
          <w:lang w:val="en-GB"/>
        </w:rPr>
        <w:t xml:space="preserve">, </w:t>
      </w:r>
      <w:r w:rsidRPr="5F15782C" w:rsidR="3A6BFF88">
        <w:rPr>
          <w:rFonts w:ascii="Times New Roman" w:hAnsi="Times New Roman" w:eastAsia="Times New Roman" w:cs="Times New Roman"/>
          <w:i w:val="1"/>
          <w:iCs w:val="1"/>
          <w:noProof w:val="0"/>
          <w:sz w:val="24"/>
          <w:szCs w:val="24"/>
          <w:lang w:val="en-GB"/>
        </w:rPr>
        <w:t>18</w:t>
      </w:r>
      <w:r w:rsidRPr="5F15782C" w:rsidR="3A6BFF88">
        <w:rPr>
          <w:rFonts w:ascii="Times New Roman" w:hAnsi="Times New Roman" w:eastAsia="Times New Roman" w:cs="Times New Roman"/>
          <w:noProof w:val="0"/>
          <w:sz w:val="24"/>
          <w:szCs w:val="24"/>
          <w:lang w:val="en-GB"/>
        </w:rPr>
        <w:t xml:space="preserve">(2), pp.166-181. </w:t>
      </w:r>
    </w:p>
    <w:p xmlns:wp14="http://schemas.microsoft.com/office/word/2010/wordml" w:rsidP="5F15782C" wp14:paraId="67367E71" wp14:textId="02829CF1">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Fleming, J., Martin, A.J., Hughes, H. and Zinn, C., 2009. Maximizing work-integrated learning experiences through identifying graduate competencies for employability: A case study of sport studies in higher education. </w:t>
      </w:r>
      <w:r w:rsidRPr="5F15782C" w:rsidR="3A6BFF88">
        <w:rPr>
          <w:rFonts w:ascii="Times New Roman" w:hAnsi="Times New Roman" w:eastAsia="Times New Roman" w:cs="Times New Roman"/>
          <w:i w:val="1"/>
          <w:iCs w:val="1"/>
          <w:noProof w:val="0"/>
          <w:sz w:val="24"/>
          <w:szCs w:val="24"/>
          <w:lang w:val="en-GB"/>
        </w:rPr>
        <w:t>International Journal of Work-Integrated Learning</w:t>
      </w:r>
      <w:r w:rsidRPr="5F15782C" w:rsidR="3A6BFF88">
        <w:rPr>
          <w:rFonts w:ascii="Times New Roman" w:hAnsi="Times New Roman" w:eastAsia="Times New Roman" w:cs="Times New Roman"/>
          <w:noProof w:val="0"/>
          <w:sz w:val="24"/>
          <w:szCs w:val="24"/>
          <w:lang w:val="en-GB"/>
        </w:rPr>
        <w:t xml:space="preserve">, </w:t>
      </w:r>
      <w:r w:rsidRPr="5F15782C" w:rsidR="3A6BFF88">
        <w:rPr>
          <w:rFonts w:ascii="Times New Roman" w:hAnsi="Times New Roman" w:eastAsia="Times New Roman" w:cs="Times New Roman"/>
          <w:i w:val="1"/>
          <w:iCs w:val="1"/>
          <w:noProof w:val="0"/>
          <w:sz w:val="24"/>
          <w:szCs w:val="24"/>
          <w:lang w:val="en-GB"/>
        </w:rPr>
        <w:t>10</w:t>
      </w:r>
      <w:r w:rsidRPr="5F15782C" w:rsidR="3A6BFF88">
        <w:rPr>
          <w:rFonts w:ascii="Times New Roman" w:hAnsi="Times New Roman" w:eastAsia="Times New Roman" w:cs="Times New Roman"/>
          <w:noProof w:val="0"/>
          <w:sz w:val="24"/>
          <w:szCs w:val="24"/>
          <w:lang w:val="en-GB"/>
        </w:rPr>
        <w:t xml:space="preserve">(3), p.189. </w:t>
      </w:r>
    </w:p>
    <w:p xmlns:wp14="http://schemas.microsoft.com/office/word/2010/wordml" w:rsidP="5F15782C" wp14:paraId="087517D6" wp14:textId="5BB469B0">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Gefen, D., Karahanna, E. and Straub, D.W. (2003). Trust and TAM in Online shopping: an Integrated Model. </w:t>
      </w:r>
      <w:r w:rsidRPr="5F15782C" w:rsidR="3A6BFF88">
        <w:rPr>
          <w:rFonts w:ascii="Times New Roman" w:hAnsi="Times New Roman" w:eastAsia="Times New Roman" w:cs="Times New Roman"/>
          <w:i w:val="1"/>
          <w:iCs w:val="1"/>
          <w:noProof w:val="0"/>
          <w:sz w:val="24"/>
          <w:szCs w:val="24"/>
          <w:lang w:val="en-GB"/>
        </w:rPr>
        <w:t>MIS Quarterly</w:t>
      </w:r>
      <w:r w:rsidRPr="5F15782C" w:rsidR="3A6BFF88">
        <w:rPr>
          <w:rFonts w:ascii="Times New Roman" w:hAnsi="Times New Roman" w:eastAsia="Times New Roman" w:cs="Times New Roman"/>
          <w:noProof w:val="0"/>
          <w:sz w:val="24"/>
          <w:szCs w:val="24"/>
          <w:lang w:val="en-GB"/>
        </w:rPr>
        <w:t>, 27(1), pp.51–90. doi:https://doi.org/10.2307/30036519.</w:t>
      </w:r>
    </w:p>
    <w:p xmlns:wp14="http://schemas.microsoft.com/office/word/2010/wordml" w:rsidP="5F15782C" wp14:paraId="7EC27954" wp14:textId="12DFD70B">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Gilbert, W.D. and Trudel, P., 2001. Learning to coach through experience: Reflection in model youth sport coaches. </w:t>
      </w:r>
      <w:r w:rsidRPr="5F15782C" w:rsidR="3A6BFF88">
        <w:rPr>
          <w:rFonts w:ascii="Times New Roman" w:hAnsi="Times New Roman" w:eastAsia="Times New Roman" w:cs="Times New Roman"/>
          <w:i w:val="1"/>
          <w:iCs w:val="1"/>
          <w:noProof w:val="0"/>
          <w:sz w:val="24"/>
          <w:szCs w:val="24"/>
          <w:lang w:val="en-GB"/>
        </w:rPr>
        <w:t>Journal of teaching in physical education</w:t>
      </w:r>
      <w:r w:rsidRPr="5F15782C" w:rsidR="3A6BFF88">
        <w:rPr>
          <w:rFonts w:ascii="Times New Roman" w:hAnsi="Times New Roman" w:eastAsia="Times New Roman" w:cs="Times New Roman"/>
          <w:noProof w:val="0"/>
          <w:sz w:val="24"/>
          <w:szCs w:val="24"/>
          <w:lang w:val="en-GB"/>
        </w:rPr>
        <w:t xml:space="preserve">, </w:t>
      </w:r>
      <w:r w:rsidRPr="5F15782C" w:rsidR="3A6BFF88">
        <w:rPr>
          <w:rFonts w:ascii="Times New Roman" w:hAnsi="Times New Roman" w:eastAsia="Times New Roman" w:cs="Times New Roman"/>
          <w:i w:val="1"/>
          <w:iCs w:val="1"/>
          <w:noProof w:val="0"/>
          <w:sz w:val="24"/>
          <w:szCs w:val="24"/>
          <w:lang w:val="en-GB"/>
        </w:rPr>
        <w:t>21</w:t>
      </w:r>
      <w:r w:rsidRPr="5F15782C" w:rsidR="3A6BFF88">
        <w:rPr>
          <w:rFonts w:ascii="Times New Roman" w:hAnsi="Times New Roman" w:eastAsia="Times New Roman" w:cs="Times New Roman"/>
          <w:noProof w:val="0"/>
          <w:sz w:val="24"/>
          <w:szCs w:val="24"/>
          <w:lang w:val="en-GB"/>
        </w:rPr>
        <w:t xml:space="preserve">(1), pp.16-34. </w:t>
      </w:r>
    </w:p>
    <w:p xmlns:wp14="http://schemas.microsoft.com/office/word/2010/wordml" w:rsidP="5F15782C" wp14:paraId="532620F2" wp14:textId="3F90EABF">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Holmes, K., Lockstone-Binney, L., Smith, K.A. and Shipway, R. (2021). </w:t>
      </w:r>
      <w:r w:rsidRPr="5F15782C" w:rsidR="3A6BFF88">
        <w:rPr>
          <w:rFonts w:ascii="Times New Roman" w:hAnsi="Times New Roman" w:eastAsia="Times New Roman" w:cs="Times New Roman"/>
          <w:i w:val="1"/>
          <w:iCs w:val="1"/>
          <w:noProof w:val="0"/>
          <w:sz w:val="24"/>
          <w:szCs w:val="24"/>
          <w:lang w:val="en-GB"/>
        </w:rPr>
        <w:t>The Routledge handbook of volunteering in events, sport and tourism</w:t>
      </w:r>
      <w:r w:rsidRPr="5F15782C" w:rsidR="3A6BFF88">
        <w:rPr>
          <w:rFonts w:ascii="Times New Roman" w:hAnsi="Times New Roman" w:eastAsia="Times New Roman" w:cs="Times New Roman"/>
          <w:noProof w:val="0"/>
          <w:sz w:val="24"/>
          <w:szCs w:val="24"/>
          <w:lang w:val="en-GB"/>
        </w:rPr>
        <w:t>. London: Routledge.</w:t>
      </w:r>
    </w:p>
    <w:p xmlns:wp14="http://schemas.microsoft.com/office/word/2010/wordml" w:rsidP="5F15782C" wp14:paraId="67C130AB" wp14:textId="673ED19A">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Jones, R., Morgan, K. and Harris, K. (2012). Developing coaching pedagogy: seeking a better integration of theory and practice. </w:t>
      </w:r>
      <w:r w:rsidRPr="5F15782C" w:rsidR="3A6BFF88">
        <w:rPr>
          <w:rFonts w:ascii="Times New Roman" w:hAnsi="Times New Roman" w:eastAsia="Times New Roman" w:cs="Times New Roman"/>
          <w:i w:val="1"/>
          <w:iCs w:val="1"/>
          <w:noProof w:val="0"/>
          <w:sz w:val="24"/>
          <w:szCs w:val="24"/>
          <w:lang w:val="en-GB"/>
        </w:rPr>
        <w:t>Sport, Education and Society</w:t>
      </w:r>
      <w:r w:rsidRPr="5F15782C" w:rsidR="3A6BFF88">
        <w:rPr>
          <w:rFonts w:ascii="Times New Roman" w:hAnsi="Times New Roman" w:eastAsia="Times New Roman" w:cs="Times New Roman"/>
          <w:noProof w:val="0"/>
          <w:sz w:val="24"/>
          <w:szCs w:val="24"/>
          <w:lang w:val="en-GB"/>
        </w:rPr>
        <w:t>, 17(3), pp.313–329. doi:https://doi.org/10.1080/13573322.2011.608936.</w:t>
      </w:r>
    </w:p>
    <w:p xmlns:wp14="http://schemas.microsoft.com/office/word/2010/wordml" w:rsidP="5F15782C" wp14:paraId="61788ACD" wp14:textId="48A47CA8">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Journal of Physical Education, Recreation &amp; Dance. (2003).</w:t>
      </w:r>
    </w:p>
    <w:p xmlns:wp14="http://schemas.microsoft.com/office/word/2010/wordml" w:rsidP="5F15782C" wp14:paraId="76845CAF" wp14:textId="604478AC">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Kay, T. and Bradbury, S. (2009). Youth sport volunteering: developing social capital? </w:t>
      </w:r>
      <w:r w:rsidRPr="5F15782C" w:rsidR="3A6BFF88">
        <w:rPr>
          <w:rFonts w:ascii="Times New Roman" w:hAnsi="Times New Roman" w:eastAsia="Times New Roman" w:cs="Times New Roman"/>
          <w:i w:val="1"/>
          <w:iCs w:val="1"/>
          <w:noProof w:val="0"/>
          <w:sz w:val="24"/>
          <w:szCs w:val="24"/>
          <w:lang w:val="en-GB"/>
        </w:rPr>
        <w:t>Sport, Education and Society</w:t>
      </w:r>
      <w:r w:rsidRPr="5F15782C" w:rsidR="3A6BFF88">
        <w:rPr>
          <w:rFonts w:ascii="Times New Roman" w:hAnsi="Times New Roman" w:eastAsia="Times New Roman" w:cs="Times New Roman"/>
          <w:noProof w:val="0"/>
          <w:sz w:val="24"/>
          <w:szCs w:val="24"/>
          <w:lang w:val="en-GB"/>
        </w:rPr>
        <w:t>, 14(1), pp.121–140. doi:https://doi.org/10.1080/13573320802615288.</w:t>
      </w:r>
    </w:p>
    <w:p xmlns:wp14="http://schemas.microsoft.com/office/word/2010/wordml" w:rsidP="5F15782C" wp14:paraId="1BDB7CF8" wp14:textId="32AD9F17">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Kolb, D.A. (1984). </w:t>
      </w:r>
      <w:r w:rsidRPr="5F15782C" w:rsidR="3A6BFF88">
        <w:rPr>
          <w:rFonts w:ascii="Times New Roman" w:hAnsi="Times New Roman" w:eastAsia="Times New Roman" w:cs="Times New Roman"/>
          <w:i w:val="1"/>
          <w:iCs w:val="1"/>
          <w:noProof w:val="0"/>
          <w:sz w:val="24"/>
          <w:szCs w:val="24"/>
          <w:lang w:val="en-GB"/>
        </w:rPr>
        <w:t>Experiential Learning: Experience as the Source of Learning and Development</w:t>
      </w:r>
      <w:r w:rsidRPr="5F15782C" w:rsidR="3A6BFF88">
        <w:rPr>
          <w:rFonts w:ascii="Times New Roman" w:hAnsi="Times New Roman" w:eastAsia="Times New Roman" w:cs="Times New Roman"/>
          <w:noProof w:val="0"/>
          <w:sz w:val="24"/>
          <w:szCs w:val="24"/>
          <w:lang w:val="en-GB"/>
        </w:rPr>
        <w:t>. Upper Saddle River, New Jersey: Pearson Education Inc.</w:t>
      </w:r>
    </w:p>
    <w:p xmlns:wp14="http://schemas.microsoft.com/office/word/2010/wordml" w:rsidP="5F15782C" wp14:paraId="0B62BBB1" wp14:textId="0EAEF563">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Leeder, T. (2022). </w:t>
      </w:r>
      <w:r w:rsidRPr="5F15782C" w:rsidR="3A6BFF88">
        <w:rPr>
          <w:rFonts w:ascii="Times New Roman" w:hAnsi="Times New Roman" w:eastAsia="Times New Roman" w:cs="Times New Roman"/>
          <w:i w:val="1"/>
          <w:iCs w:val="1"/>
          <w:noProof w:val="0"/>
          <w:sz w:val="24"/>
          <w:szCs w:val="24"/>
          <w:lang w:val="en-GB"/>
        </w:rPr>
        <w:t>Coach Education in Football</w:t>
      </w:r>
      <w:r w:rsidRPr="5F15782C" w:rsidR="3A6BFF88">
        <w:rPr>
          <w:rFonts w:ascii="Times New Roman" w:hAnsi="Times New Roman" w:eastAsia="Times New Roman" w:cs="Times New Roman"/>
          <w:noProof w:val="0"/>
          <w:sz w:val="24"/>
          <w:szCs w:val="24"/>
          <w:lang w:val="en-GB"/>
        </w:rPr>
        <w:t>. Taylor &amp; Francis.</w:t>
      </w:r>
    </w:p>
    <w:p xmlns:wp14="http://schemas.microsoft.com/office/word/2010/wordml" w:rsidP="5F15782C" wp14:paraId="2FF586DE" wp14:textId="78E011F2">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Lewis, K. and Horner, L. (2019). </w:t>
      </w:r>
      <w:r w:rsidRPr="5F15782C" w:rsidR="3A6BFF88">
        <w:rPr>
          <w:rFonts w:ascii="Times New Roman" w:hAnsi="Times New Roman" w:eastAsia="Times New Roman" w:cs="Times New Roman"/>
          <w:i w:val="1"/>
          <w:iCs w:val="1"/>
          <w:noProof w:val="0"/>
          <w:sz w:val="24"/>
          <w:szCs w:val="24"/>
          <w:lang w:val="en-GB"/>
        </w:rPr>
        <w:t>The Social Impact of Sport</w:t>
      </w:r>
      <w:r w:rsidRPr="5F15782C" w:rsidR="3A6BFF88">
        <w:rPr>
          <w:rFonts w:ascii="Times New Roman" w:hAnsi="Times New Roman" w:eastAsia="Times New Roman" w:cs="Times New Roman"/>
          <w:noProof w:val="0"/>
          <w:sz w:val="24"/>
          <w:szCs w:val="24"/>
          <w:lang w:val="en-GB"/>
        </w:rPr>
        <w:t xml:space="preserve">. </w:t>
      </w:r>
      <w:r w:rsidRPr="5F15782C" w:rsidR="3A6BFF88">
        <w:rPr>
          <w:rFonts w:ascii="Times New Roman" w:hAnsi="Times New Roman" w:eastAsia="Times New Roman" w:cs="Times New Roman"/>
          <w:i w:val="1"/>
          <w:iCs w:val="1"/>
          <w:noProof w:val="0"/>
          <w:sz w:val="24"/>
          <w:szCs w:val="24"/>
          <w:lang w:val="en-GB"/>
        </w:rPr>
        <w:t>Routledge eBooks</w:t>
      </w:r>
      <w:r w:rsidRPr="5F15782C" w:rsidR="3A6BFF88">
        <w:rPr>
          <w:rFonts w:ascii="Times New Roman" w:hAnsi="Times New Roman" w:eastAsia="Times New Roman" w:cs="Times New Roman"/>
          <w:noProof w:val="0"/>
          <w:sz w:val="24"/>
          <w:szCs w:val="24"/>
          <w:lang w:val="en-GB"/>
        </w:rPr>
        <w:t>. Informa. doi:https://doi.org/10.4324/9781315875057.</w:t>
      </w:r>
    </w:p>
    <w:p xmlns:wp14="http://schemas.microsoft.com/office/word/2010/wordml" w:rsidP="5F15782C" wp14:paraId="6FCD32B1" wp14:textId="09B36F49">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Lyle, J. (2010). </w:t>
      </w:r>
      <w:r w:rsidRPr="5F15782C" w:rsidR="3A6BFF88">
        <w:rPr>
          <w:rFonts w:ascii="Times New Roman" w:hAnsi="Times New Roman" w:eastAsia="Times New Roman" w:cs="Times New Roman"/>
          <w:i w:val="1"/>
          <w:iCs w:val="1"/>
          <w:noProof w:val="0"/>
          <w:sz w:val="24"/>
          <w:szCs w:val="24"/>
          <w:lang w:val="en-GB"/>
        </w:rPr>
        <w:t>Sports coaching [electronic resource].</w:t>
      </w:r>
      <w:r w:rsidRPr="5F15782C" w:rsidR="3A6BFF88">
        <w:rPr>
          <w:rFonts w:ascii="Times New Roman" w:hAnsi="Times New Roman" w:eastAsia="Times New Roman" w:cs="Times New Roman"/>
          <w:noProof w:val="0"/>
          <w:sz w:val="24"/>
          <w:szCs w:val="24"/>
          <w:lang w:val="en-GB"/>
        </w:rPr>
        <w:t xml:space="preserve"> Edinburgh: Churchill Livingstone/Elsevier.</w:t>
      </w:r>
    </w:p>
    <w:p xmlns:wp14="http://schemas.microsoft.com/office/word/2010/wordml" w:rsidP="5F15782C" wp14:paraId="6C4BEF6F" wp14:textId="26481F10">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MARTIN, A.J., REES, M., FLEMING, J., ZEGWAARD, K.E. and VAUGHAN, K., 2019. Work-integrated learning gone full circle: How prior work placement experiences influenced workplace supervisors. </w:t>
      </w:r>
      <w:r w:rsidRPr="5F15782C" w:rsidR="3A6BFF88">
        <w:rPr>
          <w:rFonts w:ascii="Times New Roman" w:hAnsi="Times New Roman" w:eastAsia="Times New Roman" w:cs="Times New Roman"/>
          <w:i w:val="1"/>
          <w:iCs w:val="1"/>
          <w:noProof w:val="0"/>
          <w:sz w:val="24"/>
          <w:szCs w:val="24"/>
          <w:lang w:val="en-GB"/>
        </w:rPr>
        <w:t xml:space="preserve">International Journal of Work - Integrated Learning, </w:t>
      </w:r>
      <w:r w:rsidRPr="5F15782C" w:rsidR="3A6BFF88">
        <w:rPr>
          <w:rFonts w:ascii="Times New Roman" w:hAnsi="Times New Roman" w:eastAsia="Times New Roman" w:cs="Times New Roman"/>
          <w:noProof w:val="0"/>
          <w:sz w:val="24"/>
          <w:szCs w:val="24"/>
          <w:lang w:val="en-GB"/>
        </w:rPr>
        <w:t xml:space="preserve">20(3), pp. 229-242. </w:t>
      </w:r>
    </w:p>
    <w:p xmlns:wp14="http://schemas.microsoft.com/office/word/2010/wordml" w:rsidP="5F15782C" wp14:paraId="1A6B89D2" wp14:textId="40F522F9">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Misener, K.E. and Doherty, A. (2012). Connecting the community through sport club partnerships. </w:t>
      </w:r>
      <w:r w:rsidRPr="5F15782C" w:rsidR="3A6BFF88">
        <w:rPr>
          <w:rFonts w:ascii="Times New Roman" w:hAnsi="Times New Roman" w:eastAsia="Times New Roman" w:cs="Times New Roman"/>
          <w:i w:val="1"/>
          <w:iCs w:val="1"/>
          <w:noProof w:val="0"/>
          <w:sz w:val="24"/>
          <w:szCs w:val="24"/>
          <w:lang w:val="en-GB"/>
        </w:rPr>
        <w:t>International Journal of Sport Policy and Politics</w:t>
      </w:r>
      <w:r w:rsidRPr="5F15782C" w:rsidR="3A6BFF88">
        <w:rPr>
          <w:rFonts w:ascii="Times New Roman" w:hAnsi="Times New Roman" w:eastAsia="Times New Roman" w:cs="Times New Roman"/>
          <w:noProof w:val="0"/>
          <w:sz w:val="24"/>
          <w:szCs w:val="24"/>
          <w:lang w:val="en-GB"/>
        </w:rPr>
        <w:t>, [online] 4(2), pp.243–255. doi:https://doi.org/10.1080/19406940.2012.674962.</w:t>
      </w:r>
    </w:p>
    <w:p xmlns:wp14="http://schemas.microsoft.com/office/word/2010/wordml" w:rsidP="5F15782C" wp14:paraId="02BA56DE" wp14:textId="3EC152B1">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Nelson, L.J., Cushion, C.J. and Potrac, P. (2006). Formal, Nonformal and Informal Coach Learning: A Holistic Conceptualisation. </w:t>
      </w:r>
      <w:r w:rsidRPr="5F15782C" w:rsidR="3A6BFF88">
        <w:rPr>
          <w:rFonts w:ascii="Times New Roman" w:hAnsi="Times New Roman" w:eastAsia="Times New Roman" w:cs="Times New Roman"/>
          <w:i w:val="1"/>
          <w:iCs w:val="1"/>
          <w:noProof w:val="0"/>
          <w:sz w:val="24"/>
          <w:szCs w:val="24"/>
          <w:lang w:val="en-GB"/>
        </w:rPr>
        <w:t>International Journal of Sports Science &amp; Coaching</w:t>
      </w:r>
      <w:r w:rsidRPr="5F15782C" w:rsidR="3A6BFF88">
        <w:rPr>
          <w:rFonts w:ascii="Times New Roman" w:hAnsi="Times New Roman" w:eastAsia="Times New Roman" w:cs="Times New Roman"/>
          <w:noProof w:val="0"/>
          <w:sz w:val="24"/>
          <w:szCs w:val="24"/>
          <w:lang w:val="en-GB"/>
        </w:rPr>
        <w:t>, [online] 1(3), pp.247–259. doi:https://doi.org/10.1260/174795406778604627.</w:t>
      </w:r>
    </w:p>
    <w:p xmlns:wp14="http://schemas.microsoft.com/office/word/2010/wordml" w:rsidP="5F15782C" wp14:paraId="72C99D02" wp14:textId="12E5A4FF">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Packianathan Chelladurai (2014). </w:t>
      </w:r>
      <w:r w:rsidRPr="5F15782C" w:rsidR="3A6BFF88">
        <w:rPr>
          <w:rFonts w:ascii="Times New Roman" w:hAnsi="Times New Roman" w:eastAsia="Times New Roman" w:cs="Times New Roman"/>
          <w:i w:val="1"/>
          <w:iCs w:val="1"/>
          <w:noProof w:val="0"/>
          <w:sz w:val="24"/>
          <w:szCs w:val="24"/>
          <w:lang w:val="en-GB"/>
        </w:rPr>
        <w:t>Managing Organizations for Sport and Physical Activity</w:t>
      </w:r>
      <w:r w:rsidRPr="5F15782C" w:rsidR="3A6BFF88">
        <w:rPr>
          <w:rFonts w:ascii="Times New Roman" w:hAnsi="Times New Roman" w:eastAsia="Times New Roman" w:cs="Times New Roman"/>
          <w:noProof w:val="0"/>
          <w:sz w:val="24"/>
          <w:szCs w:val="24"/>
          <w:lang w:val="en-GB"/>
        </w:rPr>
        <w:t>. Routledge.</w:t>
      </w:r>
    </w:p>
    <w:p xmlns:wp14="http://schemas.microsoft.com/office/word/2010/wordml" w:rsidP="5F15782C" wp14:paraId="0A84CBEE" wp14:textId="3E81B681">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Parker, G., Van Alstyne, M. and Choudary, S.P. (2016). </w:t>
      </w:r>
      <w:r w:rsidRPr="5F15782C" w:rsidR="3A6BFF88">
        <w:rPr>
          <w:rFonts w:ascii="Times New Roman" w:hAnsi="Times New Roman" w:eastAsia="Times New Roman" w:cs="Times New Roman"/>
          <w:i w:val="1"/>
          <w:iCs w:val="1"/>
          <w:noProof w:val="0"/>
          <w:sz w:val="24"/>
          <w:szCs w:val="24"/>
          <w:lang w:val="en-GB"/>
        </w:rPr>
        <w:t>Platform Revolution: How Networked Markets Are Transforming the Economy and How to Make Them Work for You</w:t>
      </w:r>
      <w:r w:rsidRPr="5F15782C" w:rsidR="3A6BFF88">
        <w:rPr>
          <w:rFonts w:ascii="Times New Roman" w:hAnsi="Times New Roman" w:eastAsia="Times New Roman" w:cs="Times New Roman"/>
          <w:noProof w:val="0"/>
          <w:sz w:val="24"/>
          <w:szCs w:val="24"/>
          <w:lang w:val="en-GB"/>
        </w:rPr>
        <w:t>. New York: W.W. Norton &amp; Company.</w:t>
      </w:r>
    </w:p>
    <w:p xmlns:wp14="http://schemas.microsoft.com/office/word/2010/wordml" w:rsidP="5F15782C" wp14:paraId="2F7F3E33" wp14:textId="17A636DE">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Pedersen, P.M. ed., 2013. </w:t>
      </w:r>
      <w:r w:rsidRPr="5F15782C" w:rsidR="3A6BFF88">
        <w:rPr>
          <w:rFonts w:ascii="Times New Roman" w:hAnsi="Times New Roman" w:eastAsia="Times New Roman" w:cs="Times New Roman"/>
          <w:i w:val="1"/>
          <w:iCs w:val="1"/>
          <w:noProof w:val="0"/>
          <w:sz w:val="24"/>
          <w:szCs w:val="24"/>
          <w:lang w:val="en-GB"/>
        </w:rPr>
        <w:t>Routledge handbook of sport communication</w:t>
      </w:r>
      <w:r w:rsidRPr="5F15782C" w:rsidR="3A6BFF88">
        <w:rPr>
          <w:rFonts w:ascii="Times New Roman" w:hAnsi="Times New Roman" w:eastAsia="Times New Roman" w:cs="Times New Roman"/>
          <w:noProof w:val="0"/>
          <w:sz w:val="24"/>
          <w:szCs w:val="24"/>
          <w:lang w:val="en-GB"/>
        </w:rPr>
        <w:t xml:space="preserve">. London: Routledge. </w:t>
      </w:r>
    </w:p>
    <w:p xmlns:wp14="http://schemas.microsoft.com/office/word/2010/wordml" w:rsidP="5F15782C" wp14:paraId="38062B63" wp14:textId="00F05B5C">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Piggott, D. (2015a). The Open Society and coach education: a philosophical agenda for policy reform and future sociological research. </w:t>
      </w:r>
      <w:r w:rsidRPr="5F15782C" w:rsidR="3A6BFF88">
        <w:rPr>
          <w:rFonts w:ascii="Times New Roman" w:hAnsi="Times New Roman" w:eastAsia="Times New Roman" w:cs="Times New Roman"/>
          <w:i w:val="1"/>
          <w:iCs w:val="1"/>
          <w:noProof w:val="0"/>
          <w:sz w:val="24"/>
          <w:szCs w:val="24"/>
          <w:lang w:val="en-GB"/>
        </w:rPr>
        <w:t>Physical Education and Sport Pedagogy</w:t>
      </w:r>
      <w:r w:rsidRPr="5F15782C" w:rsidR="3A6BFF88">
        <w:rPr>
          <w:rFonts w:ascii="Times New Roman" w:hAnsi="Times New Roman" w:eastAsia="Times New Roman" w:cs="Times New Roman"/>
          <w:noProof w:val="0"/>
          <w:sz w:val="24"/>
          <w:szCs w:val="24"/>
          <w:lang w:val="en-GB"/>
        </w:rPr>
        <w:t>, 20(3), pp.283–298. doi:https://doi.org/10.1080/17408989.2013.837435.</w:t>
      </w:r>
    </w:p>
    <w:p xmlns:wp14="http://schemas.microsoft.com/office/word/2010/wordml" w:rsidP="5F15782C" wp14:paraId="7C5C46AA" wp14:textId="4A8AA3CC">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Piggott, D. (2015b). The Open Society and coach education: a philosophical agenda for policy reform and future sociological research. </w:t>
      </w:r>
      <w:r w:rsidRPr="5F15782C" w:rsidR="3A6BFF88">
        <w:rPr>
          <w:rFonts w:ascii="Times New Roman" w:hAnsi="Times New Roman" w:eastAsia="Times New Roman" w:cs="Times New Roman"/>
          <w:i w:val="1"/>
          <w:iCs w:val="1"/>
          <w:noProof w:val="0"/>
          <w:sz w:val="24"/>
          <w:szCs w:val="24"/>
          <w:lang w:val="en-GB"/>
        </w:rPr>
        <w:t>Physical Education and Sport Pedagogy</w:t>
      </w:r>
      <w:r w:rsidRPr="5F15782C" w:rsidR="3A6BFF88">
        <w:rPr>
          <w:rFonts w:ascii="Times New Roman" w:hAnsi="Times New Roman" w:eastAsia="Times New Roman" w:cs="Times New Roman"/>
          <w:noProof w:val="0"/>
          <w:sz w:val="24"/>
          <w:szCs w:val="24"/>
          <w:lang w:val="en-GB"/>
        </w:rPr>
        <w:t>, 20(3), pp.283–298. doi:https://doi.org/10.1080/17408989.2013.837435.</w:t>
      </w:r>
    </w:p>
    <w:p xmlns:wp14="http://schemas.microsoft.com/office/word/2010/wordml" w:rsidP="5F15782C" wp14:paraId="5E479528" wp14:textId="25611799">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Pizzo, A., Baker, B., Na, S., Lee, M.A., Kim, D. and Funk, D. (2018). eSport vs Sport: A Comparison of Spectator Motives. </w:t>
      </w:r>
      <w:r w:rsidRPr="5F15782C" w:rsidR="3A6BFF88">
        <w:rPr>
          <w:rFonts w:ascii="Times New Roman" w:hAnsi="Times New Roman" w:eastAsia="Times New Roman" w:cs="Times New Roman"/>
          <w:i w:val="1"/>
          <w:iCs w:val="1"/>
          <w:noProof w:val="0"/>
          <w:sz w:val="24"/>
          <w:szCs w:val="24"/>
          <w:lang w:val="en-GB"/>
        </w:rPr>
        <w:t>Sport Marketing Quarterly</w:t>
      </w:r>
      <w:r w:rsidRPr="5F15782C" w:rsidR="3A6BFF88">
        <w:rPr>
          <w:rFonts w:ascii="Times New Roman" w:hAnsi="Times New Roman" w:eastAsia="Times New Roman" w:cs="Times New Roman"/>
          <w:noProof w:val="0"/>
          <w:sz w:val="24"/>
          <w:szCs w:val="24"/>
          <w:lang w:val="en-GB"/>
        </w:rPr>
        <w:t>, 27(2). doi:https://doi.org/10.32731/smq.272.062018.04.</w:t>
      </w:r>
    </w:p>
    <w:p xmlns:wp14="http://schemas.microsoft.com/office/word/2010/wordml" w:rsidP="5F15782C" wp14:paraId="7F0106CA" wp14:textId="22207EB9">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Ratten, V. (2020a). Sport technology: A commentary. </w:t>
      </w:r>
      <w:r w:rsidRPr="5F15782C" w:rsidR="3A6BFF88">
        <w:rPr>
          <w:rFonts w:ascii="Times New Roman" w:hAnsi="Times New Roman" w:eastAsia="Times New Roman" w:cs="Times New Roman"/>
          <w:i w:val="1"/>
          <w:iCs w:val="1"/>
          <w:noProof w:val="0"/>
          <w:sz w:val="24"/>
          <w:szCs w:val="24"/>
          <w:lang w:val="en-GB"/>
        </w:rPr>
        <w:t>The Journal of High Technology Management Research</w:t>
      </w:r>
      <w:r w:rsidRPr="5F15782C" w:rsidR="3A6BFF88">
        <w:rPr>
          <w:rFonts w:ascii="Times New Roman" w:hAnsi="Times New Roman" w:eastAsia="Times New Roman" w:cs="Times New Roman"/>
          <w:noProof w:val="0"/>
          <w:sz w:val="24"/>
          <w:szCs w:val="24"/>
          <w:lang w:val="en-GB"/>
        </w:rPr>
        <w:t>, 31(1), p.100383. doi:https://doi.org/10.1016/j.hitech.2020.100383.</w:t>
      </w:r>
    </w:p>
    <w:p xmlns:wp14="http://schemas.microsoft.com/office/word/2010/wordml" w:rsidP="5F15782C" wp14:paraId="2306070B" wp14:textId="76AD6A67">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Ratten, V. (2020b). Sport technology: A commentary. </w:t>
      </w:r>
      <w:r w:rsidRPr="5F15782C" w:rsidR="3A6BFF88">
        <w:rPr>
          <w:rFonts w:ascii="Times New Roman" w:hAnsi="Times New Roman" w:eastAsia="Times New Roman" w:cs="Times New Roman"/>
          <w:i w:val="1"/>
          <w:iCs w:val="1"/>
          <w:noProof w:val="0"/>
          <w:sz w:val="24"/>
          <w:szCs w:val="24"/>
          <w:lang w:val="en-GB"/>
        </w:rPr>
        <w:t>The Journal of High Technology Management Research</w:t>
      </w:r>
      <w:r w:rsidRPr="5F15782C" w:rsidR="3A6BFF88">
        <w:rPr>
          <w:rFonts w:ascii="Times New Roman" w:hAnsi="Times New Roman" w:eastAsia="Times New Roman" w:cs="Times New Roman"/>
          <w:noProof w:val="0"/>
          <w:sz w:val="24"/>
          <w:szCs w:val="24"/>
          <w:lang w:val="en-GB"/>
        </w:rPr>
        <w:t>, [online] 31(1), p.100383. doi:https://doi.org/10.1016/j.hitech.2020.100383.</w:t>
      </w:r>
    </w:p>
    <w:p xmlns:wp14="http://schemas.microsoft.com/office/word/2010/wordml" w:rsidP="5F15782C" wp14:paraId="7C972DE5" wp14:textId="2127773C">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Sharpe, E.K. (2006). Resources at the Grassroots of Recreation: Organizational Capacity and Quality of Experience in a Community Sport Organization. </w:t>
      </w:r>
      <w:r w:rsidRPr="5F15782C" w:rsidR="3A6BFF88">
        <w:rPr>
          <w:rFonts w:ascii="Times New Roman" w:hAnsi="Times New Roman" w:eastAsia="Times New Roman" w:cs="Times New Roman"/>
          <w:i w:val="1"/>
          <w:iCs w:val="1"/>
          <w:noProof w:val="0"/>
          <w:sz w:val="24"/>
          <w:szCs w:val="24"/>
          <w:lang w:val="en-GB"/>
        </w:rPr>
        <w:t>Leisure Sciences</w:t>
      </w:r>
      <w:r w:rsidRPr="5F15782C" w:rsidR="3A6BFF88">
        <w:rPr>
          <w:rFonts w:ascii="Times New Roman" w:hAnsi="Times New Roman" w:eastAsia="Times New Roman" w:cs="Times New Roman"/>
          <w:noProof w:val="0"/>
          <w:sz w:val="24"/>
          <w:szCs w:val="24"/>
          <w:lang w:val="en-GB"/>
        </w:rPr>
        <w:t>, 28(4), pp.385–401. doi:https://doi.org/10.1080/01490400600745894.</w:t>
      </w:r>
    </w:p>
    <w:p xmlns:wp14="http://schemas.microsoft.com/office/word/2010/wordml" w:rsidP="5F15782C" wp14:paraId="1BF30EE8" wp14:textId="0AB71314">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Shilbury, D., Westerbeek, H., Quick, S., Funk, D. and Karg, A. (2020). </w:t>
      </w:r>
      <w:r w:rsidRPr="5F15782C" w:rsidR="3A6BFF88">
        <w:rPr>
          <w:rFonts w:ascii="Times New Roman" w:hAnsi="Times New Roman" w:eastAsia="Times New Roman" w:cs="Times New Roman"/>
          <w:i w:val="1"/>
          <w:iCs w:val="1"/>
          <w:noProof w:val="0"/>
          <w:sz w:val="24"/>
          <w:szCs w:val="24"/>
          <w:lang w:val="en-GB"/>
        </w:rPr>
        <w:t>Strategic Sport Marketing</w:t>
      </w:r>
      <w:r w:rsidRPr="5F15782C" w:rsidR="3A6BFF88">
        <w:rPr>
          <w:rFonts w:ascii="Times New Roman" w:hAnsi="Times New Roman" w:eastAsia="Times New Roman" w:cs="Times New Roman"/>
          <w:noProof w:val="0"/>
          <w:sz w:val="24"/>
          <w:szCs w:val="24"/>
          <w:lang w:val="en-GB"/>
        </w:rPr>
        <w:t>. Routledge. doi:https://doi.org/10.4324/9781003117483.</w:t>
      </w:r>
    </w:p>
    <w:p xmlns:wp14="http://schemas.microsoft.com/office/word/2010/wordml" w:rsidP="5F15782C" wp14:paraId="3AA6BD48" wp14:textId="6DF921EA">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Smith, A., Tomasone, J.R., Latimer-Cheung, A.E. and Martin Ginis, K.A. (2019) ‘Inclusive work-integrated learning’, </w:t>
      </w:r>
      <w:r w:rsidRPr="5F15782C" w:rsidR="3A6BFF88">
        <w:rPr>
          <w:rFonts w:ascii="Times New Roman" w:hAnsi="Times New Roman" w:eastAsia="Times New Roman" w:cs="Times New Roman"/>
          <w:i w:val="1"/>
          <w:iCs w:val="1"/>
          <w:noProof w:val="0"/>
          <w:sz w:val="24"/>
          <w:szCs w:val="24"/>
          <w:lang w:val="en-GB"/>
        </w:rPr>
        <w:t>Journal of Hospitality, Leisure, Sport &amp; Tourism Education</w:t>
      </w:r>
      <w:r w:rsidRPr="5F15782C" w:rsidR="3A6BFF88">
        <w:rPr>
          <w:rFonts w:ascii="Times New Roman" w:hAnsi="Times New Roman" w:eastAsia="Times New Roman" w:cs="Times New Roman"/>
          <w:noProof w:val="0"/>
          <w:sz w:val="24"/>
          <w:szCs w:val="24"/>
          <w:lang w:val="en-GB"/>
        </w:rPr>
        <w:t xml:space="preserve">, 24, pp. 100–110. </w:t>
      </w:r>
    </w:p>
    <w:p xmlns:wp14="http://schemas.microsoft.com/office/word/2010/wordml" w:rsidP="5F15782C" wp14:paraId="0DD235DE" wp14:textId="53EC1704">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Stoszkowski, J. and Collins, D. (2015). Sources, topics and use of knowledge by coaches. </w:t>
      </w:r>
      <w:r w:rsidRPr="5F15782C" w:rsidR="3A6BFF88">
        <w:rPr>
          <w:rFonts w:ascii="Times New Roman" w:hAnsi="Times New Roman" w:eastAsia="Times New Roman" w:cs="Times New Roman"/>
          <w:i w:val="1"/>
          <w:iCs w:val="1"/>
          <w:noProof w:val="0"/>
          <w:sz w:val="24"/>
          <w:szCs w:val="24"/>
          <w:lang w:val="en-GB"/>
        </w:rPr>
        <w:t>Journal of Sports Sciences</w:t>
      </w:r>
      <w:r w:rsidRPr="5F15782C" w:rsidR="3A6BFF88">
        <w:rPr>
          <w:rFonts w:ascii="Times New Roman" w:hAnsi="Times New Roman" w:eastAsia="Times New Roman" w:cs="Times New Roman"/>
          <w:noProof w:val="0"/>
          <w:sz w:val="24"/>
          <w:szCs w:val="24"/>
          <w:lang w:val="en-GB"/>
        </w:rPr>
        <w:t>, 34(9), pp.794–802. doi:https://doi.org/10.1080/02640414.2015.1072279.</w:t>
      </w:r>
    </w:p>
    <w:p xmlns:wp14="http://schemas.microsoft.com/office/word/2010/wordml" w:rsidP="5F15782C" wp14:paraId="4D1A1F41" wp14:textId="623A5018">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Venkatesh, V., Morris, M.G., Davis, G.B. and Davis, F.D. (2003). User Acceptance of Information technology: toward a Unified View. </w:t>
      </w:r>
      <w:r w:rsidRPr="5F15782C" w:rsidR="3A6BFF88">
        <w:rPr>
          <w:rFonts w:ascii="Times New Roman" w:hAnsi="Times New Roman" w:eastAsia="Times New Roman" w:cs="Times New Roman"/>
          <w:i w:val="1"/>
          <w:iCs w:val="1"/>
          <w:noProof w:val="0"/>
          <w:sz w:val="24"/>
          <w:szCs w:val="24"/>
          <w:lang w:val="en-GB"/>
        </w:rPr>
        <w:t>MIS Quarterly</w:t>
      </w:r>
      <w:r w:rsidRPr="5F15782C" w:rsidR="3A6BFF88">
        <w:rPr>
          <w:rFonts w:ascii="Times New Roman" w:hAnsi="Times New Roman" w:eastAsia="Times New Roman" w:cs="Times New Roman"/>
          <w:noProof w:val="0"/>
          <w:sz w:val="24"/>
          <w:szCs w:val="24"/>
          <w:lang w:val="en-GB"/>
        </w:rPr>
        <w:t>, 27(3), pp.425–478. doi:https://doi.org/10.2307/30036540.</w:t>
      </w:r>
    </w:p>
    <w:p xmlns:wp14="http://schemas.microsoft.com/office/word/2010/wordml" w:rsidP="5F15782C" wp14:paraId="315A155C" wp14:textId="0D83511A">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Wicker, P. and Breuer, C. (2014) ‘Examining organisational capacity and member retention’, </w:t>
      </w:r>
      <w:r w:rsidRPr="5F15782C" w:rsidR="3A6BFF88">
        <w:rPr>
          <w:rFonts w:ascii="Times New Roman" w:hAnsi="Times New Roman" w:eastAsia="Times New Roman" w:cs="Times New Roman"/>
          <w:i w:val="1"/>
          <w:iCs w:val="1"/>
          <w:noProof w:val="0"/>
          <w:sz w:val="24"/>
          <w:szCs w:val="24"/>
          <w:lang w:val="en-GB"/>
        </w:rPr>
        <w:t>Sport Management Review</w:t>
      </w:r>
      <w:r w:rsidRPr="5F15782C" w:rsidR="3A6BFF88">
        <w:rPr>
          <w:rFonts w:ascii="Times New Roman" w:hAnsi="Times New Roman" w:eastAsia="Times New Roman" w:cs="Times New Roman"/>
          <w:noProof w:val="0"/>
          <w:sz w:val="24"/>
          <w:szCs w:val="24"/>
          <w:lang w:val="en-GB"/>
        </w:rPr>
        <w:t xml:space="preserve">, 17(1), pp. 81–97. </w:t>
      </w:r>
    </w:p>
    <w:p xmlns:wp14="http://schemas.microsoft.com/office/word/2010/wordml" w:rsidP="5F15782C" wp14:paraId="7A6C8BF1" wp14:textId="34D79A6B">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Winand, M., Rihoux, B., Robinson, L. and Zintz, T. (2012). Pathways to High Performance. </w:t>
      </w:r>
      <w:r w:rsidRPr="5F15782C" w:rsidR="3A6BFF88">
        <w:rPr>
          <w:rFonts w:ascii="Times New Roman" w:hAnsi="Times New Roman" w:eastAsia="Times New Roman" w:cs="Times New Roman"/>
          <w:i w:val="1"/>
          <w:iCs w:val="1"/>
          <w:noProof w:val="0"/>
          <w:sz w:val="24"/>
          <w:szCs w:val="24"/>
          <w:lang w:val="en-GB"/>
        </w:rPr>
        <w:t>Nonprofit and Voluntary Sector Quarterly</w:t>
      </w:r>
      <w:r w:rsidRPr="5F15782C" w:rsidR="3A6BFF88">
        <w:rPr>
          <w:rFonts w:ascii="Times New Roman" w:hAnsi="Times New Roman" w:eastAsia="Times New Roman" w:cs="Times New Roman"/>
          <w:noProof w:val="0"/>
          <w:sz w:val="24"/>
          <w:szCs w:val="24"/>
          <w:lang w:val="en-GB"/>
        </w:rPr>
        <w:t>, 42(4), pp.739–762. doi:https://doi.org/10.1177/0899764012443312.</w:t>
      </w:r>
    </w:p>
    <w:p xmlns:wp14="http://schemas.microsoft.com/office/word/2010/wordml" w:rsidP="5F15782C" wp14:paraId="6F1A7055" wp14:textId="66CC7D30">
      <w:pPr>
        <w:spacing w:before="0" w:beforeAutospacing="off" w:after="240" w:afterAutospacing="off" w:line="360" w:lineRule="auto"/>
      </w:pPr>
      <w:r w:rsidRPr="5F15782C" w:rsidR="3A6BFF88">
        <w:rPr>
          <w:rFonts w:ascii="Times New Roman" w:hAnsi="Times New Roman" w:eastAsia="Times New Roman" w:cs="Times New Roman"/>
          <w:noProof w:val="0"/>
          <w:sz w:val="24"/>
          <w:szCs w:val="24"/>
          <w:lang w:val="en-GB"/>
        </w:rPr>
        <w:t xml:space="preserve">Winand, M., Rihoux, B., Robinson, L. and Zintz, T. (2019) ‘Pathways to high performance in sport organisations’, </w:t>
      </w:r>
      <w:r w:rsidRPr="5F15782C" w:rsidR="3A6BFF88">
        <w:rPr>
          <w:rFonts w:ascii="Times New Roman" w:hAnsi="Times New Roman" w:eastAsia="Times New Roman" w:cs="Times New Roman"/>
          <w:i w:val="1"/>
          <w:iCs w:val="1"/>
          <w:noProof w:val="0"/>
          <w:sz w:val="24"/>
          <w:szCs w:val="24"/>
          <w:lang w:val="en-GB"/>
        </w:rPr>
        <w:t>European Sport Management Quarterly</w:t>
      </w:r>
      <w:r w:rsidRPr="5F15782C" w:rsidR="3A6BFF88">
        <w:rPr>
          <w:rFonts w:ascii="Times New Roman" w:hAnsi="Times New Roman" w:eastAsia="Times New Roman" w:cs="Times New Roman"/>
          <w:noProof w:val="0"/>
          <w:sz w:val="24"/>
          <w:szCs w:val="24"/>
          <w:lang w:val="en-GB"/>
        </w:rPr>
        <w:t>, 19(3), pp. 321–342.</w:t>
      </w:r>
    </w:p>
    <w:p xmlns:wp14="http://schemas.microsoft.com/office/word/2010/wordml" wp14:paraId="5E5787A5" wp14:textId="507487FB"/>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8B7190"/>
    <w:rsid w:val="029A88CD"/>
    <w:rsid w:val="09142B0E"/>
    <w:rsid w:val="0CFE436D"/>
    <w:rsid w:val="1B365A38"/>
    <w:rsid w:val="1B4A8284"/>
    <w:rsid w:val="2C08D34C"/>
    <w:rsid w:val="318BECDE"/>
    <w:rsid w:val="31F3CC21"/>
    <w:rsid w:val="32D21108"/>
    <w:rsid w:val="3520CEB6"/>
    <w:rsid w:val="3A6BFF88"/>
    <w:rsid w:val="3C15E68D"/>
    <w:rsid w:val="3E12DAEB"/>
    <w:rsid w:val="43F0B7CA"/>
    <w:rsid w:val="464FEE9A"/>
    <w:rsid w:val="46F0C1BF"/>
    <w:rsid w:val="47C30FA8"/>
    <w:rsid w:val="49EAA602"/>
    <w:rsid w:val="4AEE1A43"/>
    <w:rsid w:val="4BD41B01"/>
    <w:rsid w:val="4C556E07"/>
    <w:rsid w:val="4FC6722A"/>
    <w:rsid w:val="54319AD5"/>
    <w:rsid w:val="54FD8570"/>
    <w:rsid w:val="5F15782C"/>
    <w:rsid w:val="5F45960E"/>
    <w:rsid w:val="608B7190"/>
    <w:rsid w:val="68205798"/>
    <w:rsid w:val="69F914EE"/>
    <w:rsid w:val="72A1613F"/>
    <w:rsid w:val="75522EA8"/>
    <w:rsid w:val="758F47F9"/>
    <w:rsid w:val="7637CFC0"/>
    <w:rsid w:val="7B2A3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9EF1D"/>
  <w15:chartTrackingRefBased/>
  <w15:docId w15:val="{E0AE3EC9-C89E-4CBB-B901-48E0A78F39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F15782C"/>
    <w:rPr>
      <w:color w:val="467886"/>
      <w:u w:val="single"/>
    </w:rPr>
  </w:style>
  <w:style w:type="paragraph" w:styleId="Heading1">
    <w:uiPriority w:val="9"/>
    <w:name w:val="heading 1"/>
    <w:basedOn w:val="Normal"/>
    <w:next w:val="Normal"/>
    <w:qFormat/>
    <w:rsid w:val="5F15782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andfonline.com/doi/abs/10.1080/00336297.2003.10491800" TargetMode="External" Id="Rab479f919f7a447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Kai M Barker (2307670)</dc:creator>
  <keywords/>
  <dc:description/>
  <lastModifiedBy>Kai M Barker (2307670)</lastModifiedBy>
  <revision>2</revision>
  <dcterms:created xsi:type="dcterms:W3CDTF">2026-01-11T22:59:29.6495445Z</dcterms:created>
  <dcterms:modified xsi:type="dcterms:W3CDTF">2026-01-11T23:13:13.9157260Z</dcterms:modified>
</coreProperties>
</file>