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MU ARIAL 14 BOLD"/>
        <w:spacing w:before="0"/>
        <w:jc w:val="center"/>
      </w:pPr>
      <w:r>
        <w:drawing xmlns:a="http://schemas.openxmlformats.org/drawingml/2006/main">
          <wp:inline distT="0" distB="0" distL="0" distR="0">
            <wp:extent cx="1798320" cy="741045"/>
            <wp:effectExtent l="0" t="0" r="0" b="0"/>
            <wp:docPr id="1073741825" name="officeArt object" descr="TSD_logo2010"/>
            <wp:cNvGraphicFramePr/>
            <a:graphic xmlns:a="http://schemas.openxmlformats.org/drawingml/2006/main">
              <a:graphicData uri="http://schemas.openxmlformats.org/drawingml/2006/picture">
                <pic:pic xmlns:pic="http://schemas.openxmlformats.org/drawingml/2006/picture">
                  <pic:nvPicPr>
                    <pic:cNvPr id="1073741825" name="TSD_logo2010" descr="TSD_logo2010"/>
                    <pic:cNvPicPr>
                      <a:picLocks noChangeAspect="1"/>
                    </pic:cNvPicPr>
                  </pic:nvPicPr>
                  <pic:blipFill>
                    <a:blip r:embed="rId4">
                      <a:extLst/>
                    </a:blip>
                    <a:stretch>
                      <a:fillRect/>
                    </a:stretch>
                  </pic:blipFill>
                  <pic:spPr>
                    <a:xfrm>
                      <a:off x="0" y="0"/>
                      <a:ext cx="1798320" cy="741045"/>
                    </a:xfrm>
                    <a:prstGeom prst="rect">
                      <a:avLst/>
                    </a:prstGeom>
                    <a:ln w="12700" cap="flat">
                      <a:noFill/>
                      <a:miter lim="400000"/>
                    </a:ln>
                    <a:effectLst/>
                  </pic:spPr>
                </pic:pic>
              </a:graphicData>
            </a:graphic>
          </wp:inline>
        </w:drawing>
      </w:r>
    </w:p>
    <w:p>
      <w:pPr>
        <w:pStyle w:val="SMU ARIAL 14 BOLD"/>
        <w:spacing w:before="0"/>
        <w:jc w:val="center"/>
      </w:pPr>
    </w:p>
    <w:p>
      <w:pPr>
        <w:pStyle w:val="Body"/>
        <w:spacing w:line="276" w:lineRule="auto"/>
        <w:jc w:val="center"/>
        <w:rPr>
          <w:rFonts w:ascii="Arial" w:cs="Arial" w:hAnsi="Arial" w:eastAsia="Arial"/>
          <w:b w:val="1"/>
          <w:bCs w:val="1"/>
        </w:rPr>
      </w:pPr>
      <w:r>
        <w:rPr>
          <w:rFonts w:ascii="Arial" w:hAnsi="Arial"/>
          <w:b w:val="1"/>
          <w:bCs w:val="1"/>
          <w:rtl w:val="0"/>
          <w:lang w:val="en-US"/>
        </w:rPr>
        <w:t>ECPS6001: Psychology Empirical Project</w:t>
      </w:r>
    </w:p>
    <w:p>
      <w:pPr>
        <w:pStyle w:val="Body"/>
        <w:spacing w:line="276" w:lineRule="auto"/>
        <w:jc w:val="center"/>
        <w:rPr>
          <w:rFonts w:ascii="Arial" w:cs="Arial" w:hAnsi="Arial" w:eastAsia="Arial"/>
          <w:b w:val="1"/>
          <w:bCs w:val="1"/>
        </w:rPr>
      </w:pPr>
      <w:r>
        <w:rPr>
          <w:rFonts w:ascii="Arial" w:hAnsi="Arial"/>
          <w:b w:val="1"/>
          <w:bCs w:val="1"/>
          <w:rtl w:val="0"/>
          <w:lang w:val="en-US"/>
        </w:rPr>
        <w:t>Research Proposal</w:t>
      </w:r>
    </w:p>
    <w:p>
      <w:pPr>
        <w:pStyle w:val="Body"/>
        <w:spacing w:line="276" w:lineRule="auto"/>
        <w:jc w:val="center"/>
        <w:rPr>
          <w:rFonts w:ascii="Arial" w:cs="Arial" w:hAnsi="Arial" w:eastAsia="Arial"/>
          <w:b w:val="1"/>
          <w:bCs w:val="1"/>
        </w:rPr>
      </w:pPr>
    </w:p>
    <w:p>
      <w:pPr>
        <w:pStyle w:val="Body"/>
        <w:spacing w:line="276" w:lineRule="auto"/>
        <w:rPr>
          <w:rFonts w:ascii="Arial" w:cs="Arial" w:hAnsi="Arial" w:eastAsia="Arial"/>
        </w:rPr>
      </w:pPr>
      <w:r>
        <w:rPr>
          <w:rFonts w:ascii="Arial" w:hAnsi="Arial"/>
          <w:rtl w:val="0"/>
          <w:lang w:val="en-US"/>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W w:w="1036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508"/>
        <w:gridCol w:w="7860"/>
      </w:tblGrid>
      <w:tr>
        <w:tblPrEx>
          <w:shd w:val="clear" w:color="auto" w:fill="d0ddef"/>
        </w:tblPrEx>
        <w:trPr>
          <w:trHeight w:val="638" w:hRule="atLeast"/>
        </w:trPr>
        <w:tc>
          <w:tcPr>
            <w:tcW w:type="dxa" w:w="2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Student Name and University ID number:</w:t>
            </w:r>
          </w:p>
        </w:tc>
        <w:tc>
          <w:tcPr>
            <w:tcW w:type="dxa" w:w="7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Ashlee Ryan- Rose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2103457</w:t>
            </w:r>
          </w:p>
        </w:tc>
      </w:tr>
      <w:tr>
        <w:tblPrEx>
          <w:shd w:val="clear" w:color="auto" w:fill="d0ddef"/>
        </w:tblPrEx>
        <w:trPr>
          <w:trHeight w:val="662" w:hRule="atLeast"/>
        </w:trPr>
        <w:tc>
          <w:tcPr>
            <w:tcW w:type="dxa" w:w="25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Proposed Supervisor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name:</w:t>
            </w:r>
          </w:p>
        </w:tc>
        <w:tc>
          <w:tcPr>
            <w:tcW w:type="dxa" w:w="7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sz w:val="20"/>
                <w:szCs w:val="20"/>
                <w:shd w:val="nil" w:color="auto" w:fill="auto"/>
                <w:lang w:val="en-US"/>
              </w:rPr>
            </w:pPr>
            <w:r>
              <w:rPr>
                <w:i w:val="1"/>
                <w:iCs w:val="1"/>
                <w:sz w:val="20"/>
                <w:szCs w:val="20"/>
                <w:rtl w:val="0"/>
                <w:lang w:val="en-US"/>
              </w:rPr>
              <w:t>Dr. Judith Marshall</w:t>
            </w:r>
          </w:p>
          <w:p>
            <w:pPr>
              <w:pStyle w:val="Body"/>
            </w:pPr>
            <w:r>
              <w:rPr>
                <w:i w:val="1"/>
                <w:iCs w:val="1"/>
                <w:sz w:val="20"/>
                <w:szCs w:val="20"/>
                <w:shd w:val="nil" w:color="auto" w:fill="auto"/>
                <w:lang w:val="en-US"/>
              </w:rPr>
            </w:r>
          </w:p>
        </w:tc>
      </w:tr>
    </w:tbl>
    <w:p>
      <w:pPr>
        <w:pStyle w:val="SMU ARIAL 14 BOLD"/>
        <w:spacing w:before="0"/>
        <w:rPr>
          <w:b w:val="0"/>
          <w:bCs w:val="0"/>
          <w:sz w:val="32"/>
          <w:szCs w:val="32"/>
        </w:rPr>
      </w:pPr>
    </w:p>
    <w:p>
      <w:pPr>
        <w:pStyle w:val="Body"/>
        <w:rPr>
          <w:rFonts w:ascii="Arial" w:cs="Arial" w:hAnsi="Arial" w:eastAsia="Arial"/>
          <w:b w:val="1"/>
          <w:bCs w:val="1"/>
          <w:sz w:val="20"/>
          <w:szCs w:val="20"/>
        </w:rPr>
      </w:pPr>
      <w:r>
        <w:rPr>
          <w:rFonts w:ascii="Arial" w:hAnsi="Arial"/>
          <w:b w:val="1"/>
          <w:bCs w:val="1"/>
          <w:sz w:val="20"/>
          <w:szCs w:val="20"/>
          <w:rtl w:val="0"/>
          <w:lang w:val="en-US"/>
        </w:rPr>
        <w:t xml:space="preserve">Psychology Research Area (tick all that apply) </w:t>
      </w:r>
    </w:p>
    <w:p>
      <w:pPr>
        <w:pStyle w:val="Body"/>
        <w:rPr>
          <w:rFonts w:ascii="Arial" w:cs="Arial" w:hAnsi="Arial" w:eastAsia="Arial"/>
          <w:b w:val="1"/>
          <w:bCs w:val="1"/>
          <w:sz w:val="20"/>
          <w:szCs w:val="20"/>
        </w:rPr>
      </w:pPr>
    </w:p>
    <w:p>
      <w:pPr>
        <w:pStyle w:val="Body"/>
        <w:rPr>
          <w:rFonts w:ascii="Arial" w:cs="Arial" w:hAnsi="Arial" w:eastAsia="Arial"/>
          <w:b w:val="1"/>
          <w:bCs w:val="1"/>
          <w:sz w:val="20"/>
          <w:szCs w:val="20"/>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577"/>
        <w:gridCol w:w="2577"/>
        <w:gridCol w:w="2577"/>
        <w:gridCol w:w="2577"/>
      </w:tblGrid>
      <w:tr>
        <w:tblPrEx>
          <w:shd w:val="clear" w:color="auto" w:fill="d0ddef"/>
        </w:tblPrEx>
        <w:trPr>
          <w:trHeight w:val="66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0"/>
                <w:szCs w:val="20"/>
                <w:u w:val="single"/>
                <w:rtl w:val="0"/>
                <w:lang w:val="en-US"/>
              </w:rPr>
              <w:t xml:space="preserve">Social Psychology </w:t>
            </w:r>
            <w:r>
              <w:rPr>
                <w:rFonts w:ascii="Arial" w:cs="Arial" w:hAnsi="Arial" w:eastAsia="Arial"/>
                <w:b w:val="1"/>
                <w:bCs w:val="1"/>
                <w:sz w:val="20"/>
                <w:szCs w:val="20"/>
                <w:u w:val="single"/>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Developmental Psychology </w:t>
            </w:r>
            <w:r>
              <w:rPr>
                <w:rFonts w:ascii="Arial" w:cs="Arial" w:hAnsi="Arial" w:eastAsia="Arial"/>
                <w:sz w:val="20"/>
                <w:szCs w:val="20"/>
                <w:shd w:val="nil" w:color="auto" w:fill="auto"/>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Biological Psychology </w:t>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Forensic Psychology </w:t>
            </w:r>
          </w:p>
        </w:tc>
      </w:tr>
      <w:tr>
        <w:tblPrEx>
          <w:shd w:val="clear" w:color="auto" w:fill="d0ddef"/>
        </w:tblPrEx>
        <w:trPr>
          <w:trHeight w:val="44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Health Psychology </w:t>
            </w:r>
            <w:r>
              <w:rPr>
                <w:rFonts w:ascii="Arial" w:cs="Arial" w:hAnsi="Arial" w:eastAsia="Arial"/>
                <w:sz w:val="20"/>
                <w:szCs w:val="20"/>
                <w:shd w:val="nil" w:color="auto" w:fill="auto"/>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0"/>
                <w:szCs w:val="20"/>
                <w:u w:val="single"/>
                <w:rtl w:val="0"/>
                <w:lang w:val="en-US"/>
              </w:rPr>
              <w:t xml:space="preserve">Individual Differences </w:t>
            </w:r>
            <w:r>
              <w:rPr>
                <w:rFonts w:ascii="Arial" w:cs="Arial" w:hAnsi="Arial" w:eastAsia="Arial"/>
                <w:b w:val="1"/>
                <w:bCs w:val="1"/>
                <w:sz w:val="20"/>
                <w:szCs w:val="20"/>
                <w:u w:val="single"/>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Educational Psychology </w:t>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Political Psychology </w:t>
            </w:r>
          </w:p>
        </w:tc>
      </w:tr>
      <w:tr>
        <w:tblPrEx>
          <w:shd w:val="clear" w:color="auto" w:fill="d0ddef"/>
        </w:tblPrEx>
        <w:trPr>
          <w:trHeight w:val="44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Cognitive Psychology </w:t>
            </w:r>
            <w:r>
              <w:rPr>
                <w:rFonts w:ascii="Arial" w:cs="Arial" w:hAnsi="Arial" w:eastAsia="Arial"/>
                <w:sz w:val="20"/>
                <w:szCs w:val="20"/>
                <w:shd w:val="nil" w:color="auto" w:fill="auto"/>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Clinical Psychology </w:t>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Counselling Psychology </w:t>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Occupational Psychology </w:t>
            </w:r>
          </w:p>
        </w:tc>
      </w:tr>
      <w:tr>
        <w:tblPrEx>
          <w:shd w:val="clear" w:color="auto" w:fill="d0ddef"/>
        </w:tblPrEx>
        <w:trPr>
          <w:trHeight w:val="443" w:hRule="atLeast"/>
        </w:trPr>
        <w:tc>
          <w:tcPr>
            <w:tcW w:type="dxa" w:w="10308"/>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i w:val="1"/>
                <w:iCs w:val="1"/>
                <w:sz w:val="20"/>
                <w:szCs w:val="20"/>
                <w:shd w:val="nil" w:color="auto" w:fill="auto"/>
                <w:rtl w:val="0"/>
                <w:lang w:val="en-US"/>
              </w:rPr>
              <w:t>Other:  indicate briefly (not included in word count)</w:t>
            </w:r>
            <w:r>
              <w:rPr>
                <w:rFonts w:ascii="Arial" w:cs="Arial" w:hAnsi="Arial" w:eastAsia="Arial"/>
                <w:i w:val="1"/>
                <w:iCs w:val="1"/>
                <w:sz w:val="20"/>
                <w:szCs w:val="20"/>
                <w:shd w:val="nil" w:color="auto" w:fill="auto"/>
              </w:rPr>
            </w:r>
          </w:p>
        </w:tc>
      </w:tr>
    </w:tbl>
    <w:p>
      <w:pPr>
        <w:pStyle w:val="Body"/>
        <w:widowControl w:val="0"/>
        <w:rPr>
          <w:rFonts w:ascii="Arial" w:cs="Arial" w:hAnsi="Arial" w:eastAsia="Arial"/>
          <w:b w:val="1"/>
          <w:bCs w:val="1"/>
          <w:sz w:val="20"/>
          <w:szCs w:val="20"/>
        </w:rPr>
      </w:pPr>
    </w:p>
    <w:p>
      <w:pPr>
        <w:pStyle w:val="Body"/>
        <w:rPr>
          <w:sz w:val="32"/>
          <w:szCs w:val="32"/>
        </w:rPr>
      </w:pPr>
    </w:p>
    <w:p>
      <w:pPr>
        <w:pStyle w:val="Body"/>
        <w:rPr>
          <w:rFonts w:ascii="Arial" w:cs="Arial" w:hAnsi="Arial" w:eastAsia="Arial"/>
          <w:b w:val="1"/>
          <w:bCs w:val="1"/>
          <w:sz w:val="20"/>
          <w:szCs w:val="20"/>
        </w:rPr>
      </w:pPr>
      <w:r>
        <w:rPr>
          <w:rFonts w:ascii="Arial" w:hAnsi="Arial"/>
          <w:b w:val="1"/>
          <w:bCs w:val="1"/>
          <w:sz w:val="20"/>
          <w:szCs w:val="20"/>
          <w:rtl w:val="0"/>
          <w:lang w:val="en-US"/>
        </w:rPr>
        <w:t xml:space="preserve">Proposed Study Design (tick all that apply) </w:t>
      </w:r>
    </w:p>
    <w:p>
      <w:pPr>
        <w:pStyle w:val="Body"/>
        <w:rPr>
          <w:rFonts w:ascii="Arial" w:cs="Arial" w:hAnsi="Arial" w:eastAsia="Arial"/>
          <w:b w:val="1"/>
          <w:bCs w:val="1"/>
          <w:sz w:val="20"/>
          <w:szCs w:val="20"/>
        </w:rPr>
      </w:pPr>
    </w:p>
    <w:p>
      <w:pPr>
        <w:pStyle w:val="Body"/>
        <w:rPr>
          <w:rFonts w:ascii="Arial" w:cs="Arial" w:hAnsi="Arial" w:eastAsia="Arial"/>
          <w:b w:val="1"/>
          <w:bCs w:val="1"/>
          <w:sz w:val="20"/>
          <w:szCs w:val="20"/>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577"/>
        <w:gridCol w:w="2577"/>
        <w:gridCol w:w="2577"/>
        <w:gridCol w:w="2577"/>
      </w:tblGrid>
      <w:tr>
        <w:tblPrEx>
          <w:shd w:val="clear" w:color="auto" w:fill="d0ddef"/>
        </w:tblPrEx>
        <w:trPr>
          <w:trHeight w:val="66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Quantitative </w:t>
            </w:r>
            <w:r>
              <w:rPr>
                <w:rFonts w:ascii="Arial" w:cs="Arial" w:hAnsi="Arial" w:eastAsia="Arial"/>
                <w:sz w:val="20"/>
                <w:szCs w:val="20"/>
                <w:shd w:val="nil" w:color="auto" w:fill="auto"/>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Experimental </w:t>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Applied (with UWTSD students </w:t>
            </w:r>
            <w:r>
              <w:rPr>
                <w:rFonts w:ascii="Arial" w:cs="Arial" w:hAnsi="Arial" w:eastAsia="Arial"/>
                <w:sz w:val="20"/>
                <w:szCs w:val="20"/>
                <w:shd w:val="nil" w:color="auto" w:fill="auto"/>
              </w:rPr>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Online Questionnaire Survey </w:t>
            </w:r>
          </w:p>
        </w:tc>
      </w:tr>
      <w:tr>
        <w:tblPrEx>
          <w:shd w:val="clear" w:color="auto" w:fill="d0ddef"/>
        </w:tblPrEx>
        <w:trPr>
          <w:trHeight w:val="66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0"/>
                <w:szCs w:val="20"/>
                <w:u w:val="single"/>
                <w:rtl w:val="0"/>
                <w:lang w:val="en-US"/>
              </w:rPr>
              <w:t>Qualitative</w:t>
            </w:r>
            <w:r>
              <w:rPr>
                <w:rFonts w:ascii="Arial" w:hAnsi="Arial"/>
                <w:sz w:val="20"/>
                <w:szCs w:val="20"/>
                <w:rtl w:val="0"/>
                <w:lang w:val="en-US"/>
              </w:rPr>
              <w:t xml:space="preserve"> </w:t>
            </w:r>
            <w:r>
              <w:rPr>
                <w:rFonts w:ascii="Arial" w:cs="Arial" w:hAnsi="Arial" w:eastAsia="Arial"/>
                <w:sz w:val="20"/>
                <w:szCs w:val="20"/>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0"/>
                <w:szCs w:val="20"/>
                <w:shd w:val="nil" w:color="auto" w:fill="auto"/>
              </w:rPr>
            </w:pPr>
            <w:r>
              <w:rPr>
                <w:rFonts w:ascii="Arial" w:hAnsi="Arial"/>
                <w:sz w:val="20"/>
                <w:szCs w:val="20"/>
                <w:shd w:val="nil" w:color="auto" w:fill="auto"/>
                <w:rtl w:val="0"/>
                <w:lang w:val="en-US"/>
              </w:rPr>
              <w:t xml:space="preserve">Quasi Experimental </w:t>
            </w:r>
          </w:p>
          <w:p>
            <w:pPr>
              <w:pStyle w:val="Body"/>
            </w:pPr>
            <w:r>
              <w:rPr>
                <w:rFonts w:ascii="Arial" w:cs="Arial" w:hAnsi="Arial" w:eastAsia="Arial"/>
                <w:sz w:val="20"/>
                <w:szCs w:val="20"/>
                <w:shd w:val="nil" w:color="auto" w:fill="auto"/>
                <w:lang w:val="en-US"/>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b w:val="1"/>
                <w:bCs w:val="1"/>
                <w:sz w:val="20"/>
                <w:szCs w:val="20"/>
                <w:u w:val="single"/>
                <w:rtl w:val="0"/>
                <w:lang w:val="en-US"/>
              </w:rPr>
              <w:t>Focus Groups</w:t>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Online  </w:t>
            </w:r>
            <w:r>
              <w:rPr>
                <w:rFonts w:ascii="Arial" w:cs="Arial" w:hAnsi="Arial" w:eastAsia="Arial"/>
                <w:sz w:val="20"/>
                <w:szCs w:val="20"/>
                <w:shd w:val="nil" w:color="auto" w:fill="auto"/>
              </w:rPr>
            </w:r>
          </w:p>
        </w:tc>
      </w:tr>
      <w:tr>
        <w:tblPrEx>
          <w:shd w:val="clear" w:color="auto" w:fill="d0ddef"/>
        </w:tblPrEx>
        <w:trPr>
          <w:trHeight w:val="883" w:hRule="atLeast"/>
        </w:trPr>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Mixed Methods </w:t>
            </w:r>
            <w:r>
              <w:rPr>
                <w:rFonts w:ascii="Arial" w:cs="Arial" w:hAnsi="Arial" w:eastAsia="Arial"/>
                <w:sz w:val="20"/>
                <w:szCs w:val="20"/>
                <w:shd w:val="nil" w:color="auto" w:fill="auto"/>
              </w:rPr>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Applied (with external organisation) </w:t>
            </w:r>
          </w:p>
        </w:tc>
        <w:tc>
          <w:tcPr>
            <w:tcW w:type="dxa" w:w="25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0"/>
                <w:szCs w:val="20"/>
                <w:shd w:val="nil" w:color="auto" w:fill="auto"/>
              </w:rPr>
            </w:pPr>
            <w:r>
              <w:rPr>
                <w:rFonts w:ascii="Arial" w:hAnsi="Arial"/>
                <w:sz w:val="20"/>
                <w:szCs w:val="20"/>
                <w:shd w:val="nil" w:color="auto" w:fill="auto"/>
                <w:rtl w:val="0"/>
                <w:lang w:val="en-US"/>
              </w:rPr>
              <w:t xml:space="preserve">Interviews </w:t>
            </w:r>
          </w:p>
          <w:p>
            <w:pPr>
              <w:pStyle w:val="Body"/>
              <w:rPr>
                <w:rFonts w:ascii="Arial" w:cs="Arial" w:hAnsi="Arial" w:eastAsia="Arial"/>
                <w:sz w:val="20"/>
                <w:szCs w:val="20"/>
                <w:shd w:val="nil" w:color="auto" w:fill="auto"/>
                <w:lang w:val="en-US"/>
              </w:rPr>
            </w:pPr>
          </w:p>
          <w:p>
            <w:pPr>
              <w:pStyle w:val="Body"/>
            </w:pPr>
            <w:r>
              <w:rPr>
                <w:rFonts w:ascii="Arial" w:cs="Arial" w:hAnsi="Arial" w:eastAsia="Arial"/>
                <w:sz w:val="20"/>
                <w:szCs w:val="20"/>
                <w:shd w:val="nil" w:color="auto" w:fill="auto"/>
                <w:lang w:val="en-US"/>
              </w:rPr>
            </w:r>
          </w:p>
        </w:tc>
        <w:tc>
          <w:tcPr>
            <w:tcW w:type="dxa" w:w="25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0"/>
                <w:szCs w:val="20"/>
                <w:shd w:val="nil" w:color="auto" w:fill="auto"/>
                <w:rtl w:val="0"/>
                <w:lang w:val="en-US"/>
              </w:rPr>
              <w:t xml:space="preserve">Lab-based study </w:t>
            </w:r>
          </w:p>
        </w:tc>
      </w:tr>
      <w:tr>
        <w:tblPrEx>
          <w:shd w:val="clear" w:color="auto" w:fill="d0ddef"/>
        </w:tblPrEx>
        <w:trPr>
          <w:trHeight w:val="2203" w:hRule="atLeast"/>
        </w:trPr>
        <w:tc>
          <w:tcPr>
            <w:tcW w:type="dxa" w:w="515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0"/>
                <w:szCs w:val="20"/>
                <w:shd w:val="nil" w:color="auto" w:fill="auto"/>
              </w:rPr>
            </w:pPr>
            <w:r>
              <w:rPr>
                <w:rFonts w:ascii="Arial" w:hAnsi="Arial"/>
                <w:i w:val="1"/>
                <w:iCs w:val="1"/>
                <w:sz w:val="20"/>
                <w:szCs w:val="20"/>
                <w:shd w:val="nil" w:color="auto" w:fill="auto"/>
                <w:rtl w:val="0"/>
                <w:lang w:val="en-US"/>
              </w:rPr>
              <w:t>If Applied, and involving an external organisation, please indicate your plans for gaining appropriate approvals from the organisation: (not included in the word count)</w:t>
            </w:r>
          </w:p>
          <w:p>
            <w:pPr>
              <w:pStyle w:val="Body"/>
              <w:rPr>
                <w:rFonts w:ascii="Arial" w:cs="Arial" w:hAnsi="Arial" w:eastAsia="Arial"/>
                <w:i w:val="1"/>
                <w:iCs w:val="1"/>
                <w:sz w:val="20"/>
                <w:szCs w:val="20"/>
                <w:shd w:val="nil" w:color="auto" w:fill="auto"/>
                <w:lang w:val="en-US"/>
              </w:rPr>
            </w:pPr>
          </w:p>
          <w:p>
            <w:pPr>
              <w:pStyle w:val="Body"/>
              <w:rPr>
                <w:rFonts w:ascii="Arial" w:cs="Arial" w:hAnsi="Arial" w:eastAsia="Arial"/>
                <w:i w:val="1"/>
                <w:iCs w:val="1"/>
                <w:sz w:val="20"/>
                <w:szCs w:val="20"/>
                <w:shd w:val="nil" w:color="auto" w:fill="auto"/>
                <w:lang w:val="en-US"/>
              </w:rPr>
            </w:pPr>
          </w:p>
          <w:p>
            <w:pPr>
              <w:pStyle w:val="Body"/>
              <w:rPr>
                <w:rFonts w:ascii="Arial" w:cs="Arial" w:hAnsi="Arial" w:eastAsia="Arial"/>
                <w:i w:val="1"/>
                <w:iCs w:val="1"/>
                <w:sz w:val="20"/>
                <w:szCs w:val="20"/>
                <w:shd w:val="nil" w:color="auto" w:fill="auto"/>
                <w:lang w:val="en-US"/>
              </w:rPr>
            </w:pPr>
          </w:p>
          <w:p>
            <w:pPr>
              <w:pStyle w:val="Body"/>
              <w:rPr>
                <w:rFonts w:ascii="Arial" w:cs="Arial" w:hAnsi="Arial" w:eastAsia="Arial"/>
                <w:i w:val="1"/>
                <w:iCs w:val="1"/>
                <w:sz w:val="20"/>
                <w:szCs w:val="20"/>
                <w:shd w:val="nil" w:color="auto" w:fill="auto"/>
                <w:lang w:val="en-US"/>
              </w:rPr>
            </w:pPr>
          </w:p>
          <w:p>
            <w:pPr>
              <w:pStyle w:val="Body"/>
            </w:pPr>
            <w:r>
              <w:rPr>
                <w:rFonts w:ascii="Arial" w:cs="Arial" w:hAnsi="Arial" w:eastAsia="Arial"/>
                <w:i w:val="1"/>
                <w:iCs w:val="1"/>
                <w:sz w:val="20"/>
                <w:szCs w:val="20"/>
                <w:shd w:val="nil" w:color="auto" w:fill="auto"/>
                <w:lang w:val="en-US"/>
              </w:rPr>
            </w:r>
          </w:p>
        </w:tc>
        <w:tc>
          <w:tcPr>
            <w:tcW w:type="dxa" w:w="515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i w:val="1"/>
                <w:iCs w:val="1"/>
                <w:sz w:val="20"/>
                <w:szCs w:val="20"/>
                <w:shd w:val="nil" w:color="auto" w:fill="auto"/>
                <w:rtl w:val="0"/>
                <w:lang w:val="en-US"/>
              </w:rPr>
              <w:t>Other study design: indicate briefly (not included in word count)</w:t>
            </w:r>
            <w:r>
              <w:rPr>
                <w:rFonts w:ascii="Arial" w:cs="Arial" w:hAnsi="Arial" w:eastAsia="Arial"/>
                <w:i w:val="1"/>
                <w:iCs w:val="1"/>
                <w:sz w:val="20"/>
                <w:szCs w:val="20"/>
                <w:shd w:val="nil" w:color="auto" w:fill="auto"/>
              </w:rPr>
            </w:r>
          </w:p>
        </w:tc>
      </w:tr>
    </w:tbl>
    <w:p>
      <w:pPr>
        <w:pStyle w:val="Body"/>
        <w:widowControl w:val="0"/>
        <w:rPr>
          <w:rFonts w:ascii="Arial" w:cs="Arial" w:hAnsi="Arial" w:eastAsia="Arial"/>
          <w:b w:val="1"/>
          <w:bCs w:val="1"/>
          <w:sz w:val="20"/>
          <w:szCs w:val="20"/>
        </w:rPr>
      </w:pPr>
    </w:p>
    <w:p>
      <w:pPr>
        <w:pStyle w:val="Body"/>
        <w:rPr>
          <w:sz w:val="32"/>
          <w:szCs w:val="32"/>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308"/>
      </w:tblGrid>
      <w:tr>
        <w:tblPrEx>
          <w:shd w:val="clear" w:color="auto" w:fill="d0ddef"/>
        </w:tblPrEx>
        <w:trPr>
          <w:trHeight w:val="1041"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0"/>
                <w:szCs w:val="20"/>
                <w:shd w:val="nil" w:color="auto" w:fill="auto"/>
              </w:rPr>
            </w:pPr>
            <w:r>
              <w:rPr>
                <w:rFonts w:ascii="Arial" w:hAnsi="Arial"/>
                <w:b w:val="1"/>
                <w:bCs w:val="1"/>
                <w:sz w:val="20"/>
                <w:szCs w:val="20"/>
                <w:shd w:val="nil" w:color="auto" w:fill="auto"/>
                <w:rtl w:val="0"/>
                <w:lang w:val="en-US"/>
              </w:rPr>
              <w:t xml:space="preserve">Suggested Research Title/Area: </w:t>
            </w:r>
            <w:r>
              <w:rPr>
                <w:rFonts w:ascii="Arial" w:hAnsi="Arial"/>
                <w:sz w:val="20"/>
                <w:szCs w:val="20"/>
                <w:shd w:val="nil" w:color="auto" w:fill="auto"/>
                <w:rtl w:val="0"/>
                <w:lang w:val="en-US"/>
              </w:rPr>
              <w:t>(between 10-15 words and must reflect the essence of your proposed research question, study design and study population and should be more specific than a broad topic area).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tl w:val="0"/>
              </w:rPr>
            </w:pPr>
            <w:r>
              <w:rPr>
                <w:rFonts w:ascii="Arial" w:hAnsi="Arial"/>
                <w:sz w:val="26"/>
                <w:szCs w:val="26"/>
                <w:shd w:val="nil" w:color="auto" w:fill="auto"/>
                <w:rtl w:val="0"/>
                <w:lang w:val="en-US"/>
              </w:rPr>
              <w:t>Unveiling the Media Narrative</w:t>
            </w:r>
            <w:r>
              <w:rPr>
                <w:rFonts w:ascii="Arial" w:hAnsi="Arial"/>
                <w:sz w:val="26"/>
                <w:szCs w:val="26"/>
                <w:shd w:val="nil" w:color="auto" w:fill="auto"/>
                <w:rtl w:val="0"/>
                <w:lang w:val="en-US"/>
              </w:rPr>
              <w:t xml:space="preserve">: </w:t>
            </w:r>
            <w:r>
              <w:rPr>
                <w:rFonts w:ascii="Arial" w:hAnsi="Arial"/>
                <w:sz w:val="26"/>
                <w:szCs w:val="26"/>
                <w:shd w:val="nil" w:color="auto" w:fill="auto"/>
                <w:rtl w:val="0"/>
                <w:lang w:val="en-US"/>
              </w:rPr>
              <w:t>A qualitative exploration of student perceptions on bullying victim representation within the media</w:t>
            </w:r>
          </w:p>
        </w:tc>
      </w:tr>
    </w:tbl>
    <w:p>
      <w:pPr>
        <w:pStyle w:val="Body"/>
        <w:widowControl w:val="0"/>
        <w:rPr>
          <w:sz w:val="32"/>
          <w:szCs w:val="32"/>
        </w:rPr>
      </w:pPr>
    </w:p>
    <w:p>
      <w:pPr>
        <w:pStyle w:val="Body"/>
        <w:rPr>
          <w:sz w:val="32"/>
          <w:szCs w:val="32"/>
        </w:rPr>
      </w:pPr>
    </w:p>
    <w:p>
      <w:pPr>
        <w:pStyle w:val="Body"/>
        <w:rPr>
          <w:sz w:val="32"/>
          <w:szCs w:val="32"/>
        </w:rPr>
      </w:pPr>
    </w:p>
    <w:p>
      <w:pPr>
        <w:pStyle w:val="Body"/>
        <w:rPr>
          <w:rFonts w:ascii="Arial" w:cs="Arial" w:hAnsi="Arial" w:eastAsia="Arial"/>
          <w:b w:val="1"/>
          <w:bCs w:val="1"/>
          <w:sz w:val="32"/>
          <w:szCs w:val="32"/>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308"/>
      </w:tblGrid>
      <w:tr>
        <w:tblPrEx>
          <w:shd w:val="clear" w:color="auto" w:fill="d0ddef"/>
        </w:tblPrEx>
        <w:trPr>
          <w:trHeight w:val="12294"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z w:val="20"/>
                <w:szCs w:val="20"/>
                <w:shd w:val="nil" w:color="auto" w:fill="auto"/>
              </w:rPr>
            </w:pPr>
            <w:r>
              <w:rPr>
                <w:rFonts w:ascii="Arial" w:hAnsi="Arial"/>
                <w:b w:val="1"/>
                <w:bCs w:val="1"/>
                <w:sz w:val="20"/>
                <w:szCs w:val="20"/>
                <w:shd w:val="nil" w:color="auto" w:fill="auto"/>
                <w:rtl w:val="0"/>
                <w:lang w:val="en-US"/>
              </w:rPr>
              <w:t xml:space="preserve">Background: 250 words </w:t>
            </w:r>
          </w:p>
          <w:p>
            <w:pPr>
              <w:pStyle w:val="Body"/>
              <w:bidi w:val="0"/>
              <w:ind w:left="0" w:right="0" w:firstLine="0"/>
              <w:jc w:val="left"/>
              <w:rPr>
                <w:rFonts w:ascii="Arial" w:cs="Arial" w:hAnsi="Arial" w:eastAsia="Arial"/>
                <w:b w:val="1"/>
                <w:bCs w:val="1"/>
                <w:sz w:val="20"/>
                <w:szCs w:val="20"/>
                <w:shd w:val="nil" w:color="auto" w:fill="auto"/>
                <w:rtl w:val="0"/>
              </w:rPr>
            </w:pPr>
            <w:r>
              <w:rPr>
                <w:rFonts w:ascii="Arial" w:hAnsi="Arial"/>
                <w:b w:val="1"/>
                <w:bCs w:val="1"/>
                <w:sz w:val="20"/>
                <w:szCs w:val="20"/>
                <w:shd w:val="nil" w:color="auto" w:fill="auto"/>
                <w:rtl w:val="0"/>
                <w:lang w:val="en-US"/>
              </w:rPr>
              <w:t xml:space="preserve">Why is your study important? What theory and empirical research evidence supports your research question? </w:t>
            </w:r>
            <w:r>
              <w:rPr>
                <w:rFonts w:ascii="Arial" w:hAnsi="Arial"/>
                <w:b w:val="0"/>
                <w:bCs w:val="0"/>
                <w:sz w:val="20"/>
                <w:szCs w:val="20"/>
                <w:shd w:val="nil" w:color="auto" w:fill="auto"/>
                <w:rtl w:val="0"/>
                <w:lang w:val="en-US"/>
              </w:rPr>
              <w:t xml:space="preserve">(Please provide a rationale for your study including a brief review of relevant psychological literature and theory and a minimum of five references).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r>
              <w:rPr>
                <w:sz w:val="22"/>
                <w:szCs w:val="22"/>
                <w:shd w:val="nil" w:color="auto" w:fill="auto"/>
                <w:rtl w:val="0"/>
                <w:lang w:val="en-US"/>
              </w:rPr>
              <w:t>The media's portrayal of bullying victims significantly influences public perception and responses to this issue. Research demonstrates the critical role of media representation in impacting the psychological well-being of bullying survivors (Hinduja &amp; Patchin, 2010). Exposure to violent and victimising media content has been linked to increased distress, anxiety, and depression among individuals who have experienced similar incidents. Understanding student perspectives can provide valuable insights into promoting media literacy skills and empowering individuals to critically engage with depictions of bullying victims. Media literacy education is essential in addressing these challenges and involves developing the ability to analyse media content, evaluate credibility, and comprehend potential effects (Livingstone, 2004).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r>
              <w:rPr>
                <w:sz w:val="22"/>
                <w:szCs w:val="22"/>
                <w:shd w:val="nil" w:color="auto" w:fill="auto"/>
                <w:rtl w:val="0"/>
                <w:lang w:val="en-US"/>
              </w:rPr>
              <w:t>Bullying carries various consequences</w:t>
            </w:r>
            <w:r>
              <w:rPr>
                <w:sz w:val="22"/>
                <w:szCs w:val="22"/>
                <w:shd w:val="nil" w:color="auto" w:fill="auto"/>
                <w:rtl w:val="0"/>
                <w:lang w:val="en-US"/>
              </w:rPr>
              <w:t xml:space="preserve">. </w:t>
            </w:r>
            <w:r>
              <w:rPr>
                <w:sz w:val="22"/>
                <w:szCs w:val="22"/>
                <w:shd w:val="nil" w:color="auto" w:fill="auto"/>
                <w:rtl w:val="0"/>
                <w:lang w:val="en-US"/>
              </w:rPr>
              <w:t>Social exclusion theory describes the systematic marginalisation or restriction of individuals or groups, hindering their full participation in society. Social exclusion can be attributed to factors such as social class, race, skin colour, religion, ethnicity, education, and early-life social connections (Abrams &amp; Hogg, 2004; Byrne, 2005; Silver, 1994). Acknowledging and actively addressing social exclusion is crucial in fostering a more equitable and inclusive world that prioritises the well-being of all.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rtl w:val="0"/>
              </w:rPr>
            </w:pPr>
            <w:r>
              <w:rPr>
                <w:sz w:val="22"/>
                <w:szCs w:val="22"/>
                <w:shd w:val="nil" w:color="auto" w:fill="auto"/>
                <w:rtl w:val="0"/>
                <w:lang w:val="en-US"/>
              </w:rPr>
              <w:t xml:space="preserve">The advancement of technology has brought about </w:t>
            </w:r>
            <w:r>
              <w:rPr>
                <w:sz w:val="22"/>
                <w:szCs w:val="22"/>
                <w:shd w:val="nil" w:color="auto" w:fill="auto"/>
                <w:rtl w:val="0"/>
                <w:lang w:val="en-US"/>
              </w:rPr>
              <w:t>n</w:t>
            </w:r>
            <w:r>
              <w:rPr>
                <w:sz w:val="22"/>
                <w:szCs w:val="22"/>
                <w:shd w:val="nil" w:color="auto" w:fill="auto"/>
                <w:rtl w:val="0"/>
                <w:lang w:val="en-US"/>
              </w:rPr>
              <w:t>ew forms of bullying. Modecki et al. (2014) conducted a meta-analysis on traditional bullying and cyberbullying in adolescents. Analysing data from 80 studies with over 300,000 participants, they found that 35% experienced traditional bullying victimisation, while 15% engaged in perpetration. Cyberbullying victimisation stood at 15%, with perpetration at 11%. The study emphasised the interconnectedness of traditional and cyberbullying and revealed gender disparities, with boys more likely to perpetrate traditional bullying and girls more likely to engage in cyberbullying. Addressing both forms of bullying is crucial in prevention and intervention strategies.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0"/>
                <w:szCs w:val="20"/>
                <w:rtl w:val="0"/>
              </w:rPr>
            </w:pPr>
            <w:r>
              <w:rPr>
                <w:rFonts w:ascii="Arial" w:hAnsi="Arial"/>
                <w:sz w:val="20"/>
                <w:szCs w:val="20"/>
                <w:rtl w:val="0"/>
                <w:lang w:val="en-US"/>
              </w:rPr>
              <w:t>References: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0"/>
                <w:szCs w:val="20"/>
                <w:rtl w:val="0"/>
              </w:rPr>
            </w:pPr>
          </w:p>
          <w:p>
            <w:pPr>
              <w:pStyle w:val="Default"/>
              <w:bidi w:val="0"/>
              <w:spacing w:before="0" w:line="322" w:lineRule="atLeast"/>
              <w:ind w:left="720" w:right="0" w:hanging="720"/>
              <w:jc w:val="left"/>
              <w:rPr>
                <w:rFonts w:ascii="Arial" w:cs="Arial" w:hAnsi="Arial" w:eastAsia="Arial"/>
                <w:outline w:val="0"/>
                <w:color w:val="222222"/>
                <w:sz w:val="20"/>
                <w:szCs w:val="20"/>
                <w:rtl w:val="0"/>
                <w14:textFill>
                  <w14:solidFill>
                    <w14:srgbClr w14:val="222222"/>
                  </w14:solidFill>
                </w14:textFill>
              </w:rPr>
            </w:pPr>
            <w:r>
              <w:rPr>
                <w:rFonts w:ascii="Arial" w:hAnsi="Arial"/>
                <w:outline w:val="0"/>
                <w:color w:val="222222"/>
                <w:sz w:val="20"/>
                <w:szCs w:val="20"/>
                <w:rtl w:val="0"/>
                <w:lang w:val="en-US"/>
                <w14:textFill>
                  <w14:solidFill>
                    <w14:srgbClr w14:val="222222"/>
                  </w14:solidFill>
                </w14:textFill>
              </w:rPr>
              <w:t>Abrams, D., &amp; Hogg, M. A. (2004). A social psychological framework for understanding social inclusion and exclusion. In</w:t>
            </w:r>
            <w:r>
              <w:rPr>
                <w:rFonts w:ascii="Arial" w:hAnsi="Arial" w:hint="default"/>
                <w:outline w:val="0"/>
                <w:color w:val="222222"/>
                <w:sz w:val="20"/>
                <w:szCs w:val="20"/>
                <w:rtl w:val="0"/>
                <w14:textFill>
                  <w14:solidFill>
                    <w14:srgbClr w14:val="222222"/>
                  </w14:solidFill>
                </w14:textFill>
              </w:rPr>
              <w:t> </w:t>
            </w:r>
            <w:r>
              <w:rPr>
                <w:rFonts w:ascii="Arial" w:hAnsi="Arial"/>
                <w:i w:val="1"/>
                <w:iCs w:val="1"/>
                <w:outline w:val="0"/>
                <w:color w:val="222222"/>
                <w:sz w:val="20"/>
                <w:szCs w:val="20"/>
                <w:rtl w:val="0"/>
                <w:lang w:val="en-US"/>
                <w14:textFill>
                  <w14:solidFill>
                    <w14:srgbClr w14:val="222222"/>
                  </w14:solidFill>
                </w14:textFill>
              </w:rPr>
              <w:t>Social psychology of inclusion and exclusion</w:t>
            </w:r>
            <w:r>
              <w:rPr>
                <w:rFonts w:ascii="Arial" w:hAnsi="Arial" w:hint="default"/>
                <w:outline w:val="0"/>
                <w:color w:val="222222"/>
                <w:sz w:val="20"/>
                <w:szCs w:val="20"/>
                <w:rtl w:val="0"/>
                <w14:textFill>
                  <w14:solidFill>
                    <w14:srgbClr w14:val="222222"/>
                  </w14:solidFill>
                </w14:textFill>
              </w:rPr>
              <w:t> </w:t>
            </w:r>
            <w:r>
              <w:rPr>
                <w:rFonts w:ascii="Arial" w:hAnsi="Arial"/>
                <w:outline w:val="0"/>
                <w:color w:val="222222"/>
                <w:sz w:val="20"/>
                <w:szCs w:val="20"/>
                <w:rtl w:val="0"/>
                <w14:textFill>
                  <w14:solidFill>
                    <w14:srgbClr w14:val="222222"/>
                  </w14:solidFill>
                </w14:textFill>
              </w:rPr>
              <w:t>(pp. 19-42). Psychology Press.</w:t>
            </w:r>
          </w:p>
          <w:p>
            <w:pPr>
              <w:pStyle w:val="Default"/>
              <w:bidi w:val="0"/>
              <w:spacing w:before="0" w:line="322" w:lineRule="atLeast"/>
              <w:ind w:left="720" w:right="0" w:hanging="720"/>
              <w:jc w:val="left"/>
              <w:rPr>
                <w:rFonts w:ascii="Arial" w:cs="Arial" w:hAnsi="Arial" w:eastAsia="Arial"/>
                <w:outline w:val="0"/>
                <w:color w:val="222222"/>
                <w:sz w:val="20"/>
                <w:szCs w:val="20"/>
                <w:rtl w:val="0"/>
                <w14:textFill>
                  <w14:solidFill>
                    <w14:srgbClr w14:val="222222"/>
                  </w14:solidFill>
                </w14:textFill>
              </w:rPr>
            </w:pP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r>
              <w:rPr>
                <w:rFonts w:ascii="Arial" w:hAnsi="Arial"/>
                <w:outline w:val="0"/>
                <w:color w:val="222222"/>
                <w:sz w:val="20"/>
                <w:szCs w:val="20"/>
                <w:shd w:val="clear" w:color="auto" w:fill="ffffff"/>
                <w:rtl w:val="0"/>
                <w14:textFill>
                  <w14:solidFill>
                    <w14:srgbClr w14:val="222222"/>
                  </w14:solidFill>
                </w14:textFill>
              </w:rPr>
              <w:t>Byrne, D. (2005).</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lang w:val="es-ES_tradnl"/>
                <w14:textFill>
                  <w14:solidFill>
                    <w14:srgbClr w14:val="222222"/>
                  </w14:solidFill>
                </w14:textFill>
              </w:rPr>
              <w:t>Social exclusion</w:t>
            </w:r>
            <w:r>
              <w:rPr>
                <w:rFonts w:ascii="Arial" w:hAnsi="Arial"/>
                <w:outline w:val="0"/>
                <w:color w:val="222222"/>
                <w:sz w:val="20"/>
                <w:szCs w:val="20"/>
                <w:shd w:val="clear" w:color="auto" w:fill="ffffff"/>
                <w:rtl w:val="0"/>
                <w:lang w:val="en-US"/>
                <w14:textFill>
                  <w14:solidFill>
                    <w14:srgbClr w14:val="222222"/>
                  </w14:solidFill>
                </w14:textFill>
              </w:rPr>
              <w:t>. McGraw-Hill Education (UK).</w:t>
            </w:r>
          </w:p>
          <w:p>
            <w:pPr>
              <w:pStyle w:val="Default"/>
              <w:bidi w:val="0"/>
              <w:spacing w:before="0" w:line="322" w:lineRule="atLeast"/>
              <w:ind w:left="720" w:right="0" w:hanging="720"/>
              <w:jc w:val="left"/>
              <w:rPr>
                <w:rFonts w:ascii="Arial" w:cs="Arial" w:hAnsi="Arial" w:eastAsia="Arial"/>
                <w:outline w:val="0"/>
                <w:color w:val="222222"/>
                <w:sz w:val="20"/>
                <w:szCs w:val="20"/>
                <w:rtl w:val="0"/>
                <w14:textFill>
                  <w14:solidFill>
                    <w14:srgbClr w14:val="222222"/>
                  </w14:solidFill>
                </w14:textFill>
              </w:rPr>
            </w:pP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r>
              <w:rPr>
                <w:rFonts w:ascii="Arial" w:hAnsi="Arial"/>
                <w:outline w:val="0"/>
                <w:color w:val="222222"/>
                <w:sz w:val="20"/>
                <w:szCs w:val="20"/>
                <w:shd w:val="clear" w:color="auto" w:fill="ffffff"/>
                <w:rtl w:val="0"/>
                <w:lang w:val="en-US"/>
                <w14:textFill>
                  <w14:solidFill>
                    <w14:srgbClr w14:val="222222"/>
                  </w14:solidFill>
                </w14:textFill>
              </w:rPr>
              <w:t>Hinduja, S., &amp; Patchin, J. W. (2010). Bullying, cyberbullying, and suicide.</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lang w:val="en-US"/>
                <w14:textFill>
                  <w14:solidFill>
                    <w14:srgbClr w14:val="222222"/>
                  </w14:solidFill>
                </w14:textFill>
              </w:rPr>
              <w:t>Archives of suicide research</w:t>
            </w:r>
            <w:r>
              <w:rPr>
                <w:rFonts w:ascii="Arial" w:hAnsi="Arial"/>
                <w:outline w:val="0"/>
                <w:color w:val="222222"/>
                <w:sz w:val="20"/>
                <w:szCs w:val="20"/>
                <w:shd w:val="clear" w:color="auto" w:fill="ffffff"/>
                <w:rtl w:val="0"/>
                <w14:textFill>
                  <w14:solidFill>
                    <w14:srgbClr w14:val="222222"/>
                  </w14:solidFill>
                </w14:textFill>
              </w:rPr>
              <w:t>,</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14:textFill>
                  <w14:solidFill>
                    <w14:srgbClr w14:val="222222"/>
                  </w14:solidFill>
                </w14:textFill>
              </w:rPr>
              <w:t>14</w:t>
            </w:r>
            <w:r>
              <w:rPr>
                <w:rFonts w:ascii="Arial" w:hAnsi="Arial"/>
                <w:outline w:val="0"/>
                <w:color w:val="222222"/>
                <w:sz w:val="20"/>
                <w:szCs w:val="20"/>
                <w:shd w:val="clear" w:color="auto" w:fill="ffffff"/>
                <w:rtl w:val="0"/>
                <w14:textFill>
                  <w14:solidFill>
                    <w14:srgbClr w14:val="222222"/>
                  </w14:solidFill>
                </w14:textFill>
              </w:rPr>
              <w:t>(3), 206-221.</w:t>
            </w:r>
          </w:p>
          <w:p>
            <w:pPr>
              <w:pStyle w:val="Default"/>
              <w:bidi w:val="0"/>
              <w:spacing w:before="0" w:line="240" w:lineRule="auto"/>
              <w:ind w:left="720" w:right="0" w:hanging="720"/>
              <w:jc w:val="left"/>
              <w:rPr>
                <w:rFonts w:ascii="Arial" w:cs="Arial" w:hAnsi="Arial" w:eastAsia="Arial"/>
                <w:outline w:val="0"/>
                <w:color w:val="222222"/>
                <w:sz w:val="20"/>
                <w:szCs w:val="20"/>
                <w:shd w:val="nil" w:color="auto" w:fill="auto"/>
                <w:rtl w:val="0"/>
                <w:lang w:val="en-US"/>
                <w14:textFill>
                  <w14:solidFill>
                    <w14:srgbClr w14:val="222222"/>
                  </w14:solidFill>
                </w14:textFill>
              </w:rPr>
            </w:pP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r>
              <w:rPr>
                <w:rFonts w:ascii="Arial" w:hAnsi="Arial"/>
                <w:outline w:val="0"/>
                <w:color w:val="222222"/>
                <w:sz w:val="20"/>
                <w:szCs w:val="20"/>
                <w:shd w:val="clear" w:color="auto" w:fill="ffffff"/>
                <w:rtl w:val="0"/>
                <w:lang w:val="en-US"/>
                <w14:textFill>
                  <w14:solidFill>
                    <w14:srgbClr w14:val="222222"/>
                  </w14:solidFill>
                </w14:textFill>
              </w:rPr>
              <w:t>Livingstone, S. (2004). Media literacy and the challenge of new information and communication technologies.</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lang w:val="en-US"/>
                <w14:textFill>
                  <w14:solidFill>
                    <w14:srgbClr w14:val="222222"/>
                  </w14:solidFill>
                </w14:textFill>
              </w:rPr>
              <w:t>The communication review</w:t>
            </w:r>
            <w:r>
              <w:rPr>
                <w:rFonts w:ascii="Arial" w:hAnsi="Arial"/>
                <w:outline w:val="0"/>
                <w:color w:val="222222"/>
                <w:sz w:val="20"/>
                <w:szCs w:val="20"/>
                <w:shd w:val="clear" w:color="auto" w:fill="ffffff"/>
                <w:rtl w:val="0"/>
                <w14:textFill>
                  <w14:solidFill>
                    <w14:srgbClr w14:val="222222"/>
                  </w14:solidFill>
                </w14:textFill>
              </w:rPr>
              <w:t>,</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14:textFill>
                  <w14:solidFill>
                    <w14:srgbClr w14:val="222222"/>
                  </w14:solidFill>
                </w14:textFill>
              </w:rPr>
              <w:t>7</w:t>
            </w:r>
            <w:r>
              <w:rPr>
                <w:rFonts w:ascii="Arial" w:hAnsi="Arial"/>
                <w:outline w:val="0"/>
                <w:color w:val="222222"/>
                <w:sz w:val="20"/>
                <w:szCs w:val="20"/>
                <w:shd w:val="clear" w:color="auto" w:fill="ffffff"/>
                <w:rtl w:val="0"/>
                <w14:textFill>
                  <w14:solidFill>
                    <w14:srgbClr w14:val="222222"/>
                  </w14:solidFill>
                </w14:textFill>
              </w:rPr>
              <w:t>(1), 3-14.</w:t>
            </w: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r>
              <w:rPr>
                <w:rFonts w:ascii="Arial" w:hAnsi="Arial"/>
                <w:outline w:val="0"/>
                <w:color w:val="222222"/>
                <w:sz w:val="20"/>
                <w:szCs w:val="20"/>
                <w:shd w:val="clear" w:color="auto" w:fill="ffffff"/>
                <w:rtl w:val="0"/>
                <w:lang w:val="en-US"/>
                <w14:textFill>
                  <w14:solidFill>
                    <w14:srgbClr w14:val="222222"/>
                  </w14:solidFill>
                </w14:textFill>
              </w:rPr>
              <w:t>Modecki, K. L., Minchin, J., Harbaugh, A. G., Guerra, N. G., &amp; Runions, K. C. (2014). Bullying prevalence across contexts: A meta-analysis measuring cyber and traditional bullying.</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lang w:val="en-US"/>
                <w14:textFill>
                  <w14:solidFill>
                    <w14:srgbClr w14:val="222222"/>
                  </w14:solidFill>
                </w14:textFill>
              </w:rPr>
              <w:t>Journal of Adolescent Health</w:t>
            </w:r>
            <w:r>
              <w:rPr>
                <w:rFonts w:ascii="Arial" w:hAnsi="Arial"/>
                <w:outline w:val="0"/>
                <w:color w:val="222222"/>
                <w:sz w:val="20"/>
                <w:szCs w:val="20"/>
                <w:shd w:val="clear" w:color="auto" w:fill="ffffff"/>
                <w:rtl w:val="0"/>
                <w14:textFill>
                  <w14:solidFill>
                    <w14:srgbClr w14:val="222222"/>
                  </w14:solidFill>
                </w14:textFill>
              </w:rPr>
              <w:t>,</w:t>
            </w:r>
            <w:r>
              <w:rPr>
                <w:rFonts w:ascii="Arial" w:hAnsi="Arial" w:hint="default"/>
                <w:outline w:val="0"/>
                <w:color w:val="222222"/>
                <w:sz w:val="20"/>
                <w:szCs w:val="20"/>
                <w:shd w:val="clear" w:color="auto" w:fill="ffffff"/>
                <w:rtl w:val="0"/>
                <w14:textFill>
                  <w14:solidFill>
                    <w14:srgbClr w14:val="222222"/>
                  </w14:solidFill>
                </w14:textFill>
              </w:rPr>
              <w:t> </w:t>
            </w:r>
            <w:r>
              <w:rPr>
                <w:rFonts w:ascii="Arial" w:hAnsi="Arial"/>
                <w:i w:val="1"/>
                <w:iCs w:val="1"/>
                <w:outline w:val="0"/>
                <w:color w:val="222222"/>
                <w:sz w:val="20"/>
                <w:szCs w:val="20"/>
                <w:shd w:val="clear" w:color="auto" w:fill="ffffff"/>
                <w:rtl w:val="0"/>
                <w14:textFill>
                  <w14:solidFill>
                    <w14:srgbClr w14:val="222222"/>
                  </w14:solidFill>
                </w14:textFill>
              </w:rPr>
              <w:t>55</w:t>
            </w:r>
            <w:r>
              <w:rPr>
                <w:rFonts w:ascii="Arial" w:hAnsi="Arial"/>
                <w:outline w:val="0"/>
                <w:color w:val="222222"/>
                <w:sz w:val="20"/>
                <w:szCs w:val="20"/>
                <w:shd w:val="clear" w:color="auto" w:fill="ffffff"/>
                <w:rtl w:val="0"/>
                <w14:textFill>
                  <w14:solidFill>
                    <w14:srgbClr w14:val="222222"/>
                  </w14:solidFill>
                </w14:textFill>
              </w:rPr>
              <w:t>(5), 602-611.</w:t>
            </w:r>
          </w:p>
          <w:p>
            <w:pPr>
              <w:pStyle w:val="Default"/>
              <w:bidi w:val="0"/>
              <w:spacing w:before="0" w:line="240" w:lineRule="auto"/>
              <w:ind w:left="720" w:right="0" w:hanging="720"/>
              <w:jc w:val="left"/>
              <w:rPr>
                <w:rFonts w:ascii="Arial" w:cs="Arial" w:hAnsi="Arial" w:eastAsia="Arial"/>
                <w:outline w:val="0"/>
                <w:color w:val="222222"/>
                <w:sz w:val="20"/>
                <w:szCs w:val="20"/>
                <w:shd w:val="clear" w:color="auto" w:fill="ffffff"/>
                <w:rtl w:val="0"/>
                <w14:textFill>
                  <w14:solidFill>
                    <w14:srgbClr w14:val="222222"/>
                  </w14:solidFill>
                </w14:textFill>
              </w:rPr>
            </w:pPr>
          </w:p>
          <w:p>
            <w:pPr>
              <w:pStyle w:val="Default"/>
              <w:bidi w:val="0"/>
              <w:spacing w:before="0" w:line="322" w:lineRule="atLeast"/>
              <w:ind w:left="720" w:right="0" w:hanging="720"/>
              <w:jc w:val="left"/>
              <w:rPr>
                <w:rtl w:val="0"/>
              </w:rPr>
            </w:pPr>
            <w:r>
              <w:rPr>
                <w:rFonts w:ascii="Arial" w:hAnsi="Arial"/>
                <w:outline w:val="0"/>
                <w:color w:val="222222"/>
                <w:sz w:val="20"/>
                <w:szCs w:val="20"/>
                <w:rtl w:val="0"/>
                <w:lang w:val="en-US"/>
                <w14:textFill>
                  <w14:solidFill>
                    <w14:srgbClr w14:val="222222"/>
                  </w14:solidFill>
                </w14:textFill>
              </w:rPr>
              <w:t>Silver, H. (1994). Social exclusion and social solidarity: Three paradigms.</w:t>
            </w:r>
            <w:r>
              <w:rPr>
                <w:rFonts w:ascii="Arial" w:hAnsi="Arial" w:hint="default"/>
                <w:outline w:val="0"/>
                <w:color w:val="222222"/>
                <w:sz w:val="20"/>
                <w:szCs w:val="20"/>
                <w:rtl w:val="0"/>
                <w14:textFill>
                  <w14:solidFill>
                    <w14:srgbClr w14:val="222222"/>
                  </w14:solidFill>
                </w14:textFill>
              </w:rPr>
              <w:t> </w:t>
            </w:r>
            <w:r>
              <w:rPr>
                <w:rFonts w:ascii="Arial" w:hAnsi="Arial"/>
                <w:i w:val="1"/>
                <w:iCs w:val="1"/>
                <w:outline w:val="0"/>
                <w:color w:val="222222"/>
                <w:sz w:val="20"/>
                <w:szCs w:val="20"/>
                <w:rtl w:val="0"/>
                <w14:textFill>
                  <w14:solidFill>
                    <w14:srgbClr w14:val="222222"/>
                  </w14:solidFill>
                </w14:textFill>
              </w:rPr>
              <w:t>Int'l Lab. Rev.</w:t>
            </w:r>
            <w:r>
              <w:rPr>
                <w:rFonts w:ascii="Arial" w:hAnsi="Arial"/>
                <w:outline w:val="0"/>
                <w:color w:val="222222"/>
                <w:sz w:val="20"/>
                <w:szCs w:val="20"/>
                <w:rtl w:val="0"/>
                <w14:textFill>
                  <w14:solidFill>
                    <w14:srgbClr w14:val="222222"/>
                  </w14:solidFill>
                </w14:textFill>
              </w:rPr>
              <w:t>,</w:t>
            </w:r>
            <w:r>
              <w:rPr>
                <w:rFonts w:ascii="Arial" w:hAnsi="Arial" w:hint="default"/>
                <w:outline w:val="0"/>
                <w:color w:val="222222"/>
                <w:sz w:val="20"/>
                <w:szCs w:val="20"/>
                <w:rtl w:val="0"/>
                <w14:textFill>
                  <w14:solidFill>
                    <w14:srgbClr w14:val="222222"/>
                  </w14:solidFill>
                </w14:textFill>
              </w:rPr>
              <w:t> </w:t>
            </w:r>
            <w:r>
              <w:rPr>
                <w:rFonts w:ascii="Arial" w:hAnsi="Arial"/>
                <w:i w:val="1"/>
                <w:iCs w:val="1"/>
                <w:outline w:val="0"/>
                <w:color w:val="222222"/>
                <w:sz w:val="20"/>
                <w:szCs w:val="20"/>
                <w:rtl w:val="0"/>
                <w14:textFill>
                  <w14:solidFill>
                    <w14:srgbClr w14:val="222222"/>
                  </w14:solidFill>
                </w14:textFill>
              </w:rPr>
              <w:t>133</w:t>
            </w:r>
            <w:r>
              <w:rPr>
                <w:rFonts w:ascii="Arial" w:hAnsi="Arial"/>
                <w:outline w:val="0"/>
                <w:color w:val="222222"/>
                <w:sz w:val="20"/>
                <w:szCs w:val="20"/>
                <w:rtl w:val="0"/>
                <w14:textFill>
                  <w14:solidFill>
                    <w14:srgbClr w14:val="222222"/>
                  </w14:solidFill>
                </w14:textFill>
              </w:rPr>
              <w:t>, 531.</w:t>
            </w:r>
            <w:r>
              <w:rPr>
                <w:rFonts w:ascii="Times New Roman" w:cs="Times New Roman" w:hAnsi="Times New Roman" w:eastAsia="Times New Roman"/>
                <w:outline w:val="0"/>
                <w:color w:val="222222"/>
                <w:sz w:val="20"/>
                <w:szCs w:val="20"/>
                <w:shd w:val="nil" w:color="auto" w:fill="auto"/>
                <w:rtl w:val="0"/>
                <w:lang w:val="en-US"/>
                <w14:textFill>
                  <w14:solidFill>
                    <w14:srgbClr w14:val="222222"/>
                  </w14:solidFill>
                </w14:textFill>
              </w:rPr>
            </w:r>
          </w:p>
        </w:tc>
      </w:tr>
      <w:tr>
        <w:tblPrEx>
          <w:shd w:val="clear" w:color="auto" w:fill="d0ddef"/>
        </w:tblPrEx>
        <w:trPr>
          <w:trHeight w:val="223"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rPr>
          <w:rFonts w:ascii="Arial" w:cs="Arial" w:hAnsi="Arial" w:eastAsia="Arial"/>
          <w:b w:val="1"/>
          <w:bCs w:val="1"/>
          <w:sz w:val="32"/>
          <w:szCs w:val="32"/>
        </w:rPr>
      </w:pPr>
    </w:p>
    <w:p>
      <w:pPr>
        <w:pStyle w:val="Body"/>
        <w:rPr>
          <w:rFonts w:ascii="Arial" w:cs="Arial" w:hAnsi="Arial" w:eastAsia="Arial"/>
          <w:sz w:val="8"/>
          <w:szCs w:val="8"/>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308"/>
      </w:tblGrid>
      <w:tr>
        <w:tblPrEx>
          <w:shd w:val="clear" w:color="auto" w:fill="d0ddef"/>
        </w:tblPrEx>
        <w:trPr>
          <w:trHeight w:val="2882"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z w:val="20"/>
                <w:szCs w:val="20"/>
                <w:shd w:val="nil" w:color="auto" w:fill="auto"/>
              </w:rPr>
            </w:pPr>
            <w:r>
              <w:rPr>
                <w:rFonts w:ascii="Arial" w:hAnsi="Arial"/>
                <w:b w:val="1"/>
                <w:bCs w:val="1"/>
                <w:sz w:val="20"/>
                <w:szCs w:val="20"/>
                <w:shd w:val="nil" w:color="auto" w:fill="auto"/>
                <w:rtl w:val="0"/>
                <w:lang w:val="en-US"/>
              </w:rPr>
              <w:t>Please state the main research question(s) or hypotheses(s): (100 words max)</w:t>
            </w:r>
          </w:p>
          <w:p>
            <w:pPr>
              <w:pStyle w:val="Body"/>
              <w:rPr>
                <w:rFonts w:ascii="Arial" w:cs="Arial" w:hAnsi="Arial" w:eastAsia="Arial"/>
                <w:b w:val="1"/>
                <w:bCs w:val="1"/>
                <w:sz w:val="20"/>
                <w:szCs w:val="20"/>
                <w:shd w:val="nil" w:color="auto" w:fill="auto"/>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What are the participants</w:t>
            </w:r>
            <w:r>
              <w:rPr>
                <w:rFonts w:ascii="Arial" w:hAnsi="Arial" w:hint="default"/>
                <w:sz w:val="22"/>
                <w:szCs w:val="22"/>
                <w:rtl w:val="0"/>
                <w:lang w:val="en-US"/>
              </w:rPr>
              <w:t xml:space="preserve">’ </w:t>
            </w:r>
            <w:r>
              <w:rPr>
                <w:rFonts w:ascii="Arial" w:hAnsi="Arial"/>
                <w:sz w:val="22"/>
                <w:szCs w:val="22"/>
                <w:rtl w:val="0"/>
                <w:lang w:val="en-US"/>
              </w:rPr>
              <w:t>understandings of what bullying and social exclusion 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What are the participants</w:t>
            </w:r>
            <w:r>
              <w:rPr>
                <w:rFonts w:ascii="Arial" w:hAnsi="Arial" w:hint="default"/>
                <w:sz w:val="22"/>
                <w:szCs w:val="22"/>
                <w:rtl w:val="0"/>
                <w:lang w:val="en-US"/>
              </w:rPr>
              <w:t xml:space="preserve">’ </w:t>
            </w:r>
            <w:r>
              <w:rPr>
                <w:rFonts w:ascii="Arial" w:hAnsi="Arial"/>
                <w:sz w:val="22"/>
                <w:szCs w:val="22"/>
                <w:rtl w:val="0"/>
                <w:lang w:val="en-US"/>
              </w:rPr>
              <w:t>perceptions/opinions of how the new media items are presented?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shd w:val="nil" w:color="auto" w:fill="auto"/>
                <w:rtl w:val="0"/>
                <w:lang w:val="en-US"/>
              </w:rPr>
            </w:pPr>
            <w:r>
              <w:rPr>
                <w:rFonts w:ascii="Arial" w:hAnsi="Arial"/>
                <w:sz w:val="22"/>
                <w:szCs w:val="22"/>
                <w:rtl w:val="0"/>
                <w:lang w:val="en-US"/>
              </w:rPr>
              <w:t>What are the participants</w:t>
            </w:r>
            <w:r>
              <w:rPr>
                <w:rFonts w:ascii="Arial" w:hAnsi="Arial" w:hint="default"/>
                <w:sz w:val="22"/>
                <w:szCs w:val="22"/>
                <w:rtl w:val="0"/>
                <w:lang w:val="en-US"/>
              </w:rPr>
              <w:t xml:space="preserve">’ </w:t>
            </w:r>
            <w:r>
              <w:rPr>
                <w:rFonts w:ascii="Arial" w:hAnsi="Arial"/>
                <w:sz w:val="22"/>
                <w:szCs w:val="22"/>
                <w:rtl w:val="0"/>
                <w:lang w:val="en-US"/>
              </w:rPr>
              <w:t>perceptions/opinions of how the media as a whole portray bullying?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shd w:val="nil" w:color="auto" w:fill="auto"/>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tl w:val="0"/>
              </w:rPr>
            </w:pPr>
            <w:r>
              <w:rPr>
                <w:rFonts w:ascii="Arial" w:hAnsi="Arial"/>
                <w:sz w:val="22"/>
                <w:szCs w:val="22"/>
                <w:rtl w:val="0"/>
                <w:lang w:val="en-US"/>
              </w:rPr>
              <w:t>What are the participants</w:t>
            </w:r>
            <w:r>
              <w:rPr>
                <w:rFonts w:ascii="Arial" w:hAnsi="Arial" w:hint="default"/>
                <w:sz w:val="22"/>
                <w:szCs w:val="22"/>
                <w:rtl w:val="0"/>
                <w:lang w:val="en-US"/>
              </w:rPr>
              <w:t xml:space="preserve">’ </w:t>
            </w:r>
            <w:r>
              <w:rPr>
                <w:rFonts w:ascii="Arial" w:hAnsi="Arial"/>
                <w:sz w:val="22"/>
                <w:szCs w:val="22"/>
                <w:rtl w:val="0"/>
                <w:lang w:val="en-US"/>
              </w:rPr>
              <w:t>perceptions/opinions of potential effects of such portrayals on the reader, including victims and perpetrators?</w:t>
            </w:r>
            <w:r>
              <w:rPr>
                <w:rFonts w:ascii="Arial" w:cs="Arial" w:hAnsi="Arial" w:eastAsia="Arial"/>
                <w:sz w:val="22"/>
                <w:szCs w:val="22"/>
                <w:shd w:val="nil" w:color="auto" w:fill="auto"/>
                <w:rtl w:val="0"/>
                <w:lang w:val="en-US"/>
              </w:rPr>
            </w:r>
          </w:p>
        </w:tc>
      </w:tr>
    </w:tbl>
    <w:p>
      <w:pPr>
        <w:pStyle w:val="Body"/>
        <w:rPr>
          <w:rFonts w:ascii="Arial" w:cs="Arial" w:hAnsi="Arial" w:eastAsia="Arial"/>
          <w:b w:val="1"/>
          <w:bCs w:val="1"/>
          <w:sz w:val="20"/>
          <w:szCs w:val="20"/>
        </w:rPr>
      </w:pPr>
    </w:p>
    <w:p>
      <w:pPr>
        <w:pStyle w:val="Body"/>
        <w:rPr>
          <w:rFonts w:ascii="Arial" w:cs="Arial" w:hAnsi="Arial" w:eastAsia="Arial"/>
          <w:b w:val="1"/>
          <w:bCs w:val="1"/>
          <w:sz w:val="20"/>
          <w:szCs w:val="20"/>
        </w:rPr>
      </w:pPr>
    </w:p>
    <w:p>
      <w:pPr>
        <w:pStyle w:val="Body"/>
        <w:rPr>
          <w:rFonts w:ascii="Arial" w:cs="Arial" w:hAnsi="Arial" w:eastAsia="Arial"/>
          <w:b w:val="1"/>
          <w:bCs w:val="1"/>
          <w:sz w:val="20"/>
          <w:szCs w:val="20"/>
          <w:u w:val="single"/>
        </w:rPr>
      </w:pPr>
      <w:r>
        <w:rPr>
          <w:rFonts w:ascii="Arial" w:hAnsi="Arial"/>
          <w:b w:val="1"/>
          <w:bCs w:val="1"/>
          <w:sz w:val="20"/>
          <w:szCs w:val="20"/>
          <w:u w:val="single"/>
          <w:rtl w:val="0"/>
          <w:lang w:val="en-US"/>
        </w:rPr>
        <w:t xml:space="preserve">Methodological Details (500 words) </w:t>
      </w:r>
    </w:p>
    <w:p>
      <w:pPr>
        <w:pStyle w:val="Body"/>
        <w:rPr>
          <w:rFonts w:ascii="Arial" w:cs="Arial" w:hAnsi="Arial" w:eastAsia="Arial"/>
          <w:b w:val="1"/>
          <w:bCs w:val="1"/>
          <w:sz w:val="20"/>
          <w:szCs w:val="20"/>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308"/>
      </w:tblGrid>
      <w:tr>
        <w:tblPrEx>
          <w:shd w:val="clear" w:color="auto" w:fill="d0ddef"/>
        </w:tblPrEx>
        <w:trPr>
          <w:trHeight w:val="15131"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i w:val="1"/>
                <w:iCs w:val="1"/>
                <w:sz w:val="20"/>
                <w:szCs w:val="20"/>
                <w:shd w:val="nil" w:color="auto" w:fill="auto"/>
              </w:rPr>
            </w:pPr>
            <w:r>
              <w:rPr>
                <w:rFonts w:ascii="Arial" w:hAnsi="Arial"/>
                <w:b w:val="1"/>
                <w:bCs w:val="1"/>
                <w:i w:val="1"/>
                <w:iCs w:val="1"/>
                <w:sz w:val="20"/>
                <w:szCs w:val="20"/>
                <w:shd w:val="nil" w:color="auto" w:fill="auto"/>
                <w:rtl w:val="0"/>
                <w:lang w:val="en-US"/>
              </w:rPr>
              <w:t>Please summarise the key methodological approach: (you can include copies of proposed study materials as appendices if you wish). You must include details of the following:</w:t>
            </w:r>
          </w:p>
          <w:p>
            <w:pPr>
              <w:pStyle w:val="Body"/>
              <w:rPr>
                <w:rFonts w:ascii="Arial" w:cs="Arial" w:hAnsi="Arial" w:eastAsia="Arial"/>
                <w:b w:val="1"/>
                <w:bCs w:val="1"/>
                <w:shd w:val="nil" w:color="auto" w:fill="auto"/>
              </w:rPr>
            </w:pPr>
          </w:p>
          <w:p>
            <w:pPr>
              <w:pStyle w:val="Body"/>
              <w:rPr>
                <w:rFonts w:ascii="Arial" w:cs="Arial" w:hAnsi="Arial" w:eastAsia="Arial"/>
                <w:b w:val="1"/>
                <w:bCs w:val="1"/>
                <w:sz w:val="22"/>
                <w:szCs w:val="22"/>
              </w:rPr>
            </w:pPr>
            <w:r>
              <w:rPr>
                <w:rFonts w:ascii="Arial" w:hAnsi="Arial"/>
                <w:b w:val="1"/>
                <w:bCs w:val="1"/>
                <w:sz w:val="22"/>
                <w:szCs w:val="22"/>
                <w:rtl w:val="0"/>
                <w:lang w:val="en-US"/>
              </w:rPr>
              <w:t>Participants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The study seeks to recruit 12-16 participants from UWTSD who are enrolled in a Psychology-related undergraduate program and are 18</w:t>
            </w:r>
            <w:r>
              <w:rPr>
                <w:rFonts w:ascii="Arial" w:hAnsi="Arial"/>
                <w:sz w:val="22"/>
                <w:szCs w:val="22"/>
                <w:rtl w:val="0"/>
                <w:lang w:val="en-US"/>
              </w:rPr>
              <w:t>+</w:t>
            </w:r>
            <w:r>
              <w:rPr>
                <w:rFonts w:ascii="Arial" w:hAnsi="Arial"/>
                <w:sz w:val="22"/>
                <w:szCs w:val="22"/>
                <w:rtl w:val="0"/>
                <w:lang w:val="en-US"/>
              </w:rPr>
              <w:t>. Eligible individuals can voluntarily register through the Experimental Management System (EMS) provided by the department. Participants will receive course credit for their participation. No specific requirements or restrictions for inclusion or exclusion are specified. The participants will be divided into two groups.</w:t>
            </w: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r>
              <w:rPr>
                <w:rFonts w:ascii="Arial" w:hAnsi="Arial"/>
                <w:b w:val="1"/>
                <w:bCs w:val="1"/>
                <w:sz w:val="22"/>
                <w:szCs w:val="22"/>
                <w:rtl w:val="0"/>
                <w:lang w:val="en-US"/>
              </w:rPr>
              <w:t>Design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The study will employ a focus group methodology to facilitate in-depth discussions</w:t>
            </w:r>
            <w:r>
              <w:rPr>
                <w:rFonts w:ascii="Arial" w:hAnsi="Arial"/>
                <w:sz w:val="22"/>
                <w:szCs w:val="22"/>
                <w:rtl w:val="0"/>
                <w:lang w:val="en-US"/>
              </w:rPr>
              <w:t>.</w:t>
            </w:r>
            <w:r>
              <w:rPr>
                <w:rFonts w:ascii="Arial" w:hAnsi="Arial"/>
                <w:sz w:val="22"/>
                <w:szCs w:val="22"/>
                <w:rtl w:val="0"/>
                <w:lang w:val="en-US"/>
              </w:rPr>
              <w:t xml:space="preserve">Two separate focus groups will be conducted, each comprising approximately </w:t>
            </w:r>
            <w:r>
              <w:rPr>
                <w:rFonts w:ascii="Arial" w:hAnsi="Arial"/>
                <w:sz w:val="22"/>
                <w:szCs w:val="22"/>
                <w:rtl w:val="0"/>
                <w:lang w:val="en-US"/>
              </w:rPr>
              <w:t>6</w:t>
            </w:r>
            <w:r>
              <w:rPr>
                <w:rFonts w:ascii="Arial" w:hAnsi="Arial"/>
                <w:sz w:val="22"/>
                <w:szCs w:val="22"/>
                <w:rtl w:val="0"/>
                <w:lang w:val="en-US"/>
              </w:rPr>
              <w:t xml:space="preserve"> to 8 participants. Both focus group sessions will be audio recorded with participants' consent</w:t>
            </w:r>
            <w:r>
              <w:rPr>
                <w:rFonts w:ascii="Arial" w:hAnsi="Arial"/>
                <w:sz w:val="22"/>
                <w:szCs w:val="22"/>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 xml:space="preserve">   </w:t>
            </w:r>
            <w:r>
              <w:rPr>
                <w:rFonts w:ascii="Arial" w:hAnsi="Arial"/>
                <w:sz w:val="22"/>
                <w:szCs w:val="22"/>
                <w:rtl w:val="0"/>
                <w:lang w:val="en-US"/>
              </w:rPr>
              <w:t>Participants in both groups will be provided with printed media articles and online articles that depict instances of bullying victims in various contexts. These articles will be selected based on their relevance to the study's objectives and to stimulate discussion among the participants. The articles will be carefully chosen to include a range of perspectives and portrayals of bullying victims in the media.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 xml:space="preserve">    </w:t>
            </w:r>
            <w:r>
              <w:rPr>
                <w:rFonts w:ascii="Arial" w:hAnsi="Arial"/>
                <w:sz w:val="22"/>
                <w:szCs w:val="22"/>
                <w:rtl w:val="0"/>
                <w:lang w:val="en-US"/>
              </w:rPr>
              <w:t>To guide the focus group discussions, a series of open-ended questions will be prepared. These questions will elicit participants' perceptions</w:t>
            </w:r>
            <w:r>
              <w:rPr>
                <w:rFonts w:ascii="Arial" w:hAnsi="Arial"/>
                <w:sz w:val="22"/>
                <w:szCs w:val="22"/>
                <w:rtl w:val="0"/>
                <w:lang w:val="en-US"/>
              </w:rPr>
              <w:t xml:space="preserve"> and </w:t>
            </w:r>
            <w:r>
              <w:rPr>
                <w:rFonts w:ascii="Arial" w:hAnsi="Arial"/>
                <w:sz w:val="22"/>
                <w:szCs w:val="22"/>
                <w:rtl w:val="0"/>
                <w:lang w:val="en-US"/>
              </w:rPr>
              <w:t>opinions</w:t>
            </w:r>
            <w:r>
              <w:rPr>
                <w:rFonts w:ascii="Arial" w:hAnsi="Arial"/>
                <w:sz w:val="22"/>
                <w:szCs w:val="22"/>
                <w:rtl w:val="0"/>
                <w:lang w:val="en-US"/>
              </w:rPr>
              <w:t>.</w:t>
            </w:r>
            <w:r>
              <w:rPr>
                <w:rFonts w:ascii="Arial" w:hAnsi="Arial"/>
                <w:sz w:val="22"/>
                <w:szCs w:val="22"/>
                <w:rtl w:val="0"/>
                <w:lang w:val="en-US"/>
              </w:rPr>
              <w:t xml:space="preserve"> Some example questions that will be asked during the focus groups include: How do you think bullying has changed over the years? Are there any specific media portrayals of bullying victims that have had an impact on you?</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 xml:space="preserve">   </w:t>
            </w:r>
            <w:r>
              <w:rPr>
                <w:rFonts w:ascii="Arial" w:hAnsi="Arial"/>
                <w:sz w:val="22"/>
                <w:szCs w:val="22"/>
                <w:rtl w:val="0"/>
                <w:lang w:val="en-US"/>
              </w:rPr>
              <w:t xml:space="preserve">The audio recordings from the focus group sessions will be transcribed verbatim. A </w:t>
            </w:r>
            <w:r>
              <w:rPr>
                <w:rFonts w:ascii="Arial" w:hAnsi="Arial"/>
                <w:sz w:val="22"/>
                <w:szCs w:val="22"/>
                <w:rtl w:val="0"/>
                <w:lang w:val="en-US"/>
              </w:rPr>
              <w:t>t</w:t>
            </w:r>
            <w:r>
              <w:rPr>
                <w:rFonts w:ascii="Arial" w:hAnsi="Arial"/>
                <w:sz w:val="22"/>
                <w:szCs w:val="22"/>
                <w:rtl w:val="0"/>
                <w:lang w:val="en-US"/>
              </w:rPr>
              <w:t xml:space="preserve">hematic analysis (Braun &amp; Clarke, 2006) will be adopted to identify recurring themes and patterns within the data. </w:t>
            </w: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r>
              <w:rPr>
                <w:rFonts w:ascii="Arial" w:hAnsi="Arial"/>
                <w:b w:val="1"/>
                <w:bCs w:val="1"/>
                <w:sz w:val="22"/>
                <w:szCs w:val="22"/>
                <w:rtl w:val="0"/>
                <w:lang w:val="en-US"/>
              </w:rPr>
              <w:t>Materials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The study will supply participants with consent forms and information sheets, which they must review and sign to demonstrate their voluntary participation and understanding of the study's requirements and ethical considerations. After the study concludes, participants will receive a debrief form that outlines the study's intentions, research questions, and hypotheses.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 xml:space="preserve">    P</w:t>
            </w:r>
            <w:r>
              <w:rPr>
                <w:rFonts w:ascii="Arial" w:hAnsi="Arial"/>
                <w:sz w:val="22"/>
                <w:szCs w:val="22"/>
                <w:rtl w:val="0"/>
                <w:lang w:val="en-US"/>
              </w:rPr>
              <w:t>rinted media articles will be made available to participants. These articles will be chosen based on their relevance to the study's objectives and their ability to represent a variety of portrayals and viewpoints concerning bullying victims</w:t>
            </w:r>
            <w:r>
              <w:rPr>
                <w:rFonts w:ascii="Arial" w:hAnsi="Arial"/>
                <w:sz w:val="22"/>
                <w:szCs w:val="22"/>
                <w:rtl w:val="0"/>
                <w:lang w:val="en-US"/>
              </w:rPr>
              <w:t xml:space="preserve"> and perpetrators i</w:t>
            </w:r>
            <w:r>
              <w:rPr>
                <w:rFonts w:ascii="Arial" w:hAnsi="Arial"/>
                <w:sz w:val="22"/>
                <w:szCs w:val="22"/>
                <w:rtl w:val="0"/>
                <w:lang w:val="en-US"/>
              </w:rPr>
              <w:t xml:space="preserve">n the media. </w:t>
            </w:r>
            <w:r>
              <w:rPr>
                <w:rFonts w:ascii="Arial" w:hAnsi="Arial"/>
                <w:sz w:val="22"/>
                <w:szCs w:val="22"/>
                <w:rtl w:val="0"/>
                <w:lang w:val="en-US"/>
              </w:rPr>
              <w:t>Additionally</w:t>
            </w:r>
            <w:r>
              <w:rPr>
                <w:rFonts w:ascii="Arial" w:hAnsi="Arial"/>
                <w:sz w:val="22"/>
                <w:szCs w:val="22"/>
                <w:rtl w:val="0"/>
                <w:lang w:val="en-US"/>
              </w:rPr>
              <w:t>, participants will receive photocopies of online articles focusing on media portrayals of bullying victims. Careful selection will ensure that these online articles present diverse perspectives and examples from various sources, including reputable news outlets, online publications, and scholarly resources.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 xml:space="preserve">    </w:t>
            </w:r>
            <w:r>
              <w:rPr>
                <w:rFonts w:ascii="Arial" w:hAnsi="Arial"/>
                <w:sz w:val="22"/>
                <w:szCs w:val="22"/>
                <w:rtl w:val="0"/>
                <w:lang w:val="en-US"/>
              </w:rPr>
              <w:t>For the purpose of accurate data collection and analysis, the focus group sessions will be recorded using recording equipment such as digital audio recorders or smartphones with recording capabilities.</w:t>
            </w: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r>
              <w:rPr>
                <w:rFonts w:ascii="Arial" w:hAnsi="Arial"/>
                <w:b w:val="1"/>
                <w:bCs w:val="1"/>
                <w:sz w:val="22"/>
                <w:szCs w:val="22"/>
                <w:rtl w:val="0"/>
                <w:lang w:val="en-US"/>
              </w:rPr>
              <w:t>Procedure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r>
              <w:rPr>
                <w:rFonts w:ascii="Arial" w:hAnsi="Arial"/>
                <w:sz w:val="22"/>
                <w:szCs w:val="22"/>
                <w:rtl w:val="0"/>
                <w:lang w:val="en-US"/>
              </w:rPr>
              <w:t>Participants will be randomly assigned to groups. They will be seated in their allocated room and provided with printed media articles on the table. They will receive an information sheet, consent form, and demographic questionnaire, and be asked to consent to recording the discussion. Open-ended questions will be used, such as 'What is your understanding of bullying and social exclusion?' After the group discussion, end the session and thank the participants. A debriefing session will be offered to address concerns or emotional reactions.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lang w:val="en-US"/>
              </w:rPr>
            </w:pP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p>
          <w:p>
            <w:pPr>
              <w:pStyle w:val="Body"/>
              <w:rPr>
                <w:rFonts w:ascii="Arial" w:cs="Arial" w:hAnsi="Arial" w:eastAsia="Arial"/>
                <w:b w:val="1"/>
                <w:bCs w:val="1"/>
                <w:sz w:val="22"/>
                <w:szCs w:val="22"/>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rPr>
                <w:rFonts w:ascii="Arial" w:cs="Arial" w:hAnsi="Arial" w:eastAsia="Arial"/>
                <w:b w:val="1"/>
                <w:bCs w:val="1"/>
                <w:sz w:val="18"/>
                <w:szCs w:val="18"/>
                <w:lang w:val="en-US"/>
              </w:rPr>
            </w:pPr>
          </w:p>
          <w:p>
            <w:pPr>
              <w:pStyle w:val="Body"/>
            </w:pPr>
            <w:r>
              <w:rPr>
                <w:rFonts w:ascii="Arial" w:cs="Arial" w:hAnsi="Arial" w:eastAsia="Arial"/>
                <w:b w:val="1"/>
                <w:bCs w:val="1"/>
                <w:sz w:val="18"/>
                <w:szCs w:val="18"/>
                <w:lang w:val="en-US"/>
              </w:rPr>
            </w:r>
          </w:p>
        </w:tc>
      </w:tr>
    </w:tbl>
    <w:p>
      <w:pPr>
        <w:pStyle w:val="Body"/>
        <w:widowControl w:val="0"/>
        <w:rPr>
          <w:rFonts w:ascii="Arial" w:cs="Arial" w:hAnsi="Arial" w:eastAsia="Arial"/>
          <w:b w:val="1"/>
          <w:bCs w:val="1"/>
          <w:sz w:val="20"/>
          <w:szCs w:val="20"/>
        </w:rPr>
      </w:pPr>
    </w:p>
    <w:p>
      <w:pPr>
        <w:pStyle w:val="Body"/>
        <w:rPr>
          <w:rFonts w:ascii="Arial" w:cs="Arial" w:hAnsi="Arial" w:eastAsia="Arial"/>
          <w:b w:val="1"/>
          <w:bCs w:val="1"/>
        </w:rPr>
      </w:pPr>
    </w:p>
    <w:p>
      <w:pPr>
        <w:pStyle w:val="Body"/>
        <w:rPr>
          <w:rFonts w:ascii="Arial" w:cs="Arial" w:hAnsi="Arial" w:eastAsia="Arial"/>
          <w:b w:val="1"/>
          <w:bCs w:val="1"/>
          <w:sz w:val="20"/>
          <w:szCs w:val="20"/>
        </w:rPr>
      </w:pPr>
    </w:p>
    <w:p>
      <w:pPr>
        <w:pStyle w:val="Body"/>
        <w:rPr>
          <w:rFonts w:ascii="Arial" w:cs="Arial" w:hAnsi="Arial" w:eastAsia="Arial"/>
          <w:b w:val="1"/>
          <w:bCs w:val="1"/>
          <w:sz w:val="20"/>
          <w:szCs w:val="20"/>
          <w:u w:val="single"/>
        </w:rPr>
      </w:pPr>
      <w:r>
        <w:rPr>
          <w:rFonts w:ascii="Arial" w:hAnsi="Arial"/>
          <w:b w:val="1"/>
          <w:bCs w:val="1"/>
          <w:sz w:val="20"/>
          <w:szCs w:val="20"/>
          <w:u w:val="single"/>
          <w:rtl w:val="0"/>
          <w:lang w:val="en-US"/>
        </w:rPr>
        <w:t>Key Ethical considerations (150 words)</w:t>
      </w:r>
    </w:p>
    <w:p>
      <w:pPr>
        <w:pStyle w:val="Body"/>
        <w:rPr>
          <w:rFonts w:ascii="Arial" w:cs="Arial" w:hAnsi="Arial" w:eastAsia="Arial"/>
          <w:b w:val="1"/>
          <w:bCs w:val="1"/>
          <w:sz w:val="20"/>
          <w:szCs w:val="20"/>
          <w:u w:val="single"/>
        </w:rPr>
      </w:pPr>
    </w:p>
    <w:p>
      <w:pPr>
        <w:pStyle w:val="Body"/>
        <w:rPr>
          <w:sz w:val="4"/>
          <w:szCs w:val="4"/>
        </w:rPr>
      </w:pPr>
    </w:p>
    <w:tbl>
      <w:tblPr>
        <w:tblW w:w="103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0308"/>
      </w:tblGrid>
      <w:tr>
        <w:tblPrEx>
          <w:shd w:val="clear" w:color="auto" w:fill="d0ddef"/>
        </w:tblPrEx>
        <w:trPr>
          <w:trHeight w:val="10962"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Pr>
                <w:rFonts w:ascii="Arial" w:hAnsi="Arial"/>
                <w:i w:val="1"/>
                <w:iCs w:val="1"/>
                <w:sz w:val="22"/>
                <w:szCs w:val="22"/>
                <w:u w:val="single"/>
                <w:shd w:val="nil" w:color="auto" w:fill="auto"/>
                <w:rtl w:val="0"/>
                <w:lang w:val="en-US"/>
              </w:rPr>
              <w:t>additional or specific key ethical considerations</w:t>
            </w:r>
            <w:r>
              <w:rPr>
                <w:rFonts w:ascii="Arial" w:hAnsi="Arial"/>
                <w:i w:val="1"/>
                <w:iCs w:val="1"/>
                <w:sz w:val="22"/>
                <w:szCs w:val="22"/>
                <w:shd w:val="nil" w:color="auto" w:fill="auto"/>
                <w:rtl w:val="0"/>
                <w:lang w:val="en-US"/>
              </w:rPr>
              <w:t xml:space="preserve"> for your particular project e.g. potential for distress or discomfort, any deception, research with vulnerable populations or sensitive topic areas, and briefly outline how you expect to manage these risks within your project.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shd w:val="nil" w:color="auto" w:fill="auto"/>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C</w:t>
            </w:r>
            <w:r>
              <w:rPr>
                <w:rFonts w:ascii="Arial" w:hAnsi="Arial"/>
                <w:sz w:val="22"/>
                <w:szCs w:val="22"/>
                <w:rtl w:val="0"/>
                <w:lang w:val="en-US"/>
              </w:rPr>
              <w:t>onfidentiality cannot be guaranteed. The consent form will state that participants agree to maintain anonymity and confidentiality when they sign. Participants will be made aware that their input can be reduced by request.</w:t>
            </w:r>
            <w:r>
              <w:rPr>
                <w:rFonts w:ascii="Arial" w:hAnsi="Arial"/>
                <w:sz w:val="22"/>
                <w:szCs w:val="22"/>
                <w:rtl w:val="0"/>
                <w:lang w:val="en-US"/>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  </w:t>
            </w:r>
            <w:r>
              <w:rPr>
                <w:rFonts w:ascii="Arial" w:hAnsi="Arial"/>
                <w:sz w:val="22"/>
                <w:szCs w:val="22"/>
                <w:rtl w:val="0"/>
                <w:lang w:val="en-US"/>
              </w:rPr>
              <w:t>Participant well-being is a priority, as discussions on the perceptions of vulnerable individuals may evoke distressing emotions</w:t>
            </w:r>
            <w:r>
              <w:rPr>
                <w:rFonts w:ascii="Arial" w:hAnsi="Arial"/>
                <w:sz w:val="22"/>
                <w:szCs w:val="22"/>
                <w:rtl w:val="0"/>
                <w:lang w:val="en-US"/>
              </w:rPr>
              <w:t>. T</w:t>
            </w:r>
            <w:r>
              <w:rPr>
                <w:rFonts w:ascii="Arial" w:hAnsi="Arial"/>
                <w:sz w:val="22"/>
                <w:szCs w:val="22"/>
                <w:rtl w:val="0"/>
                <w:lang w:val="en-US"/>
              </w:rPr>
              <w:t xml:space="preserve">o mitigate this, the recruitment system will clearly state that sign-ups are not advised if there is a risk of negative impact. Additionally, participants will be reminded of this during the information sheet stage. The consent form will provide explicit details about participants' </w:t>
            </w:r>
            <w:r>
              <w:rPr>
                <w:rFonts w:ascii="Arial" w:hAnsi="Arial"/>
                <w:sz w:val="22"/>
                <w:szCs w:val="22"/>
                <w:rtl w:val="0"/>
                <w:lang w:val="en-US"/>
              </w:rPr>
              <w:t xml:space="preserve">expectations </w:t>
            </w:r>
            <w:r>
              <w:rPr>
                <w:rFonts w:ascii="Arial" w:hAnsi="Arial"/>
                <w:sz w:val="22"/>
                <w:szCs w:val="22"/>
                <w:rtl w:val="0"/>
                <w:lang w:val="en-US"/>
              </w:rPr>
              <w:t>and their right to withdraw, enabling them to give fully informed consent. In the event that a participant becomes distressed, the focus group will be paused</w:t>
            </w:r>
            <w:r>
              <w:rPr>
                <w:rFonts w:ascii="Arial" w:hAnsi="Arial"/>
                <w:sz w:val="22"/>
                <w:szCs w:val="22"/>
                <w:rtl w:val="0"/>
                <w:lang w:val="en-US"/>
              </w:rPr>
              <w:t>.</w:t>
            </w:r>
            <w:r>
              <w:rPr>
                <w:rFonts w:ascii="Arial" w:hAnsi="Arial"/>
                <w:sz w:val="22"/>
                <w:szCs w:val="22"/>
                <w:rtl w:val="0"/>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     </w:t>
            </w:r>
            <w:r>
              <w:rPr>
                <w:rFonts w:ascii="Arial" w:hAnsi="Arial"/>
                <w:sz w:val="22"/>
                <w:szCs w:val="22"/>
                <w:rtl w:val="0"/>
                <w:lang w:val="en-US"/>
              </w:rPr>
              <w:t xml:space="preserve">Power dynamics within the focus group </w:t>
            </w:r>
            <w:r>
              <w:rPr>
                <w:rFonts w:ascii="Arial" w:hAnsi="Arial"/>
                <w:sz w:val="22"/>
                <w:szCs w:val="22"/>
                <w:rtl w:val="0"/>
                <w:lang w:val="en-US"/>
              </w:rPr>
              <w:t xml:space="preserve">will </w:t>
            </w:r>
            <w:r>
              <w:rPr>
                <w:rFonts w:ascii="Arial" w:hAnsi="Arial"/>
                <w:sz w:val="22"/>
                <w:szCs w:val="22"/>
                <w:rtl w:val="0"/>
                <w:lang w:val="en-US"/>
              </w:rPr>
              <w:t>be carefully managed, allowing all participants to express their opinions without judgment.</w:t>
            </w:r>
            <w:r>
              <w:rPr>
                <w:rFonts w:ascii="Arial" w:hAnsi="Arial"/>
                <w:sz w:val="22"/>
                <w:szCs w:val="22"/>
                <w:rtl w:val="0"/>
                <w:lang w:val="en-US"/>
              </w:rPr>
              <w:t xml:space="preserve"> </w:t>
            </w:r>
            <w:r>
              <w:rPr>
                <w:rFonts w:ascii="Arial" w:hAnsi="Arial"/>
                <w:sz w:val="22"/>
                <w:szCs w:val="22"/>
                <w:rtl w:val="0"/>
                <w:lang w:val="en-US"/>
              </w:rPr>
              <w:t xml:space="preserve">Establishing ground rules at the beginning </w:t>
            </w:r>
            <w:r>
              <w:rPr>
                <w:rFonts w:ascii="Arial" w:hAnsi="Arial"/>
                <w:sz w:val="22"/>
                <w:szCs w:val="22"/>
                <w:rtl w:val="0"/>
                <w:lang w:val="en-US"/>
              </w:rPr>
              <w:t>will</w:t>
            </w:r>
            <w:r>
              <w:rPr>
                <w:rFonts w:ascii="Arial" w:hAnsi="Arial"/>
                <w:sz w:val="22"/>
                <w:szCs w:val="22"/>
                <w:rtl w:val="0"/>
                <w:lang w:val="en-US"/>
              </w:rPr>
              <w:t xml:space="preserve"> help set expectations for respectful and inclusive communication. These rules may include allowing everyone to finish speaking before responding, and respecting diverse viewpoints</w:t>
            </w:r>
            <w:r>
              <w:rPr>
                <w:rFonts w:ascii="Arial" w:hAnsi="Arial"/>
                <w:sz w:val="22"/>
                <w:szCs w:val="22"/>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 w:val="left" w:pos="10080"/>
              </w:tabs>
              <w:bidi w:val="0"/>
              <w:spacing w:before="0" w:line="240" w:lineRule="auto"/>
              <w:ind w:left="0" w:right="0" w:firstLine="0"/>
              <w:jc w:val="left"/>
              <w:rPr>
                <w:rFonts w:ascii="Arial" w:cs="Arial" w:hAnsi="Arial" w:eastAsia="Arial"/>
                <w:sz w:val="22"/>
                <w:szCs w:val="22"/>
                <w:shd w:val="nil" w:color="auto" w:fill="auto"/>
                <w:rtl w:val="0"/>
                <w:lang w:val="en-US"/>
              </w:rPr>
            </w:pPr>
            <w:r>
              <w:rPr>
                <w:sz w:val="22"/>
                <w:szCs w:val="22"/>
                <w:rtl w:val="0"/>
                <w:lang w:val="en-US"/>
              </w:rPr>
              <w:t xml:space="preserve">    </w:t>
            </w:r>
            <w:r>
              <w:rPr>
                <w:sz w:val="22"/>
                <w:szCs w:val="22"/>
                <w:rtl w:val="0"/>
                <w:lang w:val="en-US"/>
              </w:rPr>
              <w:t>To ensure the security of participant data, the following measures will be implemented: audio data will be transferred to a secure location, and the original recordings deleted. Electronic data, including recordings and typed transcripts, will be stored on OneDrive with password protection. Physical copies of data, such as printed transcripts and consent forms, will be securely stored in a locked cupboard, with printed transcripts and consent forms kept separatel</w:t>
            </w:r>
            <w:r>
              <w:rPr>
                <w:sz w:val="22"/>
                <w:szCs w:val="22"/>
                <w:rtl w:val="0"/>
                <w:lang w:val="en-US"/>
              </w:rPr>
              <w:t xml:space="preserve">y. </w:t>
            </w: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rPr>
                <w:rFonts w:ascii="Arial" w:cs="Arial" w:hAnsi="Arial" w:eastAsia="Arial"/>
                <w:b w:val="1"/>
                <w:bCs w:val="1"/>
                <w:shd w:val="nil" w:color="auto" w:fill="auto"/>
                <w:lang w:val="en-US"/>
              </w:rPr>
            </w:pPr>
          </w:p>
          <w:p>
            <w:pPr>
              <w:pStyle w:val="Body"/>
            </w:pPr>
            <w:r>
              <w:rPr>
                <w:rFonts w:ascii="Arial" w:cs="Arial" w:hAnsi="Arial" w:eastAsia="Arial"/>
                <w:b w:val="1"/>
                <w:bCs w:val="1"/>
                <w:shd w:val="nil" w:color="auto" w:fill="auto"/>
                <w:lang w:val="en-US"/>
              </w:rPr>
            </w:r>
          </w:p>
        </w:tc>
      </w:tr>
      <w:tr>
        <w:tblPrEx>
          <w:shd w:val="clear" w:color="auto" w:fill="d0ddef"/>
        </w:tblPrEx>
        <w:trPr>
          <w:trHeight w:val="243"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243" w:hRule="atLeast"/>
        </w:trPr>
        <w:tc>
          <w:tcPr>
            <w:tcW w:type="dxa" w:w="103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rPr>
          <w:sz w:val="4"/>
          <w:szCs w:val="4"/>
        </w:rPr>
      </w:pPr>
    </w:p>
    <w:p>
      <w:pPr>
        <w:pStyle w:val="Body"/>
        <w:rPr>
          <w:sz w:val="8"/>
          <w:szCs w:val="8"/>
        </w:rPr>
      </w:pPr>
    </w:p>
    <w:p>
      <w:pPr>
        <w:pStyle w:val="Body"/>
      </w:pPr>
      <w:r>
        <w:rPr>
          <w:rFonts w:ascii="Arial" w:cs="Arial" w:hAnsi="Arial" w:eastAsia="Arial"/>
          <w:b w:val="1"/>
          <w:bCs w:val="1"/>
        </w:rPr>
      </w:r>
    </w:p>
    <w:sectPr>
      <w:headerReference w:type="default" r:id="rId5"/>
      <w:headerReference w:type="first" r:id="rId6"/>
      <w:footerReference w:type="default" r:id="rId7"/>
      <w:footerReference w:type="first" r:id="rId8"/>
      <w:pgSz w:w="11900" w:h="16840" w:orient="portrait"/>
      <w:pgMar w:top="567" w:right="794" w:bottom="397" w:left="794" w:header="709" w:footer="709"/>
      <w:pgNumType w:start="6"/>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MU ARIAL 14 BOLD">
    <w:name w:val="SMU ARIAL 14 BOLD"/>
    <w:next w:val="SMU ARIAL 14 BOLD"/>
    <w:pPr>
      <w:keepNext w:val="0"/>
      <w:keepLines w:val="0"/>
      <w:pageBreakBefore w:val="0"/>
      <w:widowControl w:val="1"/>
      <w:shd w:val="clear" w:color="auto" w:fill="auto"/>
      <w:suppressAutoHyphens w:val="0"/>
      <w:bidi w:val="0"/>
      <w:spacing w:before="240" w:after="0" w:line="240" w:lineRule="auto"/>
      <w:ind w:left="0" w:right="0" w:firstLine="0"/>
      <w:jc w:val="left"/>
      <w:outlineLvl w:val="9"/>
    </w:pPr>
    <w:rPr>
      <w:rFonts w:ascii="Arial" w:cs="Arial Unicode MS" w:hAnsi="Arial" w:eastAsia="Arial Unicode MS"/>
      <w:b w:val="1"/>
      <w:bCs w:val="1"/>
      <w:i w:val="0"/>
      <w:iCs w:val="0"/>
      <w:caps w:val="1"/>
      <w:strike w:val="0"/>
      <w:dstrike w:val="0"/>
      <w:outline w:val="0"/>
      <w:color w:val="000000"/>
      <w:spacing w:val="0"/>
      <w:kern w:val="32"/>
      <w:position w:val="0"/>
      <w:sz w:val="28"/>
      <w:szCs w:val="28"/>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