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20" w:right="-20" w:firstLine="0"/>
        <w:jc w:val="center"/>
        <w:rPr/>
      </w:pPr>
      <w:r w:rsidDel="00000000" w:rsidR="00000000" w:rsidRPr="00000000">
        <w:rPr>
          <w:rFonts w:ascii="Arial" w:cs="Arial" w:eastAsia="Arial" w:hAnsi="Arial"/>
          <w:b w:val="1"/>
          <w:sz w:val="28"/>
          <w:szCs w:val="28"/>
          <w:rtl w:val="0"/>
        </w:rPr>
        <w:t xml:space="preserve">Discuss whether the Offences Against the Person Act [1861] is suitable for use within a modern society when considering non-fatal offences against a person.</w:t>
      </w:r>
      <w:r w:rsidDel="00000000" w:rsidR="00000000" w:rsidRPr="00000000">
        <w:rPr>
          <w:rtl w:val="0"/>
        </w:rPr>
      </w:r>
    </w:p>
    <w:p w:rsidR="00000000" w:rsidDel="00000000" w:rsidP="00000000" w:rsidRDefault="00000000" w:rsidRPr="00000000" w14:paraId="00000002">
      <w:pPr>
        <w:rPr>
          <w:rFonts w:ascii="system-ui" w:cs="system-ui" w:eastAsia="system-ui" w:hAnsi="system-ui"/>
          <w:b w:val="0"/>
          <w:i w:val="0"/>
          <w:smallCaps w:val="0"/>
          <w:color w:val="0d0d0d"/>
          <w:sz w:val="24"/>
          <w:szCs w:val="24"/>
        </w:rPr>
      </w:pPr>
      <w:r w:rsidDel="00000000" w:rsidR="00000000" w:rsidRPr="00000000">
        <w:rPr>
          <w:rtl w:val="0"/>
        </w:rPr>
      </w:r>
    </w:p>
    <w:p w:rsidR="00000000" w:rsidDel="00000000" w:rsidP="00000000" w:rsidRDefault="00000000" w:rsidRPr="00000000" w14:paraId="00000003">
      <w:pPr>
        <w:rPr>
          <w:rFonts w:ascii="system-ui" w:cs="system-ui" w:eastAsia="system-ui" w:hAnsi="system-ui"/>
          <w:b w:val="0"/>
          <w:i w:val="0"/>
          <w:smallCaps w:val="0"/>
          <w:color w:val="0d0d0d"/>
          <w:sz w:val="24"/>
          <w:szCs w:val="24"/>
        </w:rPr>
      </w:pPr>
      <w:r w:rsidDel="00000000" w:rsidR="00000000" w:rsidRPr="00000000">
        <w:rPr>
          <w:rtl w:val="0"/>
        </w:rPr>
      </w:r>
    </w:p>
    <w:p w:rsidR="00000000" w:rsidDel="00000000" w:rsidP="00000000" w:rsidRDefault="00000000" w:rsidRPr="00000000" w14:paraId="00000004">
      <w:pPr>
        <w:rPr>
          <w:rFonts w:ascii="system-ui" w:cs="system-ui" w:eastAsia="system-ui" w:hAnsi="system-ui"/>
          <w:b w:val="0"/>
          <w:i w:val="0"/>
          <w:smallCaps w:val="0"/>
          <w:color w:val="0d0d0d"/>
          <w:sz w:val="24"/>
          <w:szCs w:val="24"/>
        </w:rPr>
      </w:pPr>
      <w:r w:rsidDel="00000000" w:rsidR="00000000" w:rsidRPr="00000000">
        <w:rPr>
          <w:rFonts w:ascii="system-ui" w:cs="system-ui" w:eastAsia="system-ui" w:hAnsi="system-ui"/>
          <w:b w:val="0"/>
          <w:i w:val="0"/>
          <w:smallCaps w:val="0"/>
          <w:color w:val="0d0d0d"/>
          <w:sz w:val="24"/>
          <w:szCs w:val="24"/>
          <w:rtl w:val="0"/>
        </w:rPr>
        <w:t xml:space="preserve">The Offences Against the Person Act [1861] (OAPA) has been considered one of the founding documents of English criminal law for a long time. It governs non-fatal offenses against individuals. Others, however, have questioned its continued relevance in resolving today's problems given that social norms have evolved throughout time. This essay offers a critical evaluation of the OAPA's relevance in today's world.  </w:t>
      </w:r>
    </w:p>
    <w:p w:rsidR="00000000" w:rsidDel="00000000" w:rsidP="00000000" w:rsidRDefault="00000000" w:rsidRPr="00000000" w14:paraId="00000005">
      <w:pPr>
        <w:ind w:left="0" w:firstLine="0"/>
        <w:rPr>
          <w:rFonts w:ascii="system-ui" w:cs="system-ui" w:eastAsia="system-ui" w:hAnsi="system-ui"/>
          <w:b w:val="0"/>
          <w:i w:val="0"/>
          <w:smallCaps w:val="0"/>
          <w:color w:val="0d0d0d"/>
          <w:sz w:val="24"/>
          <w:szCs w:val="24"/>
        </w:rPr>
      </w:pPr>
      <w:r w:rsidDel="00000000" w:rsidR="00000000" w:rsidRPr="00000000">
        <w:rPr>
          <w:rtl w:val="0"/>
        </w:rPr>
      </w:r>
    </w:p>
    <w:p w:rsidR="00000000" w:rsidDel="00000000" w:rsidP="00000000" w:rsidRDefault="00000000" w:rsidRPr="00000000" w14:paraId="00000006">
      <w:pPr>
        <w:ind w:left="0" w:firstLine="0"/>
        <w:rPr/>
      </w:pPr>
      <w:r w:rsidDel="00000000" w:rsidR="00000000" w:rsidRPr="00000000">
        <w:rPr>
          <w:rFonts w:ascii="system-ui" w:cs="system-ui" w:eastAsia="system-ui" w:hAnsi="system-ui"/>
          <w:sz w:val="24"/>
          <w:szCs w:val="24"/>
          <w:rtl w:val="0"/>
        </w:rPr>
        <w:t xml:space="preserve">The OAPA's outdated and ambiguous wording is frequently criticized for making it difficult to read and apply in contemporary legal situations. There is a lack of exact definitions for terms like "actual bodily harm" and "grievous bodily harm," which could result in inconsistent outcomes and leave judges with discretion. For instance, the Court of Appeal attempted to define "bodily harm" as any injury or hurt that affected the victim's comfort or health in the case of R v. Chan-Fook [1994]. But these arbitrary interpretations could lead to different results and less legal certainty.</w:t>
      </w:r>
      <w:r w:rsidDel="00000000" w:rsidR="00000000" w:rsidRPr="00000000">
        <w:rPr>
          <w:rtl w:val="0"/>
        </w:rPr>
      </w:r>
    </w:p>
    <w:p w:rsidR="00000000" w:rsidDel="00000000" w:rsidP="00000000" w:rsidRDefault="00000000" w:rsidRPr="00000000" w14:paraId="00000007">
      <w:pPr>
        <w:rPr>
          <w:rFonts w:ascii="system-ui" w:cs="system-ui" w:eastAsia="system-ui" w:hAnsi="system-ui"/>
          <w:b w:val="0"/>
          <w:i w:val="1"/>
          <w:smallCaps w:val="0"/>
          <w:color w:val="0d0d0d"/>
          <w:sz w:val="24"/>
          <w:szCs w:val="24"/>
        </w:rPr>
      </w:pPr>
      <w:r w:rsidDel="00000000" w:rsidR="00000000" w:rsidRPr="00000000">
        <w:rPr>
          <w:rFonts w:ascii="system-ui" w:cs="system-ui" w:eastAsia="system-ui" w:hAnsi="system-ui"/>
          <w:sz w:val="24"/>
          <w:szCs w:val="24"/>
          <w:rtl w:val="0"/>
        </w:rPr>
        <w:t xml:space="preserve">Despite these difficulties, supporters of the Act contend that court interpretation and its flexibility have guaranteed its ongoing applicability. Furthermore, crucial to contemporary legal standards are the underlying ideas of the Act, such as the requirement of mea rea in criminal culpability. The Law Commission has suggested modernizing and streamlining wording in order to improve the Act's use and relevance in modern legal settings. </w:t>
      </w:r>
      <w:r w:rsidDel="00000000" w:rsidR="00000000" w:rsidRPr="00000000">
        <w:rPr>
          <w:rFonts w:ascii="system-ui" w:cs="system-ui" w:eastAsia="system-ui" w:hAnsi="system-ui"/>
          <w:b w:val="0"/>
          <w:i w:val="1"/>
          <w:smallCaps w:val="0"/>
          <w:color w:val="0d0d0d"/>
          <w:sz w:val="24"/>
          <w:szCs w:val="24"/>
          <w:rtl w:val="0"/>
        </w:rPr>
        <w:t xml:space="preserve">Whether the offenses listed in the OAPA are still relevant in today's society is another thing to think about. Certain provisions, such those pertaining to challenges to combat and dueling, are criticized for being out of date and unnecessary in today's judicial systems. For instance, section 72 of the Act's "challenging to fight" offense is hardly ever prosecuted and might even be considered obsolete in today's world.</w:t>
      </w:r>
    </w:p>
    <w:p w:rsidR="00000000" w:rsidDel="00000000" w:rsidP="00000000" w:rsidRDefault="00000000" w:rsidRPr="00000000" w14:paraId="00000008">
      <w:pPr>
        <w:rPr/>
      </w:pPr>
      <w:r w:rsidDel="00000000" w:rsidR="00000000" w:rsidRPr="00000000">
        <w:rPr>
          <w:rFonts w:ascii="system-ui" w:cs="system-ui" w:eastAsia="system-ui" w:hAnsi="system-ui"/>
          <w:sz w:val="24"/>
          <w:szCs w:val="24"/>
          <w:rtl w:val="0"/>
        </w:rPr>
        <w:t xml:space="preserve">On the other hand, proponents of the Act argue that, notwithstanding certain changes, many of its provisions still address pertinent issues. For example, the prosecution of violent acts that inflict hurt but do not result in grievous bodily harm still heavily relies on the charge of assault causing actual bodily harm (section 47). Furthermore, as demonstrated in Ireland v. Burstow [1997], the Act's provisions on harassment and stalking show how flexible it is to new types of harm, like cyberstalking and online harassment.</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Fonts w:ascii="system-ui" w:cs="system-ui" w:eastAsia="system-ui" w:hAnsi="system-ui"/>
          <w:sz w:val="24"/>
          <w:szCs w:val="24"/>
          <w:rtl w:val="0"/>
        </w:rPr>
        <w:t xml:space="preserve">The OAPA's imprecise classification of infractions and related penalties creates additional challenges. The Act does not clearly distinguish between a variety of offenses, ranging from minor assaults to serious physical harm. This uncertainty can result in inconsistent punishment and perceived injustices, as demonstrated in cases like R v. Bollom [2004], where sentencing variations were based on the seriousness of the injury perpetrated.</w:t>
      </w:r>
      <w:r w:rsidDel="00000000" w:rsidR="00000000" w:rsidRPr="00000000">
        <w:rPr>
          <w:rtl w:val="0"/>
        </w:rPr>
      </w:r>
    </w:p>
    <w:p w:rsidR="00000000" w:rsidDel="00000000" w:rsidP="00000000" w:rsidRDefault="00000000" w:rsidRPr="00000000" w14:paraId="0000000B">
      <w:pPr>
        <w:rPr/>
      </w:pPr>
      <w:r w:rsidDel="00000000" w:rsidR="00000000" w:rsidRPr="00000000">
        <w:rPr>
          <w:rFonts w:ascii="system-ui" w:cs="system-ui" w:eastAsia="system-ui" w:hAnsi="system-ui"/>
          <w:sz w:val="24"/>
          <w:szCs w:val="24"/>
          <w:rtl w:val="0"/>
        </w:rPr>
        <w:t xml:space="preserve">In an attempt to address this issue, the Law Commission recommends codifying sentence guidelines to improve consistency and clarity in court decisions. Clear sentencing standards can help courts reach fair and equitable verdicts for a variety of non-fatal offenses.</w:t>
      </w:r>
      <w:r w:rsidDel="00000000" w:rsidR="00000000" w:rsidRPr="00000000">
        <w:rPr>
          <w:rtl w:val="0"/>
        </w:rPr>
      </w:r>
    </w:p>
    <w:p w:rsidR="00000000" w:rsidDel="00000000" w:rsidP="00000000" w:rsidRDefault="00000000" w:rsidRPr="00000000" w14:paraId="0000000C">
      <w:pPr>
        <w:rPr/>
      </w:pPr>
      <w:r w:rsidDel="00000000" w:rsidR="00000000" w:rsidRPr="00000000">
        <w:rPr>
          <w:rFonts w:ascii="system-ui" w:cs="system-ui" w:eastAsia="system-ui" w:hAnsi="system-ui"/>
          <w:sz w:val="24"/>
          <w:szCs w:val="24"/>
          <w:rtl w:val="0"/>
        </w:rPr>
        <w:t xml:space="preserve">Beyond linguistic obstacles and ambiguous hierarchies, technology advancements have created new kinds of injury and challenges for the legal system. Given that the OAPA was enacted much before digital technology was developed, it may not adequately address modern forms of harm including cyberbullying, revenge porn, and online harassment. The need to create legal frameworks that may change to reflect shifting societal dynamics and technological advancements is highlighted by these new issues.</w:t>
      </w:r>
      <w:r w:rsidDel="00000000" w:rsidR="00000000" w:rsidRPr="00000000">
        <w:rPr>
          <w:rtl w:val="0"/>
        </w:rPr>
      </w:r>
    </w:p>
    <w:p w:rsidR="00000000" w:rsidDel="00000000" w:rsidP="00000000" w:rsidRDefault="00000000" w:rsidRPr="00000000" w14:paraId="0000000D">
      <w:pPr>
        <w:rPr/>
      </w:pPr>
      <w:r w:rsidDel="00000000" w:rsidR="00000000" w:rsidRPr="00000000">
        <w:rPr>
          <w:rFonts w:ascii="system-ui" w:cs="system-ui" w:eastAsia="system-ui" w:hAnsi="system-ui"/>
          <w:sz w:val="24"/>
          <w:szCs w:val="24"/>
          <w:rtl w:val="0"/>
        </w:rPr>
        <w:t xml:space="preserve">The OAPA's detractors claim that it does not adequately handle these new types of injuries. The Act's definition of assault and battery, for instance, might not fully take into consideration the complexities of cyberbullying and online harassment, which involve psychological harm done without physical contact. Consequently, it might be challenging to prosecute such offenses under the Act, and the penalties might not be appropriate.</w:t>
      </w:r>
      <w:r w:rsidDel="00000000" w:rsidR="00000000" w:rsidRPr="00000000">
        <w:rPr>
          <w:rtl w:val="0"/>
        </w:rPr>
      </w:r>
    </w:p>
    <w:p w:rsidR="00000000" w:rsidDel="00000000" w:rsidP="00000000" w:rsidRDefault="00000000" w:rsidRPr="00000000" w14:paraId="0000000E">
      <w:pPr>
        <w:rPr>
          <w:rFonts w:ascii="system-ui" w:cs="system-ui" w:eastAsia="system-ui" w:hAnsi="system-ui"/>
          <w:sz w:val="24"/>
          <w:szCs w:val="24"/>
        </w:rPr>
      </w:pPr>
      <w:r w:rsidDel="00000000" w:rsidR="00000000" w:rsidRPr="00000000">
        <w:rPr>
          <w:rFonts w:ascii="system-ui" w:cs="system-ui" w:eastAsia="system-ui" w:hAnsi="system-ui"/>
          <w:sz w:val="24"/>
          <w:szCs w:val="24"/>
          <w:rtl w:val="0"/>
        </w:rPr>
        <w:t xml:space="preserve">However, the Act's supporters argue that because of its flexible and wide-ranging language, judges are free to interpret it to cover recently identified categories of harm. It has been demonstrated that courts are adaptable in their application of long-standing legal theories to new problems. The House of Lords, for example, decided in R v. Saunders [1985] that</w:t>
      </w:r>
    </w:p>
    <w:p w:rsidR="00000000" w:rsidDel="00000000" w:rsidP="00000000" w:rsidRDefault="00000000" w:rsidRPr="00000000" w14:paraId="0000000F">
      <w:pPr>
        <w:rPr/>
      </w:pPr>
      <w:r w:rsidDel="00000000" w:rsidR="00000000" w:rsidRPr="00000000">
        <w:rPr>
          <w:rFonts w:ascii="system-ui" w:cs="system-ui" w:eastAsia="system-ui" w:hAnsi="system-ui"/>
          <w:sz w:val="24"/>
          <w:szCs w:val="24"/>
          <w:rtl w:val="0"/>
        </w:rPr>
        <w:t xml:space="preserve">According to the Act, psychological harm, including psychiatric injury, may qualify as bodily harm. This broad interpretation shows how the Act might be amended to reflect changing legal and social norms.</w:t>
      </w:r>
      <w:r w:rsidDel="00000000" w:rsidR="00000000" w:rsidRPr="00000000">
        <w:rPr>
          <w:rtl w:val="0"/>
        </w:rPr>
      </w:r>
    </w:p>
    <w:p w:rsidR="00000000" w:rsidDel="00000000" w:rsidP="00000000" w:rsidRDefault="00000000" w:rsidRPr="00000000" w14:paraId="00000010">
      <w:pPr>
        <w:rPr/>
      </w:pPr>
      <w:r w:rsidDel="00000000" w:rsidR="00000000" w:rsidRPr="00000000">
        <w:rPr>
          <w:rFonts w:ascii="system-ui" w:cs="system-ui" w:eastAsia="system-ui" w:hAnsi="system-ui"/>
          <w:b w:val="0"/>
          <w:i w:val="0"/>
          <w:smallCaps w:val="0"/>
          <w:color w:val="0d0d0d"/>
          <w:sz w:val="24"/>
          <w:szCs w:val="24"/>
          <w:rtl w:val="0"/>
        </w:rPr>
        <w:t xml:space="preserve"> </w:t>
      </w:r>
      <w:r w:rsidDel="00000000" w:rsidR="00000000" w:rsidRPr="00000000">
        <w:rPr>
          <w:rFonts w:ascii="system-ui" w:cs="system-ui" w:eastAsia="system-ui" w:hAnsi="system-ui"/>
          <w:sz w:val="24"/>
          <w:szCs w:val="24"/>
          <w:rtl w:val="0"/>
        </w:rPr>
        <w:t xml:space="preserve">The Law Commission is essential in assessing and suggesting changes to antiquated laws, such as the OAPA. The Law Commission identified a number of potential reform areas in its 2015 report on the reform of offenses against the person, including the updating of sentencing criteria, the codification of offenses, and the explanation of language.</w:t>
      </w:r>
      <w:r w:rsidDel="00000000" w:rsidR="00000000" w:rsidRPr="00000000">
        <w:rPr>
          <w:rtl w:val="0"/>
        </w:rPr>
      </w:r>
    </w:p>
    <w:p w:rsidR="00000000" w:rsidDel="00000000" w:rsidP="00000000" w:rsidRDefault="00000000" w:rsidRPr="00000000" w14:paraId="00000011">
      <w:pPr>
        <w:rPr/>
      </w:pPr>
      <w:r w:rsidDel="00000000" w:rsidR="00000000" w:rsidRPr="00000000">
        <w:rPr>
          <w:rFonts w:ascii="system-ui" w:cs="system-ui" w:eastAsia="system-ui" w:hAnsi="system-ui"/>
          <w:b w:val="0"/>
          <w:i w:val="0"/>
          <w:smallCaps w:val="0"/>
          <w:color w:val="0d0d0d"/>
          <w:sz w:val="24"/>
          <w:szCs w:val="24"/>
          <w:rtl w:val="0"/>
        </w:rPr>
        <w:t xml:space="preserve">One of the key recommendations of the Law Commission is the codification of offences, which would involve consolidating and modernizing existing legislation to provide clarity and coherence in the law. Codification would address the piecemeal nature of current legislation, where offences are dispersed across various statutes, leading to confusion and inconsistency in application.</w:t>
      </w:r>
      <w:r w:rsidDel="00000000" w:rsidR="00000000" w:rsidRPr="00000000">
        <w:rPr>
          <w:rtl w:val="0"/>
        </w:rPr>
      </w:r>
    </w:p>
    <w:p w:rsidR="00000000" w:rsidDel="00000000" w:rsidP="00000000" w:rsidRDefault="00000000" w:rsidRPr="00000000" w14:paraId="00000012">
      <w:pPr>
        <w:rPr/>
      </w:pPr>
      <w:r w:rsidDel="00000000" w:rsidR="00000000" w:rsidRPr="00000000">
        <w:rPr>
          <w:rFonts w:ascii="system-ui" w:cs="system-ui" w:eastAsia="system-ui" w:hAnsi="system-ui"/>
          <w:sz w:val="24"/>
          <w:szCs w:val="24"/>
          <w:rtl w:val="0"/>
        </w:rPr>
        <w:t xml:space="preserve">In addition, the Law Commission suggested standardizing terminology to guarantee that legal terms be explained precisely and consistently. This would improve the law's accessibility and enable more predictable courtroom decisions. Modern sentencing guidelines would also give judges precise standards to use when deciding on suitable sentences, which would encourage uniformity and justice in sentencing. </w:t>
      </w:r>
      <w:r w:rsidDel="00000000" w:rsidR="00000000" w:rsidRPr="00000000">
        <w:rPr>
          <w:rtl w:val="0"/>
        </w:rPr>
      </w:r>
    </w:p>
    <w:p w:rsidR="00000000" w:rsidDel="00000000" w:rsidP="00000000" w:rsidRDefault="00000000" w:rsidRPr="00000000" w14:paraId="00000013">
      <w:pPr>
        <w:rPr/>
      </w:pPr>
      <w:r w:rsidDel="00000000" w:rsidR="00000000" w:rsidRPr="00000000">
        <w:rPr>
          <w:rFonts w:ascii="system-ui" w:cs="system-ui" w:eastAsia="system-ui" w:hAnsi="system-ui"/>
          <w:sz w:val="24"/>
          <w:szCs w:val="24"/>
          <w:rtl w:val="0"/>
        </w:rPr>
        <w:t xml:space="preserve">The public's opinion of and faith in the legal system are also influenced by the OAPA's perceived relevance and efficacy. Laws that are too old could make people less confident in the legal system's capacity to deal with modern issues. Moreover, the legitimacy and apparent justice of judicial judgments may be compromised by contradictions and ambiguities in the law.</w:t>
      </w:r>
      <w:r w:rsidDel="00000000" w:rsidR="00000000" w:rsidRPr="00000000">
        <w:rPr>
          <w:rtl w:val="0"/>
        </w:rPr>
      </w:r>
    </w:p>
    <w:p w:rsidR="00000000" w:rsidDel="00000000" w:rsidP="00000000" w:rsidRDefault="00000000" w:rsidRPr="00000000" w14:paraId="00000014">
      <w:pPr>
        <w:rPr/>
      </w:pPr>
      <w:r w:rsidDel="00000000" w:rsidR="00000000" w:rsidRPr="00000000">
        <w:rPr>
          <w:rFonts w:ascii="system-ui" w:cs="system-ui" w:eastAsia="system-ui" w:hAnsi="system-ui"/>
          <w:sz w:val="24"/>
          <w:szCs w:val="24"/>
          <w:rtl w:val="0"/>
        </w:rPr>
        <w:t xml:space="preserve">Critics contend that the persistent use of antiquated laws erodes the legitimacy of the legal system and could discourage people from pursuing legal action to make up for losses they have suffered. There may be wider societal repercussions from this lack of faith in the legal system, such as a decline in respect for the rule of law and a reduction in collaboration with law enforcement.</w:t>
      </w:r>
      <w:r w:rsidDel="00000000" w:rsidR="00000000" w:rsidRPr="00000000">
        <w:rPr>
          <w:rtl w:val="0"/>
        </w:rPr>
      </w:r>
    </w:p>
    <w:p w:rsidR="00000000" w:rsidDel="00000000" w:rsidP="00000000" w:rsidRDefault="00000000" w:rsidRPr="00000000" w14:paraId="00000015">
      <w:pPr>
        <w:rPr/>
      </w:pPr>
      <w:r w:rsidDel="00000000" w:rsidR="00000000" w:rsidRPr="00000000">
        <w:rPr>
          <w:rFonts w:ascii="system-ui" w:cs="system-ui" w:eastAsia="system-ui" w:hAnsi="system-ui"/>
          <w:sz w:val="24"/>
          <w:szCs w:val="24"/>
          <w:rtl w:val="0"/>
        </w:rPr>
        <w:t xml:space="preserve">On the other hand, advocates of the Act argue that its continued applicability shows how flexible the legal system is and how strong legal principles are in the face of shifting conditions. Although specific deficiencies may require revisions, the core principles of the Act continue to be essential for guaranteeing justice and maintaining the rule of law. </w:t>
      </w:r>
      <w:r w:rsidDel="00000000" w:rsidR="00000000" w:rsidRPr="00000000">
        <w:rPr>
          <w:rtl w:val="0"/>
        </w:rPr>
      </w:r>
    </w:p>
    <w:p w:rsidR="00000000" w:rsidDel="00000000" w:rsidP="00000000" w:rsidRDefault="00000000" w:rsidRPr="00000000" w14:paraId="00000016">
      <w:pPr>
        <w:shd w:fill="ffffff" w:val="clear"/>
        <w:spacing w:after="0" w:lineRule="auto"/>
        <w:rPr/>
      </w:pPr>
      <w:r w:rsidDel="00000000" w:rsidR="00000000" w:rsidRPr="00000000">
        <w:rPr>
          <w:rFonts w:ascii="system-ui" w:cs="system-ui" w:eastAsia="system-ui" w:hAnsi="system-ui"/>
          <w:sz w:val="24"/>
          <w:szCs w:val="24"/>
          <w:rtl w:val="0"/>
        </w:rPr>
        <w:t xml:space="preserve">In order to assess the OAPA's applicability in contemporary society, it is imperative that one take into account global viewpoints and conduct comparative study. Through the use of comparative analysis, legal frameworks in other countries can be examined, revealing opportunities for development and best practices. </w:t>
      </w:r>
      <w:r w:rsidDel="00000000" w:rsidR="00000000" w:rsidRPr="00000000">
        <w:rPr>
          <w:rtl w:val="0"/>
        </w:rPr>
      </w:r>
    </w:p>
    <w:p w:rsidR="00000000" w:rsidDel="00000000" w:rsidP="00000000" w:rsidRDefault="00000000" w:rsidRPr="00000000" w14:paraId="00000017">
      <w:pPr>
        <w:shd w:fill="ffffff" w:val="clear"/>
        <w:spacing w:after="0" w:lineRule="auto"/>
        <w:rPr>
          <w:rFonts w:ascii="system-ui" w:cs="system-ui" w:eastAsia="system-ui" w:hAnsi="system-ui"/>
          <w:sz w:val="24"/>
          <w:szCs w:val="24"/>
        </w:rPr>
      </w:pPr>
      <w:r w:rsidDel="00000000" w:rsidR="00000000" w:rsidRPr="00000000">
        <w:rPr>
          <w:rtl w:val="0"/>
        </w:rPr>
      </w:r>
    </w:p>
    <w:p w:rsidR="00000000" w:rsidDel="00000000" w:rsidP="00000000" w:rsidRDefault="00000000" w:rsidRPr="00000000" w14:paraId="00000018">
      <w:pPr>
        <w:shd w:fill="ffffff" w:val="clear"/>
        <w:spacing w:after="0" w:lineRule="auto"/>
        <w:rPr/>
      </w:pPr>
      <w:r w:rsidDel="00000000" w:rsidR="00000000" w:rsidRPr="00000000">
        <w:rPr>
          <w:rFonts w:ascii="system-ui" w:cs="system-ui" w:eastAsia="system-ui" w:hAnsi="system-ui"/>
          <w:sz w:val="24"/>
          <w:szCs w:val="24"/>
          <w:rtl w:val="0"/>
        </w:rPr>
        <w:t xml:space="preserve">For instance, a lot of places have passed laws designed to deal with contemporary types of injury, such internet harassment and cyberbullying. These legislative actions frequently define offenses more precisely and specify suitable punishments.</w:t>
      </w:r>
      <w:r w:rsidDel="00000000" w:rsidR="00000000" w:rsidRPr="00000000">
        <w:rPr>
          <w:rtl w:val="0"/>
        </w:rPr>
      </w:r>
    </w:p>
    <w:p w:rsidR="00000000" w:rsidDel="00000000" w:rsidP="00000000" w:rsidRDefault="00000000" w:rsidRPr="00000000" w14:paraId="00000019">
      <w:pPr>
        <w:shd w:fill="ffffff" w:val="clear"/>
        <w:spacing w:before="0" w:lineRule="auto"/>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A">
      <w:pPr>
        <w:shd w:fill="ffffff" w:val="clear"/>
        <w:spacing w:before="0" w:lineRule="auto"/>
        <w:rPr/>
      </w:pPr>
      <w:r w:rsidDel="00000000" w:rsidR="00000000" w:rsidRPr="00000000">
        <w:rPr>
          <w:rFonts w:ascii="system-ui" w:cs="system-ui" w:eastAsia="system-ui" w:hAnsi="system-ui"/>
          <w:sz w:val="24"/>
          <w:szCs w:val="24"/>
          <w:rtl w:val="0"/>
        </w:rPr>
        <w:t xml:space="preserve">In summary, the Offences Against the Person Act [1861] (OAPA) is facing both timeless significance and urgent issues in contemporary society. Despite the fact that the Act has served as a fundamental framework for handling non-fatal offenses against people for more than 150 years, revision is still necessary due to its outdated language, hazy offense hierarchy, and limits in addressing newly emerging kinds of harm.</w:t>
      </w:r>
      <w:r w:rsidDel="00000000" w:rsidR="00000000" w:rsidRPr="00000000">
        <w:rPr>
          <w:rtl w:val="0"/>
        </w:rPr>
      </w:r>
    </w:p>
    <w:p w:rsidR="00000000" w:rsidDel="00000000" w:rsidP="00000000" w:rsidRDefault="00000000" w:rsidRPr="00000000" w14:paraId="0000001B">
      <w:pPr>
        <w:rPr/>
      </w:pPr>
      <w:r w:rsidDel="00000000" w:rsidR="00000000" w:rsidRPr="00000000">
        <w:rPr>
          <w:rFonts w:ascii="system-ui" w:cs="system-ui" w:eastAsia="system-ui" w:hAnsi="system-ui"/>
          <w:sz w:val="24"/>
          <w:szCs w:val="24"/>
          <w:rtl w:val="0"/>
        </w:rPr>
        <w:t xml:space="preserve">It is not unjustified to criticize the OAPA for its antiquated terminology and imprecise sentencing guidelines. The wording of the Act might not accurately reflect the intricacies of contemporary injury, including cyberbullying and internet harassment, because it was written in a different legal and social environment. Moreover, imprecise legal rulings and perceived injustices may result from a lack of meaningful differentiations between offenses. </w:t>
      </w:r>
      <w:r w:rsidDel="00000000" w:rsidR="00000000" w:rsidRPr="00000000">
        <w:rPr>
          <w:rtl w:val="0"/>
        </w:rPr>
      </w:r>
    </w:p>
    <w:p w:rsidR="00000000" w:rsidDel="00000000" w:rsidP="00000000" w:rsidRDefault="00000000" w:rsidRPr="00000000" w14:paraId="0000001C">
      <w:pPr>
        <w:rPr/>
      </w:pPr>
      <w:r w:rsidDel="00000000" w:rsidR="00000000" w:rsidRPr="00000000">
        <w:rPr>
          <w:rFonts w:ascii="system-ui" w:cs="system-ui" w:eastAsia="system-ui" w:hAnsi="system-ui"/>
          <w:sz w:val="24"/>
          <w:szCs w:val="24"/>
          <w:rtl w:val="0"/>
        </w:rPr>
        <w:t xml:space="preserve">Defenders of the Act contend that despite changes in the law, its fundamental ideas and flexibility still apply, offering a useful foundation for handling new situations. The Act's adaptability and durability have been demonstrated by courts' capacity to apply conventional legal concepts to modern circumstances through judicial interpretation and precedent.  </w:t>
      </w:r>
      <w:r w:rsidDel="00000000" w:rsidR="00000000" w:rsidRPr="00000000">
        <w:rPr>
          <w:rtl w:val="0"/>
        </w:rPr>
      </w:r>
    </w:p>
    <w:p w:rsidR="00000000" w:rsidDel="00000000" w:rsidP="00000000" w:rsidRDefault="00000000" w:rsidRPr="00000000" w14:paraId="0000001D">
      <w:pPr>
        <w:rPr/>
      </w:pPr>
      <w:r w:rsidDel="00000000" w:rsidR="00000000" w:rsidRPr="00000000">
        <w:rPr>
          <w:rFonts w:ascii="system-ui" w:cs="system-ui" w:eastAsia="system-ui" w:hAnsi="system-ui"/>
          <w:sz w:val="24"/>
          <w:szCs w:val="24"/>
          <w:rtl w:val="0"/>
        </w:rPr>
        <w:t xml:space="preserve">The Law Commission's suggested reforms, which include modernizing sentencing criteria, streamlining terminology, and codifying offenses, present viable ways to improve the Act's shortcomings and make it more relevant in today's world. Codification would bring the law up to date and streamline it, making it more clearer.</w:t>
      </w:r>
      <w:r w:rsidDel="00000000" w:rsidR="00000000" w:rsidRPr="00000000">
        <w:rPr>
          <w:rtl w:val="0"/>
        </w:rPr>
      </w:r>
    </w:p>
    <w:p w:rsidR="00000000" w:rsidDel="00000000" w:rsidP="00000000" w:rsidRDefault="00000000" w:rsidRPr="00000000" w14:paraId="0000001E">
      <w:pPr>
        <w:rPr>
          <w:rFonts w:ascii="system-ui" w:cs="system-ui" w:eastAsia="system-ui" w:hAnsi="system-ui"/>
          <w:sz w:val="24"/>
          <w:szCs w:val="24"/>
        </w:rPr>
      </w:pPr>
      <w:r w:rsidDel="00000000" w:rsidR="00000000" w:rsidRPr="00000000">
        <w:rPr>
          <w:rFonts w:ascii="system-ui" w:cs="system-ui" w:eastAsia="system-ui" w:hAnsi="system-ui"/>
          <w:sz w:val="24"/>
          <w:szCs w:val="24"/>
          <w:rtl w:val="0"/>
        </w:rPr>
        <w:t xml:space="preserve">While updating sentencing guidelines would encourage justice and consistency in court decisions, terminology clarification would guarantee uniform understanding and application of legal concepts. </w:t>
      </w:r>
    </w:p>
    <w:p w:rsidR="00000000" w:rsidDel="00000000" w:rsidP="00000000" w:rsidRDefault="00000000" w:rsidRPr="00000000" w14:paraId="0000001F">
      <w:pPr>
        <w:rPr/>
      </w:pPr>
      <w:r w:rsidDel="00000000" w:rsidR="00000000" w:rsidRPr="00000000">
        <w:rPr>
          <w:rFonts w:ascii="system-ui" w:cs="system-ui" w:eastAsia="system-ui" w:hAnsi="system-ui"/>
          <w:sz w:val="24"/>
          <w:szCs w:val="24"/>
          <w:rtl w:val="0"/>
        </w:rPr>
        <w:t xml:space="preserve">Furthermore, comparative analysis and global perspectives might provide insightful information about possible reforms and best practices from other countries. Policymakers can find novel ways to address contemporary forms of harm and improve the efficacy of legal systems by conducting comparative analyses.</w:t>
      </w:r>
      <w:r w:rsidDel="00000000" w:rsidR="00000000" w:rsidRPr="00000000">
        <w:rPr>
          <w:rtl w:val="0"/>
        </w:rPr>
      </w:r>
    </w:p>
    <w:p w:rsidR="00000000" w:rsidDel="00000000" w:rsidP="00000000" w:rsidRDefault="00000000" w:rsidRPr="00000000" w14:paraId="00000020">
      <w:pPr>
        <w:shd w:fill="ffffff" w:val="clear"/>
        <w:spacing w:after="0" w:lineRule="auto"/>
        <w:rPr>
          <w:rFonts w:ascii="system-ui" w:cs="system-ui" w:eastAsia="system-ui" w:hAnsi="system-ui"/>
          <w:b w:val="0"/>
          <w:i w:val="0"/>
          <w:smallCaps w:val="0"/>
          <w:color w:val="0d0d0d"/>
          <w:sz w:val="24"/>
          <w:szCs w:val="24"/>
        </w:rPr>
      </w:pPr>
      <w:r w:rsidDel="00000000" w:rsidR="00000000" w:rsidRPr="00000000">
        <w:rPr>
          <w:rFonts w:ascii="system-ui" w:cs="system-ui" w:eastAsia="system-ui" w:hAnsi="system-ui"/>
          <w:sz w:val="24"/>
          <w:szCs w:val="24"/>
          <w:rtl w:val="0"/>
        </w:rPr>
        <w:t xml:space="preserve">In the end, the Offences Against the Person Act [1861] will only be relevant in current society if it can successfully address new issues and adjust to shifting conditions. Upholding the rule of law in the modern legal environment is contingent upon the Act's enduring values of justice, fairness, and accountability, even as modifications are required to rectify its shortcomings and guarantee its continued relevance.</w:t>
      </w:r>
      <w:r w:rsidDel="00000000" w:rsidR="00000000" w:rsidRPr="00000000">
        <w:rPr>
          <w:rFonts w:ascii="system-ui" w:cs="system-ui" w:eastAsia="system-ui" w:hAnsi="system-ui"/>
          <w:b w:val="0"/>
          <w:i w:val="0"/>
          <w:smallCaps w:val="0"/>
          <w:color w:val="0d0d0d"/>
          <w:sz w:val="24"/>
          <w:szCs w:val="24"/>
          <w:rtl w:val="0"/>
        </w:rPr>
        <w:t xml:space="preserve"> </w:t>
      </w:r>
      <w:r w:rsidDel="00000000" w:rsidR="00000000" w:rsidRPr="00000000">
        <w:rPr>
          <w:rFonts w:ascii="system-ui" w:cs="system-ui" w:eastAsia="system-ui" w:hAnsi="system-ui"/>
          <w:sz w:val="24"/>
          <w:szCs w:val="24"/>
          <w:rtl w:val="0"/>
        </w:rPr>
        <w:t xml:space="preserve">For this reason, navigating the complexity of reform and upholding the ideals of justice in the modern period requires careful thought and cooperation between policymakers, legal experts, and stakeholders.</w:t>
      </w:r>
      <w:r w:rsidDel="00000000" w:rsidR="00000000" w:rsidRPr="00000000">
        <w:rPr>
          <w:rtl w:val="0"/>
        </w:rPr>
      </w:r>
    </w:p>
    <w:p w:rsidR="00000000" w:rsidDel="00000000" w:rsidP="00000000" w:rsidRDefault="00000000" w:rsidRPr="00000000" w14:paraId="00000021">
      <w:pPr>
        <w:shd w:fill="ffffff" w:val="clear"/>
        <w:spacing w:after="0" w:lineRule="auto"/>
        <w:rPr>
          <w:rFonts w:ascii="system-ui" w:cs="system-ui" w:eastAsia="system-ui" w:hAnsi="system-ui"/>
          <w:sz w:val="24"/>
          <w:szCs w:val="24"/>
        </w:rPr>
      </w:pPr>
      <w:r w:rsidDel="00000000" w:rsidR="00000000" w:rsidRPr="00000000">
        <w:rPr>
          <w:rtl w:val="0"/>
        </w:rPr>
      </w:r>
    </w:p>
    <w:p w:rsidR="00000000" w:rsidDel="00000000" w:rsidP="00000000" w:rsidRDefault="00000000" w:rsidRPr="00000000" w14:paraId="00000022">
      <w:pPr>
        <w:shd w:fill="ffffff" w:val="clear"/>
        <w:spacing w:before="0" w:lineRule="auto"/>
        <w:rPr/>
      </w:pPr>
      <w:r w:rsidDel="00000000" w:rsidR="00000000" w:rsidRPr="00000000">
        <w:rPr>
          <w:rtl w:val="0"/>
        </w:rPr>
      </w:r>
    </w:p>
    <w:p w:rsidR="00000000" w:rsidDel="00000000" w:rsidP="00000000" w:rsidRDefault="00000000" w:rsidRPr="00000000" w14:paraId="00000023">
      <w:pPr>
        <w:shd w:fill="ffffff" w:val="clear"/>
        <w:spacing w:before="0" w:lineRule="auto"/>
        <w:rPr/>
      </w:pPr>
      <w:r w:rsidDel="00000000" w:rsidR="00000000" w:rsidRPr="00000000">
        <w:rPr>
          <w:rFonts w:ascii="system-ui" w:cs="system-ui" w:eastAsia="system-ui" w:hAnsi="system-ui"/>
          <w:b w:val="1"/>
          <w:i w:val="0"/>
          <w:smallCaps w:val="0"/>
          <w:color w:val="0d0d0d"/>
          <w:sz w:val="24"/>
          <w:szCs w:val="24"/>
          <w:rtl w:val="0"/>
        </w:rPr>
        <w:t xml:space="preserve">References</w:t>
      </w:r>
      <w:r w:rsidDel="00000000" w:rsidR="00000000" w:rsidRPr="00000000">
        <w:rPr>
          <w:rtl w:val="0"/>
        </w:rPr>
      </w:r>
    </w:p>
    <w:p w:rsidR="00000000" w:rsidDel="00000000" w:rsidP="00000000" w:rsidRDefault="00000000" w:rsidRPr="00000000" w14:paraId="00000024">
      <w:pPr>
        <w:rPr/>
      </w:pPr>
      <w:r w:rsidDel="00000000" w:rsidR="00000000" w:rsidRPr="00000000">
        <w:rPr>
          <w:rFonts w:ascii="system-ui" w:cs="system-ui" w:eastAsia="system-ui" w:hAnsi="system-ui"/>
          <w:b w:val="0"/>
          <w:i w:val="0"/>
          <w:smallCaps w:val="0"/>
          <w:color w:val="0d0d0d"/>
          <w:sz w:val="24"/>
          <w:szCs w:val="24"/>
          <w:rtl w:val="0"/>
        </w:rPr>
        <w:t xml:space="preserve">Bollom, R v [2004] EWCA Crim 2152.</w:t>
      </w:r>
      <w:r w:rsidDel="00000000" w:rsidR="00000000" w:rsidRPr="00000000">
        <w:rPr>
          <w:rtl w:val="0"/>
        </w:rPr>
      </w:r>
    </w:p>
    <w:p w:rsidR="00000000" w:rsidDel="00000000" w:rsidP="00000000" w:rsidRDefault="00000000" w:rsidRPr="00000000" w14:paraId="00000025">
      <w:pPr>
        <w:rPr/>
      </w:pPr>
      <w:r w:rsidDel="00000000" w:rsidR="00000000" w:rsidRPr="00000000">
        <w:rPr>
          <w:rFonts w:ascii="system-ui" w:cs="system-ui" w:eastAsia="system-ui" w:hAnsi="system-ui"/>
          <w:b w:val="0"/>
          <w:i w:val="0"/>
          <w:smallCaps w:val="0"/>
          <w:color w:val="0d0d0d"/>
          <w:sz w:val="24"/>
          <w:szCs w:val="24"/>
          <w:rtl w:val="0"/>
        </w:rPr>
        <w:t xml:space="preserve">Chan-Fook, R v [1994] 2 All ER 552.</w:t>
      </w:r>
      <w:r w:rsidDel="00000000" w:rsidR="00000000" w:rsidRPr="00000000">
        <w:rPr>
          <w:rtl w:val="0"/>
        </w:rPr>
      </w:r>
    </w:p>
    <w:p w:rsidR="00000000" w:rsidDel="00000000" w:rsidP="00000000" w:rsidRDefault="00000000" w:rsidRPr="00000000" w14:paraId="00000026">
      <w:pPr>
        <w:rPr/>
      </w:pPr>
      <w:r w:rsidDel="00000000" w:rsidR="00000000" w:rsidRPr="00000000">
        <w:rPr>
          <w:rFonts w:ascii="system-ui" w:cs="system-ui" w:eastAsia="system-ui" w:hAnsi="system-ui"/>
          <w:b w:val="0"/>
          <w:i w:val="0"/>
          <w:smallCaps w:val="0"/>
          <w:color w:val="0d0d0d"/>
          <w:sz w:val="24"/>
          <w:szCs w:val="24"/>
          <w:rtl w:val="0"/>
        </w:rPr>
        <w:t xml:space="preserve">Constanza [1997] EWCA Crim 1234.</w:t>
      </w:r>
      <w:r w:rsidDel="00000000" w:rsidR="00000000" w:rsidRPr="00000000">
        <w:rPr>
          <w:rtl w:val="0"/>
        </w:rPr>
      </w:r>
    </w:p>
    <w:p w:rsidR="00000000" w:rsidDel="00000000" w:rsidP="00000000" w:rsidRDefault="00000000" w:rsidRPr="00000000" w14:paraId="00000027">
      <w:pPr>
        <w:rPr/>
      </w:pPr>
      <w:r w:rsidDel="00000000" w:rsidR="00000000" w:rsidRPr="00000000">
        <w:rPr>
          <w:rFonts w:ascii="system-ui" w:cs="system-ui" w:eastAsia="system-ui" w:hAnsi="system-ui"/>
          <w:b w:val="0"/>
          <w:i w:val="0"/>
          <w:smallCaps w:val="0"/>
          <w:color w:val="0d0d0d"/>
          <w:sz w:val="24"/>
          <w:szCs w:val="24"/>
          <w:rtl w:val="0"/>
        </w:rPr>
        <w:t xml:space="preserve">DPP v Smith [1961] AC 290.</w:t>
      </w:r>
      <w:r w:rsidDel="00000000" w:rsidR="00000000" w:rsidRPr="00000000">
        <w:rPr>
          <w:rtl w:val="0"/>
        </w:rPr>
      </w:r>
    </w:p>
    <w:p w:rsidR="00000000" w:rsidDel="00000000" w:rsidP="00000000" w:rsidRDefault="00000000" w:rsidRPr="00000000" w14:paraId="00000028">
      <w:pPr>
        <w:rPr/>
      </w:pPr>
      <w:r w:rsidDel="00000000" w:rsidR="00000000" w:rsidRPr="00000000">
        <w:rPr>
          <w:rFonts w:ascii="system-ui" w:cs="system-ui" w:eastAsia="system-ui" w:hAnsi="system-ui"/>
          <w:b w:val="0"/>
          <w:i w:val="0"/>
          <w:smallCaps w:val="0"/>
          <w:color w:val="0d0d0d"/>
          <w:sz w:val="24"/>
          <w:szCs w:val="24"/>
          <w:rtl w:val="0"/>
        </w:rPr>
        <w:t xml:space="preserve">Ireland v Burstow [1997] UKHL 34.</w:t>
      </w:r>
      <w:r w:rsidDel="00000000" w:rsidR="00000000" w:rsidRPr="00000000">
        <w:rPr>
          <w:rtl w:val="0"/>
        </w:rPr>
      </w:r>
    </w:p>
    <w:p w:rsidR="00000000" w:rsidDel="00000000" w:rsidP="00000000" w:rsidRDefault="00000000" w:rsidRPr="00000000" w14:paraId="00000029">
      <w:pPr>
        <w:rPr/>
      </w:pPr>
      <w:r w:rsidDel="00000000" w:rsidR="00000000" w:rsidRPr="00000000">
        <w:rPr>
          <w:rFonts w:ascii="system-ui" w:cs="system-ui" w:eastAsia="system-ui" w:hAnsi="system-ui"/>
          <w:b w:val="0"/>
          <w:i w:val="0"/>
          <w:smallCaps w:val="0"/>
          <w:color w:val="0d0d0d"/>
          <w:sz w:val="24"/>
          <w:szCs w:val="24"/>
          <w:rtl w:val="0"/>
        </w:rPr>
        <w:t xml:space="preserve">Miller, R v [1954] 2 QB 282.</w:t>
      </w:r>
      <w:r w:rsidDel="00000000" w:rsidR="00000000" w:rsidRPr="00000000">
        <w:rPr>
          <w:rtl w:val="0"/>
        </w:rPr>
      </w:r>
    </w:p>
    <w:p w:rsidR="00000000" w:rsidDel="00000000" w:rsidP="00000000" w:rsidRDefault="00000000" w:rsidRPr="00000000" w14:paraId="0000002A">
      <w:pPr>
        <w:rPr/>
      </w:pPr>
      <w:r w:rsidDel="00000000" w:rsidR="00000000" w:rsidRPr="00000000">
        <w:rPr>
          <w:rFonts w:ascii="system-ui" w:cs="system-ui" w:eastAsia="system-ui" w:hAnsi="system-ui"/>
          <w:b w:val="0"/>
          <w:i w:val="0"/>
          <w:smallCaps w:val="0"/>
          <w:color w:val="0d0d0d"/>
          <w:sz w:val="24"/>
          <w:szCs w:val="24"/>
          <w:rtl w:val="0"/>
        </w:rPr>
        <w:t xml:space="preserve">R v Thomas [1985] AC 891.</w:t>
      </w:r>
      <w:r w:rsidDel="00000000" w:rsidR="00000000" w:rsidRPr="00000000">
        <w:rPr>
          <w:rtl w:val="0"/>
        </w:rPr>
      </w:r>
    </w:p>
    <w:p w:rsidR="00000000" w:rsidDel="00000000" w:rsidP="00000000" w:rsidRDefault="00000000" w:rsidRPr="00000000" w14:paraId="0000002B">
      <w:pPr>
        <w:rPr/>
      </w:pPr>
      <w:r w:rsidDel="00000000" w:rsidR="00000000" w:rsidRPr="00000000">
        <w:rPr>
          <w:rFonts w:ascii="system-ui" w:cs="system-ui" w:eastAsia="system-ui" w:hAnsi="system-ui"/>
          <w:b w:val="0"/>
          <w:i w:val="0"/>
          <w:smallCaps w:val="0"/>
          <w:color w:val="0d0d0d"/>
          <w:sz w:val="24"/>
          <w:szCs w:val="24"/>
          <w:rtl w:val="0"/>
        </w:rPr>
        <w:t xml:space="preserve">Saunders, R v [1985] AC 984.</w:t>
      </w:r>
      <w:r w:rsidDel="00000000" w:rsidR="00000000" w:rsidRPr="00000000">
        <w:rPr>
          <w:rtl w:val="0"/>
        </w:rPr>
      </w:r>
    </w:p>
    <w:p w:rsidR="00000000" w:rsidDel="00000000" w:rsidP="00000000" w:rsidRDefault="00000000" w:rsidRPr="00000000" w14:paraId="0000002C">
      <w:pPr>
        <w:rPr/>
      </w:pPr>
      <w:r w:rsidDel="00000000" w:rsidR="00000000" w:rsidRPr="00000000">
        <w:rPr>
          <w:rFonts w:ascii="system-ui" w:cs="system-ui" w:eastAsia="system-ui" w:hAnsi="system-ui"/>
          <w:b w:val="0"/>
          <w:i w:val="0"/>
          <w:smallCaps w:val="0"/>
          <w:color w:val="0d0d0d"/>
          <w:sz w:val="24"/>
          <w:szCs w:val="24"/>
          <w:rtl w:val="0"/>
        </w:rPr>
        <w:t xml:space="preserve">Law Commission (2015), "Reform of Offences Against the Person", Law Com No 361, [Available: </w:t>
      </w:r>
      <w:hyperlink r:id="rId7">
        <w:r w:rsidDel="00000000" w:rsidR="00000000" w:rsidRPr="00000000">
          <w:rPr>
            <w:rFonts w:ascii="system-ui" w:cs="system-ui" w:eastAsia="system-ui" w:hAnsi="system-ui"/>
            <w:b w:val="0"/>
            <w:i w:val="0"/>
            <w:smallCaps w:val="0"/>
            <w:color w:val="467886"/>
            <w:sz w:val="24"/>
            <w:szCs w:val="24"/>
            <w:u w:val="single"/>
            <w:rtl w:val="0"/>
          </w:rPr>
          <w:t xml:space="preserve">https://www.lawcom.gov.uk/project/reform-of-offences-against-the-person/</w:t>
        </w:r>
      </w:hyperlink>
      <w:r w:rsidDel="00000000" w:rsidR="00000000" w:rsidRPr="00000000">
        <w:rPr>
          <w:rFonts w:ascii="system-ui" w:cs="system-ui" w:eastAsia="system-ui" w:hAnsi="system-ui"/>
          <w:b w:val="0"/>
          <w:i w:val="0"/>
          <w:smallCaps w:val="0"/>
          <w:color w:val="0d0d0d"/>
          <w:sz w:val="24"/>
          <w:szCs w:val="24"/>
          <w:rtl w:val="0"/>
        </w:rPr>
        <w:t xml:space="preserve">] </w:t>
      </w:r>
      <w:r w:rsidDel="00000000" w:rsidR="00000000" w:rsidRPr="00000000">
        <w:rPr>
          <w:rtl w:val="0"/>
        </w:rPr>
      </w:r>
    </w:p>
    <w:p w:rsidR="00000000" w:rsidDel="00000000" w:rsidP="00000000" w:rsidRDefault="00000000" w:rsidRPr="00000000" w14:paraId="0000002D">
      <w:pPr>
        <w:shd w:fill="ffffff" w:val="clear"/>
        <w:spacing w:after="0" w:lineRule="auto"/>
        <w:rPr>
          <w:rFonts w:ascii="system-ui" w:cs="system-ui" w:eastAsia="system-ui" w:hAnsi="system-ui"/>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ptos"/>
  <w:font w:name="Play">
    <w:embedRegular w:fontKey="{00000000-0000-0000-0000-000000000000}" r:id="rId1" w:subsetted="0"/>
    <w:embedBold w:fontKey="{00000000-0000-0000-0000-000000000000}" r:id="rId2" w:subsetted="0"/>
  </w:font>
  <w:font w:name="system-u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4"/>
        <w:szCs w:val="24"/>
        <w:lang w:val="en-US"/>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character" w:styleId="Hyperlink">
    <w:name w:val="Hyperlink"/>
    <w:basedOn w:val="DefaultParagraphFont"/>
    <w:uiPriority w:val="99"/>
    <w:unhideWhenUsed w:val="1"/>
    <w:rPr>
      <w:color w:val="0563c1" w:themeColor="hyperlink"/>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lawcom.gov.uk/project/reform-of-offences-against-the-pers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NCbPpySM24xR/zGIzX09jB6EnA==">CgMxLjA4AHIhMVEwbjJOeTRva1ZoVUJ2V3RVOVFoaDJEaXlOSThXMXUt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2024-03-15T23:33:15.8023921Z</dcterms:created>
  <dc:creator>Saad Nagib Ghaleb Mohamed (2321489)</dc:creator>
</cp:coreProperties>
</file>