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04383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Financial Performance Summary &amp; Trend Commentary (2021–2025)</w:t>
      </w:r>
      <w:r>
        <w:rPr>
          <w:rFonts w:ascii="Arimo" w:eastAsia="Arimo" w:hAnsi="Arimo" w:cs="Arimo"/>
          <w:color w:val="000000"/>
        </w:rPr>
        <w:t xml:space="preserve"> </w:t>
      </w:r>
    </w:p>
    <w:p w14:paraId="58CA9FA0" w14:textId="77777777" w:rsidR="00043E2D" w:rsidRDefault="00043E2D">
      <w:pPr>
        <w:pBdr>
          <w:bottom w:val="single" w:sz="6" w:space="0" w:color="BFC3C8"/>
        </w:pBdr>
        <w:spacing w:before="120" w:after="120" w:line="0" w:lineRule="auto"/>
      </w:pPr>
    </w:p>
    <w:p w14:paraId="705AAF50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  <w:sz w:val="27"/>
          <w:szCs w:val="27"/>
        </w:rPr>
        <w:t>1. Profitability Trends</w:t>
      </w:r>
      <w:r>
        <w:rPr>
          <w:rFonts w:ascii="Arimo" w:eastAsia="Arimo" w:hAnsi="Arimo" w:cs="Arimo"/>
          <w:color w:val="000000"/>
        </w:rPr>
        <w:t xml:space="preserve"> </w:t>
      </w:r>
    </w:p>
    <w:p w14:paraId="6204895F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Operating Margin:</w:t>
      </w:r>
      <w:r>
        <w:rPr>
          <w:rFonts w:ascii="Arimo" w:eastAsia="Arimo" w:hAnsi="Arimo" w:cs="Arimo"/>
          <w:color w:val="000000"/>
        </w:rPr>
        <w:t xml:space="preserve"> Demonstrated strong improvement, rising from </w:t>
      </w:r>
      <w:r>
        <w:rPr>
          <w:rFonts w:ascii="Arimo Bold" w:eastAsia="Arimo Bold" w:hAnsi="Arimo Bold" w:cs="Arimo Bold"/>
          <w:b/>
          <w:bCs/>
          <w:color w:val="000000"/>
        </w:rPr>
        <w:t>12.63% in 2021</w:t>
      </w:r>
      <w:r>
        <w:rPr>
          <w:rFonts w:ascii="Arimo" w:eastAsia="Arimo" w:hAnsi="Arimo" w:cs="Arimo"/>
          <w:color w:val="000000"/>
        </w:rPr>
        <w:t xml:space="preserve"> to a peak of </w:t>
      </w:r>
      <w:r>
        <w:rPr>
          <w:rFonts w:ascii="Arimo Bold" w:eastAsia="Arimo Bold" w:hAnsi="Arimo Bold" w:cs="Arimo Bold"/>
          <w:b/>
          <w:bCs/>
          <w:color w:val="000000"/>
        </w:rPr>
        <w:t>16.67% in 2022</w:t>
      </w:r>
      <w:r>
        <w:rPr>
          <w:rFonts w:ascii="Arimo" w:eastAsia="Arimo" w:hAnsi="Arimo" w:cs="Arimo"/>
          <w:color w:val="000000"/>
        </w:rPr>
        <w:t xml:space="preserve">. It has since stabilized in the </w:t>
      </w:r>
      <w:r>
        <w:rPr>
          <w:rFonts w:ascii="Arimo Bold" w:eastAsia="Arimo Bold" w:hAnsi="Arimo Bold" w:cs="Arimo Bold"/>
          <w:b/>
          <w:bCs/>
          <w:color w:val="000000"/>
        </w:rPr>
        <w:t>15.0%–16.3%</w:t>
      </w:r>
      <w:r>
        <w:rPr>
          <w:rFonts w:ascii="Arimo" w:eastAsia="Arimo" w:hAnsi="Arimo" w:cs="Arimo"/>
          <w:color w:val="000000"/>
        </w:rPr>
        <w:t xml:space="preserve"> range through 2025, indicating solid and consistent core operational performance. </w:t>
      </w:r>
    </w:p>
    <w:p w14:paraId="6316DE59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Net Profit Margin:</w:t>
      </w:r>
      <w:r>
        <w:rPr>
          <w:rFonts w:ascii="Arimo" w:eastAsia="Arimo" w:hAnsi="Arimo" w:cs="Arimo"/>
          <w:color w:val="000000"/>
        </w:rPr>
        <w:t xml:space="preserve"> Peaked at </w:t>
      </w:r>
      <w:r>
        <w:rPr>
          <w:rFonts w:ascii="Arimo Bold" w:eastAsia="Arimo Bold" w:hAnsi="Arimo Bold" w:cs="Arimo Bold"/>
          <w:b/>
          <w:bCs/>
          <w:color w:val="000000"/>
        </w:rPr>
        <w:t>13.00% in 2023</w:t>
      </w:r>
      <w:r>
        <w:rPr>
          <w:rFonts w:ascii="Arimo" w:eastAsia="Arimo" w:hAnsi="Arimo" w:cs="Arimo"/>
          <w:color w:val="000000"/>
        </w:rPr>
        <w:t xml:space="preserve"> but experienced a noticeable drop to </w:t>
      </w:r>
      <w:r>
        <w:rPr>
          <w:rFonts w:ascii="Arimo Bold" w:eastAsia="Arimo Bold" w:hAnsi="Arimo Bold" w:cs="Arimo Bold"/>
          <w:b/>
          <w:bCs/>
          <w:color w:val="000000"/>
        </w:rPr>
        <w:t>9.46% in 2024</w:t>
      </w:r>
      <w:r>
        <w:rPr>
          <w:rFonts w:ascii="Arimo" w:eastAsia="Arimo" w:hAnsi="Arimo" w:cs="Arimo"/>
          <w:color w:val="000000"/>
        </w:rPr>
        <w:t xml:space="preserve"> before slightly recovering to </w:t>
      </w:r>
      <w:r>
        <w:rPr>
          <w:rFonts w:ascii="Arimo Bold" w:eastAsia="Arimo Bold" w:hAnsi="Arimo Bold" w:cs="Arimo Bold"/>
          <w:b/>
          <w:bCs/>
          <w:color w:val="000000"/>
        </w:rPr>
        <w:t>9.90% in 2025</w:t>
      </w:r>
      <w:r>
        <w:rPr>
          <w:rFonts w:ascii="Arimo" w:eastAsia="Arimo" w:hAnsi="Arimo" w:cs="Arimo"/>
          <w:color w:val="000000"/>
        </w:rPr>
        <w:t xml:space="preserve">. The divergence between the stable Operating Margin and the declining Net Margin in recent years suggests rising non-operating expenses such as interest or taxes. </w:t>
      </w:r>
    </w:p>
    <w:p w14:paraId="7F5CD831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Fee Revenue Margin:</w:t>
      </w:r>
      <w:r>
        <w:rPr>
          <w:rFonts w:ascii="Arimo" w:eastAsia="Arimo" w:hAnsi="Arimo" w:cs="Arimo"/>
          <w:color w:val="000000"/>
        </w:rPr>
        <w:t xml:space="preserve"> Exhibits a highly positive, consistent upward trend, growing steadily from </w:t>
      </w:r>
      <w:r>
        <w:rPr>
          <w:rFonts w:ascii="Arimo Bold" w:eastAsia="Arimo Bold" w:hAnsi="Arimo Bold" w:cs="Arimo Bold"/>
          <w:b/>
          <w:bCs/>
          <w:color w:val="000000"/>
        </w:rPr>
        <w:t>18.90% in 2021</w:t>
      </w:r>
      <w:r>
        <w:rPr>
          <w:rFonts w:ascii="Arimo" w:eastAsia="Arimo" w:hAnsi="Arimo" w:cs="Arimo"/>
          <w:color w:val="000000"/>
        </w:rPr>
        <w:t xml:space="preserve"> to </w:t>
      </w:r>
      <w:r>
        <w:rPr>
          <w:rFonts w:ascii="Arimo Bold" w:eastAsia="Arimo Bold" w:hAnsi="Arimo Bold" w:cs="Arimo Bold"/>
          <w:b/>
          <w:bCs/>
          <w:color w:val="000000"/>
        </w:rPr>
        <w:t>20.30% in 2025</w:t>
      </w:r>
      <w:r>
        <w:rPr>
          <w:rFonts w:ascii="Arimo" w:eastAsia="Arimo" w:hAnsi="Arimo" w:cs="Arimo"/>
          <w:color w:val="000000"/>
        </w:rPr>
        <w:t xml:space="preserve">. This indicates a successful strategic shift toward more predictable, fee-based revenue streams. </w:t>
      </w:r>
    </w:p>
    <w:p w14:paraId="27DEC42B" w14:textId="77777777" w:rsidR="00043E2D" w:rsidRDefault="00043E2D">
      <w:pPr>
        <w:pBdr>
          <w:bottom w:val="single" w:sz="6" w:space="0" w:color="BFC3C8"/>
        </w:pBdr>
        <w:spacing w:before="120" w:after="120" w:line="0" w:lineRule="auto"/>
      </w:pPr>
    </w:p>
    <w:p w14:paraId="28185C8C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  <w:sz w:val="27"/>
          <w:szCs w:val="27"/>
        </w:rPr>
        <w:t>2. Liquidity Trends</w:t>
      </w:r>
      <w:r>
        <w:rPr>
          <w:rFonts w:ascii="Arimo" w:eastAsia="Arimo" w:hAnsi="Arimo" w:cs="Arimo"/>
          <w:color w:val="000000"/>
        </w:rPr>
        <w:t xml:space="preserve"> </w:t>
      </w:r>
    </w:p>
    <w:p w14:paraId="49A31FCE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Current &amp; Quick Ratios:</w:t>
      </w:r>
      <w:r>
        <w:rPr>
          <w:rFonts w:ascii="Arimo" w:eastAsia="Arimo" w:hAnsi="Arimo" w:cs="Arimo"/>
          <w:color w:val="000000"/>
        </w:rPr>
        <w:t xml:space="preserve"> Both ratios are consistently below </w:t>
      </w:r>
      <w:r>
        <w:rPr>
          <w:rFonts w:ascii="Arimo Bold" w:eastAsia="Arimo Bold" w:hAnsi="Arimo Bold" w:cs="Arimo Bold"/>
          <w:b/>
          <w:bCs/>
          <w:color w:val="000000"/>
        </w:rPr>
        <w:t>1.0</w:t>
      </w:r>
      <w:r>
        <w:rPr>
          <w:rFonts w:ascii="Arimo" w:eastAsia="Arimo" w:hAnsi="Arimo" w:cs="Arimo"/>
          <w:color w:val="000000"/>
        </w:rPr>
        <w:t xml:space="preserve"> and declined from 2021 through 2024, with a slight recovery in 2025 (</w:t>
      </w:r>
      <w:r>
        <w:rPr>
          <w:rFonts w:ascii="Arimo Bold" w:eastAsia="Arimo Bold" w:hAnsi="Arimo Bold" w:cs="Arimo Bold"/>
          <w:b/>
          <w:bCs/>
          <w:color w:val="000000"/>
        </w:rPr>
        <w:t>Current Ratio at 0.43</w:t>
      </w:r>
      <w:r>
        <w:rPr>
          <w:rFonts w:ascii="Arimo" w:eastAsia="Arimo" w:hAnsi="Arimo" w:cs="Arimo"/>
          <w:color w:val="000000"/>
        </w:rPr>
        <w:t xml:space="preserve">, </w:t>
      </w:r>
      <w:r>
        <w:rPr>
          <w:rFonts w:ascii="Arimo Bold" w:eastAsia="Arimo Bold" w:hAnsi="Arimo Bold" w:cs="Arimo Bold"/>
          <w:b/>
          <w:bCs/>
          <w:color w:val="000000"/>
        </w:rPr>
        <w:t>Quick Ratio at 0.39</w:t>
      </w:r>
      <w:r>
        <w:rPr>
          <w:rFonts w:ascii="Arimo" w:eastAsia="Arimo" w:hAnsi="Arimo" w:cs="Arimo"/>
          <w:color w:val="000000"/>
        </w:rPr>
        <w:t xml:space="preserve">). This indicates that current liabilities exceed current assets, pointing to potential short-term working capital constraints. </w:t>
      </w:r>
    </w:p>
    <w:p w14:paraId="1207FD7A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Cash Ratio:</w:t>
      </w:r>
      <w:r>
        <w:rPr>
          <w:rFonts w:ascii="Arimo" w:eastAsia="Arimo" w:hAnsi="Arimo" w:cs="Arimo"/>
          <w:color w:val="000000"/>
        </w:rPr>
        <w:t xml:space="preserve"> Dropped significantly from </w:t>
      </w:r>
      <w:r>
        <w:rPr>
          <w:rFonts w:ascii="Arimo Bold" w:eastAsia="Arimo Bold" w:hAnsi="Arimo Bold" w:cs="Arimo Bold"/>
          <w:b/>
          <w:bCs/>
          <w:color w:val="000000"/>
        </w:rPr>
        <w:t>0.22 in 2021</w:t>
      </w:r>
      <w:r>
        <w:rPr>
          <w:rFonts w:ascii="Arimo" w:eastAsia="Arimo" w:hAnsi="Arimo" w:cs="Arimo"/>
          <w:color w:val="000000"/>
        </w:rPr>
        <w:t xml:space="preserve"> to </w:t>
      </w:r>
      <w:r>
        <w:rPr>
          <w:rFonts w:ascii="Arimo Bold" w:eastAsia="Arimo Bold" w:hAnsi="Arimo Bold" w:cs="Arimo Bold"/>
          <w:b/>
          <w:bCs/>
          <w:color w:val="000000"/>
        </w:rPr>
        <w:t>0.04 in 2025</w:t>
      </w:r>
      <w:r>
        <w:rPr>
          <w:rFonts w:ascii="Arimo" w:eastAsia="Arimo" w:hAnsi="Arimo" w:cs="Arimo"/>
          <w:color w:val="000000"/>
        </w:rPr>
        <w:t xml:space="preserve">. The company is holding very little cash against its short-term obligations, relying heavily on receivables or continuous cash flow generation to meet immediate liabilities. </w:t>
      </w:r>
    </w:p>
    <w:p w14:paraId="5793EA6A" w14:textId="77777777" w:rsidR="00043E2D" w:rsidRDefault="00043E2D">
      <w:pPr>
        <w:pBdr>
          <w:bottom w:val="single" w:sz="6" w:space="0" w:color="BFC3C8"/>
        </w:pBdr>
        <w:spacing w:before="120" w:after="120" w:line="0" w:lineRule="auto"/>
      </w:pPr>
    </w:p>
    <w:p w14:paraId="6094CE15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  <w:sz w:val="27"/>
          <w:szCs w:val="27"/>
        </w:rPr>
        <w:t>3. Efficiency Trends</w:t>
      </w:r>
      <w:r>
        <w:rPr>
          <w:rFonts w:ascii="Arimo" w:eastAsia="Arimo" w:hAnsi="Arimo" w:cs="Arimo"/>
          <w:color w:val="000000"/>
        </w:rPr>
        <w:t xml:space="preserve"> </w:t>
      </w:r>
    </w:p>
    <w:p w14:paraId="47B2D2D8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Asset Turnover:</w:t>
      </w:r>
      <w:r>
        <w:rPr>
          <w:rFonts w:ascii="Arimo" w:eastAsia="Arimo" w:hAnsi="Arimo" w:cs="Arimo"/>
          <w:color w:val="000000"/>
        </w:rPr>
        <w:t xml:space="preserve"> Showed remarkable and continuous improvement, nearly doubling from </w:t>
      </w:r>
      <w:r>
        <w:rPr>
          <w:rFonts w:ascii="Arimo Bold" w:eastAsia="Arimo Bold" w:hAnsi="Arimo Bold" w:cs="Arimo Bold"/>
          <w:b/>
          <w:bCs/>
          <w:color w:val="000000"/>
        </w:rPr>
        <w:t>0.54 in 2021</w:t>
      </w:r>
      <w:r>
        <w:rPr>
          <w:rFonts w:ascii="Arimo" w:eastAsia="Arimo" w:hAnsi="Arimo" w:cs="Arimo"/>
          <w:color w:val="000000"/>
        </w:rPr>
        <w:t xml:space="preserve"> to </w:t>
      </w:r>
      <w:r>
        <w:rPr>
          <w:rFonts w:ascii="Arimo Bold" w:eastAsia="Arimo Bold" w:hAnsi="Arimo Bold" w:cs="Arimo Bold"/>
          <w:b/>
          <w:bCs/>
          <w:color w:val="000000"/>
        </w:rPr>
        <w:t>0.97 in 2025</w:t>
      </w:r>
      <w:r>
        <w:rPr>
          <w:rFonts w:ascii="Arimo" w:eastAsia="Arimo" w:hAnsi="Arimo" w:cs="Arimo"/>
          <w:color w:val="000000"/>
        </w:rPr>
        <w:t xml:space="preserve">. This reflects highly effective management in utilizing its total asset base to generate revenue. </w:t>
      </w:r>
    </w:p>
    <w:p w14:paraId="324F92CB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Fixed Asset Turnover:</w:t>
      </w:r>
      <w:r>
        <w:rPr>
          <w:rFonts w:ascii="Arimo" w:eastAsia="Arimo" w:hAnsi="Arimo" w:cs="Arimo"/>
          <w:color w:val="000000"/>
        </w:rPr>
        <w:t xml:space="preserve"> Exceptionally high, peaking at </w:t>
      </w:r>
      <w:r>
        <w:rPr>
          <w:rFonts w:ascii="Arimo Bold" w:eastAsia="Arimo Bold" w:hAnsi="Arimo Bold" w:cs="Arimo Bold"/>
          <w:b/>
          <w:bCs/>
          <w:color w:val="000000"/>
        </w:rPr>
        <w:t>15.00 in 2023</w:t>
      </w:r>
      <w:r>
        <w:rPr>
          <w:rFonts w:ascii="Arimo" w:eastAsia="Arimo" w:hAnsi="Arimo" w:cs="Arimo"/>
          <w:color w:val="000000"/>
        </w:rPr>
        <w:t xml:space="preserve"> and stabilizing around </w:t>
      </w:r>
      <w:r>
        <w:rPr>
          <w:rFonts w:ascii="Arimo Bold" w:eastAsia="Arimo Bold" w:hAnsi="Arimo Bold" w:cs="Arimo Bold"/>
          <w:b/>
          <w:bCs/>
          <w:color w:val="000000"/>
        </w:rPr>
        <w:t>13.7–13.8 in 2024–2025</w:t>
      </w:r>
      <w:r>
        <w:rPr>
          <w:rFonts w:ascii="Arimo" w:eastAsia="Arimo" w:hAnsi="Arimo" w:cs="Arimo"/>
          <w:color w:val="000000"/>
        </w:rPr>
        <w:t xml:space="preserve">. This suggests an asset-light business model or extremely high revenue generation relative to the company’s property, plant, and equipment. </w:t>
      </w:r>
    </w:p>
    <w:p w14:paraId="31BF45EC" w14:textId="77777777" w:rsidR="00043E2D" w:rsidRDefault="00043E2D">
      <w:pPr>
        <w:pBdr>
          <w:bottom w:val="single" w:sz="6" w:space="0" w:color="BFC3C8"/>
        </w:pBdr>
        <w:spacing w:before="120" w:after="120" w:line="0" w:lineRule="auto"/>
      </w:pPr>
    </w:p>
    <w:p w14:paraId="11EA2FDA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  <w:sz w:val="27"/>
          <w:szCs w:val="27"/>
        </w:rPr>
        <w:t>4. Leverage &amp; Solvency Trends</w:t>
      </w:r>
      <w:r>
        <w:rPr>
          <w:rFonts w:ascii="Arimo" w:eastAsia="Arimo" w:hAnsi="Arimo" w:cs="Arimo"/>
          <w:color w:val="000000"/>
        </w:rPr>
        <w:t xml:space="preserve"> </w:t>
      </w:r>
    </w:p>
    <w:p w14:paraId="603A6BC0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Total Debt/Assets:</w:t>
      </w:r>
      <w:r>
        <w:rPr>
          <w:rFonts w:ascii="Arimo" w:eastAsia="Arimo" w:hAnsi="Arimo" w:cs="Arimo"/>
          <w:color w:val="000000"/>
        </w:rPr>
        <w:t xml:space="preserve"> Steadily increased from </w:t>
      </w:r>
      <w:r>
        <w:rPr>
          <w:rFonts w:ascii="Arimo Bold" w:eastAsia="Arimo Bold" w:hAnsi="Arimo Bold" w:cs="Arimo Bold"/>
          <w:b/>
          <w:bCs/>
          <w:color w:val="000000"/>
        </w:rPr>
        <w:t>0.40 in 2021</w:t>
      </w:r>
      <w:r>
        <w:rPr>
          <w:rFonts w:ascii="Arimo" w:eastAsia="Arimo" w:hAnsi="Arimo" w:cs="Arimo"/>
          <w:color w:val="000000"/>
        </w:rPr>
        <w:t xml:space="preserve"> to </w:t>
      </w:r>
      <w:r>
        <w:rPr>
          <w:rFonts w:ascii="Arimo Bold" w:eastAsia="Arimo Bold" w:hAnsi="Arimo Bold" w:cs="Arimo Bold"/>
          <w:b/>
          <w:bCs/>
          <w:color w:val="000000"/>
        </w:rPr>
        <w:t>0.59 in 2025</w:t>
      </w:r>
      <w:r>
        <w:rPr>
          <w:rFonts w:ascii="Arimo" w:eastAsia="Arimo" w:hAnsi="Arimo" w:cs="Arimo"/>
          <w:color w:val="000000"/>
        </w:rPr>
        <w:t xml:space="preserve">, demonstrating a clear trend of increasing financial leverage and a heavier reliance on debt to fund operations or growth. </w:t>
      </w:r>
    </w:p>
    <w:p w14:paraId="3C448F60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Debt-to-Equity:</w:t>
      </w:r>
      <w:r>
        <w:rPr>
          <w:rFonts w:ascii="Arimo" w:eastAsia="Arimo" w:hAnsi="Arimo" w:cs="Arimo"/>
          <w:color w:val="000000"/>
        </w:rPr>
        <w:t xml:space="preserve"> Highly volatile and turned deeply negative from 2023 onward (</w:t>
      </w:r>
      <w:r>
        <w:rPr>
          <w:rFonts w:ascii="Arimo Bold" w:eastAsia="Arimo Bold" w:hAnsi="Arimo Bold" w:cs="Arimo Bold"/>
          <w:b/>
          <w:bCs/>
          <w:color w:val="000000"/>
        </w:rPr>
        <w:t>-17.41 in 2023</w:t>
      </w:r>
      <w:r>
        <w:rPr>
          <w:rFonts w:ascii="Arimo" w:eastAsia="Arimo" w:hAnsi="Arimo" w:cs="Arimo"/>
          <w:color w:val="000000"/>
        </w:rPr>
        <w:t xml:space="preserve"> to </w:t>
      </w:r>
      <w:r>
        <w:rPr>
          <w:rFonts w:ascii="Arimo Bold" w:eastAsia="Arimo Bold" w:hAnsi="Arimo Bold" w:cs="Arimo Bold"/>
          <w:b/>
          <w:bCs/>
          <w:color w:val="000000"/>
        </w:rPr>
        <w:t>-4.30 in 2025</w:t>
      </w:r>
      <w:r>
        <w:rPr>
          <w:rFonts w:ascii="Arimo" w:eastAsia="Arimo" w:hAnsi="Arimo" w:cs="Arimo"/>
          <w:color w:val="000000"/>
        </w:rPr>
        <w:t xml:space="preserve">). Negative equity typically results from accumulated retained losses or aggressive capital return programs (such as large share buybacks or dividends) that have exceeded total shareholders’ equity. This represents a significant structural balance sheet risk. </w:t>
      </w:r>
    </w:p>
    <w:p w14:paraId="2D3D1B8F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</w:rPr>
        <w:t>Interest Coverage:</w:t>
      </w:r>
      <w:r>
        <w:rPr>
          <w:rFonts w:ascii="Arimo" w:eastAsia="Arimo" w:hAnsi="Arimo" w:cs="Arimo"/>
          <w:color w:val="000000"/>
        </w:rPr>
        <w:t xml:space="preserve"> Peaked at </w:t>
      </w:r>
      <w:r>
        <w:rPr>
          <w:rFonts w:ascii="Arimo Bold" w:eastAsia="Arimo Bold" w:hAnsi="Arimo Bold" w:cs="Arimo Bold"/>
          <w:b/>
          <w:bCs/>
          <w:color w:val="000000"/>
        </w:rPr>
        <w:t>8.59 in 2022</w:t>
      </w:r>
      <w:r>
        <w:rPr>
          <w:rFonts w:ascii="Arimo" w:eastAsia="Arimo" w:hAnsi="Arimo" w:cs="Arimo"/>
          <w:color w:val="000000"/>
        </w:rPr>
        <w:t xml:space="preserve"> but has been on a downward trajectory since, falling to </w:t>
      </w:r>
      <w:r>
        <w:rPr>
          <w:rFonts w:ascii="Arimo Bold" w:eastAsia="Arimo Bold" w:hAnsi="Arimo Bold" w:cs="Arimo Bold"/>
          <w:b/>
          <w:bCs/>
          <w:color w:val="000000"/>
        </w:rPr>
        <w:t>5.12 in 2025</w:t>
      </w:r>
      <w:r>
        <w:rPr>
          <w:rFonts w:ascii="Arimo" w:eastAsia="Arimo" w:hAnsi="Arimo" w:cs="Arimo"/>
          <w:color w:val="000000"/>
        </w:rPr>
        <w:t xml:space="preserve">. While still comfortably above 1.0 (indicating the company can currently cover its interest payments), the declining trend aligns with the rising debt levels and slight dip in operating income. </w:t>
      </w:r>
    </w:p>
    <w:p w14:paraId="1C5713F2" w14:textId="77777777" w:rsidR="00043E2D" w:rsidRDefault="00043E2D">
      <w:pPr>
        <w:pBdr>
          <w:bottom w:val="single" w:sz="6" w:space="0" w:color="BFC3C8"/>
        </w:pBdr>
        <w:spacing w:before="120" w:after="120" w:line="0" w:lineRule="auto"/>
      </w:pPr>
    </w:p>
    <w:p w14:paraId="53A4D9F8" w14:textId="77777777" w:rsidR="00043E2D" w:rsidRDefault="00000000">
      <w:pPr>
        <w:spacing w:before="120" w:after="120" w:line="336" w:lineRule="auto"/>
      </w:pPr>
      <w:r>
        <w:rPr>
          <w:rFonts w:ascii="Arimo Bold" w:eastAsia="Arimo Bold" w:hAnsi="Arimo Bold" w:cs="Arimo Bold"/>
          <w:b/>
          <w:bCs/>
          <w:color w:val="000000"/>
          <w:sz w:val="27"/>
          <w:szCs w:val="27"/>
        </w:rPr>
        <w:t>Executive Summary &amp; Key Takeaways</w:t>
      </w:r>
      <w:r>
        <w:rPr>
          <w:rFonts w:ascii="Arimo" w:eastAsia="Arimo" w:hAnsi="Arimo" w:cs="Arimo"/>
          <w:color w:val="000000"/>
        </w:rPr>
        <w:t xml:space="preserve"> </w:t>
      </w:r>
    </w:p>
    <w:p w14:paraId="764ADBA1" w14:textId="77777777" w:rsidR="00043E2D" w:rsidRDefault="00000000">
      <w:pPr>
        <w:spacing w:before="120" w:after="120" w:line="336" w:lineRule="auto"/>
      </w:pPr>
      <w:r>
        <w:rPr>
          <w:rFonts w:ascii="Arimo" w:eastAsia="Arimo" w:hAnsi="Arimo" w:cs="Arimo"/>
          <w:color w:val="000000"/>
        </w:rPr>
        <w:t xml:space="preserve">The company demonstrates strong operational efficiency and profitability, particularly through improved asset utilization and a growing share of fee-based income. However, this growth is increasingly funded by debt, with </w:t>
      </w:r>
      <w:r>
        <w:rPr>
          <w:rFonts w:ascii="Arimo Bold" w:eastAsia="Arimo Bold" w:hAnsi="Arimo Bold" w:cs="Arimo Bold"/>
          <w:b/>
          <w:bCs/>
          <w:color w:val="000000"/>
        </w:rPr>
        <w:t>Total Debt/Assets rising to 0.59</w:t>
      </w:r>
      <w:r>
        <w:rPr>
          <w:rFonts w:ascii="Arimo" w:eastAsia="Arimo" w:hAnsi="Arimo" w:cs="Arimo"/>
          <w:color w:val="000000"/>
        </w:rPr>
        <w:t xml:space="preserve"> and </w:t>
      </w:r>
      <w:r>
        <w:rPr>
          <w:rFonts w:ascii="Arimo Bold" w:eastAsia="Arimo Bold" w:hAnsi="Arimo Bold" w:cs="Arimo Bold"/>
          <w:b/>
          <w:bCs/>
          <w:color w:val="000000"/>
        </w:rPr>
        <w:t>Debt-to-Equity turning negative</w:t>
      </w:r>
      <w:r>
        <w:rPr>
          <w:rFonts w:ascii="Arimo" w:eastAsia="Arimo" w:hAnsi="Arimo" w:cs="Arimo"/>
          <w:color w:val="000000"/>
        </w:rPr>
        <w:t xml:space="preserve">, </w:t>
      </w:r>
      <w:proofErr w:type="spellStart"/>
      <w:r>
        <w:rPr>
          <w:rFonts w:ascii="Arimo" w:eastAsia="Arimo" w:hAnsi="Arimo" w:cs="Arimo"/>
          <w:color w:val="000000"/>
        </w:rPr>
        <w:t>signaling</w:t>
      </w:r>
      <w:proofErr w:type="spellEnd"/>
      <w:r>
        <w:rPr>
          <w:rFonts w:ascii="Arimo" w:eastAsia="Arimo" w:hAnsi="Arimo" w:cs="Arimo"/>
          <w:color w:val="000000"/>
        </w:rPr>
        <w:t xml:space="preserve"> elevated financial risk. </w:t>
      </w:r>
    </w:p>
    <w:p w14:paraId="30D895D7" w14:textId="77777777" w:rsidR="00043E2D" w:rsidRDefault="00000000">
      <w:pPr>
        <w:spacing w:before="120" w:after="120" w:line="336" w:lineRule="auto"/>
      </w:pPr>
      <w:r>
        <w:rPr>
          <w:rFonts w:ascii="Arimo" w:eastAsia="Arimo" w:hAnsi="Arimo" w:cs="Arimo"/>
          <w:color w:val="000000"/>
        </w:rPr>
        <w:t xml:space="preserve">Liquidity remains tight, as all short-term ratios are below 1.0, and the </w:t>
      </w:r>
      <w:r>
        <w:rPr>
          <w:rFonts w:ascii="Arimo Bold" w:eastAsia="Arimo Bold" w:hAnsi="Arimo Bold" w:cs="Arimo Bold"/>
          <w:b/>
          <w:bCs/>
          <w:color w:val="000000"/>
        </w:rPr>
        <w:t>Cash Ratio</w:t>
      </w:r>
      <w:r>
        <w:rPr>
          <w:rFonts w:ascii="Arimo" w:eastAsia="Arimo" w:hAnsi="Arimo" w:cs="Arimo"/>
          <w:color w:val="000000"/>
        </w:rPr>
        <w:t xml:space="preserve"> has fallen sharply, indicating limited cash reserves. Despite these challenges, robust </w:t>
      </w:r>
      <w:r>
        <w:rPr>
          <w:rFonts w:ascii="Arimo Bold" w:eastAsia="Arimo Bold" w:hAnsi="Arimo Bold" w:cs="Arimo Bold"/>
          <w:b/>
          <w:bCs/>
          <w:color w:val="000000"/>
        </w:rPr>
        <w:t>Operating Margins</w:t>
      </w:r>
      <w:r>
        <w:rPr>
          <w:rFonts w:ascii="Arimo" w:eastAsia="Arimo" w:hAnsi="Arimo" w:cs="Arimo"/>
          <w:color w:val="000000"/>
        </w:rPr>
        <w:t xml:space="preserve"> and </w:t>
      </w:r>
      <w:r>
        <w:rPr>
          <w:rFonts w:ascii="Arimo Bold" w:eastAsia="Arimo Bold" w:hAnsi="Arimo Bold" w:cs="Arimo Bold"/>
          <w:b/>
          <w:bCs/>
          <w:color w:val="000000"/>
        </w:rPr>
        <w:t>Asset Turnover</w:t>
      </w:r>
      <w:r>
        <w:rPr>
          <w:rFonts w:ascii="Arimo" w:eastAsia="Arimo" w:hAnsi="Arimo" w:cs="Arimo"/>
          <w:color w:val="000000"/>
        </w:rPr>
        <w:t xml:space="preserve"> provide resilience. </w:t>
      </w:r>
    </w:p>
    <w:p w14:paraId="7FF937BC" w14:textId="77777777" w:rsidR="00043E2D" w:rsidRDefault="00000000">
      <w:pPr>
        <w:spacing w:before="120" w:after="120" w:line="336" w:lineRule="auto"/>
      </w:pPr>
      <w:r>
        <w:rPr>
          <w:rFonts w:ascii="Arimo" w:eastAsia="Arimo" w:hAnsi="Arimo" w:cs="Arimo"/>
          <w:color w:val="000000"/>
        </w:rPr>
        <w:t xml:space="preserve">To sustain long-term solvency and financial health, management should prioritize strengthening liquidity, moderating leverage, and maintaining disciplined control over non-operating expenses. </w:t>
      </w:r>
    </w:p>
    <w:sectPr w:rsidR="00043E2D">
      <w:pgSz w:w="11910" w:h="16845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FE9FFD18-31F8-4430-8328-2262456924FE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  <w:embedRegular r:id="rId2" w:fontKey="{F65668C5-5423-4994-BBD0-A10E9BBAD3D1}"/>
  </w:font>
  <w:font w:name="Arimo Bold">
    <w:charset w:val="00"/>
    <w:family w:val="auto"/>
    <w:pitch w:val="default"/>
    <w:embedBold r:id="rId3" w:fontKey="{DD2AC370-FE37-47A7-9047-23294C68058D}"/>
  </w:font>
  <w:font w:name="Arimo">
    <w:charset w:val="00"/>
    <w:family w:val="auto"/>
    <w:pitch w:val="default"/>
    <w:embedRegular r:id="rId4" w:fontKey="{64B82B42-4711-43FC-AA71-6582CA1F7F21}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r:id="rId5" w:fontKey="{57902612-6119-455D-BE7A-E15CDA84E3D5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6"/>
  <w:embedTrueTypeFonts/>
  <w:proofState w:spelling="clean" w:grammar="clean"/>
  <w:defaultTabStop w:val="720"/>
  <w:doNotShadeFormData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3E2D"/>
    <w:rsid w:val="00043E2D"/>
    <w:rsid w:val="00305338"/>
    <w:rsid w:val="005A1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8EFAA"/>
  <w15:docId w15:val="{60DD19C1-9E2B-47BB-97E6-2DF78BE20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IN" w:eastAsia="en-IN" w:bidi="gu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536</Words>
  <Characters>3058</Characters>
  <Application>Microsoft Office Word</Application>
  <DocSecurity>0</DocSecurity>
  <Lines>25</Lines>
  <Paragraphs>7</Paragraphs>
  <ScaleCrop>false</ScaleCrop>
  <Company/>
  <LinksUpToDate>false</LinksUpToDate>
  <CharactersWithSpaces>3587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Apache POI</dc:creator>
  <cp:lastModifiedBy>kathan joshi</cp:lastModifiedBy>
  <cp:revision>2</cp:revision>
  <dcterms:created xsi:type="dcterms:W3CDTF">2026-07-08T16:52:00Z</dcterms:created>
  <dcterms:modified xsi:type="dcterms:W3CDTF">2026-07-08T16:52:00Z</dcterms:modified>
</cp:coreProperties>
</file>