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Is Archaeology a Political Practice?: Saartje Baartman and her burial.</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As two seemingly different disciplines, politics and archaeology may not seem to be similar at all when viewing archaeology with a shallow and outward view. Intrinsically, everything within society is political. In British archaeology, it is impossible for any work within archaeology to be performed outside the framework of both British and Western politics, whether that be simply the legislation that surrounds excavation and publication of archaeological work, or whether that is funding, or whether that is the overshadowing of past colonial powers and international policy. Politics within archaeology can have very serious repercussions when not addressed correctly, and it is vitally important as a twenty first century archaeologist to address issues of ownership, faith, ethnicity, culture and respect so as to not only offend people, but to also not perpetuate old colonialist methods and ideas. Archaeology can only be performed in the present, which will inevitably result in their being a cultural bias by the archaeologist of their own cultural practices. However, a recent positive development within the field is the increasing awareness of this bias, and how it can distort the understanding of the past (Glock, 1995, p. 48). During the greater part of the twentieth century, there was a lack of awareness of this cultural bias, and an image of archaeological practice in colonised places was idealised. The political implications of archaeological practice within colonialism were omitted and the appropriation of material culture was justified (Moro-Abadia, 2006, p. 4). This essay will primarily address this ‘colonial discourse’, and how the history of colonialism is still so entwined with archaeology (particularly within the Western world). Issues of nationalism will also be addressed, and how archaeology strengthens or weakens certain senses of national identity within people. This will primarily be addressed by discussing Saartjie Baartman, a Khoikhoi woman who’s treatment during and after her life being a great example of these issues that are discussed. </w:t>
      </w:r>
    </w:p>
    <w:p w:rsidR="00000000" w:rsidDel="00000000" w:rsidP="00000000" w:rsidRDefault="00000000" w:rsidRPr="00000000" w14:paraId="00000004">
      <w:pPr>
        <w:rPr/>
      </w:pPr>
      <w:r w:rsidDel="00000000" w:rsidR="00000000" w:rsidRPr="00000000">
        <w:rPr>
          <w:rtl w:val="0"/>
        </w:rPr>
        <w:tab/>
        <w:t xml:space="preserve">Archaeology as a practice was first introduced to the continent of Africa as a part of colonial expansion. A curiosity in past human societies and material culture is not exclusive to the Western world, however the particular methodologies, paradigms, procedures and protocols that make up the discipline of archaeology have their origins in eighteenth and nineteenth century Europe (Shepherd, 2002, pp. 192-193). The African continent is quite probably one of the worst victims of colonialism, and this is reflected in early archaeological work within Africa. Colonial powers at that time were engaged in surveying their new territories. Many expeditions during the late nineteenth century were headed by army officers, in the name of pacification whereby they recorded information about indigenous people, including language, customs, traditions and importantly material culture and archeological finds (Holl, 1990, cited in Shepherd, 2002, p. 193). Archaeology in this context existed to demonstrate these unfamiliar territories with the peoples, territories and cultures that were encountered within these territories. The relation between colonialism and archaeology was one of power and knowledge; archeology gave colonialism </w:t>
      </w:r>
      <w:r w:rsidDel="00000000" w:rsidR="00000000" w:rsidRPr="00000000">
        <w:rPr>
          <w:rtl w:val="0"/>
        </w:rPr>
        <w:t xml:space="preserve">legitimisation</w:t>
      </w:r>
      <w:r w:rsidDel="00000000" w:rsidR="00000000" w:rsidRPr="00000000">
        <w:rPr>
          <w:rtl w:val="0"/>
        </w:rPr>
        <w:t xml:space="preserve"> through academic purposes (Shepherd, 2002, p. 194).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3562350</wp:posOffset>
                </wp:positionH>
                <wp:positionV relativeFrom="paragraph">
                  <wp:posOffset>689936</wp:posOffset>
                </wp:positionV>
                <wp:extent cx="2009775" cy="3924300"/>
                <wp:effectExtent b="0" l="0" r="0" t="0"/>
                <wp:wrapSquare wrapText="bothSides" distB="114300" distT="114300" distL="114300" distR="114300"/>
                <wp:docPr id="1" name=""/>
                <a:graphic>
                  <a:graphicData uri="http://schemas.microsoft.com/office/word/2010/wordprocessingGroup">
                    <wpg:wgp>
                      <wpg:cNvGrpSpPr/>
                      <wpg:grpSpPr>
                        <a:xfrm>
                          <a:off x="152400" y="152400"/>
                          <a:ext cx="2009775" cy="3924300"/>
                          <a:chOff x="152400" y="152400"/>
                          <a:chExt cx="1990800" cy="3909900"/>
                        </a:xfrm>
                      </wpg:grpSpPr>
                      <pic:pic>
                        <pic:nvPicPr>
                          <pic:cNvPr id="2" name="Shape 2"/>
                          <pic:cNvPicPr preferRelativeResize="0"/>
                        </pic:nvPicPr>
                        <pic:blipFill/>
                        <pic:spPr>
                          <a:xfrm>
                            <a:off x="152400" y="152400"/>
                            <a:ext cx="1990725" cy="3048000"/>
                          </a:xfrm>
                          <a:prstGeom prst="rect">
                            <a:avLst/>
                          </a:prstGeom>
                          <a:noFill/>
                          <a:ln>
                            <a:noFill/>
                          </a:ln>
                        </pic:spPr>
                      </pic:pic>
                      <wps:wsp>
                        <wps:cNvSpPr txBox="1"/>
                        <wps:cNvPr id="3" name="Shape 3"/>
                        <wps:spPr>
                          <a:xfrm>
                            <a:off x="152400" y="3200400"/>
                            <a:ext cx="1990800" cy="861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9999"/>
                                  <w:sz w:val="22"/>
                                  <w:vertAlign w:val="baseline"/>
                                </w:rPr>
                                <w:t xml:space="preserve">Photograph of Baartman from the 1800s (Science Photo Library, no date, cited in Obino, 2022)</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3562350</wp:posOffset>
                </wp:positionH>
                <wp:positionV relativeFrom="paragraph">
                  <wp:posOffset>689936</wp:posOffset>
                </wp:positionV>
                <wp:extent cx="2009775" cy="39243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2009775" cy="3924300"/>
                        </a:xfrm>
                        <a:prstGeom prst="rect"/>
                        <a:ln/>
                      </pic:spPr>
                    </pic:pic>
                  </a:graphicData>
                </a:graphic>
              </wp:anchor>
            </w:drawing>
          </mc:Fallback>
        </mc:AlternateContent>
      </w:r>
    </w:p>
    <w:p w:rsidR="00000000" w:rsidDel="00000000" w:rsidP="00000000" w:rsidRDefault="00000000" w:rsidRPr="00000000" w14:paraId="00000005">
      <w:pPr>
        <w:ind w:left="0" w:firstLine="0"/>
        <w:rPr/>
      </w:pPr>
      <w:r w:rsidDel="00000000" w:rsidR="00000000" w:rsidRPr="00000000">
        <w:rPr>
          <w:rtl w:val="0"/>
        </w:rPr>
        <w:tab/>
        <w:t xml:space="preserve">This direct relationship of colonialism in Africa and western archaeology can be seen in no better a context than the story of Saartjie Baartman. Baartman was a member of the Khoikhoi people, an indigenous group originating in southern Africa. Originating from circa 2300 BP, they were an early native hunter-gatherer group, with their own culture, history, and people. They were one of the first native African people to come into contact with Dutch colonists in the mid seventeenth century, and were subjugated to dispossession, enslavement and extermination, leading to a dwindling population today (South African History Online, 2020). </w:t>
      </w:r>
    </w:p>
    <w:p w:rsidR="00000000" w:rsidDel="00000000" w:rsidP="00000000" w:rsidRDefault="00000000" w:rsidRPr="00000000" w14:paraId="00000006">
      <w:pPr>
        <w:ind w:left="0" w:firstLine="0"/>
        <w:rPr/>
      </w:pPr>
      <w:r w:rsidDel="00000000" w:rsidR="00000000" w:rsidRPr="00000000">
        <w:rPr>
          <w:rtl w:val="0"/>
        </w:rPr>
        <w:t xml:space="preserve">         In 1810, when Baartman was in her early twenties, she was persuaded by English doctor William Dunlop to travel to England to make her fortune in freak shows (Saartjie Baartman Centre for Women and Children, no date). Her physiology was that of one that was very different to the typical European at this time, with her having what is called ‘steatopygia’, an accumulation of fat in the buttocks, resulting in protrusion (Parkinson, 2016). This made her a fascination to the people of England, whereby she was put on display as part of a freak show as an anthropological freak. In 1814, she was taken to Paris where her exhibition as a freak continued. She became the object of ‘scientific’ and ‘medical’ research that formed European ideas of black female sexuality (Saartjie Baartman Centre for Women and Children, no date). Baartman died in 1816 at the young age of 26. Her death has been suggested as being the result of pneumonia, syphilis or alcoholism, due to her rampant mistreatment (Parkinson, 2016). A plaster cast was made of her body, and her body dissected. Her skeleton was preserved and her brain and genitals were both pickled, where they were put on display in Paris’ Musée de l'Homme. They remained on public display up until as recent as 1974, when they were then put into storage (Parkinson, 2016). After the election of Nelson Mandela as President of South Africa in 1994, the remains of Baartman, along with the plaster cast, were requested by the South African government. The French Government eventually agreed, with South Africa’s request being fulfilled in March 2002. In August of that year, her remains were buried in Hankey in the Eastern Cape province, 192 years after Baartman had left Africa for Europe (Parkinson, 2016).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3867150</wp:posOffset>
                </wp:positionV>
                <wp:extent cx="5731200" cy="3687903"/>
                <wp:effectExtent b="0" l="0" r="0" t="0"/>
                <wp:wrapTopAndBottom distB="114300" distT="114300"/>
                <wp:docPr id="2" name=""/>
                <a:graphic>
                  <a:graphicData uri="http://schemas.microsoft.com/office/word/2010/wordprocessingGroup">
                    <wpg:wgp>
                      <wpg:cNvGrpSpPr/>
                      <wpg:grpSpPr>
                        <a:xfrm>
                          <a:off x="152400" y="152400"/>
                          <a:ext cx="5731200" cy="3687903"/>
                          <a:chOff x="152400" y="152400"/>
                          <a:chExt cx="6553225" cy="4209375"/>
                        </a:xfrm>
                      </wpg:grpSpPr>
                      <pic:pic>
                        <pic:nvPicPr>
                          <pic:cNvPr id="4" name="Shape 4"/>
                          <pic:cNvPicPr preferRelativeResize="0"/>
                        </pic:nvPicPr>
                        <pic:blipFill/>
                        <pic:spPr>
                          <a:xfrm>
                            <a:off x="152400" y="152400"/>
                            <a:ext cx="6553201" cy="3686175"/>
                          </a:xfrm>
                          <a:prstGeom prst="rect">
                            <a:avLst/>
                          </a:prstGeom>
                          <a:noFill/>
                          <a:ln>
                            <a:noFill/>
                          </a:ln>
                        </pic:spPr>
                      </pic:pic>
                      <wps:wsp>
                        <wps:cNvSpPr txBox="1"/>
                        <wps:cNvPr id="5" name="Shape 5"/>
                        <wps:spPr>
                          <a:xfrm>
                            <a:off x="152400" y="3838575"/>
                            <a:ext cx="6553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b7b7b7"/>
                                  <w:sz w:val="22"/>
                                  <w:vertAlign w:val="baseline"/>
                                </w:rPr>
                                <w:t xml:space="preserve">South African and French officials next to the plaster cast of Baartman in Paris, before being sent to South Africa (AP, no date, cited in Parkinson, 2016)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3867150</wp:posOffset>
                </wp:positionV>
                <wp:extent cx="5731200" cy="3687903"/>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731200" cy="3687903"/>
                        </a:xfrm>
                        <a:prstGeom prst="rect"/>
                        <a:ln/>
                      </pic:spPr>
                    </pic:pic>
                  </a:graphicData>
                </a:graphic>
              </wp:anchor>
            </w:drawing>
          </mc:Fallback>
        </mc:AlternateContent>
      </w:r>
    </w:p>
    <w:p w:rsidR="00000000" w:rsidDel="00000000" w:rsidP="00000000" w:rsidRDefault="00000000" w:rsidRPr="00000000" w14:paraId="00000007">
      <w:pPr>
        <w:ind w:left="0" w:firstLine="720"/>
        <w:rPr/>
      </w:pPr>
      <w:r w:rsidDel="00000000" w:rsidR="00000000" w:rsidRPr="00000000">
        <w:rPr>
          <w:rtl w:val="0"/>
        </w:rPr>
        <w:t xml:space="preserve">Baartman is an iconic figure, and is probably the most famous example of both archaeology and museology’s direct relationship with colonial powers. She became a signifier of European cultural and scientific imperialism. She is also an example of scientific racism, whereby racialized notions of her body and genitalia were made, such as: the primitive, the animalistic and the uncontrolled. The oversexualising and racialising of her body and genitalia were done under the rubric of science to produce images of Africa (Levin, 2015, p. 97). This story evokes emotional responses from many, especially people in South Africa: </w:t>
      </w:r>
    </w:p>
    <w:p w:rsidR="00000000" w:rsidDel="00000000" w:rsidP="00000000" w:rsidRDefault="00000000" w:rsidRPr="00000000" w14:paraId="00000008">
      <w:pPr>
        <w:ind w:left="0" w:firstLine="720"/>
        <w:rPr/>
      </w:pPr>
      <w:r w:rsidDel="00000000" w:rsidR="00000000" w:rsidRPr="00000000">
        <w:rPr>
          <w:rtl w:val="0"/>
        </w:rPr>
      </w:r>
    </w:p>
    <w:p w:rsidR="00000000" w:rsidDel="00000000" w:rsidP="00000000" w:rsidRDefault="00000000" w:rsidRPr="00000000" w14:paraId="00000009">
      <w:pPr>
        <w:ind w:left="720" w:firstLine="0"/>
        <w:rPr/>
      </w:pPr>
      <w:r w:rsidDel="00000000" w:rsidR="00000000" w:rsidRPr="00000000">
        <w:rPr>
          <w:rtl w:val="0"/>
        </w:rPr>
        <w:t xml:space="preserve">Mere words cannot encapsulate the emotions, the fear, the tears and the hardship that she went through. I wish I could reach back in time and give her a hug and tell her everything will be alright in the end. Historical accounts of her life are cold and devoid of empathy. Her whole life seems knitted together by death, pain and loss, but in some moments I am sure she smiled, laughed, loved, wished, hoped, prayed and dreamt like any other normal human being.</w:t>
      </w:r>
    </w:p>
    <w:p w:rsidR="00000000" w:rsidDel="00000000" w:rsidP="00000000" w:rsidRDefault="00000000" w:rsidRPr="00000000" w14:paraId="0000000A">
      <w:pPr>
        <w:ind w:left="720" w:firstLine="0"/>
        <w:jc w:val="right"/>
        <w:rPr/>
      </w:pPr>
      <w:r w:rsidDel="00000000" w:rsidR="00000000" w:rsidRPr="00000000">
        <w:rPr>
          <w:rtl w:val="0"/>
        </w:rPr>
        <w:t xml:space="preserve">(Obino, 2022)</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ab/>
        <w:t xml:space="preserve">Whilst this emotional response is almost universally accepted, there does exist a counter argument to this, one that is perhaps controversial. Levin (2015, p.97) wrote that “the assumptions of Saartjie Baartman’s life that rely on seeing her as a victim furnished the imaginary reconstructive project of the post-apartheid nation.” Here, they are arguing that the burial of Baartman in South Africa has created a mythology surrounding her, and that she has been used as part of a “nation-building agenda.” It is noted by them that she was known for her performances of singing, dancing and playing the guitar in the taverns of Cape Town before she moved to England, iterating that she was a talented person. The narrative that she was nothing but a victim to the atrocities that were committed towards here, and not her self-determination, was utilised for political gain by the South African state as a symbol of the inhumanity that was subjected to them during apartheid South Africa, an atrocity that occurred many years after the death of Baartman (Levin, 2015, p.98). </w:t>
      </w:r>
    </w:p>
    <w:p w:rsidR="00000000" w:rsidDel="00000000" w:rsidP="00000000" w:rsidRDefault="00000000" w:rsidRPr="00000000" w14:paraId="0000000D">
      <w:pPr>
        <w:rPr/>
      </w:pPr>
      <w:r w:rsidDel="00000000" w:rsidR="00000000" w:rsidRPr="00000000">
        <w:rPr>
          <w:rtl w:val="0"/>
        </w:rPr>
        <w:tab/>
        <w:t xml:space="preserve">Kerseboom (2011, p.64), agrees with this sentiment, saying that there is a myth surrounding Baartman as a “grandmother, martyr and a heroine”. Kerseboom (2011, p.69) also reiterates that the “myth” of Baartman was used by the South African government as an icon of post-apartheid South Africa. They also talk of the fact that Baartman would not have identified as South African, as such an identity did not exist in her life. She was a Khoikhoi woman, and Kerseboom (2011, p. 70) states that there was initial disagreement surrounding her burial by the remaining Khoikhoi groups. It was decided that Baartman was to be buried on 9th August 2002, which coincided with both International Indigenous People’s Day and National Women’s Day, as a symbol of not only anti-colonialism but also one of feminism. By doing this, the government was recognising the contributions of both these marginalised groups towards the end of apartheid. Chief Jean Burgess and Chief Margaret Coetzee (no date, cited in Crais and Scully, 2009, p.163), both members of Khoikhoi groups, believed that burying Baartman on this date was a “great insult to us” and that she deserved a “day that belongs to us her alone and not a day that will be clouded across the country with Women’s Day celebrations. She deserves a day that we will remember as the day that our Great Foremother has been buried.” Burgess and Coetzee insisted that Baartman was Khoisan first and foremost, and that she was not South African. This protest was met with indifference by the South African government, and the funeral went ahead as originally planned. Her remains and legacy became part of a nationalistic South Africa, and not an exclusive Khoisan ethnic icon (Kerseboom, 2011, p.70). </w:t>
      </w:r>
    </w:p>
    <w:p w:rsidR="00000000" w:rsidDel="00000000" w:rsidP="00000000" w:rsidRDefault="00000000" w:rsidRPr="00000000" w14:paraId="0000000E">
      <w:pPr>
        <w:rPr/>
      </w:pPr>
      <w:r w:rsidDel="00000000" w:rsidR="00000000" w:rsidRPr="00000000">
        <w:rPr>
          <w:rtl w:val="0"/>
        </w:rPr>
        <w:tab/>
        <w:t xml:space="preserve">Saartjie Baartman and the issues that surrounded her reclaiming and her burial highlight a difficult struggle within archaeology. Whilst most would agree that her burial was handled in good faith, contemporary archaeology must be careful when re-establishing the history of a person, place, or item without re-establishing it as a curiosity, and without making assumptions. Levin (2015. p.98) makes a comparison to a false reconstruction as being similar to that of the scientific racism of the 19th century, albeit with a much less sinister motive. </w:t>
      </w:r>
    </w:p>
    <w:p w:rsidR="00000000" w:rsidDel="00000000" w:rsidP="00000000" w:rsidRDefault="00000000" w:rsidRPr="00000000" w14:paraId="0000000F">
      <w:pPr>
        <w:rPr/>
      </w:pPr>
      <w:r w:rsidDel="00000000" w:rsidR="00000000" w:rsidRPr="00000000">
        <w:rPr>
          <w:rtl w:val="0"/>
        </w:rPr>
        <w:tab/>
        <w:t xml:space="preserve">This brings the essay back to Glock (1995, p.49), who in his paper on bias in Palestinian archaeology, writes that “little has been done to examine the differences between the old and new styles of archaeology or the problems resulting from the adoption of an academic skill developed elsewhere.” This idea can be discussed in the context of Baartman, whereby the adoption of the archaeology of her body from France to South Africa faces its own problems, ones that were not discussed enough at the time. In the contemporary world, archaeologists take their own biases into account much more. Biases are inescapable and it is impossible to not be biassed, however these biases can be “made useful by harnessing it to serve the needs of the people whose past is being investigated and whose cultural self-understanding is at stake” (Glock, 1995, p.49), and “responsible archaeologists will not merely protest, but will find ways to help confront the real world we struggle to live with” (Glock, 1995, p.58). </w:t>
      </w:r>
    </w:p>
    <w:p w:rsidR="00000000" w:rsidDel="00000000" w:rsidP="00000000" w:rsidRDefault="00000000" w:rsidRPr="00000000" w14:paraId="00000010">
      <w:pPr>
        <w:rPr/>
      </w:pPr>
      <w:r w:rsidDel="00000000" w:rsidR="00000000" w:rsidRPr="00000000">
        <w:rPr>
          <w:rtl w:val="0"/>
        </w:rPr>
        <w:tab/>
        <w:t xml:space="preserve">To conclude, archaeology is most definitely a political practice, and is an issue that contemporary archaeologists must tackle constantly and consistently to ensure that findings are not assumed and that issues of cultural bias, importance of artefacts and the thoughts and opinions of indigenous people are at the forefront of any archaeological work. The story of Saartjie Baartman, and the horrific treatment she received whilst she was both alive and after she passed away, is a horrific reminder of the colonial past that western archaeology must face. Subsequently, the handling of her burial, whilst there were good intentions, could have been better. The voices of indigenous communities, especially ones such as the Khoikhoi that were major victims of colonialism, are the opinions that archaeologists need to listen to first and foremost. </w:t>
      </w:r>
    </w:p>
    <w:p w:rsidR="00000000" w:rsidDel="00000000" w:rsidP="00000000" w:rsidRDefault="00000000" w:rsidRPr="00000000" w14:paraId="00000011">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t xml:space="preserve">Bibliography</w:t>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Crais, C., and Scully, P. (2009) </w:t>
      </w:r>
      <w:r w:rsidDel="00000000" w:rsidR="00000000" w:rsidRPr="00000000">
        <w:rPr>
          <w:i w:val="1"/>
          <w:rtl w:val="0"/>
        </w:rPr>
        <w:t xml:space="preserve">Sara Baartman and the Hottentot Venus: A Ghost Story and a Biography. </w:t>
      </w:r>
      <w:r w:rsidDel="00000000" w:rsidR="00000000" w:rsidRPr="00000000">
        <w:rPr>
          <w:rtl w:val="0"/>
        </w:rPr>
        <w:t xml:space="preserve">Princeton: Princeton University Press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i w:val="1"/>
        </w:rPr>
      </w:pPr>
      <w:r w:rsidDel="00000000" w:rsidR="00000000" w:rsidRPr="00000000">
        <w:rPr>
          <w:rtl w:val="0"/>
        </w:rPr>
        <w:t xml:space="preserve">Glock, A. (1995) ‘Cultural Bias in the Archaeology of Palestine’, </w:t>
      </w:r>
      <w:r w:rsidDel="00000000" w:rsidR="00000000" w:rsidRPr="00000000">
        <w:rPr>
          <w:i w:val="1"/>
          <w:rtl w:val="0"/>
        </w:rPr>
        <w:t xml:space="preserve">Journal of Palestine Studies</w:t>
      </w:r>
      <w:r w:rsidDel="00000000" w:rsidR="00000000" w:rsidRPr="00000000">
        <w:rPr>
          <w:rtl w:val="0"/>
        </w:rPr>
        <w:t xml:space="preserve">, </w:t>
      </w:r>
      <w:r w:rsidDel="00000000" w:rsidR="00000000" w:rsidRPr="00000000">
        <w:rPr>
          <w:rtl w:val="0"/>
        </w:rPr>
        <w:t xml:space="preserve">24(2)</w:t>
      </w:r>
      <w:r w:rsidDel="00000000" w:rsidR="00000000" w:rsidRPr="00000000">
        <w:rPr>
          <w:rtl w:val="0"/>
        </w:rPr>
        <w:t xml:space="preserve">, pp. 48–59. DOI: 10.2307/2537733</w:t>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Kerseboom, S. (2011) ‘Grandmother-martyr-heroine: Placing Sara Baartman in South African post-apartheid foundational mythology’, </w:t>
      </w:r>
      <w:r w:rsidDel="00000000" w:rsidR="00000000" w:rsidRPr="00000000">
        <w:rPr>
          <w:i w:val="1"/>
          <w:rtl w:val="0"/>
        </w:rPr>
        <w:t xml:space="preserve">Historia</w:t>
      </w:r>
      <w:r w:rsidDel="00000000" w:rsidR="00000000" w:rsidRPr="00000000">
        <w:rPr>
          <w:rtl w:val="0"/>
        </w:rPr>
        <w:t xml:space="preserve">, 56(1), pp. 63-76. Available at: </w:t>
      </w:r>
      <w:hyperlink r:id="rId8">
        <w:r w:rsidDel="00000000" w:rsidR="00000000" w:rsidRPr="00000000">
          <w:rPr>
            <w:color w:val="1155cc"/>
            <w:u w:val="single"/>
            <w:rtl w:val="0"/>
          </w:rPr>
          <w:t xml:space="preserve">https://www.scielo.org.za/scielo.php?script=sci_arttext&amp;pid=S0018-229X2011000100004#ab1</w:t>
        </w:r>
      </w:hyperlink>
      <w:r w:rsidDel="00000000" w:rsidR="00000000" w:rsidRPr="00000000">
        <w:rPr>
          <w:rtl w:val="0"/>
        </w:rPr>
        <w:t xml:space="preserve"> (Accessed: 18th of November 2023)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Levin, N. (2015) ‘I AM SAARTJIE BAARTMAN’, in Mistry, J. and Schumann, A. (eds.) </w:t>
      </w:r>
      <w:r w:rsidDel="00000000" w:rsidR="00000000" w:rsidRPr="00000000">
        <w:rPr>
          <w:i w:val="1"/>
          <w:rtl w:val="0"/>
        </w:rPr>
        <w:t xml:space="preserve">Gaze Regimes: Film and feminism in Africa. </w:t>
      </w:r>
      <w:r w:rsidDel="00000000" w:rsidR="00000000" w:rsidRPr="00000000">
        <w:rPr>
          <w:rtl w:val="0"/>
        </w:rPr>
        <w:t xml:space="preserve">Johannesburg: Wits University Press.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Moro-Abadía, O. (2006) ‘The History of Archaeology as a ‘Colonial Discourse’’, </w:t>
      </w:r>
      <w:r w:rsidDel="00000000" w:rsidR="00000000" w:rsidRPr="00000000">
        <w:rPr>
          <w:i w:val="1"/>
          <w:rtl w:val="0"/>
        </w:rPr>
        <w:t xml:space="preserve">Bulletin of the History of Archaeology,</w:t>
      </w:r>
      <w:r w:rsidDel="00000000" w:rsidR="00000000" w:rsidRPr="00000000">
        <w:rPr>
          <w:rtl w:val="0"/>
        </w:rPr>
        <w:t xml:space="preserve"> 16(2), pp. 4-17. DOI: 10.5334/bha.16202</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Obino,  P. R. O. (2022) ‘Tragedy of Sarah ‘Saartjie’ Baartman- The Hottentot Venus’, </w:t>
      </w:r>
      <w:r w:rsidDel="00000000" w:rsidR="00000000" w:rsidRPr="00000000">
        <w:rPr>
          <w:i w:val="1"/>
          <w:rtl w:val="0"/>
        </w:rPr>
        <w:t xml:space="preserve">The Africa I Know</w:t>
      </w:r>
      <w:r w:rsidDel="00000000" w:rsidR="00000000" w:rsidRPr="00000000">
        <w:rPr>
          <w:rtl w:val="0"/>
        </w:rPr>
        <w:t xml:space="preserve">, 22nd May. Available at: </w:t>
      </w:r>
      <w:hyperlink r:id="rId9">
        <w:r w:rsidDel="00000000" w:rsidR="00000000" w:rsidRPr="00000000">
          <w:rPr>
            <w:color w:val="1155cc"/>
            <w:u w:val="single"/>
            <w:rtl w:val="0"/>
          </w:rPr>
          <w:t xml:space="preserve">https://www.theafricaiknow.org/articles/Tragedy-of-Sarah-Saartjie-Baartman</w:t>
        </w:r>
      </w:hyperlink>
      <w:r w:rsidDel="00000000" w:rsidR="00000000" w:rsidRPr="00000000">
        <w:rPr>
          <w:rtl w:val="0"/>
        </w:rPr>
        <w:t xml:space="preserve"> (Accessed: 18th November 2023)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Parkinson, J. (2016) ‘The significance of Sarah Baartman’, </w:t>
      </w:r>
      <w:r w:rsidDel="00000000" w:rsidR="00000000" w:rsidRPr="00000000">
        <w:rPr>
          <w:i w:val="1"/>
          <w:rtl w:val="0"/>
        </w:rPr>
        <w:t xml:space="preserve">BBC News Magazine,</w:t>
      </w:r>
      <w:r w:rsidDel="00000000" w:rsidR="00000000" w:rsidRPr="00000000">
        <w:rPr>
          <w:rtl w:val="0"/>
        </w:rPr>
        <w:t xml:space="preserve"> 7th January. Available at: </w:t>
      </w:r>
      <w:hyperlink r:id="rId10">
        <w:r w:rsidDel="00000000" w:rsidR="00000000" w:rsidRPr="00000000">
          <w:rPr>
            <w:color w:val="1155cc"/>
            <w:u w:val="single"/>
            <w:rtl w:val="0"/>
          </w:rPr>
          <w:t xml:space="preserve">https://www.bbc.co.uk/news/magazine-35240987</w:t>
        </w:r>
      </w:hyperlink>
      <w:r w:rsidDel="00000000" w:rsidR="00000000" w:rsidRPr="00000000">
        <w:rPr>
          <w:rtl w:val="0"/>
        </w:rPr>
        <w:t xml:space="preserve"> (Accessed: 18th November 2023)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Saartjie Baartman Centre for Women and Children (no date) </w:t>
      </w:r>
      <w:r w:rsidDel="00000000" w:rsidR="00000000" w:rsidRPr="00000000">
        <w:rPr>
          <w:i w:val="1"/>
          <w:rtl w:val="0"/>
        </w:rPr>
        <w:t xml:space="preserve">Saartjie (Sarah) Baartman’s story. </w:t>
      </w:r>
      <w:r w:rsidDel="00000000" w:rsidR="00000000" w:rsidRPr="00000000">
        <w:rPr>
          <w:rtl w:val="0"/>
        </w:rPr>
        <w:t xml:space="preserve">Available at: </w:t>
      </w:r>
      <w:hyperlink r:id="rId11">
        <w:r w:rsidDel="00000000" w:rsidR="00000000" w:rsidRPr="00000000">
          <w:rPr>
            <w:color w:val="1155cc"/>
            <w:u w:val="single"/>
            <w:rtl w:val="0"/>
          </w:rPr>
          <w:t xml:space="preserve">https://www.saartjiebaartmancentre.org.za/about-us/saartjie-baartmans-story/</w:t>
        </w:r>
      </w:hyperlink>
      <w:r w:rsidDel="00000000" w:rsidR="00000000" w:rsidRPr="00000000">
        <w:rPr>
          <w:rtl w:val="0"/>
        </w:rPr>
        <w:t xml:space="preserve"> (Accessed: 18th November 2023)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rtl w:val="0"/>
        </w:rPr>
        <w:t xml:space="preserve">Shepherd, N. (2002) ‘The Politics of Archaeology in Africa’, </w:t>
      </w:r>
      <w:r w:rsidDel="00000000" w:rsidR="00000000" w:rsidRPr="00000000">
        <w:rPr>
          <w:i w:val="1"/>
          <w:rtl w:val="0"/>
        </w:rPr>
        <w:t xml:space="preserve">Annual Review of Anthropology, </w:t>
      </w:r>
      <w:r w:rsidDel="00000000" w:rsidR="00000000" w:rsidRPr="00000000">
        <w:rPr>
          <w:rtl w:val="0"/>
        </w:rPr>
        <w:t xml:space="preserve">31, pp. 189-209. Available at: </w:t>
      </w:r>
      <w:hyperlink r:id="rId12">
        <w:r w:rsidDel="00000000" w:rsidR="00000000" w:rsidRPr="00000000">
          <w:rPr>
            <w:color w:val="1155cc"/>
            <w:highlight w:val="white"/>
            <w:u w:val="single"/>
            <w:rtl w:val="0"/>
          </w:rPr>
          <w:t xml:space="preserve">http://www.jstor.org/stable/4132877</w:t>
        </w:r>
      </w:hyperlink>
      <w:r w:rsidDel="00000000" w:rsidR="00000000" w:rsidRPr="00000000">
        <w:rPr>
          <w:highlight w:val="white"/>
          <w:rtl w:val="0"/>
        </w:rPr>
        <w:t xml:space="preserve"> (Accessed: 17th November 2023) </w:t>
      </w:r>
    </w:p>
    <w:p w:rsidR="00000000" w:rsidDel="00000000" w:rsidP="00000000" w:rsidRDefault="00000000" w:rsidRPr="00000000" w14:paraId="00000025">
      <w:pPr>
        <w:rPr>
          <w:highlight w:val="white"/>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highlight w:val="white"/>
          <w:rtl w:val="0"/>
        </w:rPr>
        <w:t xml:space="preserve">South African History Online (2020) </w:t>
      </w:r>
      <w:r w:rsidDel="00000000" w:rsidR="00000000" w:rsidRPr="00000000">
        <w:rPr>
          <w:i w:val="1"/>
          <w:highlight w:val="white"/>
          <w:rtl w:val="0"/>
        </w:rPr>
        <w:t xml:space="preserve">The Khoisan. </w:t>
      </w:r>
      <w:r w:rsidDel="00000000" w:rsidR="00000000" w:rsidRPr="00000000">
        <w:rPr>
          <w:highlight w:val="white"/>
          <w:rtl w:val="0"/>
        </w:rPr>
        <w:t xml:space="preserve">Available at: </w:t>
      </w:r>
      <w:hyperlink r:id="rId13">
        <w:r w:rsidDel="00000000" w:rsidR="00000000" w:rsidRPr="00000000">
          <w:rPr>
            <w:color w:val="1155cc"/>
            <w:highlight w:val="white"/>
            <w:u w:val="single"/>
            <w:rtl w:val="0"/>
          </w:rPr>
          <w:t xml:space="preserve">https://www.sahistory.org.za/article/khoisan</w:t>
        </w:r>
      </w:hyperlink>
      <w:r w:rsidDel="00000000" w:rsidR="00000000" w:rsidRPr="00000000">
        <w:rPr>
          <w:highlight w:val="white"/>
          <w:rtl w:val="0"/>
        </w:rPr>
        <w:t xml:space="preserve"> (Accessed: 18th November 2023) </w:t>
      </w:r>
      <w:r w:rsidDel="00000000" w:rsidR="00000000" w:rsidRPr="00000000">
        <w:rPr>
          <w:rtl w:val="0"/>
        </w:rPr>
      </w:r>
    </w:p>
    <w:sectPr>
      <w:headerReference r:id="rId14" w:type="default"/>
      <w:foot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aartjiebaartmancentre.org.za/about-us/saartjie-baartmans-story/" TargetMode="External"/><Relationship Id="rId10" Type="http://schemas.openxmlformats.org/officeDocument/2006/relationships/hyperlink" Target="https://www.bbc.co.uk/news/magazine-35240987" TargetMode="External"/><Relationship Id="rId13" Type="http://schemas.openxmlformats.org/officeDocument/2006/relationships/hyperlink" Target="https://www.sahistory.org.za/article/khoisan" TargetMode="External"/><Relationship Id="rId12" Type="http://schemas.openxmlformats.org/officeDocument/2006/relationships/hyperlink" Target="http://www.jstor.org/stable/413287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africaiknow.org/articles/Tragedy-of-Sarah-Saartjie-Baartman"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scielo.org.za/scielo.php?script=sci_arttext&amp;pid=S0018-229X2011000100004#a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