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A5EB5" w14:textId="1D215383" w:rsidR="008A6B62" w:rsidRPr="009E3198" w:rsidRDefault="74BD053C" w:rsidP="000F06AA">
      <w:pPr>
        <w:spacing w:line="360" w:lineRule="auto"/>
        <w:jc w:val="both"/>
        <w:rPr>
          <w:rFonts w:ascii="Arial" w:eastAsia="Arial" w:hAnsi="Arial" w:cs="Arial"/>
          <w:b/>
          <w:bCs/>
          <w:color w:val="5B9BD5" w:themeColor="accent1"/>
          <w:sz w:val="40"/>
          <w:szCs w:val="40"/>
          <w:lang w:val="en-GB"/>
        </w:rPr>
      </w:pPr>
      <w:r w:rsidRPr="009E3198">
        <w:rPr>
          <w:rFonts w:ascii="Arial" w:eastAsia="Arial" w:hAnsi="Arial" w:cs="Arial"/>
          <w:b/>
          <w:bCs/>
          <w:sz w:val="40"/>
          <w:szCs w:val="40"/>
          <w:lang w:val="en-GB"/>
        </w:rPr>
        <w:t xml:space="preserve">University of Wales Trinity Saint David </w:t>
      </w:r>
      <w:r w:rsidRPr="009E3198">
        <w:rPr>
          <w:rFonts w:ascii="Arial" w:eastAsia="Arial" w:hAnsi="Arial" w:cs="Arial"/>
          <w:b/>
          <w:bCs/>
          <w:color w:val="5B9BD5" w:themeColor="accent1"/>
          <w:sz w:val="40"/>
          <w:szCs w:val="40"/>
          <w:lang w:val="en-GB"/>
        </w:rPr>
        <w:t>(London)</w:t>
      </w:r>
    </w:p>
    <w:p w14:paraId="7F6E3873" w14:textId="231BCC02"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 xml:space="preserve">Module: </w:t>
      </w:r>
      <w:r w:rsidR="006778F3" w:rsidRPr="009E3198">
        <w:rPr>
          <w:rFonts w:ascii="Arial" w:eastAsia="Arial" w:hAnsi="Arial" w:cs="Arial"/>
          <w:b/>
          <w:bCs/>
          <w:sz w:val="40"/>
          <w:szCs w:val="40"/>
          <w:lang w:val="en-GB"/>
        </w:rPr>
        <w:t xml:space="preserve">International Financial Management </w:t>
      </w:r>
    </w:p>
    <w:p w14:paraId="42788EA9" w14:textId="5E5D3720"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Module code</w:t>
      </w:r>
      <w:r w:rsidRPr="009E3198">
        <w:rPr>
          <w:rFonts w:ascii="Arial" w:eastAsia="Arial" w:hAnsi="Arial" w:cs="Arial"/>
          <w:b/>
          <w:bCs/>
          <w:color w:val="000000" w:themeColor="text1"/>
          <w:sz w:val="40"/>
          <w:szCs w:val="40"/>
          <w:lang w:val="en-GB"/>
        </w:rPr>
        <w:t>:</w:t>
      </w:r>
      <w:r w:rsidRPr="009E3198">
        <w:rPr>
          <w:rFonts w:ascii="Arial" w:eastAsia="Arial" w:hAnsi="Arial" w:cs="Arial"/>
          <w:b/>
          <w:bCs/>
          <w:color w:val="5B9BD5" w:themeColor="accent1"/>
          <w:sz w:val="40"/>
          <w:szCs w:val="40"/>
          <w:lang w:val="en-GB"/>
        </w:rPr>
        <w:t xml:space="preserve"> </w:t>
      </w:r>
      <w:r w:rsidR="006778F3" w:rsidRPr="009E3198">
        <w:rPr>
          <w:rFonts w:ascii="Arial" w:eastAsia="Arial" w:hAnsi="Arial" w:cs="Arial"/>
          <w:b/>
          <w:bCs/>
          <w:color w:val="5B9BD5" w:themeColor="accent1"/>
          <w:sz w:val="40"/>
          <w:szCs w:val="40"/>
          <w:lang w:val="en-GB"/>
        </w:rPr>
        <w:t>LCBB6002</w:t>
      </w:r>
    </w:p>
    <w:p w14:paraId="2605BF0A" w14:textId="18D8C3BA"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 xml:space="preserve">Lecturer: </w:t>
      </w:r>
      <w:r w:rsidR="006778F3" w:rsidRPr="009E3198">
        <w:rPr>
          <w:rFonts w:ascii="Arial" w:eastAsia="Arial" w:hAnsi="Arial" w:cs="Arial"/>
          <w:b/>
          <w:bCs/>
          <w:sz w:val="40"/>
          <w:szCs w:val="40"/>
          <w:lang w:val="en-GB"/>
        </w:rPr>
        <w:t xml:space="preserve">Zainab Atta </w:t>
      </w:r>
    </w:p>
    <w:p w14:paraId="27DAF91C" w14:textId="41143B4F"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Assignment Title:</w:t>
      </w:r>
      <w:r w:rsidR="00DC45C2" w:rsidRPr="009E3198">
        <w:rPr>
          <w:rFonts w:ascii="Arial" w:eastAsia="Arial" w:hAnsi="Arial" w:cs="Arial"/>
          <w:b/>
          <w:bCs/>
          <w:sz w:val="40"/>
          <w:szCs w:val="40"/>
          <w:lang w:val="en-GB"/>
        </w:rPr>
        <w:t xml:space="preserve"> </w:t>
      </w:r>
      <w:r w:rsidR="00A65C90" w:rsidRPr="009E3198">
        <w:rPr>
          <w:rFonts w:ascii="Arial" w:eastAsia="Arial" w:hAnsi="Arial" w:cs="Arial"/>
          <w:b/>
          <w:bCs/>
          <w:sz w:val="40"/>
          <w:szCs w:val="40"/>
          <w:lang w:val="en-GB"/>
        </w:rPr>
        <w:t xml:space="preserve"> - </w:t>
      </w:r>
      <w:r w:rsidR="00DC45C2" w:rsidRPr="009E3198">
        <w:rPr>
          <w:rFonts w:ascii="Arial" w:eastAsia="Arial" w:hAnsi="Arial" w:cs="Arial"/>
          <w:b/>
          <w:bCs/>
          <w:sz w:val="40"/>
          <w:szCs w:val="40"/>
          <w:lang w:val="en-GB"/>
        </w:rPr>
        <w:t xml:space="preserve">Assessment 1 </w:t>
      </w:r>
      <w:r w:rsidR="006778F3" w:rsidRPr="009E3198">
        <w:rPr>
          <w:rFonts w:ascii="Arial" w:eastAsia="Arial" w:hAnsi="Arial" w:cs="Arial"/>
          <w:b/>
          <w:bCs/>
          <w:color w:val="5B9BD5" w:themeColor="accent1"/>
          <w:sz w:val="40"/>
          <w:szCs w:val="40"/>
          <w:lang w:val="en-GB"/>
        </w:rPr>
        <w:t xml:space="preserve">Individual Essay </w:t>
      </w:r>
    </w:p>
    <w:p w14:paraId="520789C7" w14:textId="3E1E80FB" w:rsidR="00A87963" w:rsidRPr="009E3198" w:rsidRDefault="00A87963"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By:</w:t>
      </w:r>
      <w:r w:rsidR="00DC45C2" w:rsidRPr="009E3198">
        <w:rPr>
          <w:rFonts w:ascii="Arial" w:eastAsia="Arial" w:hAnsi="Arial" w:cs="Arial"/>
          <w:b/>
          <w:bCs/>
          <w:sz w:val="40"/>
          <w:szCs w:val="40"/>
          <w:lang w:val="en-GB"/>
        </w:rPr>
        <w:t xml:space="preserve"> Kristina D. Ralcheva</w:t>
      </w:r>
    </w:p>
    <w:p w14:paraId="063D7987" w14:textId="1D865D4B" w:rsidR="00A87963" w:rsidRPr="009E3198" w:rsidRDefault="008A6B62"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Date:</w:t>
      </w:r>
      <w:r w:rsidR="00DC45C2" w:rsidRPr="009E3198">
        <w:rPr>
          <w:rFonts w:ascii="Arial" w:eastAsia="Arial" w:hAnsi="Arial" w:cs="Arial"/>
          <w:b/>
          <w:bCs/>
          <w:sz w:val="40"/>
          <w:szCs w:val="40"/>
          <w:lang w:val="en-GB"/>
        </w:rPr>
        <w:t xml:space="preserve"> </w:t>
      </w:r>
      <w:r w:rsidR="006778F3" w:rsidRPr="009E3198">
        <w:rPr>
          <w:rFonts w:ascii="Arial" w:eastAsia="Arial" w:hAnsi="Arial" w:cs="Arial"/>
          <w:b/>
          <w:bCs/>
          <w:sz w:val="40"/>
          <w:szCs w:val="40"/>
          <w:lang w:val="en-GB"/>
        </w:rPr>
        <w:t>April</w:t>
      </w:r>
      <w:r w:rsidRPr="009E3198">
        <w:rPr>
          <w:rFonts w:ascii="Arial" w:eastAsia="Arial" w:hAnsi="Arial" w:cs="Arial"/>
          <w:b/>
          <w:bCs/>
          <w:sz w:val="40"/>
          <w:szCs w:val="40"/>
          <w:lang w:val="en-GB"/>
        </w:rPr>
        <w:t xml:space="preserve"> 202</w:t>
      </w:r>
      <w:r w:rsidR="006778F3" w:rsidRPr="009E3198">
        <w:rPr>
          <w:rFonts w:ascii="Arial" w:eastAsia="Arial" w:hAnsi="Arial" w:cs="Arial"/>
          <w:b/>
          <w:bCs/>
          <w:sz w:val="40"/>
          <w:szCs w:val="40"/>
          <w:lang w:val="en-GB"/>
        </w:rPr>
        <w:t>4</w:t>
      </w:r>
    </w:p>
    <w:p w14:paraId="32A83DC5" w14:textId="77777777" w:rsidR="00DC45C2" w:rsidRPr="000F06AA" w:rsidRDefault="00DC45C2" w:rsidP="000F06AA">
      <w:pPr>
        <w:spacing w:line="360" w:lineRule="auto"/>
        <w:jc w:val="both"/>
        <w:rPr>
          <w:rFonts w:ascii="Arial" w:eastAsia="Arial" w:hAnsi="Arial" w:cs="Arial"/>
          <w:b/>
          <w:bCs/>
          <w:szCs w:val="24"/>
          <w:lang w:val="en-GB"/>
        </w:rPr>
      </w:pPr>
    </w:p>
    <w:p w14:paraId="7F6BE889" w14:textId="77777777" w:rsidR="00A87963" w:rsidRPr="000F06AA" w:rsidRDefault="00A87963" w:rsidP="000F06AA">
      <w:pPr>
        <w:spacing w:line="360" w:lineRule="auto"/>
        <w:jc w:val="both"/>
        <w:rPr>
          <w:rFonts w:ascii="Arial" w:eastAsia="Arial" w:hAnsi="Arial" w:cs="Arial"/>
          <w:szCs w:val="24"/>
          <w:lang w:val="en-GB"/>
        </w:rPr>
      </w:pPr>
    </w:p>
    <w:p w14:paraId="69C4CE52" w14:textId="77777777" w:rsidR="00A87963" w:rsidRPr="000F06AA" w:rsidRDefault="00A87963" w:rsidP="000F06AA">
      <w:pPr>
        <w:spacing w:line="360" w:lineRule="auto"/>
        <w:jc w:val="both"/>
        <w:rPr>
          <w:rFonts w:ascii="Arial" w:eastAsia="Arial" w:hAnsi="Arial" w:cs="Arial"/>
          <w:szCs w:val="24"/>
          <w:lang w:val="en-GB"/>
        </w:rPr>
      </w:pPr>
    </w:p>
    <w:p w14:paraId="16006726" w14:textId="77777777" w:rsidR="00700763" w:rsidRPr="000F06AA" w:rsidRDefault="00700763" w:rsidP="000F06AA">
      <w:pPr>
        <w:spacing w:line="360" w:lineRule="auto"/>
        <w:jc w:val="both"/>
        <w:rPr>
          <w:rFonts w:ascii="Arial" w:eastAsia="Arial" w:hAnsi="Arial" w:cs="Arial"/>
          <w:szCs w:val="24"/>
          <w:lang w:val="en-GB"/>
        </w:rPr>
      </w:pPr>
    </w:p>
    <w:p w14:paraId="1C06DA48" w14:textId="77777777" w:rsidR="008A6B62" w:rsidRPr="000F06AA" w:rsidRDefault="008A6B62" w:rsidP="000F06AA">
      <w:pPr>
        <w:spacing w:line="360" w:lineRule="auto"/>
        <w:jc w:val="both"/>
        <w:rPr>
          <w:rFonts w:ascii="Arial" w:eastAsia="Arial" w:hAnsi="Arial" w:cs="Arial"/>
          <w:szCs w:val="24"/>
          <w:lang w:val="en-GB"/>
        </w:rPr>
      </w:pPr>
    </w:p>
    <w:p w14:paraId="4AD9D5BE" w14:textId="31BDBF3E" w:rsidR="00D160B6" w:rsidRPr="000F06AA" w:rsidRDefault="00D160B6" w:rsidP="000F06AA">
      <w:pPr>
        <w:spacing w:line="360" w:lineRule="auto"/>
        <w:jc w:val="both"/>
        <w:rPr>
          <w:rFonts w:ascii="Arial" w:eastAsia="Arial" w:hAnsi="Arial" w:cs="Arial"/>
          <w:szCs w:val="24"/>
          <w:lang w:val="en-GB"/>
        </w:rPr>
      </w:pPr>
    </w:p>
    <w:p w14:paraId="575E8A82" w14:textId="60F48706" w:rsidR="00BB536C" w:rsidRPr="000F06AA" w:rsidRDefault="00BB536C" w:rsidP="000F06AA">
      <w:pPr>
        <w:spacing w:line="360" w:lineRule="auto"/>
        <w:jc w:val="both"/>
        <w:rPr>
          <w:rFonts w:ascii="Arial" w:eastAsia="Arial" w:hAnsi="Arial" w:cs="Arial"/>
          <w:szCs w:val="24"/>
          <w:lang w:val="en-GB"/>
        </w:rPr>
      </w:pPr>
    </w:p>
    <w:p w14:paraId="1FECDD4E" w14:textId="5CF2B0EE" w:rsidR="00BB536C" w:rsidRPr="000F06AA" w:rsidRDefault="00BB536C" w:rsidP="000F06AA">
      <w:pPr>
        <w:spacing w:line="360" w:lineRule="auto"/>
        <w:jc w:val="both"/>
        <w:rPr>
          <w:rFonts w:ascii="Arial" w:eastAsia="Arial" w:hAnsi="Arial" w:cs="Arial"/>
          <w:szCs w:val="24"/>
          <w:lang w:val="en-GB"/>
        </w:rPr>
      </w:pPr>
    </w:p>
    <w:p w14:paraId="60DD1566" w14:textId="06EBD8DE" w:rsidR="74BD053C" w:rsidRPr="000F06AA" w:rsidRDefault="74BD053C" w:rsidP="000F06AA">
      <w:pPr>
        <w:spacing w:line="360" w:lineRule="auto"/>
        <w:jc w:val="both"/>
        <w:rPr>
          <w:rFonts w:ascii="Arial" w:eastAsia="Arial" w:hAnsi="Arial" w:cs="Arial"/>
          <w:szCs w:val="24"/>
          <w:lang w:val="en-GB"/>
        </w:rPr>
      </w:pPr>
    </w:p>
    <w:p w14:paraId="657A921F" w14:textId="77777777" w:rsidR="00BB536C" w:rsidRPr="000F06AA" w:rsidRDefault="00BB536C" w:rsidP="000F06AA">
      <w:pPr>
        <w:spacing w:line="360" w:lineRule="auto"/>
        <w:jc w:val="both"/>
        <w:rPr>
          <w:rFonts w:ascii="Arial" w:eastAsia="Arial" w:hAnsi="Arial" w:cs="Arial"/>
          <w:szCs w:val="24"/>
          <w:lang w:val="en-GB"/>
        </w:rPr>
      </w:pPr>
    </w:p>
    <w:p w14:paraId="08470F78" w14:textId="7CCC1C54" w:rsidR="00C31E85" w:rsidRPr="00C31E85" w:rsidRDefault="00C31E85" w:rsidP="00C31E85">
      <w:pPr>
        <w:pStyle w:val="TOCHeading"/>
        <w:spacing w:line="240" w:lineRule="auto"/>
        <w:rPr>
          <w:rFonts w:ascii="Arial" w:hAnsi="Arial" w:cs="Arial"/>
          <w:sz w:val="22"/>
          <w:szCs w:val="22"/>
        </w:rPr>
      </w:pPr>
    </w:p>
    <w:p w14:paraId="334BD92A" w14:textId="25315573"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Table of Contents</w:t>
      </w:r>
      <w:r w:rsidR="001B27A2" w:rsidRPr="001B27A2">
        <w:rPr>
          <w:rFonts w:ascii="Arial" w:eastAsiaTheme="majorEastAsia" w:hAnsi="Arial" w:cs="Arial"/>
          <w:sz w:val="22"/>
        </w:rPr>
        <w:t>.</w:t>
      </w:r>
    </w:p>
    <w:p w14:paraId="7FD6F4D9" w14:textId="77777777" w:rsidR="00B9003A" w:rsidRPr="001B27A2" w:rsidRDefault="00B9003A" w:rsidP="00B9003A">
      <w:pPr>
        <w:spacing w:line="360" w:lineRule="auto"/>
        <w:rPr>
          <w:rFonts w:ascii="Arial" w:eastAsiaTheme="majorEastAsia" w:hAnsi="Arial" w:cs="Arial"/>
          <w:sz w:val="22"/>
        </w:rPr>
      </w:pPr>
    </w:p>
    <w:p w14:paraId="551E8826" w14:textId="70A7D87E"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1. Introduction</w:t>
      </w:r>
    </w:p>
    <w:p w14:paraId="4FF39334" w14:textId="0694C479"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2. Main Body</w:t>
      </w:r>
    </w:p>
    <w:p w14:paraId="4535FBB2" w14:textId="05F04C3F"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2.1. Efficient Market Hypothesis (EMH)</w:t>
      </w:r>
    </w:p>
    <w:p w14:paraId="7F6CEDC3" w14:textId="196F1AAB"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2.2. Project Appraisal Theory</w:t>
      </w:r>
    </w:p>
    <w:p w14:paraId="19ECB418" w14:textId="36379048"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2.3 Exchange Rates and Risk Management</w:t>
      </w:r>
    </w:p>
    <w:p w14:paraId="3F51FDF6" w14:textId="18D04D8E" w:rsidR="00B9003A" w:rsidRPr="001B27A2"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2.4 Different Strategies for Foreign Exchange Risk Management</w:t>
      </w:r>
    </w:p>
    <w:p w14:paraId="4788A467" w14:textId="749229F4" w:rsidR="00B9003A"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7. Conclusion</w:t>
      </w:r>
    </w:p>
    <w:p w14:paraId="26605FF7" w14:textId="796B147D" w:rsidR="00933E9D" w:rsidRDefault="00933E9D" w:rsidP="00B9003A">
      <w:pPr>
        <w:spacing w:line="360" w:lineRule="auto"/>
        <w:rPr>
          <w:rFonts w:ascii="Arial" w:eastAsiaTheme="majorEastAsia" w:hAnsi="Arial" w:cs="Arial"/>
          <w:sz w:val="22"/>
        </w:rPr>
      </w:pPr>
      <w:r>
        <w:rPr>
          <w:rFonts w:ascii="Arial" w:eastAsiaTheme="majorEastAsia" w:hAnsi="Arial" w:cs="Arial"/>
          <w:sz w:val="22"/>
        </w:rPr>
        <w:t xml:space="preserve">8. References. </w:t>
      </w:r>
    </w:p>
    <w:p w14:paraId="4B4EE2AB" w14:textId="2C5A8769" w:rsidR="007500F9" w:rsidRDefault="007500F9" w:rsidP="00B9003A">
      <w:pPr>
        <w:spacing w:line="360" w:lineRule="auto"/>
        <w:rPr>
          <w:rFonts w:ascii="Arial" w:eastAsiaTheme="majorEastAsia" w:hAnsi="Arial" w:cs="Arial"/>
          <w:sz w:val="22"/>
        </w:rPr>
      </w:pPr>
    </w:p>
    <w:p w14:paraId="28099BAA" w14:textId="13A59E67" w:rsidR="007500F9" w:rsidRDefault="007500F9" w:rsidP="00B9003A">
      <w:pPr>
        <w:spacing w:line="360" w:lineRule="auto"/>
        <w:rPr>
          <w:rFonts w:ascii="Arial" w:eastAsiaTheme="majorEastAsia" w:hAnsi="Arial" w:cs="Arial"/>
          <w:sz w:val="22"/>
        </w:rPr>
      </w:pPr>
    </w:p>
    <w:p w14:paraId="53BAA07F" w14:textId="39AC0220" w:rsidR="007500F9" w:rsidRDefault="007500F9" w:rsidP="00B9003A">
      <w:pPr>
        <w:spacing w:line="360" w:lineRule="auto"/>
        <w:rPr>
          <w:rFonts w:ascii="Arial" w:eastAsiaTheme="majorEastAsia" w:hAnsi="Arial" w:cs="Arial"/>
          <w:sz w:val="22"/>
        </w:rPr>
      </w:pPr>
    </w:p>
    <w:p w14:paraId="16DA653D" w14:textId="536A7FF1" w:rsidR="007500F9" w:rsidRDefault="007500F9" w:rsidP="00B9003A">
      <w:pPr>
        <w:spacing w:line="360" w:lineRule="auto"/>
        <w:rPr>
          <w:rFonts w:ascii="Arial" w:eastAsiaTheme="majorEastAsia" w:hAnsi="Arial" w:cs="Arial"/>
          <w:sz w:val="22"/>
        </w:rPr>
      </w:pPr>
    </w:p>
    <w:p w14:paraId="37BB35E4" w14:textId="240F308A" w:rsidR="007500F9" w:rsidRDefault="007500F9" w:rsidP="00B9003A">
      <w:pPr>
        <w:spacing w:line="360" w:lineRule="auto"/>
        <w:rPr>
          <w:rFonts w:ascii="Arial" w:eastAsiaTheme="majorEastAsia" w:hAnsi="Arial" w:cs="Arial"/>
          <w:sz w:val="22"/>
        </w:rPr>
      </w:pPr>
    </w:p>
    <w:p w14:paraId="75C5E743" w14:textId="4445D9F8" w:rsidR="007500F9" w:rsidRDefault="007500F9" w:rsidP="00B9003A">
      <w:pPr>
        <w:spacing w:line="360" w:lineRule="auto"/>
        <w:rPr>
          <w:rFonts w:ascii="Arial" w:eastAsiaTheme="majorEastAsia" w:hAnsi="Arial" w:cs="Arial"/>
          <w:sz w:val="22"/>
        </w:rPr>
      </w:pPr>
    </w:p>
    <w:p w14:paraId="46C7D6D6" w14:textId="7B899E1D" w:rsidR="007500F9" w:rsidRDefault="007500F9" w:rsidP="00B9003A">
      <w:pPr>
        <w:spacing w:line="360" w:lineRule="auto"/>
        <w:rPr>
          <w:rFonts w:ascii="Arial" w:eastAsiaTheme="majorEastAsia" w:hAnsi="Arial" w:cs="Arial"/>
          <w:sz w:val="22"/>
        </w:rPr>
      </w:pPr>
    </w:p>
    <w:p w14:paraId="6983BE96" w14:textId="7E336AA9" w:rsidR="007500F9" w:rsidRDefault="007500F9" w:rsidP="00B9003A">
      <w:pPr>
        <w:spacing w:line="360" w:lineRule="auto"/>
        <w:rPr>
          <w:rFonts w:ascii="Arial" w:eastAsiaTheme="majorEastAsia" w:hAnsi="Arial" w:cs="Arial"/>
          <w:sz w:val="22"/>
        </w:rPr>
      </w:pPr>
    </w:p>
    <w:p w14:paraId="158FE45C" w14:textId="4C3866C7" w:rsidR="007500F9" w:rsidRDefault="007500F9" w:rsidP="00B9003A">
      <w:pPr>
        <w:spacing w:line="360" w:lineRule="auto"/>
        <w:rPr>
          <w:rFonts w:ascii="Arial" w:eastAsiaTheme="majorEastAsia" w:hAnsi="Arial" w:cs="Arial"/>
          <w:sz w:val="22"/>
        </w:rPr>
      </w:pPr>
    </w:p>
    <w:p w14:paraId="2ACBB377" w14:textId="63B0A788" w:rsidR="007500F9" w:rsidRDefault="007500F9" w:rsidP="00B9003A">
      <w:pPr>
        <w:spacing w:line="360" w:lineRule="auto"/>
        <w:rPr>
          <w:rFonts w:ascii="Arial" w:eastAsiaTheme="majorEastAsia" w:hAnsi="Arial" w:cs="Arial"/>
          <w:sz w:val="22"/>
        </w:rPr>
      </w:pPr>
    </w:p>
    <w:p w14:paraId="0B17FB4E" w14:textId="32108C38" w:rsidR="007500F9" w:rsidRDefault="007500F9" w:rsidP="00B9003A">
      <w:pPr>
        <w:spacing w:line="360" w:lineRule="auto"/>
        <w:rPr>
          <w:rFonts w:ascii="Arial" w:eastAsiaTheme="majorEastAsia" w:hAnsi="Arial" w:cs="Arial"/>
          <w:sz w:val="22"/>
        </w:rPr>
      </w:pPr>
    </w:p>
    <w:p w14:paraId="3FE0129E" w14:textId="1236FBD0" w:rsidR="007500F9" w:rsidRDefault="007500F9" w:rsidP="00B9003A">
      <w:pPr>
        <w:spacing w:line="360" w:lineRule="auto"/>
        <w:rPr>
          <w:rFonts w:ascii="Arial" w:eastAsiaTheme="majorEastAsia" w:hAnsi="Arial" w:cs="Arial"/>
          <w:sz w:val="22"/>
        </w:rPr>
      </w:pPr>
    </w:p>
    <w:p w14:paraId="626707D1" w14:textId="25A3D20A" w:rsidR="007500F9" w:rsidRDefault="007500F9" w:rsidP="00B9003A">
      <w:pPr>
        <w:spacing w:line="360" w:lineRule="auto"/>
        <w:rPr>
          <w:rFonts w:ascii="Arial" w:eastAsiaTheme="majorEastAsia" w:hAnsi="Arial" w:cs="Arial"/>
          <w:sz w:val="22"/>
        </w:rPr>
      </w:pPr>
    </w:p>
    <w:p w14:paraId="18BD9FCE" w14:textId="77777777" w:rsidR="007500F9" w:rsidRDefault="007500F9" w:rsidP="00B9003A">
      <w:pPr>
        <w:spacing w:line="360" w:lineRule="auto"/>
        <w:rPr>
          <w:rFonts w:ascii="Arial" w:eastAsiaTheme="majorEastAsia" w:hAnsi="Arial" w:cs="Arial"/>
          <w:sz w:val="22"/>
        </w:rPr>
      </w:pPr>
    </w:p>
    <w:p w14:paraId="36178CE2" w14:textId="40848B40" w:rsidR="001B27A2" w:rsidRDefault="001B27A2" w:rsidP="00B9003A">
      <w:pPr>
        <w:spacing w:line="360" w:lineRule="auto"/>
        <w:rPr>
          <w:rFonts w:ascii="Arial" w:eastAsiaTheme="majorEastAsia" w:hAnsi="Arial" w:cs="Arial"/>
          <w:sz w:val="22"/>
        </w:rPr>
      </w:pPr>
    </w:p>
    <w:p w14:paraId="7D36F73B" w14:textId="77777777" w:rsidR="007500F9" w:rsidRDefault="007500F9" w:rsidP="00B9003A">
      <w:pPr>
        <w:spacing w:line="360" w:lineRule="auto"/>
        <w:rPr>
          <w:rFonts w:ascii="Arial" w:eastAsiaTheme="majorEastAsia" w:hAnsi="Arial" w:cs="Arial"/>
          <w:b/>
          <w:bCs/>
          <w:color w:val="5B9BD5" w:themeColor="accent1"/>
          <w:sz w:val="22"/>
        </w:rPr>
      </w:pPr>
    </w:p>
    <w:p w14:paraId="37DEE53A" w14:textId="3DA850F7" w:rsidR="001B27A2" w:rsidRPr="001B27A2" w:rsidRDefault="001B27A2" w:rsidP="00B9003A">
      <w:pPr>
        <w:spacing w:line="360" w:lineRule="auto"/>
        <w:rPr>
          <w:rFonts w:ascii="Arial" w:eastAsiaTheme="majorEastAsia" w:hAnsi="Arial" w:cs="Arial"/>
          <w:b/>
          <w:bCs/>
          <w:color w:val="5B9BD5" w:themeColor="accent1"/>
          <w:sz w:val="22"/>
        </w:rPr>
      </w:pPr>
      <w:r w:rsidRPr="001B27A2">
        <w:rPr>
          <w:rFonts w:ascii="Arial" w:eastAsiaTheme="majorEastAsia" w:hAnsi="Arial" w:cs="Arial"/>
          <w:b/>
          <w:bCs/>
          <w:color w:val="5B9BD5" w:themeColor="accent1"/>
          <w:sz w:val="22"/>
        </w:rPr>
        <w:t xml:space="preserve">Introduction. </w:t>
      </w:r>
    </w:p>
    <w:p w14:paraId="1F176ACB" w14:textId="2542D877" w:rsidR="005F271D" w:rsidRDefault="00C6117F" w:rsidP="000F06AA">
      <w:pPr>
        <w:spacing w:line="360" w:lineRule="auto"/>
        <w:rPr>
          <w:rFonts w:ascii="Arial" w:hAnsi="Arial" w:cs="Arial"/>
          <w:szCs w:val="24"/>
          <w:lang w:val="en-GB"/>
        </w:rPr>
      </w:pPr>
      <w:r>
        <w:rPr>
          <w:rFonts w:ascii="Arial" w:hAnsi="Arial" w:cs="Arial"/>
          <w:szCs w:val="24"/>
          <w:lang w:val="en-GB"/>
        </w:rPr>
        <w:t xml:space="preserve">Nowadays in the linked </w:t>
      </w:r>
      <w:r w:rsidRPr="00C6117F">
        <w:rPr>
          <w:rFonts w:ascii="Arial" w:hAnsi="Arial" w:cs="Arial"/>
          <w:szCs w:val="24"/>
          <w:lang w:val="en-GB"/>
        </w:rPr>
        <w:t xml:space="preserve">global </w:t>
      </w:r>
      <w:r w:rsidR="00CB359B">
        <w:rPr>
          <w:rFonts w:ascii="Arial" w:hAnsi="Arial" w:cs="Arial"/>
          <w:szCs w:val="24"/>
          <w:lang w:val="en-GB"/>
        </w:rPr>
        <w:t xml:space="preserve">economy </w:t>
      </w:r>
      <w:r w:rsidR="00CB359B" w:rsidRPr="00CB359B">
        <w:rPr>
          <w:rFonts w:ascii="Arial" w:hAnsi="Arial" w:cs="Arial"/>
          <w:szCs w:val="24"/>
          <w:lang w:val="en-GB"/>
        </w:rPr>
        <w:t xml:space="preserve">multinational companies (MNCs) </w:t>
      </w:r>
      <w:r w:rsidR="00CB359B">
        <w:rPr>
          <w:rFonts w:ascii="Arial" w:hAnsi="Arial" w:cs="Arial"/>
          <w:szCs w:val="24"/>
          <w:lang w:val="en-GB"/>
        </w:rPr>
        <w:t xml:space="preserve">face daily </w:t>
      </w:r>
      <w:r w:rsidR="001941A2">
        <w:rPr>
          <w:rFonts w:ascii="Arial" w:hAnsi="Arial" w:cs="Arial"/>
          <w:szCs w:val="24"/>
          <w:lang w:val="en-GB"/>
        </w:rPr>
        <w:t>a slew o</w:t>
      </w:r>
      <w:r w:rsidR="00CB359B" w:rsidRPr="00CB359B">
        <w:rPr>
          <w:rFonts w:ascii="Arial" w:hAnsi="Arial" w:cs="Arial"/>
          <w:szCs w:val="24"/>
          <w:lang w:val="en-GB"/>
        </w:rPr>
        <w:t xml:space="preserve">f obstacles and possibilities as they extend their operations internationally. </w:t>
      </w:r>
      <w:r w:rsidR="007500F9" w:rsidRPr="007500F9">
        <w:rPr>
          <w:rFonts w:ascii="Arial" w:hAnsi="Arial" w:cs="Arial"/>
          <w:szCs w:val="24"/>
          <w:lang w:val="en-GB"/>
        </w:rPr>
        <w:t xml:space="preserve">(Gitman, </w:t>
      </w:r>
      <w:r w:rsidR="009223BE">
        <w:rPr>
          <w:rFonts w:ascii="Arial" w:hAnsi="Arial" w:cs="Arial"/>
          <w:szCs w:val="24"/>
          <w:lang w:val="en-GB"/>
        </w:rPr>
        <w:t xml:space="preserve">2008). </w:t>
      </w:r>
      <w:r w:rsidR="00CB359B">
        <w:rPr>
          <w:rFonts w:ascii="Arial" w:hAnsi="Arial" w:cs="Arial"/>
          <w:szCs w:val="24"/>
          <w:lang w:val="en-GB"/>
        </w:rPr>
        <w:t>On such a manner, it is vital to understand and be aware how foreign exchange risks work as an important component of</w:t>
      </w:r>
      <w:r w:rsidR="00CB359B" w:rsidRPr="00CB359B">
        <w:rPr>
          <w:rFonts w:ascii="Arial" w:hAnsi="Arial" w:cs="Arial"/>
          <w:szCs w:val="24"/>
          <w:lang w:val="en-GB"/>
        </w:rPr>
        <w:t xml:space="preserve"> Financial Management (IFM). Foreign exchange risk stems from exchange rate variations, which have an influence </w:t>
      </w:r>
      <w:r w:rsidR="007500F9">
        <w:rPr>
          <w:rFonts w:ascii="Arial" w:hAnsi="Arial" w:cs="Arial"/>
          <w:szCs w:val="24"/>
          <w:lang w:val="en-GB"/>
        </w:rPr>
        <w:t xml:space="preserve">According to Gitman (2008), </w:t>
      </w:r>
      <w:r w:rsidR="00CB359B" w:rsidRPr="00CB359B">
        <w:rPr>
          <w:rFonts w:ascii="Arial" w:hAnsi="Arial" w:cs="Arial"/>
          <w:szCs w:val="24"/>
          <w:lang w:val="en-GB"/>
        </w:rPr>
        <w:t xml:space="preserve">on the financial performance and competitiveness of multinational corporations. </w:t>
      </w:r>
      <w:r w:rsidR="00CA1246" w:rsidRPr="00CA1246">
        <w:rPr>
          <w:rFonts w:ascii="Arial" w:hAnsi="Arial" w:cs="Arial"/>
          <w:szCs w:val="24"/>
          <w:lang w:val="en-GB"/>
        </w:rPr>
        <w:t>According to Smith, Johnson, and Wang (2019)</w:t>
      </w:r>
      <w:r w:rsidR="00CA1246">
        <w:rPr>
          <w:rFonts w:ascii="Arial" w:hAnsi="Arial" w:cs="Arial"/>
          <w:szCs w:val="24"/>
          <w:lang w:val="en-GB"/>
        </w:rPr>
        <w:t>, to</w:t>
      </w:r>
      <w:r w:rsidR="00CB359B" w:rsidRPr="00CB359B">
        <w:rPr>
          <w:rFonts w:ascii="Arial" w:hAnsi="Arial" w:cs="Arial"/>
          <w:szCs w:val="24"/>
          <w:lang w:val="en-GB"/>
        </w:rPr>
        <w:t xml:space="preserve"> handle this, MNCs use a variety of techniques, including financial hedging, operational modifications, and strategic planning. </w:t>
      </w:r>
    </w:p>
    <w:p w14:paraId="7048C4B9" w14:textId="32AFD8A8" w:rsidR="005F271D" w:rsidRDefault="00CB359B" w:rsidP="000F06AA">
      <w:pPr>
        <w:spacing w:line="360" w:lineRule="auto"/>
        <w:rPr>
          <w:rFonts w:ascii="Arial" w:hAnsi="Arial" w:cs="Arial"/>
          <w:szCs w:val="24"/>
          <w:lang w:val="en-GB"/>
        </w:rPr>
      </w:pPr>
      <w:r w:rsidRPr="00CB359B">
        <w:rPr>
          <w:rFonts w:ascii="Arial" w:hAnsi="Arial" w:cs="Arial"/>
          <w:szCs w:val="24"/>
          <w:lang w:val="en-GB"/>
        </w:rPr>
        <w:t>Understanding IFM's core ideas, such as the Efficient Market Hypothesis (EMH) and project appraisal theory, is critical for making informed decisions on foreign currency risk mitigation.</w:t>
      </w:r>
      <w:r w:rsidR="007500F9" w:rsidRPr="007500F9">
        <w:t xml:space="preserve"> </w:t>
      </w:r>
      <w:r w:rsidR="007500F9" w:rsidRPr="007500F9">
        <w:rPr>
          <w:rFonts w:ascii="Arial" w:hAnsi="Arial" w:cs="Arial"/>
          <w:szCs w:val="24"/>
          <w:lang w:val="en-GB"/>
        </w:rPr>
        <w:t xml:space="preserve">(Dayananda, D., Irons, R., Harrison, S., </w:t>
      </w:r>
      <w:proofErr w:type="spellStart"/>
      <w:r w:rsidR="007500F9" w:rsidRPr="007500F9">
        <w:rPr>
          <w:rFonts w:ascii="Arial" w:hAnsi="Arial" w:cs="Arial"/>
          <w:szCs w:val="24"/>
          <w:lang w:val="en-GB"/>
        </w:rPr>
        <w:t>Herbohn</w:t>
      </w:r>
      <w:proofErr w:type="spellEnd"/>
      <w:r w:rsidR="007500F9" w:rsidRPr="007500F9">
        <w:rPr>
          <w:rFonts w:ascii="Arial" w:hAnsi="Arial" w:cs="Arial"/>
          <w:szCs w:val="24"/>
          <w:lang w:val="en-GB"/>
        </w:rPr>
        <w:t>, J., &amp; Rowland, P. (2002)).</w:t>
      </w:r>
      <w:r w:rsidRPr="00CB359B">
        <w:rPr>
          <w:rFonts w:ascii="Arial" w:hAnsi="Arial" w:cs="Arial"/>
          <w:szCs w:val="24"/>
          <w:lang w:val="en-GB"/>
        </w:rPr>
        <w:t xml:space="preserve"> </w:t>
      </w:r>
    </w:p>
    <w:p w14:paraId="15DA0F90" w14:textId="431AA56B" w:rsidR="00CB359B" w:rsidRDefault="00CB359B" w:rsidP="000F06AA">
      <w:pPr>
        <w:spacing w:line="360" w:lineRule="auto"/>
        <w:rPr>
          <w:rFonts w:ascii="Arial" w:hAnsi="Arial" w:cs="Arial"/>
          <w:szCs w:val="24"/>
          <w:lang w:val="en-GB"/>
        </w:rPr>
      </w:pPr>
      <w:r w:rsidRPr="00CB359B">
        <w:rPr>
          <w:rFonts w:ascii="Arial" w:hAnsi="Arial" w:cs="Arial"/>
          <w:szCs w:val="24"/>
          <w:lang w:val="en-GB"/>
        </w:rPr>
        <w:t xml:space="preserve">MNCs may improve their resilience and flexibility in the changing global marketplace by using these tactics and ideas, ensuring financial </w:t>
      </w:r>
      <w:r w:rsidR="00CE0804" w:rsidRPr="00CB359B">
        <w:rPr>
          <w:rFonts w:ascii="Arial" w:hAnsi="Arial" w:cs="Arial"/>
          <w:szCs w:val="24"/>
          <w:lang w:val="en-GB"/>
        </w:rPr>
        <w:t>stability,</w:t>
      </w:r>
      <w:r w:rsidRPr="00CB359B">
        <w:rPr>
          <w:rFonts w:ascii="Arial" w:hAnsi="Arial" w:cs="Arial"/>
          <w:szCs w:val="24"/>
          <w:lang w:val="en-GB"/>
        </w:rPr>
        <w:t xml:space="preserve"> and </w:t>
      </w:r>
      <w:r w:rsidR="00CE0804" w:rsidRPr="00CB359B">
        <w:rPr>
          <w:rFonts w:ascii="Arial" w:hAnsi="Arial" w:cs="Arial"/>
          <w:szCs w:val="24"/>
          <w:lang w:val="en-GB"/>
        </w:rPr>
        <w:t>supporting</w:t>
      </w:r>
      <w:r w:rsidRPr="00CB359B">
        <w:rPr>
          <w:rFonts w:ascii="Arial" w:hAnsi="Arial" w:cs="Arial"/>
          <w:szCs w:val="24"/>
          <w:lang w:val="en-GB"/>
        </w:rPr>
        <w:t xml:space="preserve"> a competitive advantage.</w:t>
      </w:r>
      <w:r w:rsidR="007500F9">
        <w:rPr>
          <w:rFonts w:ascii="Arial" w:hAnsi="Arial" w:cs="Arial"/>
          <w:szCs w:val="24"/>
          <w:lang w:val="en-GB"/>
        </w:rPr>
        <w:t xml:space="preserve"> </w:t>
      </w:r>
      <w:r w:rsidR="007500F9" w:rsidRPr="007500F9">
        <w:rPr>
          <w:rFonts w:ascii="Arial" w:hAnsi="Arial" w:cs="Arial"/>
          <w:szCs w:val="24"/>
          <w:lang w:val="en-GB"/>
        </w:rPr>
        <w:t>(Easterby-Smith, M., Thorpe, R., Jackson, P. (2015)</w:t>
      </w:r>
      <w:r w:rsidR="007500F9">
        <w:rPr>
          <w:rFonts w:ascii="Arial" w:hAnsi="Arial" w:cs="Arial"/>
          <w:szCs w:val="24"/>
          <w:lang w:val="en-GB"/>
        </w:rPr>
        <w:t xml:space="preserve">. </w:t>
      </w:r>
    </w:p>
    <w:p w14:paraId="613DF6E4" w14:textId="77777777" w:rsidR="00CE0804" w:rsidRDefault="00CE0804" w:rsidP="000F06AA">
      <w:pPr>
        <w:spacing w:line="360" w:lineRule="auto"/>
        <w:rPr>
          <w:rFonts w:ascii="Arial" w:hAnsi="Arial" w:cs="Arial"/>
          <w:b/>
          <w:bCs/>
          <w:color w:val="5B9BD5" w:themeColor="accent1"/>
          <w:szCs w:val="24"/>
          <w:lang w:val="en-GB"/>
        </w:rPr>
      </w:pPr>
    </w:p>
    <w:p w14:paraId="6F8A6E33" w14:textId="1B8BE787" w:rsidR="00F26DAE" w:rsidRDefault="00F26DAE" w:rsidP="000F06AA">
      <w:pPr>
        <w:spacing w:line="360" w:lineRule="auto"/>
        <w:rPr>
          <w:rFonts w:ascii="Arial" w:hAnsi="Arial" w:cs="Arial"/>
          <w:b/>
          <w:bCs/>
          <w:color w:val="5B9BD5" w:themeColor="accent1"/>
          <w:szCs w:val="24"/>
          <w:lang w:val="en-GB"/>
        </w:rPr>
      </w:pPr>
      <w:r w:rsidRPr="00F26DAE">
        <w:rPr>
          <w:rFonts w:ascii="Arial" w:hAnsi="Arial" w:cs="Arial"/>
          <w:b/>
          <w:bCs/>
          <w:color w:val="5B9BD5" w:themeColor="accent1"/>
          <w:szCs w:val="24"/>
          <w:lang w:val="en-GB"/>
        </w:rPr>
        <w:t xml:space="preserve">Main body. </w:t>
      </w:r>
    </w:p>
    <w:p w14:paraId="4ED7994B" w14:textId="32BE752B" w:rsidR="00F26DAE" w:rsidRDefault="00F26DAE" w:rsidP="000F06AA">
      <w:pPr>
        <w:spacing w:line="360" w:lineRule="auto"/>
        <w:rPr>
          <w:rFonts w:ascii="Arial" w:hAnsi="Arial" w:cs="Arial"/>
          <w:b/>
          <w:bCs/>
          <w:color w:val="000000" w:themeColor="text1"/>
          <w:szCs w:val="24"/>
          <w:lang w:val="en-GB"/>
        </w:rPr>
      </w:pPr>
      <w:r w:rsidRPr="00F26DAE">
        <w:rPr>
          <w:rFonts w:ascii="Arial" w:hAnsi="Arial" w:cs="Arial"/>
          <w:color w:val="000000" w:themeColor="text1"/>
          <w:szCs w:val="24"/>
          <w:lang w:val="en-GB"/>
        </w:rPr>
        <w:t xml:space="preserve">International Financial Management (IFM) theories </w:t>
      </w:r>
      <w:r w:rsidR="004E4285">
        <w:rPr>
          <w:rFonts w:ascii="Arial" w:hAnsi="Arial" w:cs="Arial"/>
          <w:color w:val="000000" w:themeColor="text1"/>
          <w:szCs w:val="24"/>
          <w:lang w:val="en-GB"/>
        </w:rPr>
        <w:t xml:space="preserve">such as Efficient Market Hypothesis, Project Appraisal Theory and Exchange Risks </w:t>
      </w:r>
      <w:r w:rsidRPr="00F26DAE">
        <w:rPr>
          <w:rFonts w:ascii="Arial" w:hAnsi="Arial" w:cs="Arial"/>
          <w:color w:val="000000" w:themeColor="text1"/>
          <w:szCs w:val="24"/>
          <w:lang w:val="en-GB"/>
        </w:rPr>
        <w:t xml:space="preserve">are essential for understanding the complex nature of managing financial resources across national boundaries. These theories supply insights into the decision-making processes of multinational companies in areas like capital budgeting, finance, and risk management. The primary </w:t>
      </w:r>
      <w:r w:rsidR="004E4285">
        <w:rPr>
          <w:rFonts w:ascii="Arial" w:hAnsi="Arial" w:cs="Arial"/>
          <w:color w:val="000000" w:themeColor="text1"/>
          <w:szCs w:val="24"/>
          <w:lang w:val="en-GB"/>
        </w:rPr>
        <w:t>content</w:t>
      </w:r>
      <w:r w:rsidRPr="00F26DAE">
        <w:rPr>
          <w:rFonts w:ascii="Arial" w:hAnsi="Arial" w:cs="Arial"/>
          <w:color w:val="000000" w:themeColor="text1"/>
          <w:szCs w:val="24"/>
          <w:lang w:val="en-GB"/>
        </w:rPr>
        <w:t xml:space="preserve"> of IFM theories includes the Modigliani-Miller theorem, </w:t>
      </w:r>
      <w:r w:rsidR="007E1DA6" w:rsidRPr="00F26DAE">
        <w:rPr>
          <w:rFonts w:ascii="Arial" w:hAnsi="Arial" w:cs="Arial"/>
          <w:color w:val="000000" w:themeColor="text1"/>
          <w:szCs w:val="24"/>
          <w:lang w:val="en-GB"/>
        </w:rPr>
        <w:t>most</w:t>
      </w:r>
      <w:r w:rsidRPr="00F26DAE">
        <w:rPr>
          <w:rFonts w:ascii="Arial" w:hAnsi="Arial" w:cs="Arial"/>
          <w:color w:val="000000" w:themeColor="text1"/>
          <w:szCs w:val="24"/>
          <w:lang w:val="en-GB"/>
        </w:rPr>
        <w:t xml:space="preserve"> capital structure theory, </w:t>
      </w:r>
      <w:r w:rsidRPr="00F26DAE">
        <w:rPr>
          <w:rFonts w:ascii="Arial" w:hAnsi="Arial" w:cs="Arial"/>
          <w:color w:val="000000" w:themeColor="text1"/>
          <w:szCs w:val="24"/>
          <w:lang w:val="en-GB"/>
        </w:rPr>
        <w:lastRenderedPageBreak/>
        <w:t>portfolio diversification, and exchange rate fluctuations' impact on MNCs' financial performance</w:t>
      </w:r>
      <w:r w:rsidR="00F3532D" w:rsidRPr="00F3532D">
        <w:rPr>
          <w:rFonts w:ascii="Arial" w:hAnsi="Arial" w:cs="Arial"/>
          <w:b/>
          <w:bCs/>
          <w:color w:val="000000" w:themeColor="text1"/>
          <w:szCs w:val="24"/>
          <w:lang w:val="en-GB"/>
        </w:rPr>
        <w:t>.</w:t>
      </w:r>
    </w:p>
    <w:p w14:paraId="28A64F25" w14:textId="5C019408"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The Efficient Market Hypothesis (EMH) is a foundation of finance that posits the correct incorporation of all pertinent information into asset prices, hence </w:t>
      </w:r>
      <w:r w:rsidR="003D2DC2" w:rsidRPr="00E520CA">
        <w:rPr>
          <w:rFonts w:ascii="Arial" w:hAnsi="Arial" w:cs="Arial"/>
          <w:color w:val="000000" w:themeColor="text1"/>
          <w:szCs w:val="24"/>
          <w:lang w:val="en-GB"/>
        </w:rPr>
        <w:t>making</w:t>
      </w:r>
      <w:r w:rsidRPr="00E520CA">
        <w:rPr>
          <w:rFonts w:ascii="Arial" w:hAnsi="Arial" w:cs="Arial"/>
          <w:color w:val="000000" w:themeColor="text1"/>
          <w:szCs w:val="24"/>
          <w:lang w:val="en-GB"/>
        </w:rPr>
        <w:t xml:space="preserve"> it unfeasible for investors to continually outperform the market. This theory encompasses three distinct forms, namely weak, semi-strong, and </w:t>
      </w:r>
      <w:r w:rsidR="000D034A" w:rsidRPr="00E520CA">
        <w:rPr>
          <w:rFonts w:ascii="Arial" w:hAnsi="Arial" w:cs="Arial"/>
          <w:color w:val="000000" w:themeColor="text1"/>
          <w:szCs w:val="24"/>
          <w:lang w:val="en-GB"/>
        </w:rPr>
        <w:t>powerful conducted</w:t>
      </w:r>
      <w:r w:rsidRPr="00E520CA">
        <w:rPr>
          <w:rFonts w:ascii="Arial" w:hAnsi="Arial" w:cs="Arial"/>
          <w:color w:val="000000" w:themeColor="text1"/>
          <w:szCs w:val="24"/>
          <w:lang w:val="en-GB"/>
        </w:rPr>
        <w:t xml:space="preserve"> a study</w:t>
      </w:r>
      <w:r w:rsidR="000D034A">
        <w:rPr>
          <w:rFonts w:ascii="Arial" w:hAnsi="Arial" w:cs="Arial"/>
          <w:color w:val="000000" w:themeColor="text1"/>
          <w:szCs w:val="24"/>
          <w:lang w:val="en-GB"/>
        </w:rPr>
        <w:t>. (</w:t>
      </w:r>
      <w:r w:rsidR="000D034A" w:rsidRPr="00E520CA">
        <w:rPr>
          <w:rFonts w:ascii="Arial" w:hAnsi="Arial" w:cs="Arial"/>
          <w:color w:val="000000" w:themeColor="text1"/>
          <w:szCs w:val="24"/>
          <w:lang w:val="en-GB"/>
        </w:rPr>
        <w:t>Bodie, Zachary, Kane, and Marcus (2019)</w:t>
      </w:r>
    </w:p>
    <w:p w14:paraId="0F36FC1C" w14:textId="3155FAE5"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According to Bodie, Kane, and Marcus (2019), the author asserts. The weak variant theory suggests that current asset prices reflect all historical trade data, </w:t>
      </w:r>
      <w:r w:rsidR="003D2DC2" w:rsidRPr="00E520CA">
        <w:rPr>
          <w:rFonts w:ascii="Arial" w:hAnsi="Arial" w:cs="Arial"/>
          <w:color w:val="000000" w:themeColor="text1"/>
          <w:szCs w:val="24"/>
          <w:lang w:val="en-GB"/>
        </w:rPr>
        <w:t>giving</w:t>
      </w:r>
      <w:r w:rsidRPr="00E520CA">
        <w:rPr>
          <w:rFonts w:ascii="Arial" w:hAnsi="Arial" w:cs="Arial"/>
          <w:color w:val="000000" w:themeColor="text1"/>
          <w:szCs w:val="24"/>
          <w:lang w:val="en-GB"/>
        </w:rPr>
        <w:t xml:space="preserve"> technical analysis and random walk strategies ineffective in forecasting future price trends. The concept is further developed in the semi-strong variant, which incorporates all publicly available information. This approach leads to asset values that swiftly adjust to fresh data, </w:t>
      </w:r>
      <w:r w:rsidR="00E81B7A" w:rsidRPr="00E520CA">
        <w:rPr>
          <w:rFonts w:ascii="Arial" w:hAnsi="Arial" w:cs="Arial"/>
          <w:color w:val="000000" w:themeColor="text1"/>
          <w:szCs w:val="24"/>
          <w:lang w:val="en-GB"/>
        </w:rPr>
        <w:t>making</w:t>
      </w:r>
      <w:r w:rsidRPr="00E520CA">
        <w:rPr>
          <w:rFonts w:ascii="Arial" w:hAnsi="Arial" w:cs="Arial"/>
          <w:color w:val="000000" w:themeColor="text1"/>
          <w:szCs w:val="24"/>
          <w:lang w:val="en-GB"/>
        </w:rPr>
        <w:t xml:space="preserve"> fundamental analysis and study impossible for constantly delivering superior returns.</w:t>
      </w:r>
    </w:p>
    <w:p w14:paraId="4B728474" w14:textId="02D9C245"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When developing efficient ways to control exchange rate risk, companies must </w:t>
      </w:r>
      <w:r w:rsidR="00E81B7A" w:rsidRPr="00E520CA">
        <w:rPr>
          <w:rFonts w:ascii="Arial" w:hAnsi="Arial" w:cs="Arial"/>
          <w:color w:val="000000" w:themeColor="text1"/>
          <w:szCs w:val="24"/>
          <w:lang w:val="en-GB"/>
        </w:rPr>
        <w:t>consider</w:t>
      </w:r>
      <w:r w:rsidRPr="00E520CA">
        <w:rPr>
          <w:rFonts w:ascii="Arial" w:hAnsi="Arial" w:cs="Arial"/>
          <w:color w:val="000000" w:themeColor="text1"/>
          <w:szCs w:val="24"/>
          <w:lang w:val="en-GB"/>
        </w:rPr>
        <w:t xml:space="preserve"> several elements, such as </w:t>
      </w:r>
      <w:r w:rsidR="00E81B7A" w:rsidRPr="00E520CA">
        <w:rPr>
          <w:rFonts w:ascii="Arial" w:hAnsi="Arial" w:cs="Arial"/>
          <w:color w:val="000000" w:themeColor="text1"/>
          <w:szCs w:val="24"/>
          <w:lang w:val="en-GB"/>
        </w:rPr>
        <w:t>showing</w:t>
      </w:r>
      <w:r w:rsidRPr="00E520CA">
        <w:rPr>
          <w:rFonts w:ascii="Arial" w:hAnsi="Arial" w:cs="Arial"/>
          <w:color w:val="000000" w:themeColor="text1"/>
          <w:szCs w:val="24"/>
          <w:lang w:val="en-GB"/>
        </w:rPr>
        <w:t xml:space="preserve"> budget exchange rates and following established guidelines (Papaioannou, 2006). According to Madura (1989), budget exchange rates function as reference points that are in line with the sensitivity and benchmarking goals of the organisation. The primary </w:t>
      </w:r>
      <w:r w:rsidR="001D07B9" w:rsidRPr="00E520CA">
        <w:rPr>
          <w:rFonts w:ascii="Arial" w:hAnsi="Arial" w:cs="Arial"/>
          <w:color w:val="000000" w:themeColor="text1"/>
          <w:szCs w:val="24"/>
          <w:lang w:val="en-GB"/>
        </w:rPr>
        <w:t>aim</w:t>
      </w:r>
      <w:r w:rsidRPr="00E520CA">
        <w:rPr>
          <w:rFonts w:ascii="Arial" w:hAnsi="Arial" w:cs="Arial"/>
          <w:color w:val="000000" w:themeColor="text1"/>
          <w:szCs w:val="24"/>
          <w:lang w:val="en-GB"/>
        </w:rPr>
        <w:t xml:space="preserve"> of the corporate treasury is to </w:t>
      </w:r>
      <w:r w:rsidR="00B02E54" w:rsidRPr="00E520CA">
        <w:rPr>
          <w:rFonts w:ascii="Arial" w:hAnsi="Arial" w:cs="Arial"/>
          <w:color w:val="000000" w:themeColor="text1"/>
          <w:szCs w:val="24"/>
          <w:lang w:val="en-GB"/>
        </w:rPr>
        <w:t>show</w:t>
      </w:r>
      <w:r w:rsidRPr="00E520CA">
        <w:rPr>
          <w:rFonts w:ascii="Arial" w:hAnsi="Arial" w:cs="Arial"/>
          <w:color w:val="000000" w:themeColor="text1"/>
          <w:szCs w:val="24"/>
          <w:lang w:val="en-GB"/>
        </w:rPr>
        <w:t xml:space="preserve"> and </w:t>
      </w:r>
      <w:r w:rsidR="00B760AA" w:rsidRPr="00E520CA">
        <w:rPr>
          <w:rFonts w:ascii="Arial" w:hAnsi="Arial" w:cs="Arial"/>
          <w:color w:val="000000" w:themeColor="text1"/>
          <w:szCs w:val="24"/>
          <w:lang w:val="en-GB"/>
        </w:rPr>
        <w:t>support</w:t>
      </w:r>
      <w:r w:rsidRPr="00E520CA">
        <w:rPr>
          <w:rFonts w:ascii="Arial" w:hAnsi="Arial" w:cs="Arial"/>
          <w:color w:val="000000" w:themeColor="text1"/>
          <w:szCs w:val="24"/>
          <w:lang w:val="en-GB"/>
        </w:rPr>
        <w:t xml:space="preserve"> </w:t>
      </w:r>
      <w:r w:rsidR="00E81B7A" w:rsidRPr="00E520CA">
        <w:rPr>
          <w:rFonts w:ascii="Arial" w:hAnsi="Arial" w:cs="Arial"/>
          <w:color w:val="000000" w:themeColor="text1"/>
          <w:szCs w:val="24"/>
          <w:lang w:val="en-GB"/>
        </w:rPr>
        <w:t>a suitable hedging</w:t>
      </w:r>
      <w:r w:rsidRPr="00E520CA">
        <w:rPr>
          <w:rFonts w:ascii="Arial" w:hAnsi="Arial" w:cs="Arial"/>
          <w:color w:val="000000" w:themeColor="text1"/>
          <w:szCs w:val="24"/>
          <w:lang w:val="en-GB"/>
        </w:rPr>
        <w:t xml:space="preserve"> rate, with the intention of minimising any deviations from this rate (Papaioannou, 2006).  </w:t>
      </w:r>
    </w:p>
    <w:p w14:paraId="67D7C6BD" w14:textId="6446C0AF"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According to Papaioannou (2006), firms employ several approaches for </w:t>
      </w:r>
      <w:r w:rsidR="00AD5CCB" w:rsidRPr="00E520CA">
        <w:rPr>
          <w:rFonts w:ascii="Arial" w:hAnsi="Arial" w:cs="Arial"/>
          <w:color w:val="000000" w:themeColor="text1"/>
          <w:szCs w:val="24"/>
          <w:lang w:val="en-GB"/>
        </w:rPr>
        <w:t>figuring out</w:t>
      </w:r>
      <w:r w:rsidRPr="00E520CA">
        <w:rPr>
          <w:rFonts w:ascii="Arial" w:hAnsi="Arial" w:cs="Arial"/>
          <w:color w:val="000000" w:themeColor="text1"/>
          <w:szCs w:val="24"/>
          <w:lang w:val="en-GB"/>
        </w:rPr>
        <w:t xml:space="preserve"> budget exchange rates. Some firms opt for Purchasing Power Parity (PPP) rates, while others link rates with sales calendars and hedging tactics. Quarterly sales calendars may need four hedges annually, with each hedge being matched with the cash flow of the prior year to </w:t>
      </w:r>
      <w:r w:rsidR="0052084A" w:rsidRPr="00E520CA">
        <w:rPr>
          <w:rFonts w:ascii="Arial" w:hAnsi="Arial" w:cs="Arial"/>
          <w:color w:val="000000" w:themeColor="text1"/>
          <w:szCs w:val="24"/>
          <w:lang w:val="en-GB"/>
        </w:rPr>
        <w:t>supply</w:t>
      </w:r>
      <w:r w:rsidRPr="00E520CA">
        <w:rPr>
          <w:rFonts w:ascii="Arial" w:hAnsi="Arial" w:cs="Arial"/>
          <w:color w:val="000000" w:themeColor="text1"/>
          <w:szCs w:val="24"/>
          <w:lang w:val="en-GB"/>
        </w:rPr>
        <w:t xml:space="preserve"> consistency (Papaioannou, 2006). In an alternative approach, companies have the option to utilise average exchange rates from prior fiscal years as budget rates, therefore streamlining the process of hedging (Papaioannou, 2006).</w:t>
      </w:r>
    </w:p>
    <w:p w14:paraId="5BF021D7" w14:textId="77777777" w:rsidR="00E520CA" w:rsidRPr="00E520CA" w:rsidRDefault="00E520CA" w:rsidP="00E520CA">
      <w:pPr>
        <w:spacing w:line="360" w:lineRule="auto"/>
        <w:rPr>
          <w:rFonts w:ascii="Arial" w:hAnsi="Arial" w:cs="Arial"/>
          <w:color w:val="000000" w:themeColor="text1"/>
          <w:szCs w:val="24"/>
          <w:lang w:val="en-GB"/>
        </w:rPr>
      </w:pPr>
    </w:p>
    <w:p w14:paraId="264F2580" w14:textId="4CC6F7BC"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lastRenderedPageBreak/>
        <w:t xml:space="preserve">It is worth mentioning that budget exchange rates play a crucial role in a company's pricing strategy and hedging performance standards. It is necessary for the firm to match its pricing plan with spot exchange rates </w:t>
      </w:r>
      <w:r w:rsidR="00A01924" w:rsidRPr="00E520CA">
        <w:rPr>
          <w:rFonts w:ascii="Arial" w:hAnsi="Arial" w:cs="Arial"/>
          <w:color w:val="000000" w:themeColor="text1"/>
          <w:szCs w:val="24"/>
          <w:lang w:val="en-GB"/>
        </w:rPr>
        <w:t>to</w:t>
      </w:r>
      <w:r w:rsidRPr="00E520CA">
        <w:rPr>
          <w:rFonts w:ascii="Arial" w:hAnsi="Arial" w:cs="Arial"/>
          <w:color w:val="000000" w:themeColor="text1"/>
          <w:szCs w:val="24"/>
          <w:lang w:val="en-GB"/>
        </w:rPr>
        <w:t xml:space="preserve"> prevent significant alterations to its strategy (Papaioannou, 2006</w:t>
      </w:r>
      <w:r w:rsidR="00A01924" w:rsidRPr="00E520CA">
        <w:rPr>
          <w:rFonts w:ascii="Arial" w:hAnsi="Arial" w:cs="Arial"/>
          <w:color w:val="000000" w:themeColor="text1"/>
          <w:szCs w:val="24"/>
          <w:lang w:val="en-GB"/>
        </w:rPr>
        <w:t>). The</w:t>
      </w:r>
      <w:r w:rsidRPr="00E520CA">
        <w:rPr>
          <w:rFonts w:ascii="Arial" w:hAnsi="Arial" w:cs="Arial"/>
          <w:color w:val="000000" w:themeColor="text1"/>
          <w:szCs w:val="24"/>
          <w:lang w:val="en-GB"/>
        </w:rPr>
        <w:t xml:space="preserve"> ability to </w:t>
      </w:r>
      <w:r w:rsidR="0040205F" w:rsidRPr="00E520CA">
        <w:rPr>
          <w:rFonts w:ascii="Arial" w:hAnsi="Arial" w:cs="Arial"/>
          <w:color w:val="000000" w:themeColor="text1"/>
          <w:szCs w:val="24"/>
          <w:lang w:val="en-GB"/>
        </w:rPr>
        <w:t>expect</w:t>
      </w:r>
      <w:r w:rsidRPr="00E520CA">
        <w:rPr>
          <w:rFonts w:ascii="Arial" w:hAnsi="Arial" w:cs="Arial"/>
          <w:color w:val="000000" w:themeColor="text1"/>
          <w:szCs w:val="24"/>
          <w:lang w:val="en-GB"/>
        </w:rPr>
        <w:t xml:space="preserve"> future exchange rates is of great importance, since companies often utilise structural or time-series exchange rate models because forward rates are insufficient in accurately forecasting spot rates (Papaioannou, 2006).</w:t>
      </w:r>
    </w:p>
    <w:p w14:paraId="514873F8" w14:textId="523AD7E5"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The management of currency rate risk involves the implementation of certain fundamental principles, as outlined by Papaioannou (2006). The </w:t>
      </w:r>
      <w:r w:rsidR="00A01924" w:rsidRPr="00E520CA">
        <w:rPr>
          <w:rFonts w:ascii="Arial" w:hAnsi="Arial" w:cs="Arial"/>
          <w:color w:val="000000" w:themeColor="text1"/>
          <w:szCs w:val="24"/>
          <w:lang w:val="en-GB"/>
        </w:rPr>
        <w:t>steps</w:t>
      </w:r>
      <w:r w:rsidRPr="00E520CA">
        <w:rPr>
          <w:rFonts w:ascii="Arial" w:hAnsi="Arial" w:cs="Arial"/>
          <w:color w:val="000000" w:themeColor="text1"/>
          <w:szCs w:val="24"/>
          <w:lang w:val="en-GB"/>
        </w:rPr>
        <w:t xml:space="preserve"> encompass the identification and quantification of various forms of exchange rate risks, the formulation of a comprehensive strategy for managing these risks, the establishment of a centralised treasury entity to oversee operational activities, the implementation of controls to </w:t>
      </w:r>
      <w:r w:rsidR="00D73666" w:rsidRPr="00E520CA">
        <w:rPr>
          <w:rFonts w:ascii="Arial" w:hAnsi="Arial" w:cs="Arial"/>
          <w:color w:val="000000" w:themeColor="text1"/>
          <w:szCs w:val="24"/>
          <w:lang w:val="en-GB"/>
        </w:rPr>
        <w:t>check</w:t>
      </w:r>
      <w:r w:rsidRPr="00E520CA">
        <w:rPr>
          <w:rFonts w:ascii="Arial" w:hAnsi="Arial" w:cs="Arial"/>
          <w:color w:val="000000" w:themeColor="text1"/>
          <w:szCs w:val="24"/>
          <w:lang w:val="en-GB"/>
        </w:rPr>
        <w:t xml:space="preserve"> and mitigate risk exposure, and the formation of a risk oversight committee to conduct regular evaluations and grant approval (Papaioannou, 2006). </w:t>
      </w:r>
    </w:p>
    <w:p w14:paraId="08401A57" w14:textId="20B7B616" w:rsidR="00E520CA" w:rsidRPr="00E520CA" w:rsidRDefault="00E82E2F"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Considering</w:t>
      </w:r>
      <w:r w:rsidR="00E520CA" w:rsidRPr="00E520CA">
        <w:rPr>
          <w:rFonts w:ascii="Arial" w:hAnsi="Arial" w:cs="Arial"/>
          <w:color w:val="000000" w:themeColor="text1"/>
          <w:szCs w:val="24"/>
          <w:lang w:val="en-GB"/>
        </w:rPr>
        <w:t xml:space="preserve"> recent currency crises, enterprises are placing greater importance on effective management of exchange rate risk. Prudent risk mitigation is considered crucial for lowering vulnerabilities to significant swings in exchange rates (Papaioannou, 2006). The </w:t>
      </w:r>
      <w:r w:rsidRPr="00E520CA">
        <w:rPr>
          <w:rFonts w:ascii="Arial" w:hAnsi="Arial" w:cs="Arial"/>
          <w:color w:val="000000" w:themeColor="text1"/>
          <w:szCs w:val="24"/>
          <w:lang w:val="en-GB"/>
        </w:rPr>
        <w:t>change</w:t>
      </w:r>
      <w:r w:rsidR="00E520CA" w:rsidRPr="00E520CA">
        <w:rPr>
          <w:rFonts w:ascii="Arial" w:hAnsi="Arial" w:cs="Arial"/>
          <w:color w:val="000000" w:themeColor="text1"/>
          <w:szCs w:val="24"/>
          <w:lang w:val="en-GB"/>
        </w:rPr>
        <w:t xml:space="preserve"> in viewpoint highlights the significance of implementing strong risk management frameworks </w:t>
      </w:r>
      <w:r w:rsidRPr="00E520CA">
        <w:rPr>
          <w:rFonts w:ascii="Arial" w:hAnsi="Arial" w:cs="Arial"/>
          <w:color w:val="000000" w:themeColor="text1"/>
          <w:szCs w:val="24"/>
          <w:lang w:val="en-GB"/>
        </w:rPr>
        <w:t>to</w:t>
      </w:r>
      <w:r w:rsidR="00E520CA" w:rsidRPr="00E520CA">
        <w:rPr>
          <w:rFonts w:ascii="Arial" w:hAnsi="Arial" w:cs="Arial"/>
          <w:color w:val="000000" w:themeColor="text1"/>
          <w:szCs w:val="24"/>
          <w:lang w:val="en-GB"/>
        </w:rPr>
        <w:t xml:space="preserve"> protect against potential hazards that may </w:t>
      </w:r>
      <w:r w:rsidR="00C542AC" w:rsidRPr="00E520CA">
        <w:rPr>
          <w:rFonts w:ascii="Arial" w:hAnsi="Arial" w:cs="Arial"/>
          <w:color w:val="000000" w:themeColor="text1"/>
          <w:szCs w:val="24"/>
          <w:lang w:val="en-GB"/>
        </w:rPr>
        <w:t>change</w:t>
      </w:r>
      <w:r w:rsidR="00E520CA" w:rsidRPr="00E520CA">
        <w:rPr>
          <w:rFonts w:ascii="Arial" w:hAnsi="Arial" w:cs="Arial"/>
          <w:color w:val="000000" w:themeColor="text1"/>
          <w:szCs w:val="24"/>
          <w:lang w:val="en-GB"/>
        </w:rPr>
        <w:t xml:space="preserve"> financial stability and performance.</w:t>
      </w:r>
    </w:p>
    <w:p w14:paraId="78D00C5E" w14:textId="26B2C289"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Exchange rate risk is a significant worry for multinational corporations (MNCs) since it has a large influence on their financial performance and competitive stance. The risk may be </w:t>
      </w:r>
      <w:r w:rsidR="00E82E2F" w:rsidRPr="00E520CA">
        <w:rPr>
          <w:rFonts w:ascii="Arial" w:hAnsi="Arial" w:cs="Arial"/>
          <w:color w:val="000000" w:themeColor="text1"/>
          <w:szCs w:val="24"/>
          <w:lang w:val="en-GB"/>
        </w:rPr>
        <w:t>seen</w:t>
      </w:r>
      <w:r w:rsidRPr="00E520CA">
        <w:rPr>
          <w:rFonts w:ascii="Arial" w:hAnsi="Arial" w:cs="Arial"/>
          <w:color w:val="000000" w:themeColor="text1"/>
          <w:szCs w:val="24"/>
          <w:lang w:val="en-GB"/>
        </w:rPr>
        <w:t xml:space="preserve"> in three primary manifestations: transaction exposure, which </w:t>
      </w:r>
      <w:r w:rsidR="00D35960" w:rsidRPr="00E520CA">
        <w:rPr>
          <w:rFonts w:ascii="Arial" w:hAnsi="Arial" w:cs="Arial"/>
          <w:color w:val="000000" w:themeColor="text1"/>
          <w:szCs w:val="24"/>
          <w:lang w:val="en-GB"/>
        </w:rPr>
        <w:t>affects</w:t>
      </w:r>
      <w:r w:rsidRPr="00E520CA">
        <w:rPr>
          <w:rFonts w:ascii="Arial" w:hAnsi="Arial" w:cs="Arial"/>
          <w:color w:val="000000" w:themeColor="text1"/>
          <w:szCs w:val="24"/>
          <w:lang w:val="en-GB"/>
        </w:rPr>
        <w:t xml:space="preserve"> future cash flows; translation exposure, which </w:t>
      </w:r>
      <w:r w:rsidR="00BE2359" w:rsidRPr="00E520CA">
        <w:rPr>
          <w:rFonts w:ascii="Arial" w:hAnsi="Arial" w:cs="Arial"/>
          <w:color w:val="000000" w:themeColor="text1"/>
          <w:szCs w:val="24"/>
          <w:lang w:val="en-GB"/>
        </w:rPr>
        <w:t>changes</w:t>
      </w:r>
      <w:r w:rsidRPr="00E520CA">
        <w:rPr>
          <w:rFonts w:ascii="Arial" w:hAnsi="Arial" w:cs="Arial"/>
          <w:color w:val="000000" w:themeColor="text1"/>
          <w:szCs w:val="24"/>
          <w:lang w:val="en-GB"/>
        </w:rPr>
        <w:t xml:space="preserve"> the values of financial statements; and economic exposure, which influences market share and competitive position. Multinational corporations (MNCs) utilise a range of tactics, such as financial hedging, balance sheet hedging, price modifications, and geographical diversity, </w:t>
      </w:r>
      <w:r w:rsidR="00E82E2F" w:rsidRPr="00E520CA">
        <w:rPr>
          <w:rFonts w:ascii="Arial" w:hAnsi="Arial" w:cs="Arial"/>
          <w:color w:val="000000" w:themeColor="text1"/>
          <w:szCs w:val="24"/>
          <w:lang w:val="en-GB"/>
        </w:rPr>
        <w:t>to</w:t>
      </w:r>
      <w:r w:rsidRPr="00E520CA">
        <w:rPr>
          <w:rFonts w:ascii="Arial" w:hAnsi="Arial" w:cs="Arial"/>
          <w:color w:val="000000" w:themeColor="text1"/>
          <w:szCs w:val="24"/>
          <w:lang w:val="en-GB"/>
        </w:rPr>
        <w:t xml:space="preserve"> proficiently mitigate these risks. </w:t>
      </w:r>
      <w:r w:rsidR="00FF1020">
        <w:rPr>
          <w:rFonts w:ascii="Arial" w:hAnsi="Arial" w:cs="Arial"/>
          <w:color w:val="000000" w:themeColor="text1"/>
          <w:szCs w:val="24"/>
          <w:lang w:val="en-GB"/>
        </w:rPr>
        <w:t>(</w:t>
      </w:r>
      <w:r w:rsidRPr="00E520CA">
        <w:rPr>
          <w:rFonts w:ascii="Arial" w:hAnsi="Arial" w:cs="Arial"/>
          <w:color w:val="000000" w:themeColor="text1"/>
          <w:szCs w:val="24"/>
          <w:lang w:val="en-GB"/>
        </w:rPr>
        <w:t>Papaioannou (2006)</w:t>
      </w:r>
      <w:r w:rsidR="00FF1020">
        <w:rPr>
          <w:rFonts w:ascii="Arial" w:hAnsi="Arial" w:cs="Arial"/>
          <w:color w:val="000000" w:themeColor="text1"/>
          <w:szCs w:val="24"/>
          <w:lang w:val="en-GB"/>
        </w:rPr>
        <w:t>)</w:t>
      </w:r>
    </w:p>
    <w:p w14:paraId="6077671C" w14:textId="53BB60BD"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For instance, consider a firm </w:t>
      </w:r>
      <w:r w:rsidR="00E82E2F" w:rsidRPr="00E520CA">
        <w:rPr>
          <w:rFonts w:ascii="Arial" w:hAnsi="Arial" w:cs="Arial"/>
          <w:color w:val="000000" w:themeColor="text1"/>
          <w:szCs w:val="24"/>
          <w:lang w:val="en-GB"/>
        </w:rPr>
        <w:t>found</w:t>
      </w:r>
      <w:r w:rsidRPr="00E520CA">
        <w:rPr>
          <w:rFonts w:ascii="Arial" w:hAnsi="Arial" w:cs="Arial"/>
          <w:color w:val="000000" w:themeColor="text1"/>
          <w:szCs w:val="24"/>
          <w:lang w:val="en-GB"/>
        </w:rPr>
        <w:t xml:space="preserve"> in the United States that engages in the importation of goods from Japan and conducts transactions denominated in yen. An appreciation of </w:t>
      </w:r>
      <w:r w:rsidRPr="00E520CA">
        <w:rPr>
          <w:rFonts w:ascii="Arial" w:hAnsi="Arial" w:cs="Arial"/>
          <w:color w:val="000000" w:themeColor="text1"/>
          <w:szCs w:val="24"/>
          <w:lang w:val="en-GB"/>
        </w:rPr>
        <w:lastRenderedPageBreak/>
        <w:t xml:space="preserve">the yen </w:t>
      </w:r>
      <w:r w:rsidR="00E82E2F" w:rsidRPr="00E520CA">
        <w:rPr>
          <w:rFonts w:ascii="Arial" w:hAnsi="Arial" w:cs="Arial"/>
          <w:color w:val="000000" w:themeColor="text1"/>
          <w:szCs w:val="24"/>
          <w:lang w:val="en-GB"/>
        </w:rPr>
        <w:t>compared</w:t>
      </w:r>
      <w:r w:rsidRPr="00E520CA">
        <w:rPr>
          <w:rFonts w:ascii="Arial" w:hAnsi="Arial" w:cs="Arial"/>
          <w:color w:val="000000" w:themeColor="text1"/>
          <w:szCs w:val="24"/>
          <w:lang w:val="en-GB"/>
        </w:rPr>
        <w:t xml:space="preserve"> to the US dollar might result in higher import costs, therefore </w:t>
      </w:r>
      <w:r w:rsidR="00E82E2F" w:rsidRPr="00E520CA">
        <w:rPr>
          <w:rFonts w:ascii="Arial" w:hAnsi="Arial" w:cs="Arial"/>
          <w:color w:val="000000" w:themeColor="text1"/>
          <w:szCs w:val="24"/>
          <w:lang w:val="en-GB"/>
        </w:rPr>
        <w:t>changing</w:t>
      </w:r>
      <w:r w:rsidRPr="00E520CA">
        <w:rPr>
          <w:rFonts w:ascii="Arial" w:hAnsi="Arial" w:cs="Arial"/>
          <w:color w:val="000000" w:themeColor="text1"/>
          <w:szCs w:val="24"/>
          <w:lang w:val="en-GB"/>
        </w:rPr>
        <w:t xml:space="preserve"> profitability. </w:t>
      </w:r>
      <w:r w:rsidR="00E82E2F" w:rsidRPr="00E520CA">
        <w:rPr>
          <w:rFonts w:ascii="Arial" w:hAnsi="Arial" w:cs="Arial"/>
          <w:color w:val="000000" w:themeColor="text1"/>
          <w:szCs w:val="24"/>
          <w:lang w:val="en-GB"/>
        </w:rPr>
        <w:t>To</w:t>
      </w:r>
      <w:r w:rsidRPr="00E520CA">
        <w:rPr>
          <w:rFonts w:ascii="Arial" w:hAnsi="Arial" w:cs="Arial"/>
          <w:color w:val="000000" w:themeColor="text1"/>
          <w:szCs w:val="24"/>
          <w:lang w:val="en-GB"/>
        </w:rPr>
        <w:t xml:space="preserve"> mitigate this concern, the firm may opt to utilise forward contracts </w:t>
      </w:r>
      <w:r w:rsidR="00E82E2F" w:rsidRPr="00E520CA">
        <w:rPr>
          <w:rFonts w:ascii="Arial" w:hAnsi="Arial" w:cs="Arial"/>
          <w:color w:val="000000" w:themeColor="text1"/>
          <w:szCs w:val="24"/>
          <w:lang w:val="en-GB"/>
        </w:rPr>
        <w:t>to</w:t>
      </w:r>
      <w:r w:rsidRPr="00E520CA">
        <w:rPr>
          <w:rFonts w:ascii="Arial" w:hAnsi="Arial" w:cs="Arial"/>
          <w:color w:val="000000" w:themeColor="text1"/>
          <w:szCs w:val="24"/>
          <w:lang w:val="en-GB"/>
        </w:rPr>
        <w:t xml:space="preserve"> secure predetermined exchange rates. Similarly, a multinational European organisation faces the challenge of translation risk when reporting financial results in euros. </w:t>
      </w:r>
      <w:r w:rsidR="00F1521F">
        <w:rPr>
          <w:rFonts w:ascii="Arial" w:hAnsi="Arial" w:cs="Arial"/>
          <w:color w:val="000000" w:themeColor="text1"/>
          <w:szCs w:val="24"/>
          <w:lang w:val="en-GB"/>
        </w:rPr>
        <w:t>For the purpose</w:t>
      </w:r>
      <w:r w:rsidRPr="00E520CA">
        <w:rPr>
          <w:rFonts w:ascii="Arial" w:hAnsi="Arial" w:cs="Arial"/>
          <w:color w:val="000000" w:themeColor="text1"/>
          <w:szCs w:val="24"/>
          <w:lang w:val="en-GB"/>
        </w:rPr>
        <w:t xml:space="preserve"> reduce this risk, the firm might choose to spread its operations over many currencies or utilise financial instruments </w:t>
      </w:r>
      <w:r w:rsidR="00E82E2F" w:rsidRPr="00E520CA">
        <w:rPr>
          <w:rFonts w:ascii="Arial" w:hAnsi="Arial" w:cs="Arial"/>
          <w:color w:val="000000" w:themeColor="text1"/>
          <w:szCs w:val="24"/>
          <w:lang w:val="en-GB"/>
        </w:rPr>
        <w:t>to</w:t>
      </w:r>
      <w:r w:rsidRPr="00E520CA">
        <w:rPr>
          <w:rFonts w:ascii="Arial" w:hAnsi="Arial" w:cs="Arial"/>
          <w:color w:val="000000" w:themeColor="text1"/>
          <w:szCs w:val="24"/>
          <w:lang w:val="en-GB"/>
        </w:rPr>
        <w:t xml:space="preserve"> protect against adverse changes in currency exchange rates.</w:t>
      </w:r>
    </w:p>
    <w:p w14:paraId="5FBB8BD7" w14:textId="7A28FF06"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In a hypothetical situation, a technical business might face economic susceptibility if a stronger domestic currency leads to higher prices for its products among global customers. </w:t>
      </w:r>
      <w:proofErr w:type="gramStart"/>
      <w:r w:rsidRPr="00E520CA">
        <w:rPr>
          <w:rFonts w:ascii="Arial" w:hAnsi="Arial" w:cs="Arial"/>
          <w:color w:val="000000" w:themeColor="text1"/>
          <w:szCs w:val="24"/>
          <w:lang w:val="en-GB"/>
        </w:rPr>
        <w:t>In order to</w:t>
      </w:r>
      <w:proofErr w:type="gramEnd"/>
      <w:r w:rsidRPr="00E520CA">
        <w:rPr>
          <w:rFonts w:ascii="Arial" w:hAnsi="Arial" w:cs="Arial"/>
          <w:color w:val="000000" w:themeColor="text1"/>
          <w:szCs w:val="24"/>
          <w:lang w:val="en-GB"/>
        </w:rPr>
        <w:t xml:space="preserve"> keep its competitive advantage, the corporation may alter its pricing strategies or explore new markets that provide favourable currency exchange rates.</w:t>
      </w:r>
    </w:p>
    <w:p w14:paraId="38F09BCF" w14:textId="77777777" w:rsidR="00E520CA" w:rsidRPr="00E520CA" w:rsidRDefault="00E520CA" w:rsidP="00E520CA">
      <w:pPr>
        <w:spacing w:line="360" w:lineRule="auto"/>
        <w:rPr>
          <w:rFonts w:ascii="Arial" w:hAnsi="Arial" w:cs="Arial"/>
          <w:color w:val="000000" w:themeColor="text1"/>
          <w:szCs w:val="24"/>
          <w:lang w:val="en-GB"/>
        </w:rPr>
      </w:pPr>
      <w:r w:rsidRPr="00E520CA">
        <w:rPr>
          <w:rFonts w:ascii="Arial" w:hAnsi="Arial" w:cs="Arial"/>
          <w:color w:val="000000" w:themeColor="text1"/>
          <w:szCs w:val="24"/>
          <w:lang w:val="en-GB"/>
        </w:rPr>
        <w:t xml:space="preserve">Therefore, exchange rate risk has various impacts on multinational companies (MNCs). Nevertheless, the use of proactive risk management techniques has the potential to significantly mitigate the impact of currency volatility and </w:t>
      </w:r>
      <w:proofErr w:type="gramStart"/>
      <w:r w:rsidRPr="00E520CA">
        <w:rPr>
          <w:rFonts w:ascii="Arial" w:hAnsi="Arial" w:cs="Arial"/>
          <w:color w:val="000000" w:themeColor="text1"/>
          <w:szCs w:val="24"/>
          <w:lang w:val="en-GB"/>
        </w:rPr>
        <w:t>provide</w:t>
      </w:r>
      <w:proofErr w:type="gramEnd"/>
      <w:r w:rsidRPr="00E520CA">
        <w:rPr>
          <w:rFonts w:ascii="Arial" w:hAnsi="Arial" w:cs="Arial"/>
          <w:color w:val="000000" w:themeColor="text1"/>
          <w:szCs w:val="24"/>
          <w:lang w:val="en-GB"/>
        </w:rPr>
        <w:t xml:space="preserve"> financial stability in such situations.</w:t>
      </w:r>
    </w:p>
    <w:p w14:paraId="02BE611C" w14:textId="0CBC64C8" w:rsidR="00463B62" w:rsidRDefault="00463B62" w:rsidP="00452DD7">
      <w:pPr>
        <w:spacing w:line="360" w:lineRule="auto"/>
        <w:rPr>
          <w:rFonts w:ascii="Arial" w:hAnsi="Arial" w:cs="Arial"/>
          <w:color w:val="000000" w:themeColor="text1"/>
          <w:szCs w:val="24"/>
          <w:lang w:val="en-GB"/>
        </w:rPr>
      </w:pPr>
    </w:p>
    <w:p w14:paraId="25011485" w14:textId="77777777" w:rsidR="00463B62" w:rsidRDefault="00463B62" w:rsidP="00452DD7">
      <w:pPr>
        <w:spacing w:line="360" w:lineRule="auto"/>
        <w:rPr>
          <w:rFonts w:ascii="Arial" w:hAnsi="Arial" w:cs="Arial"/>
          <w:color w:val="000000" w:themeColor="text1"/>
          <w:szCs w:val="24"/>
          <w:lang w:val="en-GB"/>
        </w:rPr>
      </w:pPr>
      <w:r>
        <w:rPr>
          <w:rFonts w:ascii="Arial" w:hAnsi="Arial" w:cs="Arial"/>
          <w:color w:val="000000" w:themeColor="text1"/>
          <w:szCs w:val="24"/>
          <w:lang w:val="en-GB"/>
        </w:rPr>
        <w:t xml:space="preserve">Different strategies. </w:t>
      </w:r>
    </w:p>
    <w:p w14:paraId="78EFA5E3" w14:textId="5785EA9F" w:rsidR="002B3ACB" w:rsidRDefault="00AE01FF" w:rsidP="00452DD7">
      <w:pPr>
        <w:spacing w:line="360" w:lineRule="auto"/>
        <w:rPr>
          <w:rFonts w:ascii="Arial" w:hAnsi="Arial" w:cs="Arial"/>
          <w:color w:val="000000" w:themeColor="text1"/>
          <w:szCs w:val="24"/>
          <w:lang w:val="en-GB"/>
        </w:rPr>
      </w:pPr>
      <w:r>
        <w:rPr>
          <w:rFonts w:ascii="Arial" w:hAnsi="Arial" w:cs="Arial"/>
          <w:color w:val="000000" w:themeColor="text1"/>
          <w:szCs w:val="24"/>
          <w:lang w:val="en-GB"/>
        </w:rPr>
        <w:t>As Gitman says (2008) v</w:t>
      </w:r>
      <w:r w:rsidR="002B3ACB" w:rsidRPr="002B3ACB">
        <w:rPr>
          <w:rFonts w:ascii="Arial" w:hAnsi="Arial" w:cs="Arial"/>
          <w:color w:val="000000" w:themeColor="text1"/>
          <w:szCs w:val="24"/>
          <w:lang w:val="en-GB"/>
        </w:rPr>
        <w:t xml:space="preserve">arious </w:t>
      </w:r>
      <w:r w:rsidR="005C1D7A">
        <w:rPr>
          <w:rFonts w:ascii="Arial" w:hAnsi="Arial" w:cs="Arial"/>
          <w:color w:val="000000" w:themeColor="text1"/>
          <w:szCs w:val="24"/>
          <w:lang w:val="en-GB"/>
        </w:rPr>
        <w:t>methods</w:t>
      </w:r>
      <w:r w:rsidR="002B3ACB">
        <w:rPr>
          <w:rFonts w:ascii="Arial" w:hAnsi="Arial" w:cs="Arial"/>
          <w:color w:val="000000" w:themeColor="text1"/>
          <w:szCs w:val="24"/>
          <w:lang w:val="en-GB"/>
        </w:rPr>
        <w:t xml:space="preserve"> and tactics</w:t>
      </w:r>
      <w:r w:rsidR="002B3ACB" w:rsidRPr="002B3ACB">
        <w:rPr>
          <w:rFonts w:ascii="Arial" w:hAnsi="Arial" w:cs="Arial"/>
          <w:color w:val="000000" w:themeColor="text1"/>
          <w:szCs w:val="24"/>
          <w:lang w:val="en-GB"/>
        </w:rPr>
        <w:t xml:space="preserve"> are employed by multinational firms to effectively control their exposure to foreign exchange risk. Financial hedging </w:t>
      </w:r>
      <w:r w:rsidR="005C1D7A" w:rsidRPr="002B3ACB">
        <w:rPr>
          <w:rFonts w:ascii="Arial" w:hAnsi="Arial" w:cs="Arial"/>
          <w:color w:val="000000" w:themeColor="text1"/>
          <w:szCs w:val="24"/>
          <w:lang w:val="en-GB"/>
        </w:rPr>
        <w:t>includes</w:t>
      </w:r>
      <w:r w:rsidR="002B3ACB" w:rsidRPr="002B3ACB">
        <w:rPr>
          <w:rFonts w:ascii="Arial" w:hAnsi="Arial" w:cs="Arial"/>
          <w:color w:val="000000" w:themeColor="text1"/>
          <w:szCs w:val="24"/>
          <w:lang w:val="en-GB"/>
        </w:rPr>
        <w:t xml:space="preserve"> the utilisation of financial products such as forwards, futures, options, and swaps to reduce the impact of currency risk. On the other hand, operational hedging involves the deliberate organisation of activities to minimise the level of exposure. Natural hedging is a strategy that utilises income and cost streams in various currencies to mitigate risk. On the other hand, leading and lagging methods are employed to strategically time receipts and payments </w:t>
      </w:r>
      <w:r w:rsidR="005C1D7A" w:rsidRPr="002B3ACB">
        <w:rPr>
          <w:rFonts w:ascii="Arial" w:hAnsi="Arial" w:cs="Arial"/>
          <w:color w:val="000000" w:themeColor="text1"/>
          <w:szCs w:val="24"/>
          <w:lang w:val="en-GB"/>
        </w:rPr>
        <w:t>to</w:t>
      </w:r>
      <w:r w:rsidR="002B3ACB" w:rsidRPr="002B3ACB">
        <w:rPr>
          <w:rFonts w:ascii="Arial" w:hAnsi="Arial" w:cs="Arial"/>
          <w:color w:val="000000" w:themeColor="text1"/>
          <w:szCs w:val="24"/>
          <w:lang w:val="en-GB"/>
        </w:rPr>
        <w:t xml:space="preserve"> take advantage of </w:t>
      </w:r>
      <w:r w:rsidR="005C1D7A" w:rsidRPr="002B3ACB">
        <w:rPr>
          <w:rFonts w:ascii="Arial" w:hAnsi="Arial" w:cs="Arial"/>
          <w:color w:val="000000" w:themeColor="text1"/>
          <w:szCs w:val="24"/>
          <w:lang w:val="en-GB"/>
        </w:rPr>
        <w:t>expected</w:t>
      </w:r>
      <w:r w:rsidR="002B3ACB" w:rsidRPr="002B3ACB">
        <w:rPr>
          <w:rFonts w:ascii="Arial" w:hAnsi="Arial" w:cs="Arial"/>
          <w:color w:val="000000" w:themeColor="text1"/>
          <w:szCs w:val="24"/>
          <w:lang w:val="en-GB"/>
        </w:rPr>
        <w:t xml:space="preserve"> currency fluctuations. The act of diversifying investments across several markets and currencies serves to mitigate risk, </w:t>
      </w:r>
      <w:r w:rsidR="005C1D7A" w:rsidRPr="002B3ACB">
        <w:rPr>
          <w:rFonts w:ascii="Arial" w:hAnsi="Arial" w:cs="Arial"/>
          <w:color w:val="000000" w:themeColor="text1"/>
          <w:szCs w:val="24"/>
          <w:lang w:val="en-GB"/>
        </w:rPr>
        <w:t>while</w:t>
      </w:r>
      <w:r w:rsidR="002B3ACB" w:rsidRPr="002B3ACB">
        <w:rPr>
          <w:rFonts w:ascii="Arial" w:hAnsi="Arial" w:cs="Arial"/>
          <w:color w:val="000000" w:themeColor="text1"/>
          <w:szCs w:val="24"/>
          <w:lang w:val="en-GB"/>
        </w:rPr>
        <w:t xml:space="preserve"> balance sheet hedging involves aligning assets and obligations denominated in different currencies. Decision-making at multinational corporations (MNCs) is guided by </w:t>
      </w:r>
      <w:r w:rsidR="002B3ACB" w:rsidRPr="002B3ACB">
        <w:rPr>
          <w:rFonts w:ascii="Arial" w:hAnsi="Arial" w:cs="Arial"/>
          <w:color w:val="000000" w:themeColor="text1"/>
          <w:szCs w:val="24"/>
          <w:lang w:val="en-GB"/>
        </w:rPr>
        <w:lastRenderedPageBreak/>
        <w:t xml:space="preserve">robust forecasting and risk management policies, which enable them to proactively adapt plans </w:t>
      </w:r>
      <w:r w:rsidR="005C1D7A" w:rsidRPr="002B3ACB">
        <w:rPr>
          <w:rFonts w:ascii="Arial" w:hAnsi="Arial" w:cs="Arial"/>
          <w:color w:val="000000" w:themeColor="text1"/>
          <w:szCs w:val="24"/>
          <w:lang w:val="en-GB"/>
        </w:rPr>
        <w:t>by</w:t>
      </w:r>
      <w:r w:rsidR="002B3ACB" w:rsidRPr="002B3ACB">
        <w:rPr>
          <w:rFonts w:ascii="Arial" w:hAnsi="Arial" w:cs="Arial"/>
          <w:color w:val="000000" w:themeColor="text1"/>
          <w:szCs w:val="24"/>
          <w:lang w:val="en-GB"/>
        </w:rPr>
        <w:t xml:space="preserve"> market dynamics and efficiently optimise their risk-return trade-offs.</w:t>
      </w:r>
    </w:p>
    <w:p w14:paraId="185458AC" w14:textId="1F65E070" w:rsidR="003747C6" w:rsidRDefault="003747C6" w:rsidP="00452DD7">
      <w:pPr>
        <w:spacing w:line="360" w:lineRule="auto"/>
        <w:rPr>
          <w:rFonts w:ascii="Arial" w:hAnsi="Arial" w:cs="Arial"/>
          <w:b/>
          <w:bCs/>
          <w:color w:val="5B9BD5" w:themeColor="accent1"/>
          <w:szCs w:val="24"/>
          <w:lang w:val="en-GB"/>
        </w:rPr>
      </w:pPr>
      <w:r w:rsidRPr="003747C6">
        <w:rPr>
          <w:rFonts w:ascii="Arial" w:hAnsi="Arial" w:cs="Arial"/>
          <w:b/>
          <w:bCs/>
          <w:color w:val="5B9BD5" w:themeColor="accent1"/>
          <w:szCs w:val="24"/>
          <w:lang w:val="en-GB"/>
        </w:rPr>
        <w:t xml:space="preserve">Conclusion. </w:t>
      </w:r>
    </w:p>
    <w:p w14:paraId="14C217D5" w14:textId="6344862B" w:rsidR="003747C6" w:rsidRPr="003747C6" w:rsidRDefault="00D96DA2" w:rsidP="00452DD7">
      <w:pPr>
        <w:spacing w:line="360" w:lineRule="auto"/>
        <w:rPr>
          <w:rFonts w:ascii="Arial" w:hAnsi="Arial" w:cs="Arial"/>
          <w:b/>
          <w:bCs/>
          <w:color w:val="000000" w:themeColor="text1"/>
          <w:szCs w:val="24"/>
          <w:lang w:val="en-GB"/>
        </w:rPr>
      </w:pPr>
      <w:r w:rsidRPr="00D96DA2">
        <w:rPr>
          <w:rFonts w:ascii="Arial" w:hAnsi="Arial" w:cs="Arial"/>
          <w:szCs w:val="24"/>
          <w:lang w:val="en-GB"/>
        </w:rPr>
        <w:t xml:space="preserve">International Financial Management (IFM) theories are crucial for multinational corporations (MNCs) to effectively manage financial resources across different countries. These theories, such as the Efficient Market Hypothesis (EMH) and Project Appraisal Theory, </w:t>
      </w:r>
      <w:proofErr w:type="gramStart"/>
      <w:r w:rsidRPr="00D96DA2">
        <w:rPr>
          <w:rFonts w:ascii="Arial" w:hAnsi="Arial" w:cs="Arial"/>
          <w:szCs w:val="24"/>
          <w:lang w:val="en-GB"/>
        </w:rPr>
        <w:t>provide</w:t>
      </w:r>
      <w:proofErr w:type="gramEnd"/>
      <w:r w:rsidRPr="00D96DA2">
        <w:rPr>
          <w:rFonts w:ascii="Arial" w:hAnsi="Arial" w:cs="Arial"/>
          <w:szCs w:val="24"/>
          <w:lang w:val="en-GB"/>
        </w:rPr>
        <w:t xml:space="preserve"> valuable insights into capital budgeting, finance, and risk management choices. The Modigliani-Miller theorem and portfolio diversification offer a structure for tackling currency rate risks. MNCs must consider budget exchange rates, hedging rates, and implementing comprehensive plans to manage exchange rate risk. Solutions include financial hedging, operational changes, and geographical diversification to mitigate risks and </w:t>
      </w:r>
      <w:proofErr w:type="gramStart"/>
      <w:r w:rsidRPr="00D96DA2">
        <w:rPr>
          <w:rFonts w:ascii="Arial" w:hAnsi="Arial" w:cs="Arial"/>
          <w:szCs w:val="24"/>
          <w:lang w:val="en-GB"/>
        </w:rPr>
        <w:t>maintain</w:t>
      </w:r>
      <w:proofErr w:type="gramEnd"/>
      <w:r w:rsidRPr="00D96DA2">
        <w:rPr>
          <w:rFonts w:ascii="Arial" w:hAnsi="Arial" w:cs="Arial"/>
          <w:szCs w:val="24"/>
          <w:lang w:val="en-GB"/>
        </w:rPr>
        <w:t xml:space="preserve"> competitive advantage. By u</w:t>
      </w:r>
      <w:r w:rsidR="00C83FA0">
        <w:rPr>
          <w:rFonts w:ascii="Arial" w:hAnsi="Arial" w:cs="Arial"/>
          <w:szCs w:val="24"/>
          <w:lang w:val="en-GB"/>
        </w:rPr>
        <w:t>sing</w:t>
      </w:r>
      <w:r w:rsidRPr="00D96DA2">
        <w:rPr>
          <w:rFonts w:ascii="Arial" w:hAnsi="Arial" w:cs="Arial"/>
          <w:szCs w:val="24"/>
          <w:lang w:val="en-GB"/>
        </w:rPr>
        <w:t xml:space="preserve"> IFM theories and innovative strategies, MNCs can enhance their ability to withstand challenges, guarantee financial stability, and </w:t>
      </w:r>
      <w:r w:rsidR="00B54685" w:rsidRPr="00D96DA2">
        <w:rPr>
          <w:rFonts w:ascii="Arial" w:hAnsi="Arial" w:cs="Arial"/>
          <w:szCs w:val="24"/>
          <w:lang w:val="en-GB"/>
        </w:rPr>
        <w:t>support</w:t>
      </w:r>
      <w:r w:rsidRPr="00D96DA2">
        <w:rPr>
          <w:rFonts w:ascii="Arial" w:hAnsi="Arial" w:cs="Arial"/>
          <w:szCs w:val="24"/>
          <w:lang w:val="en-GB"/>
        </w:rPr>
        <w:t xml:space="preserve"> a competitive edge in the global market.</w:t>
      </w:r>
    </w:p>
    <w:p w14:paraId="194EB091" w14:textId="13F6EC91" w:rsidR="000F5E54" w:rsidRDefault="000F5E54" w:rsidP="00BF1CC5">
      <w:pPr>
        <w:spacing w:line="360" w:lineRule="auto"/>
        <w:rPr>
          <w:rFonts w:ascii="Arial" w:hAnsi="Arial" w:cs="Arial"/>
          <w:color w:val="000000" w:themeColor="text1"/>
          <w:szCs w:val="24"/>
          <w:lang w:val="en-GB"/>
        </w:rPr>
      </w:pPr>
    </w:p>
    <w:p w14:paraId="02DE2D14" w14:textId="7B80F1D4" w:rsidR="00443CFD" w:rsidRDefault="00443CFD" w:rsidP="00BF1CC5">
      <w:pPr>
        <w:spacing w:line="360" w:lineRule="auto"/>
        <w:rPr>
          <w:rFonts w:ascii="Arial" w:hAnsi="Arial" w:cs="Arial"/>
          <w:color w:val="000000" w:themeColor="text1"/>
          <w:szCs w:val="24"/>
          <w:lang w:val="en-GB"/>
        </w:rPr>
      </w:pPr>
    </w:p>
    <w:p w14:paraId="1CCA5C7C" w14:textId="150DF62F" w:rsidR="00443CFD" w:rsidRDefault="00443CFD" w:rsidP="00BF1CC5">
      <w:pPr>
        <w:spacing w:line="360" w:lineRule="auto"/>
        <w:rPr>
          <w:rFonts w:ascii="Arial" w:hAnsi="Arial" w:cs="Arial"/>
          <w:color w:val="000000" w:themeColor="text1"/>
          <w:szCs w:val="24"/>
          <w:lang w:val="en-GB"/>
        </w:rPr>
      </w:pPr>
    </w:p>
    <w:p w14:paraId="53AA1595" w14:textId="0A4511B7" w:rsidR="00443CFD" w:rsidRDefault="00443CFD" w:rsidP="00BF1CC5">
      <w:pPr>
        <w:spacing w:line="360" w:lineRule="auto"/>
        <w:rPr>
          <w:rFonts w:ascii="Arial" w:hAnsi="Arial" w:cs="Arial"/>
          <w:color w:val="000000" w:themeColor="text1"/>
          <w:szCs w:val="24"/>
          <w:lang w:val="en-GB"/>
        </w:rPr>
      </w:pPr>
    </w:p>
    <w:p w14:paraId="16C55341" w14:textId="77777777" w:rsidR="00443CFD" w:rsidRPr="00BF1CC5" w:rsidRDefault="00443CFD" w:rsidP="00BF1CC5">
      <w:pPr>
        <w:spacing w:line="360" w:lineRule="auto"/>
        <w:rPr>
          <w:rFonts w:ascii="Arial" w:hAnsi="Arial" w:cs="Arial"/>
          <w:color w:val="000000" w:themeColor="text1"/>
          <w:szCs w:val="24"/>
          <w:lang w:val="en-GB"/>
        </w:rPr>
      </w:pPr>
    </w:p>
    <w:p w14:paraId="24A4C10F" w14:textId="71AA5454" w:rsidR="00F3532D" w:rsidRDefault="00F3532D" w:rsidP="000F06AA">
      <w:pPr>
        <w:spacing w:line="360" w:lineRule="auto"/>
        <w:rPr>
          <w:rFonts w:ascii="Arial" w:hAnsi="Arial" w:cs="Arial"/>
          <w:b/>
          <w:bCs/>
          <w:color w:val="5B9BD5" w:themeColor="accent1"/>
          <w:szCs w:val="24"/>
          <w:lang w:val="en-GB"/>
        </w:rPr>
      </w:pPr>
    </w:p>
    <w:p w14:paraId="2E720C42" w14:textId="684D0FA0" w:rsidR="0005506F" w:rsidRDefault="0005506F" w:rsidP="000F06AA">
      <w:pPr>
        <w:spacing w:line="360" w:lineRule="auto"/>
        <w:rPr>
          <w:rFonts w:ascii="Arial" w:hAnsi="Arial" w:cs="Arial"/>
          <w:b/>
          <w:bCs/>
          <w:color w:val="5B9BD5" w:themeColor="accent1"/>
          <w:szCs w:val="24"/>
          <w:lang w:val="en-GB"/>
        </w:rPr>
      </w:pPr>
    </w:p>
    <w:p w14:paraId="6F5D4A2F" w14:textId="68F3DDD7" w:rsidR="0005506F" w:rsidRDefault="0005506F" w:rsidP="000F06AA">
      <w:pPr>
        <w:spacing w:line="360" w:lineRule="auto"/>
        <w:rPr>
          <w:rFonts w:ascii="Arial" w:hAnsi="Arial" w:cs="Arial"/>
          <w:b/>
          <w:bCs/>
          <w:color w:val="5B9BD5" w:themeColor="accent1"/>
          <w:szCs w:val="24"/>
          <w:lang w:val="en-GB"/>
        </w:rPr>
      </w:pPr>
    </w:p>
    <w:p w14:paraId="6E92692E" w14:textId="01D9EF05" w:rsidR="0005506F" w:rsidRDefault="0005506F" w:rsidP="000F06AA">
      <w:pPr>
        <w:spacing w:line="360" w:lineRule="auto"/>
        <w:rPr>
          <w:rFonts w:ascii="Arial" w:hAnsi="Arial" w:cs="Arial"/>
          <w:b/>
          <w:bCs/>
          <w:color w:val="5B9BD5" w:themeColor="accent1"/>
          <w:szCs w:val="24"/>
          <w:lang w:val="en-GB"/>
        </w:rPr>
      </w:pPr>
    </w:p>
    <w:p w14:paraId="20B3361C" w14:textId="049D861A" w:rsidR="0005506F" w:rsidRDefault="0005506F" w:rsidP="000F06AA">
      <w:pPr>
        <w:spacing w:line="360" w:lineRule="auto"/>
        <w:rPr>
          <w:rFonts w:ascii="Arial" w:hAnsi="Arial" w:cs="Arial"/>
          <w:b/>
          <w:bCs/>
          <w:color w:val="5B9BD5" w:themeColor="accent1"/>
          <w:szCs w:val="24"/>
          <w:lang w:val="en-GB"/>
        </w:rPr>
      </w:pPr>
    </w:p>
    <w:p w14:paraId="2A2E4294" w14:textId="4BBCE4E8" w:rsidR="00403986" w:rsidRDefault="00403986" w:rsidP="000F06AA">
      <w:pPr>
        <w:spacing w:line="360" w:lineRule="auto"/>
        <w:rPr>
          <w:rFonts w:ascii="Arial" w:hAnsi="Arial" w:cs="Arial"/>
          <w:b/>
          <w:bCs/>
          <w:color w:val="5B9BD5" w:themeColor="accent1"/>
          <w:szCs w:val="24"/>
          <w:lang w:val="en-GB"/>
        </w:rPr>
      </w:pPr>
    </w:p>
    <w:p w14:paraId="28A67A84" w14:textId="77777777" w:rsidR="00403986" w:rsidRPr="00F26DAE" w:rsidRDefault="00403986" w:rsidP="000F06AA">
      <w:pPr>
        <w:spacing w:line="360" w:lineRule="auto"/>
        <w:rPr>
          <w:rFonts w:ascii="Arial" w:hAnsi="Arial" w:cs="Arial"/>
          <w:b/>
          <w:bCs/>
          <w:color w:val="5B9BD5" w:themeColor="accent1"/>
          <w:szCs w:val="24"/>
          <w:lang w:val="en-GB"/>
        </w:rPr>
      </w:pPr>
    </w:p>
    <w:p w14:paraId="2ECEDEEC" w14:textId="287D6419" w:rsidR="005D14E4" w:rsidRPr="00A26F59" w:rsidRDefault="005D14E4" w:rsidP="000F06AA">
      <w:pPr>
        <w:spacing w:line="360" w:lineRule="auto"/>
        <w:rPr>
          <w:rFonts w:ascii="Arial" w:hAnsi="Arial" w:cs="Arial"/>
          <w:b/>
          <w:bCs/>
          <w:color w:val="5B9BD5" w:themeColor="accent1"/>
          <w:szCs w:val="24"/>
          <w:u w:val="single"/>
          <w:lang w:val="en-GB"/>
        </w:rPr>
      </w:pPr>
      <w:r w:rsidRPr="00A26F59">
        <w:rPr>
          <w:rFonts w:ascii="Arial" w:hAnsi="Arial" w:cs="Arial"/>
          <w:b/>
          <w:bCs/>
          <w:color w:val="5B9BD5" w:themeColor="accent1"/>
          <w:szCs w:val="24"/>
          <w:u w:val="single"/>
          <w:lang w:val="en-GB"/>
        </w:rPr>
        <w:t xml:space="preserve">References. </w:t>
      </w:r>
    </w:p>
    <w:p w14:paraId="6D75C894" w14:textId="07CDCC83" w:rsidR="005D14E4" w:rsidRPr="000F06AA" w:rsidRDefault="005D14E4" w:rsidP="000F06AA">
      <w:pPr>
        <w:pStyle w:val="ListParagraph"/>
        <w:spacing w:line="360" w:lineRule="auto"/>
        <w:rPr>
          <w:rFonts w:ascii="Arial" w:hAnsi="Arial" w:cs="Arial"/>
          <w:szCs w:val="24"/>
          <w:lang w:val="en-GB"/>
        </w:rPr>
      </w:pPr>
    </w:p>
    <w:p w14:paraId="45383457" w14:textId="77777777" w:rsidR="006A2457" w:rsidRDefault="00655F09" w:rsidP="000F06AA">
      <w:pPr>
        <w:pStyle w:val="ListParagraph"/>
        <w:numPr>
          <w:ilvl w:val="0"/>
          <w:numId w:val="15"/>
        </w:numPr>
        <w:spacing w:line="360" w:lineRule="auto"/>
        <w:rPr>
          <w:rFonts w:ascii="Arial" w:hAnsi="Arial" w:cs="Arial"/>
          <w:szCs w:val="24"/>
          <w:lang w:val="en-GB"/>
        </w:rPr>
      </w:pPr>
      <w:r w:rsidRPr="00655F09">
        <w:rPr>
          <w:rFonts w:ascii="Arial" w:hAnsi="Arial" w:cs="Arial"/>
          <w:szCs w:val="24"/>
          <w:lang w:val="en-GB"/>
        </w:rPr>
        <w:t>Allen, F. and Michaely, R. (2003</w:t>
      </w:r>
      <w:proofErr w:type="gramStart"/>
      <w:r w:rsidRPr="00655F09">
        <w:rPr>
          <w:rFonts w:ascii="Arial" w:hAnsi="Arial" w:cs="Arial"/>
          <w:szCs w:val="24"/>
          <w:lang w:val="en-GB"/>
        </w:rPr>
        <w:t>),“</w:t>
      </w:r>
      <w:proofErr w:type="gramEnd"/>
      <w:r w:rsidR="002421C9" w:rsidRPr="00655F09">
        <w:rPr>
          <w:rFonts w:ascii="Arial" w:hAnsi="Arial" w:cs="Arial"/>
          <w:szCs w:val="24"/>
          <w:lang w:val="en-GB"/>
        </w:rPr>
        <w:t>Pay-out</w:t>
      </w:r>
      <w:r w:rsidRPr="00655F09">
        <w:rPr>
          <w:rFonts w:ascii="Arial" w:hAnsi="Arial" w:cs="Arial"/>
          <w:szCs w:val="24"/>
          <w:lang w:val="en-GB"/>
        </w:rPr>
        <w:t xml:space="preserve"> policy”, in Constantinides, G.M., Harris, M. and Stulz, R.M.(Eds),Handbook of the Economics of Finance, Vol. 1A, North Holland, </w:t>
      </w:r>
      <w:r w:rsidR="002421C9" w:rsidRPr="00655F09">
        <w:rPr>
          <w:rFonts w:ascii="Arial" w:hAnsi="Arial" w:cs="Arial"/>
          <w:szCs w:val="24"/>
          <w:lang w:val="en-GB"/>
        </w:rPr>
        <w:t>Amsterdam</w:t>
      </w:r>
      <w:r w:rsidRPr="00655F09">
        <w:rPr>
          <w:rFonts w:ascii="Arial" w:hAnsi="Arial" w:cs="Arial"/>
          <w:szCs w:val="24"/>
          <w:lang w:val="en-GB"/>
        </w:rPr>
        <w:t>.</w:t>
      </w:r>
      <w:r w:rsidR="002421C9">
        <w:rPr>
          <w:rFonts w:ascii="Arial" w:hAnsi="Arial" w:cs="Arial"/>
          <w:szCs w:val="24"/>
          <w:lang w:val="en-GB"/>
        </w:rPr>
        <w:t xml:space="preserve"> pp</w:t>
      </w:r>
      <w:r w:rsidRPr="00655F09">
        <w:rPr>
          <w:rFonts w:ascii="Arial" w:hAnsi="Arial" w:cs="Arial"/>
          <w:szCs w:val="24"/>
          <w:lang w:val="en-GB"/>
        </w:rPr>
        <w:t xml:space="preserve"> 337-429.140MF41,2 (16) (PDF) Corporate dividend policy revisited. Available </w:t>
      </w:r>
      <w:r w:rsidR="006A2457">
        <w:rPr>
          <w:rFonts w:ascii="Arial" w:hAnsi="Arial" w:cs="Arial"/>
          <w:szCs w:val="24"/>
          <w:lang w:val="en-GB"/>
        </w:rPr>
        <w:t xml:space="preserve">at: </w:t>
      </w:r>
    </w:p>
    <w:p w14:paraId="4B6092DB" w14:textId="10AC835D" w:rsidR="00655F09" w:rsidRPr="000F06AA" w:rsidRDefault="00655F09" w:rsidP="006A2457">
      <w:pPr>
        <w:pStyle w:val="ListParagraph"/>
        <w:spacing w:line="360" w:lineRule="auto"/>
        <w:rPr>
          <w:rFonts w:ascii="Arial" w:hAnsi="Arial" w:cs="Arial"/>
          <w:szCs w:val="24"/>
          <w:lang w:val="en-GB"/>
        </w:rPr>
      </w:pPr>
      <w:r w:rsidRPr="00655F09">
        <w:rPr>
          <w:rFonts w:ascii="Arial" w:hAnsi="Arial" w:cs="Arial"/>
          <w:szCs w:val="24"/>
          <w:lang w:val="en-GB"/>
        </w:rPr>
        <w:t xml:space="preserve">https://www.researchgate.net/publication/276259559_Corporate_dividend_policy_revisited [accessed </w:t>
      </w:r>
      <w:r w:rsidRPr="000F06AA">
        <w:rPr>
          <w:rFonts w:ascii="Arial" w:hAnsi="Arial" w:cs="Arial"/>
          <w:szCs w:val="24"/>
          <w:lang w:val="en-GB"/>
        </w:rPr>
        <w:t>March</w:t>
      </w:r>
      <w:r w:rsidRPr="00655F09">
        <w:rPr>
          <w:rFonts w:ascii="Arial" w:hAnsi="Arial" w:cs="Arial"/>
          <w:szCs w:val="24"/>
          <w:lang w:val="en-GB"/>
        </w:rPr>
        <w:t xml:space="preserve"> 17</w:t>
      </w:r>
      <w:r w:rsidR="00350D61" w:rsidRPr="00655F09">
        <w:rPr>
          <w:rFonts w:ascii="Arial" w:hAnsi="Arial" w:cs="Arial"/>
          <w:szCs w:val="24"/>
          <w:lang w:val="en-GB"/>
        </w:rPr>
        <w:t>, 2024</w:t>
      </w:r>
      <w:r w:rsidRPr="00655F09">
        <w:rPr>
          <w:rFonts w:ascii="Arial" w:hAnsi="Arial" w:cs="Arial"/>
          <w:szCs w:val="24"/>
          <w:lang w:val="en-GB"/>
        </w:rPr>
        <w:t>].</w:t>
      </w:r>
    </w:p>
    <w:p w14:paraId="4C033146" w14:textId="7767276E" w:rsidR="005D14E4" w:rsidRPr="000F06AA" w:rsidRDefault="005D14E4" w:rsidP="000F06AA">
      <w:pPr>
        <w:pStyle w:val="ListParagraph"/>
        <w:numPr>
          <w:ilvl w:val="0"/>
          <w:numId w:val="15"/>
        </w:numPr>
        <w:spacing w:line="360" w:lineRule="auto"/>
        <w:rPr>
          <w:rFonts w:ascii="Arial" w:hAnsi="Arial" w:cs="Arial"/>
          <w:szCs w:val="24"/>
          <w:lang w:val="en-GB"/>
        </w:rPr>
      </w:pPr>
      <w:r w:rsidRPr="000F06AA">
        <w:rPr>
          <w:rFonts w:ascii="Arial" w:hAnsi="Arial" w:cs="Arial"/>
          <w:szCs w:val="24"/>
          <w:lang w:val="en-GB"/>
        </w:rPr>
        <w:t>Bryman, A., Bell, E., (2015) Business Research Methods, 4th Edition</w:t>
      </w:r>
    </w:p>
    <w:p w14:paraId="4D4FAA3E" w14:textId="318A85D4" w:rsidR="005D14E4" w:rsidRDefault="005D14E4" w:rsidP="000F06AA">
      <w:pPr>
        <w:pStyle w:val="ListParagraph"/>
        <w:numPr>
          <w:ilvl w:val="0"/>
          <w:numId w:val="15"/>
        </w:numPr>
        <w:spacing w:line="360" w:lineRule="auto"/>
        <w:rPr>
          <w:rFonts w:ascii="Arial" w:hAnsi="Arial" w:cs="Arial"/>
          <w:szCs w:val="24"/>
        </w:rPr>
      </w:pPr>
      <w:r w:rsidRPr="000F06AA">
        <w:rPr>
          <w:rFonts w:ascii="Arial" w:hAnsi="Arial" w:cs="Arial"/>
          <w:szCs w:val="24"/>
        </w:rPr>
        <w:t>Collis, J., Hussey, R., (2013), Business Research, A Practical Guide for Undergraduate and Post Graduate Students, 4th Ed., Palgrave Macmillan: London</w:t>
      </w:r>
    </w:p>
    <w:p w14:paraId="2A3CD5DC" w14:textId="278BFC2A" w:rsidR="00350D61" w:rsidRPr="000F06AA" w:rsidRDefault="00350D61" w:rsidP="000F06AA">
      <w:pPr>
        <w:pStyle w:val="ListParagraph"/>
        <w:numPr>
          <w:ilvl w:val="0"/>
          <w:numId w:val="15"/>
        </w:numPr>
        <w:spacing w:line="360" w:lineRule="auto"/>
        <w:rPr>
          <w:rFonts w:ascii="Arial" w:hAnsi="Arial" w:cs="Arial"/>
          <w:szCs w:val="24"/>
        </w:rPr>
      </w:pPr>
      <w:r w:rsidRPr="00350D61">
        <w:rPr>
          <w:rFonts w:ascii="Arial" w:hAnsi="Arial" w:cs="Arial"/>
          <w:szCs w:val="24"/>
        </w:rPr>
        <w:t xml:space="preserve">Dayananda, D., Irons, R., Harrison, S., </w:t>
      </w:r>
      <w:proofErr w:type="spellStart"/>
      <w:r w:rsidRPr="00350D61">
        <w:rPr>
          <w:rFonts w:ascii="Arial" w:hAnsi="Arial" w:cs="Arial"/>
          <w:szCs w:val="24"/>
        </w:rPr>
        <w:t>Herbohn</w:t>
      </w:r>
      <w:proofErr w:type="spellEnd"/>
      <w:r w:rsidRPr="00350D61">
        <w:rPr>
          <w:rFonts w:ascii="Arial" w:hAnsi="Arial" w:cs="Arial"/>
          <w:szCs w:val="24"/>
        </w:rPr>
        <w:t>, J., &amp; Rowland, P. (2002). Capital Budgeting: Financial Appraisal of Investment Projects. Cambridge University Press.</w:t>
      </w:r>
    </w:p>
    <w:p w14:paraId="35C8AA5E" w14:textId="7140151D" w:rsidR="005D14E4" w:rsidRPr="006A2457" w:rsidRDefault="005D14E4" w:rsidP="000F06AA">
      <w:pPr>
        <w:pStyle w:val="ListParagraph"/>
        <w:numPr>
          <w:ilvl w:val="0"/>
          <w:numId w:val="15"/>
        </w:numPr>
        <w:spacing w:line="360" w:lineRule="auto"/>
        <w:rPr>
          <w:rFonts w:ascii="Arial" w:hAnsi="Arial" w:cs="Arial"/>
          <w:szCs w:val="24"/>
          <w:lang w:val="en-GB"/>
        </w:rPr>
      </w:pPr>
      <w:r w:rsidRPr="000F06AA">
        <w:rPr>
          <w:rFonts w:ascii="Arial" w:hAnsi="Arial" w:cs="Arial"/>
          <w:szCs w:val="24"/>
        </w:rPr>
        <w:t>Denscombe, M., (2012) Research Proposals: A Practical Guide, Open University Press: Maidenhead</w:t>
      </w:r>
    </w:p>
    <w:p w14:paraId="4276F6E4" w14:textId="6F9288F4" w:rsidR="006A2457" w:rsidRPr="006A2457" w:rsidRDefault="006A2457" w:rsidP="006A2457">
      <w:pPr>
        <w:pStyle w:val="ListParagraph"/>
        <w:numPr>
          <w:ilvl w:val="0"/>
          <w:numId w:val="15"/>
        </w:numPr>
        <w:spacing w:line="360" w:lineRule="auto"/>
        <w:rPr>
          <w:rFonts w:ascii="Arial" w:hAnsi="Arial" w:cs="Arial"/>
          <w:szCs w:val="24"/>
        </w:rPr>
      </w:pPr>
      <w:r w:rsidRPr="000F06AA">
        <w:rPr>
          <w:rFonts w:ascii="Arial" w:hAnsi="Arial" w:cs="Arial"/>
          <w:szCs w:val="24"/>
        </w:rPr>
        <w:t>Easterby-Smith, M., Thorpe, R., Jackson, P., (2015) Management and Business Research, 5th Edition, Sage</w:t>
      </w:r>
    </w:p>
    <w:p w14:paraId="6969000B" w14:textId="2E888296" w:rsidR="00350D61" w:rsidRPr="000F06AA" w:rsidRDefault="00350D61" w:rsidP="000F06AA">
      <w:pPr>
        <w:pStyle w:val="ListParagraph"/>
        <w:numPr>
          <w:ilvl w:val="0"/>
          <w:numId w:val="15"/>
        </w:numPr>
        <w:spacing w:line="360" w:lineRule="auto"/>
        <w:rPr>
          <w:rFonts w:ascii="Arial" w:hAnsi="Arial" w:cs="Arial"/>
          <w:szCs w:val="24"/>
          <w:lang w:val="en-GB"/>
        </w:rPr>
      </w:pPr>
      <w:r w:rsidRPr="00350D61">
        <w:rPr>
          <w:rFonts w:ascii="Arial" w:hAnsi="Arial" w:cs="Arial"/>
          <w:szCs w:val="24"/>
          <w:lang w:val="en-GB"/>
        </w:rPr>
        <w:t>Gitman, L. J. (2008). Principles of Managerial Finance. Pearson Education.</w:t>
      </w:r>
    </w:p>
    <w:p w14:paraId="32CDBD53" w14:textId="27937399" w:rsidR="00CB77F4" w:rsidRPr="00CB77F4" w:rsidRDefault="006A2457" w:rsidP="00CB77F4">
      <w:pPr>
        <w:pStyle w:val="ListParagraph"/>
        <w:numPr>
          <w:ilvl w:val="0"/>
          <w:numId w:val="15"/>
        </w:numPr>
        <w:spacing w:line="360" w:lineRule="auto"/>
        <w:rPr>
          <w:rFonts w:ascii="Arial" w:hAnsi="Arial" w:cs="Arial"/>
          <w:szCs w:val="24"/>
        </w:rPr>
      </w:pPr>
      <w:r w:rsidRPr="006A2457">
        <w:rPr>
          <w:rFonts w:ascii="Arial" w:hAnsi="Arial" w:cs="Arial"/>
          <w:szCs w:val="24"/>
        </w:rPr>
        <w:t>Investments" by Zvi Bodie, Alex Kane, and Alan Marcus (11th edition, 2019)</w:t>
      </w:r>
    </w:p>
    <w:p w14:paraId="18CD63D0" w14:textId="19E4F218" w:rsidR="00CB77F4" w:rsidRPr="006A2457" w:rsidRDefault="00CB77F4" w:rsidP="00CB77F4">
      <w:pPr>
        <w:pStyle w:val="ListParagraph"/>
        <w:numPr>
          <w:ilvl w:val="0"/>
          <w:numId w:val="15"/>
        </w:numPr>
        <w:spacing w:line="360" w:lineRule="auto"/>
        <w:rPr>
          <w:rFonts w:ascii="Arial" w:hAnsi="Arial" w:cs="Arial"/>
          <w:szCs w:val="24"/>
        </w:rPr>
      </w:pPr>
      <w:r w:rsidRPr="00CB77F4">
        <w:rPr>
          <w:rFonts w:ascii="Arial" w:hAnsi="Arial" w:cs="Arial"/>
          <w:szCs w:val="24"/>
        </w:rPr>
        <w:t>Papaioannou, Michael. "Exchange Rate Risk Measurement and Management: Issues and Approaches for Firms." IMF Working Paper, Monetary and Capital Markets, November 2006.</w:t>
      </w:r>
    </w:p>
    <w:p w14:paraId="42491595" w14:textId="630DEC64" w:rsidR="005D14E4" w:rsidRPr="000F06AA" w:rsidRDefault="005D14E4" w:rsidP="000F06AA">
      <w:pPr>
        <w:pStyle w:val="ListParagraph"/>
        <w:numPr>
          <w:ilvl w:val="0"/>
          <w:numId w:val="15"/>
        </w:numPr>
        <w:spacing w:line="360" w:lineRule="auto"/>
        <w:rPr>
          <w:rFonts w:ascii="Arial" w:hAnsi="Arial" w:cs="Arial"/>
          <w:szCs w:val="24"/>
        </w:rPr>
      </w:pPr>
      <w:r w:rsidRPr="000F06AA">
        <w:rPr>
          <w:rFonts w:ascii="Arial" w:hAnsi="Arial" w:cs="Arial"/>
          <w:szCs w:val="24"/>
        </w:rPr>
        <w:t xml:space="preserve">Robson, C (2011), Real World Research, 3rd Ed, John </w:t>
      </w:r>
      <w:r w:rsidR="00350D61" w:rsidRPr="000F06AA">
        <w:rPr>
          <w:rFonts w:ascii="Arial" w:hAnsi="Arial" w:cs="Arial"/>
          <w:szCs w:val="24"/>
        </w:rPr>
        <w:t>Wiley,</w:t>
      </w:r>
      <w:r w:rsidRPr="000F06AA">
        <w:rPr>
          <w:rFonts w:ascii="Arial" w:hAnsi="Arial" w:cs="Arial"/>
          <w:szCs w:val="24"/>
        </w:rPr>
        <w:t xml:space="preserve"> and Sons: Chichester</w:t>
      </w:r>
    </w:p>
    <w:p w14:paraId="052D7B68" w14:textId="162F98DC" w:rsidR="00B14EE3" w:rsidRDefault="005D14E4" w:rsidP="00E22B0C">
      <w:pPr>
        <w:pStyle w:val="ListParagraph"/>
        <w:numPr>
          <w:ilvl w:val="0"/>
          <w:numId w:val="15"/>
        </w:numPr>
        <w:spacing w:line="360" w:lineRule="auto"/>
        <w:rPr>
          <w:rFonts w:ascii="Arial" w:hAnsi="Arial" w:cs="Arial"/>
          <w:szCs w:val="24"/>
        </w:rPr>
      </w:pPr>
      <w:r w:rsidRPr="000F06AA">
        <w:rPr>
          <w:rFonts w:ascii="Arial" w:hAnsi="Arial" w:cs="Arial"/>
          <w:szCs w:val="24"/>
        </w:rPr>
        <w:t>Saunders, M., Lewis, P., Thornhill, A. (2012) Research Methods for Business Students, 6th Edition, FT/Prentice Hall: Harlow</w:t>
      </w:r>
    </w:p>
    <w:p w14:paraId="3B07DB62" w14:textId="65165083" w:rsidR="0005506F" w:rsidRPr="00E22B0C" w:rsidRDefault="0005506F" w:rsidP="00E22B0C">
      <w:pPr>
        <w:pStyle w:val="ListParagraph"/>
        <w:numPr>
          <w:ilvl w:val="0"/>
          <w:numId w:val="15"/>
        </w:numPr>
        <w:spacing w:line="360" w:lineRule="auto"/>
        <w:rPr>
          <w:rFonts w:ascii="Arial" w:hAnsi="Arial" w:cs="Arial"/>
          <w:szCs w:val="24"/>
        </w:rPr>
      </w:pPr>
      <w:r w:rsidRPr="0005506F">
        <w:rPr>
          <w:rFonts w:ascii="Arial" w:hAnsi="Arial" w:cs="Arial"/>
          <w:szCs w:val="24"/>
        </w:rPr>
        <w:lastRenderedPageBreak/>
        <w:t>Smith, J., Johnson, R., &amp; Wang, L. (2019). Foreign Exchange Risk Management Practices of Multinational Corporations: Evidence from a Survey. Journal of International Business Studies.</w:t>
      </w:r>
    </w:p>
    <w:p w14:paraId="47A09F24" w14:textId="18C19999" w:rsidR="005D14E4" w:rsidRPr="000F06AA" w:rsidRDefault="005D14E4" w:rsidP="000F06AA">
      <w:pPr>
        <w:pStyle w:val="ListParagraph"/>
        <w:numPr>
          <w:ilvl w:val="0"/>
          <w:numId w:val="15"/>
        </w:numPr>
        <w:spacing w:line="360" w:lineRule="auto"/>
        <w:rPr>
          <w:rFonts w:ascii="Arial" w:hAnsi="Arial" w:cs="Arial"/>
          <w:szCs w:val="24"/>
        </w:rPr>
      </w:pPr>
      <w:r w:rsidRPr="000F06AA">
        <w:rPr>
          <w:rFonts w:ascii="Arial" w:hAnsi="Arial" w:cs="Arial"/>
          <w:szCs w:val="24"/>
        </w:rPr>
        <w:t>Yin, R., (2013) Case Study Research: Design and Methods, 4th Ed., Sage: Beverly Hills.</w:t>
      </w:r>
    </w:p>
    <w:p w14:paraId="7EB3B1A7" w14:textId="77777777" w:rsidR="005D14E4" w:rsidRPr="000F06AA" w:rsidRDefault="005D14E4" w:rsidP="000F06AA">
      <w:pPr>
        <w:spacing w:line="360" w:lineRule="auto"/>
        <w:rPr>
          <w:rFonts w:ascii="Arial" w:hAnsi="Arial" w:cs="Arial"/>
          <w:szCs w:val="24"/>
        </w:rPr>
      </w:pPr>
    </w:p>
    <w:p w14:paraId="6C4B7AF7" w14:textId="77777777" w:rsidR="005D14E4" w:rsidRPr="000F06AA" w:rsidRDefault="005D14E4" w:rsidP="000F06AA">
      <w:pPr>
        <w:spacing w:line="360" w:lineRule="auto"/>
        <w:rPr>
          <w:rFonts w:ascii="Arial" w:hAnsi="Arial" w:cs="Arial"/>
          <w:szCs w:val="24"/>
          <w:lang w:val="en-GB"/>
        </w:rPr>
      </w:pPr>
    </w:p>
    <w:sectPr w:rsidR="005D14E4" w:rsidRPr="000F06AA" w:rsidSect="00116098">
      <w:headerReference w:type="default" r:id="rId11"/>
      <w:footerReference w:type="default" r:id="rId12"/>
      <w:footerReference w:type="first" r:id="rId13"/>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B9FCA" w14:textId="77777777" w:rsidR="00E049CA" w:rsidRDefault="00E049CA" w:rsidP="00A87963">
      <w:pPr>
        <w:spacing w:after="0" w:line="240" w:lineRule="auto"/>
      </w:pPr>
      <w:r>
        <w:separator/>
      </w:r>
    </w:p>
  </w:endnote>
  <w:endnote w:type="continuationSeparator" w:id="0">
    <w:p w14:paraId="1C0846BC" w14:textId="77777777" w:rsidR="00E049CA" w:rsidRDefault="00E049CA" w:rsidP="00A87963">
      <w:pPr>
        <w:spacing w:after="0" w:line="240" w:lineRule="auto"/>
      </w:pPr>
      <w:r>
        <w:continuationSeparator/>
      </w:r>
    </w:p>
  </w:endnote>
  <w:endnote w:type="continuationNotice" w:id="1">
    <w:p w14:paraId="623C173F" w14:textId="77777777" w:rsidR="00E049CA" w:rsidRDefault="00E049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6D183312"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sidR="00443CFD" w:rsidRPr="00443CFD">
      <w:rPr>
        <w:noProof/>
        <w:color w:val="323E4F" w:themeColor="text2" w:themeShade="BF"/>
        <w:szCs w:val="24"/>
        <w:lang w:val="en-GB"/>
      </w:rPr>
      <w:t>7</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sidR="00443CFD" w:rsidRPr="00443CFD">
      <w:rPr>
        <w:noProof/>
        <w:color w:val="323E4F" w:themeColor="text2" w:themeShade="BF"/>
        <w:szCs w:val="24"/>
        <w:lang w:val="en-GB"/>
      </w:rPr>
      <w:t>8</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1FDD3" w14:textId="77777777" w:rsidR="00E049CA" w:rsidRDefault="00E049CA" w:rsidP="00A87963">
      <w:pPr>
        <w:spacing w:after="0" w:line="240" w:lineRule="auto"/>
      </w:pPr>
      <w:r>
        <w:separator/>
      </w:r>
    </w:p>
  </w:footnote>
  <w:footnote w:type="continuationSeparator" w:id="0">
    <w:p w14:paraId="22EEC7EE" w14:textId="77777777" w:rsidR="00E049CA" w:rsidRDefault="00E049CA" w:rsidP="00A87963">
      <w:pPr>
        <w:spacing w:after="0" w:line="240" w:lineRule="auto"/>
      </w:pPr>
      <w:r>
        <w:continuationSeparator/>
      </w:r>
    </w:p>
  </w:footnote>
  <w:footnote w:type="continuationNotice" w:id="1">
    <w:p w14:paraId="59602C13" w14:textId="77777777" w:rsidR="00E049CA" w:rsidRDefault="00E049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lang w:val="en-GB" w:eastAsia="en-GB"/>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3"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4"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5"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A6F760D"/>
    <w:multiLevelType w:val="hybridMultilevel"/>
    <w:tmpl w:val="D9C29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4"/>
  </w:num>
  <w:num w:numId="3">
    <w:abstractNumId w:val="2"/>
  </w:num>
  <w:num w:numId="4">
    <w:abstractNumId w:val="0"/>
  </w:num>
  <w:num w:numId="5">
    <w:abstractNumId w:val="9"/>
  </w:num>
  <w:num w:numId="6">
    <w:abstractNumId w:val="1"/>
  </w:num>
  <w:num w:numId="7">
    <w:abstractNumId w:val="5"/>
  </w:num>
  <w:num w:numId="8">
    <w:abstractNumId w:val="7"/>
  </w:num>
  <w:num w:numId="9">
    <w:abstractNumId w:val="8"/>
  </w:num>
  <w:num w:numId="10">
    <w:abstractNumId w:val="6"/>
  </w:num>
  <w:num w:numId="11">
    <w:abstractNumId w:val="14"/>
  </w:num>
  <w:num w:numId="12">
    <w:abstractNumId w:val="11"/>
  </w:num>
  <w:num w:numId="13">
    <w:abstractNumId w:val="3"/>
  </w:num>
  <w:num w:numId="14">
    <w:abstractNumId w:val="10"/>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736C"/>
    <w:rsid w:val="00020870"/>
    <w:rsid w:val="000219F2"/>
    <w:rsid w:val="0002655F"/>
    <w:rsid w:val="00031499"/>
    <w:rsid w:val="00032FC4"/>
    <w:rsid w:val="000340BD"/>
    <w:rsid w:val="00044C6A"/>
    <w:rsid w:val="000500C2"/>
    <w:rsid w:val="0005506F"/>
    <w:rsid w:val="00070E3D"/>
    <w:rsid w:val="000825B9"/>
    <w:rsid w:val="000B160A"/>
    <w:rsid w:val="000B61FC"/>
    <w:rsid w:val="000C4E8F"/>
    <w:rsid w:val="000D034A"/>
    <w:rsid w:val="000D4BF0"/>
    <w:rsid w:val="000D5318"/>
    <w:rsid w:val="000F06AA"/>
    <w:rsid w:val="000F5E54"/>
    <w:rsid w:val="000F6D2F"/>
    <w:rsid w:val="00104CC3"/>
    <w:rsid w:val="0010600C"/>
    <w:rsid w:val="00107D16"/>
    <w:rsid w:val="00107F4D"/>
    <w:rsid w:val="00116098"/>
    <w:rsid w:val="00132827"/>
    <w:rsid w:val="0014308E"/>
    <w:rsid w:val="001438BB"/>
    <w:rsid w:val="00153707"/>
    <w:rsid w:val="001559D7"/>
    <w:rsid w:val="0015750F"/>
    <w:rsid w:val="001609A0"/>
    <w:rsid w:val="001675C2"/>
    <w:rsid w:val="00180D03"/>
    <w:rsid w:val="00185694"/>
    <w:rsid w:val="001941A2"/>
    <w:rsid w:val="001963F3"/>
    <w:rsid w:val="001B27A2"/>
    <w:rsid w:val="001B4502"/>
    <w:rsid w:val="001B4DE0"/>
    <w:rsid w:val="001C2408"/>
    <w:rsid w:val="001C7879"/>
    <w:rsid w:val="001D07B9"/>
    <w:rsid w:val="001D5659"/>
    <w:rsid w:val="001E1473"/>
    <w:rsid w:val="001F1483"/>
    <w:rsid w:val="001F4B66"/>
    <w:rsid w:val="001F7093"/>
    <w:rsid w:val="001F7BCA"/>
    <w:rsid w:val="00201C0A"/>
    <w:rsid w:val="00231DF2"/>
    <w:rsid w:val="002421C9"/>
    <w:rsid w:val="00243106"/>
    <w:rsid w:val="002708FC"/>
    <w:rsid w:val="002B3ACB"/>
    <w:rsid w:val="002D61FB"/>
    <w:rsid w:val="002F1A98"/>
    <w:rsid w:val="00316C62"/>
    <w:rsid w:val="00317574"/>
    <w:rsid w:val="0034551D"/>
    <w:rsid w:val="00350D61"/>
    <w:rsid w:val="0035332F"/>
    <w:rsid w:val="0036727C"/>
    <w:rsid w:val="00367809"/>
    <w:rsid w:val="003747C6"/>
    <w:rsid w:val="00392740"/>
    <w:rsid w:val="00392FEF"/>
    <w:rsid w:val="003B5C28"/>
    <w:rsid w:val="003C58EC"/>
    <w:rsid w:val="003C5970"/>
    <w:rsid w:val="003C6E04"/>
    <w:rsid w:val="003D2DC2"/>
    <w:rsid w:val="003E1A4F"/>
    <w:rsid w:val="003F01B0"/>
    <w:rsid w:val="003F0645"/>
    <w:rsid w:val="003F5F96"/>
    <w:rsid w:val="003F65D5"/>
    <w:rsid w:val="0040091A"/>
    <w:rsid w:val="0040205F"/>
    <w:rsid w:val="00403986"/>
    <w:rsid w:val="004111AB"/>
    <w:rsid w:val="004342AC"/>
    <w:rsid w:val="00443CFD"/>
    <w:rsid w:val="00452DD7"/>
    <w:rsid w:val="004535BE"/>
    <w:rsid w:val="00460DC8"/>
    <w:rsid w:val="00463B62"/>
    <w:rsid w:val="00466872"/>
    <w:rsid w:val="004729B7"/>
    <w:rsid w:val="0048115B"/>
    <w:rsid w:val="00487534"/>
    <w:rsid w:val="00491412"/>
    <w:rsid w:val="0049723B"/>
    <w:rsid w:val="004A0AA7"/>
    <w:rsid w:val="004A399E"/>
    <w:rsid w:val="004A43C9"/>
    <w:rsid w:val="004B5865"/>
    <w:rsid w:val="004C0F23"/>
    <w:rsid w:val="004C699A"/>
    <w:rsid w:val="004C7795"/>
    <w:rsid w:val="004D544F"/>
    <w:rsid w:val="004E4285"/>
    <w:rsid w:val="004F462A"/>
    <w:rsid w:val="0050790A"/>
    <w:rsid w:val="0052084A"/>
    <w:rsid w:val="00533FCF"/>
    <w:rsid w:val="00542089"/>
    <w:rsid w:val="00555C63"/>
    <w:rsid w:val="0055617A"/>
    <w:rsid w:val="00556619"/>
    <w:rsid w:val="0055668B"/>
    <w:rsid w:val="005615A6"/>
    <w:rsid w:val="00582705"/>
    <w:rsid w:val="00585DE3"/>
    <w:rsid w:val="00594554"/>
    <w:rsid w:val="00596F29"/>
    <w:rsid w:val="005A4F8A"/>
    <w:rsid w:val="005B5FF2"/>
    <w:rsid w:val="005B64B9"/>
    <w:rsid w:val="005C1294"/>
    <w:rsid w:val="005C1D7A"/>
    <w:rsid w:val="005C27C2"/>
    <w:rsid w:val="005C27CC"/>
    <w:rsid w:val="005C604F"/>
    <w:rsid w:val="005D14E4"/>
    <w:rsid w:val="005E00CA"/>
    <w:rsid w:val="005E34F8"/>
    <w:rsid w:val="005E5855"/>
    <w:rsid w:val="005F271D"/>
    <w:rsid w:val="00601124"/>
    <w:rsid w:val="00601E4F"/>
    <w:rsid w:val="00613081"/>
    <w:rsid w:val="00616E0F"/>
    <w:rsid w:val="00631E1D"/>
    <w:rsid w:val="00634601"/>
    <w:rsid w:val="00640F64"/>
    <w:rsid w:val="0065468E"/>
    <w:rsid w:val="0065581F"/>
    <w:rsid w:val="00655BBB"/>
    <w:rsid w:val="00655F09"/>
    <w:rsid w:val="006668C2"/>
    <w:rsid w:val="00667169"/>
    <w:rsid w:val="0067312B"/>
    <w:rsid w:val="006778F3"/>
    <w:rsid w:val="00677EE8"/>
    <w:rsid w:val="0068211E"/>
    <w:rsid w:val="00685CC4"/>
    <w:rsid w:val="0069104D"/>
    <w:rsid w:val="00691F2F"/>
    <w:rsid w:val="0069704C"/>
    <w:rsid w:val="006A2457"/>
    <w:rsid w:val="006C07B5"/>
    <w:rsid w:val="006D7105"/>
    <w:rsid w:val="006E6208"/>
    <w:rsid w:val="00700763"/>
    <w:rsid w:val="00710FC6"/>
    <w:rsid w:val="00716C8E"/>
    <w:rsid w:val="00723011"/>
    <w:rsid w:val="00724A9B"/>
    <w:rsid w:val="00746CB3"/>
    <w:rsid w:val="007500F9"/>
    <w:rsid w:val="00770EFD"/>
    <w:rsid w:val="007821AE"/>
    <w:rsid w:val="0078402D"/>
    <w:rsid w:val="00785C79"/>
    <w:rsid w:val="00793502"/>
    <w:rsid w:val="007B44F4"/>
    <w:rsid w:val="007C0146"/>
    <w:rsid w:val="007C4170"/>
    <w:rsid w:val="007D7A41"/>
    <w:rsid w:val="007E1C9F"/>
    <w:rsid w:val="007E1DA6"/>
    <w:rsid w:val="007F6A4A"/>
    <w:rsid w:val="00800FF0"/>
    <w:rsid w:val="00810278"/>
    <w:rsid w:val="00814E59"/>
    <w:rsid w:val="0082523B"/>
    <w:rsid w:val="008316E3"/>
    <w:rsid w:val="00831F77"/>
    <w:rsid w:val="00833325"/>
    <w:rsid w:val="008548E2"/>
    <w:rsid w:val="00855D0F"/>
    <w:rsid w:val="0086401D"/>
    <w:rsid w:val="008641D0"/>
    <w:rsid w:val="00870232"/>
    <w:rsid w:val="00871F3C"/>
    <w:rsid w:val="0087338F"/>
    <w:rsid w:val="00876458"/>
    <w:rsid w:val="00885E60"/>
    <w:rsid w:val="008A1D70"/>
    <w:rsid w:val="008A6B62"/>
    <w:rsid w:val="008B1B91"/>
    <w:rsid w:val="008B1BEC"/>
    <w:rsid w:val="008B3FB5"/>
    <w:rsid w:val="008F0010"/>
    <w:rsid w:val="008F08C5"/>
    <w:rsid w:val="008F674A"/>
    <w:rsid w:val="00901C15"/>
    <w:rsid w:val="009104B8"/>
    <w:rsid w:val="009140DF"/>
    <w:rsid w:val="009223BE"/>
    <w:rsid w:val="00925965"/>
    <w:rsid w:val="00933E9D"/>
    <w:rsid w:val="009524E6"/>
    <w:rsid w:val="00953071"/>
    <w:rsid w:val="0095636B"/>
    <w:rsid w:val="0097087D"/>
    <w:rsid w:val="009735CA"/>
    <w:rsid w:val="00973683"/>
    <w:rsid w:val="00973865"/>
    <w:rsid w:val="00974DA5"/>
    <w:rsid w:val="0097779A"/>
    <w:rsid w:val="00983AC8"/>
    <w:rsid w:val="00997490"/>
    <w:rsid w:val="009A7CE6"/>
    <w:rsid w:val="009C22F5"/>
    <w:rsid w:val="009C5781"/>
    <w:rsid w:val="009D028E"/>
    <w:rsid w:val="009D7246"/>
    <w:rsid w:val="009D737E"/>
    <w:rsid w:val="009E3198"/>
    <w:rsid w:val="009F0475"/>
    <w:rsid w:val="009F2719"/>
    <w:rsid w:val="009F3209"/>
    <w:rsid w:val="00A01924"/>
    <w:rsid w:val="00A06628"/>
    <w:rsid w:val="00A25970"/>
    <w:rsid w:val="00A26F59"/>
    <w:rsid w:val="00A30FAD"/>
    <w:rsid w:val="00A4045A"/>
    <w:rsid w:val="00A453FA"/>
    <w:rsid w:val="00A60769"/>
    <w:rsid w:val="00A65C90"/>
    <w:rsid w:val="00A75073"/>
    <w:rsid w:val="00A87963"/>
    <w:rsid w:val="00A93441"/>
    <w:rsid w:val="00AB63D9"/>
    <w:rsid w:val="00AB7979"/>
    <w:rsid w:val="00AC23CF"/>
    <w:rsid w:val="00AD2F7B"/>
    <w:rsid w:val="00AD5CCB"/>
    <w:rsid w:val="00AE01FF"/>
    <w:rsid w:val="00AE1303"/>
    <w:rsid w:val="00AE3594"/>
    <w:rsid w:val="00AE63AA"/>
    <w:rsid w:val="00AF40B5"/>
    <w:rsid w:val="00B00B65"/>
    <w:rsid w:val="00B02E54"/>
    <w:rsid w:val="00B03068"/>
    <w:rsid w:val="00B14EE3"/>
    <w:rsid w:val="00B163C1"/>
    <w:rsid w:val="00B31CB4"/>
    <w:rsid w:val="00B472F3"/>
    <w:rsid w:val="00B54685"/>
    <w:rsid w:val="00B65F4E"/>
    <w:rsid w:val="00B70DD8"/>
    <w:rsid w:val="00B760AA"/>
    <w:rsid w:val="00B82FAB"/>
    <w:rsid w:val="00B8629E"/>
    <w:rsid w:val="00B9003A"/>
    <w:rsid w:val="00B94685"/>
    <w:rsid w:val="00BB5124"/>
    <w:rsid w:val="00BB536C"/>
    <w:rsid w:val="00BD1751"/>
    <w:rsid w:val="00BD7A9F"/>
    <w:rsid w:val="00BE2359"/>
    <w:rsid w:val="00BF1CC5"/>
    <w:rsid w:val="00BF23F0"/>
    <w:rsid w:val="00C05E71"/>
    <w:rsid w:val="00C07487"/>
    <w:rsid w:val="00C152AA"/>
    <w:rsid w:val="00C31E85"/>
    <w:rsid w:val="00C40626"/>
    <w:rsid w:val="00C433B6"/>
    <w:rsid w:val="00C542AC"/>
    <w:rsid w:val="00C6117F"/>
    <w:rsid w:val="00C752BB"/>
    <w:rsid w:val="00C8000A"/>
    <w:rsid w:val="00C8196E"/>
    <w:rsid w:val="00C83FA0"/>
    <w:rsid w:val="00C86520"/>
    <w:rsid w:val="00C918DA"/>
    <w:rsid w:val="00C974E9"/>
    <w:rsid w:val="00CA1246"/>
    <w:rsid w:val="00CB359B"/>
    <w:rsid w:val="00CB40B2"/>
    <w:rsid w:val="00CB77F4"/>
    <w:rsid w:val="00CC43B1"/>
    <w:rsid w:val="00CC57CE"/>
    <w:rsid w:val="00CD3A72"/>
    <w:rsid w:val="00CD7520"/>
    <w:rsid w:val="00CE0804"/>
    <w:rsid w:val="00CF1F68"/>
    <w:rsid w:val="00CF25C0"/>
    <w:rsid w:val="00CF31F6"/>
    <w:rsid w:val="00D1600B"/>
    <w:rsid w:val="00D160B6"/>
    <w:rsid w:val="00D1685F"/>
    <w:rsid w:val="00D32B26"/>
    <w:rsid w:val="00D35960"/>
    <w:rsid w:val="00D445D9"/>
    <w:rsid w:val="00D5235F"/>
    <w:rsid w:val="00D53E66"/>
    <w:rsid w:val="00D63F71"/>
    <w:rsid w:val="00D721E1"/>
    <w:rsid w:val="00D73666"/>
    <w:rsid w:val="00D90D7D"/>
    <w:rsid w:val="00D93E22"/>
    <w:rsid w:val="00D948AE"/>
    <w:rsid w:val="00D96DA2"/>
    <w:rsid w:val="00D971B3"/>
    <w:rsid w:val="00DA0A9B"/>
    <w:rsid w:val="00DA5DC7"/>
    <w:rsid w:val="00DA604E"/>
    <w:rsid w:val="00DC05F5"/>
    <w:rsid w:val="00DC45C2"/>
    <w:rsid w:val="00DD03EF"/>
    <w:rsid w:val="00DD1C25"/>
    <w:rsid w:val="00DD7325"/>
    <w:rsid w:val="00DD7C44"/>
    <w:rsid w:val="00DE3293"/>
    <w:rsid w:val="00DF197C"/>
    <w:rsid w:val="00DF25C3"/>
    <w:rsid w:val="00DF607F"/>
    <w:rsid w:val="00E049CA"/>
    <w:rsid w:val="00E168E4"/>
    <w:rsid w:val="00E22B0C"/>
    <w:rsid w:val="00E2719F"/>
    <w:rsid w:val="00E3267C"/>
    <w:rsid w:val="00E50C0D"/>
    <w:rsid w:val="00E50CA9"/>
    <w:rsid w:val="00E520CA"/>
    <w:rsid w:val="00E521EF"/>
    <w:rsid w:val="00E60944"/>
    <w:rsid w:val="00E651B5"/>
    <w:rsid w:val="00E679E1"/>
    <w:rsid w:val="00E710C1"/>
    <w:rsid w:val="00E81B7A"/>
    <w:rsid w:val="00E82652"/>
    <w:rsid w:val="00E82E2F"/>
    <w:rsid w:val="00EA1F70"/>
    <w:rsid w:val="00EA5E18"/>
    <w:rsid w:val="00EB6BD9"/>
    <w:rsid w:val="00EC24F9"/>
    <w:rsid w:val="00ED76EC"/>
    <w:rsid w:val="00ED7F23"/>
    <w:rsid w:val="00EE31F4"/>
    <w:rsid w:val="00EE3895"/>
    <w:rsid w:val="00EE4198"/>
    <w:rsid w:val="00EE6A55"/>
    <w:rsid w:val="00EF254A"/>
    <w:rsid w:val="00F04F2D"/>
    <w:rsid w:val="00F13B33"/>
    <w:rsid w:val="00F1521F"/>
    <w:rsid w:val="00F2078F"/>
    <w:rsid w:val="00F26DAE"/>
    <w:rsid w:val="00F33CE1"/>
    <w:rsid w:val="00F3532D"/>
    <w:rsid w:val="00F41D13"/>
    <w:rsid w:val="00F42962"/>
    <w:rsid w:val="00F44656"/>
    <w:rsid w:val="00F4586D"/>
    <w:rsid w:val="00F633B9"/>
    <w:rsid w:val="00F73317"/>
    <w:rsid w:val="00F94451"/>
    <w:rsid w:val="00FA2DE5"/>
    <w:rsid w:val="00FB1FA0"/>
    <w:rsid w:val="00FB6AEC"/>
    <w:rsid w:val="00FB6E74"/>
    <w:rsid w:val="00FC0AB4"/>
    <w:rsid w:val="00FC6442"/>
    <w:rsid w:val="00FDBB01"/>
    <w:rsid w:val="00FE1D96"/>
    <w:rsid w:val="00FF0F42"/>
    <w:rsid w:val="00FF1020"/>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customStyle="1" w:styleId="UnresolvedMention1">
    <w:name w:val="Unresolved Mention1"/>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 w:type="table" w:styleId="TableGridLight">
    <w:name w:val="Grid Table Light"/>
    <w:basedOn w:val="TableNormal"/>
    <w:uiPriority w:val="40"/>
    <w:rsid w:val="003B5C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B5C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3B5C2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CommentReference">
    <w:name w:val="annotation reference"/>
    <w:basedOn w:val="DefaultParagraphFont"/>
    <w:uiPriority w:val="99"/>
    <w:semiHidden/>
    <w:unhideWhenUsed/>
    <w:rsid w:val="001941A2"/>
    <w:rPr>
      <w:sz w:val="16"/>
      <w:szCs w:val="16"/>
    </w:rPr>
  </w:style>
  <w:style w:type="paragraph" w:styleId="CommentText">
    <w:name w:val="annotation text"/>
    <w:basedOn w:val="Normal"/>
    <w:link w:val="CommentTextChar"/>
    <w:uiPriority w:val="99"/>
    <w:semiHidden/>
    <w:unhideWhenUsed/>
    <w:rsid w:val="001941A2"/>
    <w:pPr>
      <w:spacing w:line="240" w:lineRule="auto"/>
    </w:pPr>
    <w:rPr>
      <w:sz w:val="20"/>
      <w:szCs w:val="20"/>
    </w:rPr>
  </w:style>
  <w:style w:type="character" w:customStyle="1" w:styleId="CommentTextChar">
    <w:name w:val="Comment Text Char"/>
    <w:basedOn w:val="DefaultParagraphFont"/>
    <w:link w:val="CommentText"/>
    <w:uiPriority w:val="99"/>
    <w:semiHidden/>
    <w:rsid w:val="001941A2"/>
    <w:rPr>
      <w:sz w:val="20"/>
      <w:szCs w:val="20"/>
    </w:rPr>
  </w:style>
  <w:style w:type="paragraph" w:styleId="CommentSubject">
    <w:name w:val="annotation subject"/>
    <w:basedOn w:val="CommentText"/>
    <w:next w:val="CommentText"/>
    <w:link w:val="CommentSubjectChar"/>
    <w:uiPriority w:val="99"/>
    <w:semiHidden/>
    <w:unhideWhenUsed/>
    <w:rsid w:val="001941A2"/>
    <w:rPr>
      <w:b/>
      <w:bCs/>
    </w:rPr>
  </w:style>
  <w:style w:type="character" w:customStyle="1" w:styleId="CommentSubjectChar">
    <w:name w:val="Comment Subject Char"/>
    <w:basedOn w:val="CommentTextChar"/>
    <w:link w:val="CommentSubject"/>
    <w:uiPriority w:val="99"/>
    <w:semiHidden/>
    <w:rsid w:val="001941A2"/>
    <w:rPr>
      <w:b/>
      <w:bCs/>
      <w:sz w:val="20"/>
      <w:szCs w:val="20"/>
    </w:rPr>
  </w:style>
  <w:style w:type="paragraph" w:styleId="BalloonText">
    <w:name w:val="Balloon Text"/>
    <w:basedOn w:val="Normal"/>
    <w:link w:val="BalloonTextChar"/>
    <w:uiPriority w:val="99"/>
    <w:semiHidden/>
    <w:unhideWhenUsed/>
    <w:rsid w:val="00194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41A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0014">
      <w:bodyDiv w:val="1"/>
      <w:marLeft w:val="0"/>
      <w:marRight w:val="0"/>
      <w:marTop w:val="0"/>
      <w:marBottom w:val="0"/>
      <w:divBdr>
        <w:top w:val="none" w:sz="0" w:space="0" w:color="auto"/>
        <w:left w:val="none" w:sz="0" w:space="0" w:color="auto"/>
        <w:bottom w:val="none" w:sz="0" w:space="0" w:color="auto"/>
        <w:right w:val="none" w:sz="0" w:space="0" w:color="auto"/>
      </w:divBdr>
    </w:div>
    <w:div w:id="20127215">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120197219">
      <w:bodyDiv w:val="1"/>
      <w:marLeft w:val="0"/>
      <w:marRight w:val="0"/>
      <w:marTop w:val="0"/>
      <w:marBottom w:val="0"/>
      <w:divBdr>
        <w:top w:val="none" w:sz="0" w:space="0" w:color="auto"/>
        <w:left w:val="none" w:sz="0" w:space="0" w:color="auto"/>
        <w:bottom w:val="none" w:sz="0" w:space="0" w:color="auto"/>
        <w:right w:val="none" w:sz="0" w:space="0" w:color="auto"/>
      </w:divBdr>
      <w:divsChild>
        <w:div w:id="821430016">
          <w:marLeft w:val="547"/>
          <w:marRight w:val="0"/>
          <w:marTop w:val="58"/>
          <w:marBottom w:val="0"/>
          <w:divBdr>
            <w:top w:val="none" w:sz="0" w:space="0" w:color="auto"/>
            <w:left w:val="none" w:sz="0" w:space="0" w:color="auto"/>
            <w:bottom w:val="none" w:sz="0" w:space="0" w:color="auto"/>
            <w:right w:val="none" w:sz="0" w:space="0" w:color="auto"/>
          </w:divBdr>
        </w:div>
      </w:divsChild>
    </w:div>
    <w:div w:id="142310607">
      <w:bodyDiv w:val="1"/>
      <w:marLeft w:val="0"/>
      <w:marRight w:val="0"/>
      <w:marTop w:val="0"/>
      <w:marBottom w:val="0"/>
      <w:divBdr>
        <w:top w:val="none" w:sz="0" w:space="0" w:color="auto"/>
        <w:left w:val="none" w:sz="0" w:space="0" w:color="auto"/>
        <w:bottom w:val="none" w:sz="0" w:space="0" w:color="auto"/>
        <w:right w:val="none" w:sz="0" w:space="0" w:color="auto"/>
      </w:divBdr>
    </w:div>
    <w:div w:id="178399933">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457843644">
      <w:bodyDiv w:val="1"/>
      <w:marLeft w:val="0"/>
      <w:marRight w:val="0"/>
      <w:marTop w:val="0"/>
      <w:marBottom w:val="0"/>
      <w:divBdr>
        <w:top w:val="none" w:sz="0" w:space="0" w:color="auto"/>
        <w:left w:val="none" w:sz="0" w:space="0" w:color="auto"/>
        <w:bottom w:val="none" w:sz="0" w:space="0" w:color="auto"/>
        <w:right w:val="none" w:sz="0" w:space="0" w:color="auto"/>
      </w:divBdr>
    </w:div>
    <w:div w:id="543368494">
      <w:bodyDiv w:val="1"/>
      <w:marLeft w:val="0"/>
      <w:marRight w:val="0"/>
      <w:marTop w:val="0"/>
      <w:marBottom w:val="0"/>
      <w:divBdr>
        <w:top w:val="none" w:sz="0" w:space="0" w:color="auto"/>
        <w:left w:val="none" w:sz="0" w:space="0" w:color="auto"/>
        <w:bottom w:val="none" w:sz="0" w:space="0" w:color="auto"/>
        <w:right w:val="none" w:sz="0" w:space="0" w:color="auto"/>
      </w:divBdr>
    </w:div>
    <w:div w:id="623925273">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638923792">
      <w:bodyDiv w:val="1"/>
      <w:marLeft w:val="0"/>
      <w:marRight w:val="0"/>
      <w:marTop w:val="0"/>
      <w:marBottom w:val="0"/>
      <w:divBdr>
        <w:top w:val="none" w:sz="0" w:space="0" w:color="auto"/>
        <w:left w:val="none" w:sz="0" w:space="0" w:color="auto"/>
        <w:bottom w:val="none" w:sz="0" w:space="0" w:color="auto"/>
        <w:right w:val="none" w:sz="0" w:space="0" w:color="auto"/>
      </w:divBdr>
    </w:div>
    <w:div w:id="902570476">
      <w:bodyDiv w:val="1"/>
      <w:marLeft w:val="0"/>
      <w:marRight w:val="0"/>
      <w:marTop w:val="0"/>
      <w:marBottom w:val="0"/>
      <w:divBdr>
        <w:top w:val="none" w:sz="0" w:space="0" w:color="auto"/>
        <w:left w:val="none" w:sz="0" w:space="0" w:color="auto"/>
        <w:bottom w:val="none" w:sz="0" w:space="0" w:color="auto"/>
        <w:right w:val="none" w:sz="0" w:space="0" w:color="auto"/>
      </w:divBdr>
    </w:div>
    <w:div w:id="965424747">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3088299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33789535">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15192872">
      <w:bodyDiv w:val="1"/>
      <w:marLeft w:val="0"/>
      <w:marRight w:val="0"/>
      <w:marTop w:val="0"/>
      <w:marBottom w:val="0"/>
      <w:divBdr>
        <w:top w:val="none" w:sz="0" w:space="0" w:color="auto"/>
        <w:left w:val="none" w:sz="0" w:space="0" w:color="auto"/>
        <w:bottom w:val="none" w:sz="0" w:space="0" w:color="auto"/>
        <w:right w:val="none" w:sz="0" w:space="0" w:color="auto"/>
      </w:divBdr>
    </w:div>
    <w:div w:id="1236666498">
      <w:bodyDiv w:val="1"/>
      <w:marLeft w:val="0"/>
      <w:marRight w:val="0"/>
      <w:marTop w:val="0"/>
      <w:marBottom w:val="0"/>
      <w:divBdr>
        <w:top w:val="none" w:sz="0" w:space="0" w:color="auto"/>
        <w:left w:val="none" w:sz="0" w:space="0" w:color="auto"/>
        <w:bottom w:val="none" w:sz="0" w:space="0" w:color="auto"/>
        <w:right w:val="none" w:sz="0" w:space="0" w:color="auto"/>
      </w:divBdr>
    </w:div>
    <w:div w:id="1244491303">
      <w:bodyDiv w:val="1"/>
      <w:marLeft w:val="0"/>
      <w:marRight w:val="0"/>
      <w:marTop w:val="0"/>
      <w:marBottom w:val="0"/>
      <w:divBdr>
        <w:top w:val="none" w:sz="0" w:space="0" w:color="auto"/>
        <w:left w:val="none" w:sz="0" w:space="0" w:color="auto"/>
        <w:bottom w:val="none" w:sz="0" w:space="0" w:color="auto"/>
        <w:right w:val="none" w:sz="0" w:space="0" w:color="auto"/>
      </w:divBdr>
    </w:div>
    <w:div w:id="1283881925">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549951215">
      <w:bodyDiv w:val="1"/>
      <w:marLeft w:val="0"/>
      <w:marRight w:val="0"/>
      <w:marTop w:val="0"/>
      <w:marBottom w:val="0"/>
      <w:divBdr>
        <w:top w:val="none" w:sz="0" w:space="0" w:color="auto"/>
        <w:left w:val="none" w:sz="0" w:space="0" w:color="auto"/>
        <w:bottom w:val="none" w:sz="0" w:space="0" w:color="auto"/>
        <w:right w:val="none" w:sz="0" w:space="0" w:color="auto"/>
      </w:divBdr>
    </w:div>
    <w:div w:id="1559782017">
      <w:bodyDiv w:val="1"/>
      <w:marLeft w:val="0"/>
      <w:marRight w:val="0"/>
      <w:marTop w:val="0"/>
      <w:marBottom w:val="0"/>
      <w:divBdr>
        <w:top w:val="none" w:sz="0" w:space="0" w:color="auto"/>
        <w:left w:val="none" w:sz="0" w:space="0" w:color="auto"/>
        <w:bottom w:val="none" w:sz="0" w:space="0" w:color="auto"/>
        <w:right w:val="none" w:sz="0" w:space="0" w:color="auto"/>
      </w:divBdr>
    </w:div>
    <w:div w:id="1577401367">
      <w:bodyDiv w:val="1"/>
      <w:marLeft w:val="0"/>
      <w:marRight w:val="0"/>
      <w:marTop w:val="0"/>
      <w:marBottom w:val="0"/>
      <w:divBdr>
        <w:top w:val="none" w:sz="0" w:space="0" w:color="auto"/>
        <w:left w:val="none" w:sz="0" w:space="0" w:color="auto"/>
        <w:bottom w:val="none" w:sz="0" w:space="0" w:color="auto"/>
        <w:right w:val="none" w:sz="0" w:space="0" w:color="auto"/>
      </w:divBdr>
    </w:div>
    <w:div w:id="1579556814">
      <w:bodyDiv w:val="1"/>
      <w:marLeft w:val="0"/>
      <w:marRight w:val="0"/>
      <w:marTop w:val="0"/>
      <w:marBottom w:val="0"/>
      <w:divBdr>
        <w:top w:val="none" w:sz="0" w:space="0" w:color="auto"/>
        <w:left w:val="none" w:sz="0" w:space="0" w:color="auto"/>
        <w:bottom w:val="none" w:sz="0" w:space="0" w:color="auto"/>
        <w:right w:val="none" w:sz="0" w:space="0" w:color="auto"/>
      </w:divBdr>
    </w:div>
    <w:div w:id="1612396573">
      <w:bodyDiv w:val="1"/>
      <w:marLeft w:val="0"/>
      <w:marRight w:val="0"/>
      <w:marTop w:val="0"/>
      <w:marBottom w:val="0"/>
      <w:divBdr>
        <w:top w:val="none" w:sz="0" w:space="0" w:color="auto"/>
        <w:left w:val="none" w:sz="0" w:space="0" w:color="auto"/>
        <w:bottom w:val="none" w:sz="0" w:space="0" w:color="auto"/>
        <w:right w:val="none" w:sz="0" w:space="0" w:color="auto"/>
      </w:divBdr>
    </w:div>
    <w:div w:id="1649432195">
      <w:bodyDiv w:val="1"/>
      <w:marLeft w:val="0"/>
      <w:marRight w:val="0"/>
      <w:marTop w:val="0"/>
      <w:marBottom w:val="0"/>
      <w:divBdr>
        <w:top w:val="none" w:sz="0" w:space="0" w:color="auto"/>
        <w:left w:val="none" w:sz="0" w:space="0" w:color="auto"/>
        <w:bottom w:val="none" w:sz="0" w:space="0" w:color="auto"/>
        <w:right w:val="none" w:sz="0" w:space="0" w:color="auto"/>
      </w:divBdr>
    </w:div>
    <w:div w:id="1660964305">
      <w:bodyDiv w:val="1"/>
      <w:marLeft w:val="0"/>
      <w:marRight w:val="0"/>
      <w:marTop w:val="0"/>
      <w:marBottom w:val="0"/>
      <w:divBdr>
        <w:top w:val="none" w:sz="0" w:space="0" w:color="auto"/>
        <w:left w:val="none" w:sz="0" w:space="0" w:color="auto"/>
        <w:bottom w:val="none" w:sz="0" w:space="0" w:color="auto"/>
        <w:right w:val="none" w:sz="0" w:space="0" w:color="auto"/>
      </w:divBdr>
    </w:div>
    <w:div w:id="166586164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28069722">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76694623">
      <w:bodyDiv w:val="1"/>
      <w:marLeft w:val="0"/>
      <w:marRight w:val="0"/>
      <w:marTop w:val="0"/>
      <w:marBottom w:val="0"/>
      <w:divBdr>
        <w:top w:val="none" w:sz="0" w:space="0" w:color="auto"/>
        <w:left w:val="none" w:sz="0" w:space="0" w:color="auto"/>
        <w:bottom w:val="none" w:sz="0" w:space="0" w:color="auto"/>
        <w:right w:val="none" w:sz="0" w:space="0" w:color="auto"/>
      </w:divBdr>
    </w:div>
    <w:div w:id="1892615497">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25470228">
      <w:bodyDiv w:val="1"/>
      <w:marLeft w:val="0"/>
      <w:marRight w:val="0"/>
      <w:marTop w:val="0"/>
      <w:marBottom w:val="0"/>
      <w:divBdr>
        <w:top w:val="none" w:sz="0" w:space="0" w:color="auto"/>
        <w:left w:val="none" w:sz="0" w:space="0" w:color="auto"/>
        <w:bottom w:val="none" w:sz="0" w:space="0" w:color="auto"/>
        <w:right w:val="none" w:sz="0" w:space="0" w:color="auto"/>
      </w:divBdr>
    </w:div>
    <w:div w:id="2034064540">
      <w:bodyDiv w:val="1"/>
      <w:marLeft w:val="0"/>
      <w:marRight w:val="0"/>
      <w:marTop w:val="0"/>
      <w:marBottom w:val="0"/>
      <w:divBdr>
        <w:top w:val="none" w:sz="0" w:space="0" w:color="auto"/>
        <w:left w:val="none" w:sz="0" w:space="0" w:color="auto"/>
        <w:bottom w:val="none" w:sz="0" w:space="0" w:color="auto"/>
        <w:right w:val="none" w:sz="0" w:space="0" w:color="auto"/>
      </w:divBdr>
    </w:div>
    <w:div w:id="2103335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DDCA5A-D360-465C-9CB8-EEC04E968701}">
  <ds:schemaRefs>
    <ds:schemaRef ds:uri="http://schemas.openxmlformats.org/officeDocument/2006/bibliography"/>
  </ds:schemaRefs>
</ds:datastoreItem>
</file>

<file path=customXml/itemProps2.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5416EF0-2D06-49D1-9623-133C2FF763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Ralcheva</cp:lastModifiedBy>
  <cp:revision>7</cp:revision>
  <dcterms:created xsi:type="dcterms:W3CDTF">2024-03-29T16:53:00Z</dcterms:created>
  <dcterms:modified xsi:type="dcterms:W3CDTF">2024-03-29T17:09:00Z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