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02545610"/>
        <w:docPartObj>
          <w:docPartGallery w:val="Cover Pages"/>
          <w:docPartUnique/>
        </w:docPartObj>
      </w:sdtPr>
      <w:sdtEndPr>
        <w:rPr>
          <w:rFonts w:ascii="Arial Black" w:hAnsi="Arial Black" w:cs="Arial"/>
          <w:color w:val="4C94D8" w:themeColor="text2" w:themeTint="80"/>
        </w:rPr>
      </w:sdtEndPr>
      <w:sdtContent>
        <w:p w14:paraId="42EFD824" w14:textId="18F33DA1" w:rsidR="002B0C4F" w:rsidRDefault="002B0C4F">
          <w:r>
            <w:rPr>
              <w:noProof/>
            </w:rPr>
            <mc:AlternateContent>
              <mc:Choice Requires="wps">
                <w:drawing>
                  <wp:anchor distT="0" distB="0" distL="114300" distR="114300" simplePos="0" relativeHeight="251659264" behindDoc="0" locked="0" layoutInCell="1" allowOverlap="1" wp14:anchorId="6CD05DEE" wp14:editId="10B073B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Black" w:hAnsi="Arial Black"/>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EC2F77D" w14:textId="77777777" w:rsidR="002B0C4F" w:rsidRDefault="002B0C4F">
                                    <w:pPr>
                                      <w:pStyle w:val="Title"/>
                                      <w:jc w:val="right"/>
                                      <w:rPr>
                                        <w:caps/>
                                        <w:color w:val="FFFFFF" w:themeColor="background1"/>
                                        <w:sz w:val="80"/>
                                        <w:szCs w:val="80"/>
                                      </w:rPr>
                                    </w:pPr>
                                    <w:r w:rsidRPr="002B0C4F">
                                      <w:rPr>
                                        <w:rFonts w:ascii="Arial Black" w:hAnsi="Arial Black"/>
                                        <w:caps/>
                                        <w:color w:val="FFFFFF" w:themeColor="background1"/>
                                        <w:sz w:val="80"/>
                                        <w:szCs w:val="80"/>
                                      </w:rPr>
                                      <w:t xml:space="preserve">Swansea Appraisal </w:t>
                                    </w:r>
                                  </w:p>
                                </w:sdtContent>
                              </w:sdt>
                              <w:p w14:paraId="089D40C8" w14:textId="77777777" w:rsidR="002B0C4F" w:rsidRDefault="002B0C4F">
                                <w:pPr>
                                  <w:spacing w:before="240"/>
                                  <w:ind w:left="720"/>
                                  <w:jc w:val="right"/>
                                  <w:rPr>
                                    <w:color w:val="FFFFFF" w:themeColor="background1"/>
                                  </w:rPr>
                                </w:pPr>
                              </w:p>
                              <w:p w14:paraId="13CAE3A1" w14:textId="64E3AF77" w:rsidR="002B0C4F" w:rsidRDefault="002B0C4F">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CD05DEE"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rFonts w:ascii="Arial Black" w:hAnsi="Arial Black"/>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EC2F77D" w14:textId="77777777" w:rsidR="002B0C4F" w:rsidRDefault="002B0C4F">
                              <w:pPr>
                                <w:pStyle w:val="Title"/>
                                <w:jc w:val="right"/>
                                <w:rPr>
                                  <w:caps/>
                                  <w:color w:val="FFFFFF" w:themeColor="background1"/>
                                  <w:sz w:val="80"/>
                                  <w:szCs w:val="80"/>
                                </w:rPr>
                              </w:pPr>
                              <w:r w:rsidRPr="002B0C4F">
                                <w:rPr>
                                  <w:rFonts w:ascii="Arial Black" w:hAnsi="Arial Black"/>
                                  <w:caps/>
                                  <w:color w:val="FFFFFF" w:themeColor="background1"/>
                                  <w:sz w:val="80"/>
                                  <w:szCs w:val="80"/>
                                </w:rPr>
                                <w:t xml:space="preserve">Swansea Appraisal </w:t>
                              </w:r>
                            </w:p>
                          </w:sdtContent>
                        </w:sdt>
                        <w:p w14:paraId="089D40C8" w14:textId="77777777" w:rsidR="002B0C4F" w:rsidRDefault="002B0C4F">
                          <w:pPr>
                            <w:spacing w:before="240"/>
                            <w:ind w:left="720"/>
                            <w:jc w:val="right"/>
                            <w:rPr>
                              <w:color w:val="FFFFFF" w:themeColor="background1"/>
                            </w:rPr>
                          </w:pPr>
                        </w:p>
                        <w:p w14:paraId="13CAE3A1" w14:textId="64E3AF77" w:rsidR="002B0C4F" w:rsidRDefault="002B0C4F">
                          <w:pPr>
                            <w:spacing w:before="240"/>
                            <w:ind w:left="1008"/>
                            <w:jc w:val="right"/>
                            <w:rPr>
                              <w:color w:val="FFFFFF" w:themeColor="background1"/>
                            </w:rPr>
                          </w:pPr>
                        </w:p>
                      </w:txbxContent>
                    </v:textbox>
                    <w10:wrap anchorx="page" anchory="page"/>
                  </v:rect>
                </w:pict>
              </mc:Fallback>
            </mc:AlternateContent>
          </w:r>
        </w:p>
        <w:p w14:paraId="0643A9A9" w14:textId="77777777" w:rsidR="002B0C4F" w:rsidRDefault="002B0C4F"/>
        <w:p w14:paraId="257EECCE" w14:textId="3090D1ED" w:rsidR="002B0C4F" w:rsidRDefault="002B0C4F">
          <w:pPr>
            <w:rPr>
              <w:rFonts w:ascii="Arial Black" w:hAnsi="Arial Black" w:cs="Arial"/>
              <w:color w:val="4C94D8" w:themeColor="text2" w:themeTint="80"/>
            </w:rPr>
          </w:pPr>
          <w:r>
            <w:rPr>
              <w:rFonts w:ascii="Arial Black" w:hAnsi="Arial Black" w:cs="Arial"/>
              <w:color w:val="4C94D8" w:themeColor="text2" w:themeTint="80"/>
            </w:rPr>
            <w:br w:type="page"/>
          </w:r>
        </w:p>
      </w:sdtContent>
    </w:sdt>
    <w:p w14:paraId="0B7C8E51" w14:textId="08BBBE44" w:rsidR="00950B81" w:rsidRDefault="00950B81">
      <w:pPr>
        <w:rPr>
          <w:rFonts w:ascii="Arial Black" w:hAnsi="Arial Black" w:cs="Arial"/>
          <w:color w:val="4C94D8" w:themeColor="text2" w:themeTint="80"/>
        </w:rPr>
      </w:pPr>
      <w:r>
        <w:rPr>
          <w:rFonts w:ascii="Arial Black" w:hAnsi="Arial Black" w:cs="Arial"/>
          <w:color w:val="4C94D8" w:themeColor="text2" w:themeTint="80"/>
        </w:rPr>
        <w:lastRenderedPageBreak/>
        <w:t xml:space="preserve">Table of Contents </w:t>
      </w:r>
    </w:p>
    <w:p w14:paraId="7754972E" w14:textId="62F094DD" w:rsidR="00950B81" w:rsidRPr="00950B81" w:rsidRDefault="00950B81" w:rsidP="00950B81">
      <w:pPr>
        <w:ind w:left="360"/>
        <w:rPr>
          <w:rFonts w:ascii="Arial Black" w:hAnsi="Arial Black" w:cs="Arial"/>
          <w:color w:val="4C94D8" w:themeColor="text2" w:themeTint="80"/>
        </w:rPr>
      </w:pPr>
      <w:r w:rsidRPr="00950B81">
        <w:rPr>
          <w:rFonts w:ascii="Arial Black" w:hAnsi="Arial Black" w:cs="Arial"/>
          <w:color w:val="4C94D8" w:themeColor="text2" w:themeTint="80"/>
        </w:rPr>
        <w:t>Changing fortunes</w:t>
      </w:r>
      <w:r>
        <w:rPr>
          <w:rFonts w:ascii="Arial Black" w:hAnsi="Arial Black" w:cs="Arial"/>
          <w:color w:val="4C94D8" w:themeColor="text2" w:themeTint="80"/>
        </w:rPr>
        <w:t>………………………………………………………………….2</w:t>
      </w:r>
    </w:p>
    <w:p w14:paraId="0338B4FA" w14:textId="0E865AC1" w:rsidR="00950B81" w:rsidRPr="00950B81" w:rsidRDefault="00950B81" w:rsidP="00950B81">
      <w:pPr>
        <w:ind w:left="360"/>
        <w:rPr>
          <w:rFonts w:ascii="Arial Black" w:hAnsi="Arial Black" w:cs="Arial"/>
          <w:color w:val="4C94D8" w:themeColor="text2" w:themeTint="80"/>
        </w:rPr>
      </w:pPr>
      <w:r w:rsidRPr="00950B81">
        <w:rPr>
          <w:rFonts w:ascii="Arial Black" w:hAnsi="Arial Black" w:cs="Arial"/>
          <w:color w:val="4C94D8" w:themeColor="text2" w:themeTint="80"/>
        </w:rPr>
        <w:t>Existing assets, structures and economic character</w:t>
      </w:r>
      <w:r>
        <w:rPr>
          <w:rFonts w:ascii="Arial Black" w:hAnsi="Arial Black" w:cs="Arial"/>
          <w:color w:val="4C94D8" w:themeColor="text2" w:themeTint="80"/>
        </w:rPr>
        <w:t>…………………3</w:t>
      </w:r>
    </w:p>
    <w:p w14:paraId="318398A3" w14:textId="4AFE2BA5" w:rsidR="00950B81" w:rsidRPr="00950B81" w:rsidRDefault="00950B81" w:rsidP="00950B81">
      <w:pPr>
        <w:ind w:left="360"/>
        <w:rPr>
          <w:rFonts w:ascii="Arial Black" w:hAnsi="Arial Black" w:cs="Arial"/>
          <w:color w:val="4C94D8" w:themeColor="text2" w:themeTint="80"/>
        </w:rPr>
      </w:pPr>
      <w:r w:rsidRPr="00950B81">
        <w:rPr>
          <w:rFonts w:ascii="Arial Black" w:hAnsi="Arial Black" w:cs="Arial"/>
          <w:color w:val="4C94D8" w:themeColor="text2" w:themeTint="80"/>
        </w:rPr>
        <w:t>Key stakeholders and interest groups</w:t>
      </w:r>
      <w:r>
        <w:rPr>
          <w:rFonts w:ascii="Arial Black" w:hAnsi="Arial Black" w:cs="Arial"/>
          <w:color w:val="4C94D8" w:themeColor="text2" w:themeTint="80"/>
        </w:rPr>
        <w:t>…………………………………</w:t>
      </w:r>
      <w:r w:rsidR="002B0C4F">
        <w:rPr>
          <w:rFonts w:ascii="Arial Black" w:hAnsi="Arial Black" w:cs="Arial"/>
          <w:color w:val="4C94D8" w:themeColor="text2" w:themeTint="80"/>
        </w:rPr>
        <w:t>….</w:t>
      </w:r>
      <w:r>
        <w:rPr>
          <w:rFonts w:ascii="Arial Black" w:hAnsi="Arial Black" w:cs="Arial"/>
          <w:color w:val="4C94D8" w:themeColor="text2" w:themeTint="80"/>
        </w:rPr>
        <w:t>5</w:t>
      </w:r>
    </w:p>
    <w:p w14:paraId="4CEF8707" w14:textId="77777777" w:rsidR="00950B81" w:rsidRDefault="00950B81" w:rsidP="00950B81">
      <w:pPr>
        <w:ind w:left="360"/>
        <w:rPr>
          <w:rFonts w:ascii="Arial Black" w:hAnsi="Arial Black" w:cs="Arial"/>
          <w:color w:val="4C94D8" w:themeColor="text2" w:themeTint="80"/>
        </w:rPr>
      </w:pPr>
      <w:r w:rsidRPr="00950B81">
        <w:rPr>
          <w:rFonts w:ascii="Arial Black" w:hAnsi="Arial Black" w:cs="Arial"/>
          <w:color w:val="4C94D8" w:themeColor="text2" w:themeTint="80"/>
        </w:rPr>
        <w:t>Local/ regional development strategies</w:t>
      </w:r>
      <w:r>
        <w:rPr>
          <w:rFonts w:ascii="Arial Black" w:hAnsi="Arial Black" w:cs="Arial"/>
          <w:color w:val="4C94D8" w:themeColor="text2" w:themeTint="80"/>
        </w:rPr>
        <w:t>……………………………………7</w:t>
      </w:r>
    </w:p>
    <w:p w14:paraId="3A313DA2" w14:textId="23657730" w:rsidR="00950B81" w:rsidRDefault="00950B81" w:rsidP="00950B81">
      <w:pPr>
        <w:ind w:left="360"/>
        <w:rPr>
          <w:rFonts w:ascii="Arial Black" w:hAnsi="Arial Black" w:cs="Arial"/>
          <w:color w:val="4C94D8" w:themeColor="text2" w:themeTint="80"/>
        </w:rPr>
      </w:pPr>
      <w:r w:rsidRPr="00950B81">
        <w:rPr>
          <w:rFonts w:ascii="Arial Black" w:hAnsi="Arial Black" w:cs="Arial"/>
          <w:color w:val="4C94D8" w:themeColor="text2" w:themeTint="80"/>
        </w:rPr>
        <w:t>Future opportunities for regeneration</w:t>
      </w:r>
      <w:r w:rsidR="002B0C4F">
        <w:rPr>
          <w:rFonts w:ascii="Arial Black" w:hAnsi="Arial Black" w:cs="Arial"/>
          <w:color w:val="4C94D8" w:themeColor="text2" w:themeTint="80"/>
        </w:rPr>
        <w:t>…………………………………….10</w:t>
      </w:r>
    </w:p>
    <w:p w14:paraId="4FFA4FA6" w14:textId="207D7144" w:rsidR="00950B81" w:rsidRDefault="00950B81" w:rsidP="00950B81">
      <w:pPr>
        <w:ind w:left="360"/>
        <w:rPr>
          <w:rFonts w:ascii="Arial Black" w:hAnsi="Arial Black" w:cs="Arial"/>
          <w:color w:val="4C94D8" w:themeColor="text2" w:themeTint="80"/>
        </w:rPr>
      </w:pPr>
      <w:r>
        <w:rPr>
          <w:rFonts w:ascii="Arial Black" w:hAnsi="Arial Black" w:cs="Arial"/>
          <w:color w:val="4C94D8" w:themeColor="text2" w:themeTint="80"/>
        </w:rPr>
        <w:t>References</w:t>
      </w:r>
      <w:r w:rsidR="002B0C4F">
        <w:rPr>
          <w:rFonts w:ascii="Arial Black" w:hAnsi="Arial Black" w:cs="Arial"/>
          <w:color w:val="4C94D8" w:themeColor="text2" w:themeTint="80"/>
        </w:rPr>
        <w:t>………………………………………………………………………….13</w:t>
      </w:r>
      <w:r>
        <w:rPr>
          <w:rFonts w:ascii="Arial Black" w:hAnsi="Arial Black" w:cs="Arial"/>
          <w:color w:val="4C94D8" w:themeColor="text2" w:themeTint="80"/>
        </w:rPr>
        <w:t xml:space="preserve"> </w:t>
      </w:r>
    </w:p>
    <w:p w14:paraId="34078BE1" w14:textId="57CC1FDF" w:rsidR="00950B81" w:rsidRPr="00950B81" w:rsidRDefault="00950B81" w:rsidP="00950B81">
      <w:pPr>
        <w:ind w:left="360"/>
        <w:rPr>
          <w:rFonts w:ascii="Arial Black" w:hAnsi="Arial Black" w:cs="Arial"/>
          <w:color w:val="4C94D8" w:themeColor="text2" w:themeTint="80"/>
        </w:rPr>
      </w:pPr>
      <w:r w:rsidRPr="00950B81">
        <w:rPr>
          <w:rFonts w:ascii="Arial Black" w:hAnsi="Arial Black" w:cs="Arial"/>
          <w:color w:val="4C94D8" w:themeColor="text2" w:themeTint="80"/>
        </w:rPr>
        <w:br w:type="page"/>
      </w:r>
    </w:p>
    <w:p w14:paraId="3183D80B" w14:textId="34016189" w:rsidR="00984A05" w:rsidRPr="00984A05" w:rsidRDefault="00984A05" w:rsidP="00984A05">
      <w:pPr>
        <w:pStyle w:val="ListParagraph"/>
        <w:numPr>
          <w:ilvl w:val="0"/>
          <w:numId w:val="1"/>
        </w:numPr>
        <w:spacing w:line="480" w:lineRule="auto"/>
        <w:jc w:val="both"/>
        <w:rPr>
          <w:rFonts w:ascii="Arial Black" w:hAnsi="Arial Black" w:cs="Arial"/>
          <w:color w:val="4C94D8" w:themeColor="text2" w:themeTint="80"/>
        </w:rPr>
      </w:pPr>
      <w:r w:rsidRPr="00984A05">
        <w:rPr>
          <w:rFonts w:ascii="Arial Black" w:hAnsi="Arial Black" w:cs="Arial"/>
          <w:color w:val="4C94D8" w:themeColor="text2" w:themeTint="80"/>
        </w:rPr>
        <w:lastRenderedPageBreak/>
        <w:t>Changing fortunes</w:t>
      </w:r>
    </w:p>
    <w:p w14:paraId="71148EC7" w14:textId="7358E2CA" w:rsidR="00984A05" w:rsidRPr="00984A05" w:rsidRDefault="00984A05" w:rsidP="00984A05">
      <w:pPr>
        <w:spacing w:line="480" w:lineRule="auto"/>
        <w:jc w:val="both"/>
        <w:rPr>
          <w:rFonts w:ascii="Arial" w:hAnsi="Arial" w:cs="Arial"/>
        </w:rPr>
      </w:pPr>
      <w:r w:rsidRPr="00984A05">
        <w:rPr>
          <w:rFonts w:ascii="Arial" w:hAnsi="Arial" w:cs="Arial"/>
        </w:rPr>
        <w:t xml:space="preserve">Swansea’s history is closely tied to the boom and bust of heavy industry. From the late eighteenth through the early twentieth centuries, it was </w:t>
      </w:r>
      <w:r w:rsidR="00950B81">
        <w:rPr>
          <w:rFonts w:ascii="Arial" w:hAnsi="Arial" w:cs="Arial"/>
        </w:rPr>
        <w:t xml:space="preserve">named </w:t>
      </w:r>
      <w:r w:rsidRPr="00984A05">
        <w:rPr>
          <w:rFonts w:ascii="Arial" w:hAnsi="Arial" w:cs="Arial"/>
        </w:rPr>
        <w:t>“Copperopolis” due to its pivotal role in global copper smelting (Newell, 1990). Ore came from locations as distant as Cuba and Chile, and local entrepreneurs capitalized on plentiful coal supplies, technological know-how, and maritime infrastructure to establish Swansea as a world leader in metal production (Evans &amp; Saunders, 2015). This industrial prowess propelled technological breakthroughs, urban expansion, and broad economic growth, making Swansea a linchpin of Britain’s burgeoning Industrial Revolution (Evans, 2014).</w:t>
      </w:r>
    </w:p>
    <w:p w14:paraId="3CB66ECA" w14:textId="77777777" w:rsidR="00984A05" w:rsidRPr="00984A05" w:rsidRDefault="00984A05" w:rsidP="00984A05">
      <w:pPr>
        <w:spacing w:line="480" w:lineRule="auto"/>
        <w:jc w:val="both"/>
        <w:rPr>
          <w:rFonts w:ascii="Arial" w:hAnsi="Arial" w:cs="Arial"/>
        </w:rPr>
      </w:pPr>
      <w:r w:rsidRPr="00984A05">
        <w:rPr>
          <w:rFonts w:ascii="Arial" w:hAnsi="Arial" w:cs="Arial"/>
        </w:rPr>
        <w:t>Yet, these fortunes began shifting toward the late nineteenth century. Increasing competition from other industrial regions, combined with the depletion of local advantages such as cheap coal, precipitated a gradual decline in Swansea’s copper dominance. Alternative smelting hubs emerged, eroding Swansea’s global edge (Hughes, 2008). Over the mid-twentieth century, many copperworks closed, leaving large swaths of derelict or contaminated land. This deindustrialization also exacted a social toll, as unemployment climbed and traditional community structures weakened (Mah, 2012).</w:t>
      </w:r>
    </w:p>
    <w:p w14:paraId="4D10FA46" w14:textId="172AE604" w:rsidR="00984A05" w:rsidRPr="00984A05" w:rsidRDefault="00984A05" w:rsidP="00984A05">
      <w:pPr>
        <w:spacing w:line="480" w:lineRule="auto"/>
        <w:jc w:val="both"/>
        <w:rPr>
          <w:rFonts w:ascii="Arial" w:hAnsi="Arial" w:cs="Arial"/>
        </w:rPr>
      </w:pPr>
      <w:r w:rsidRPr="00984A05">
        <w:rPr>
          <w:rFonts w:ascii="Arial" w:hAnsi="Arial" w:cs="Arial"/>
        </w:rPr>
        <w:t xml:space="preserve">Against this backdrop, Swansea, like many former industrial </w:t>
      </w:r>
      <w:r w:rsidRPr="00984A05">
        <w:rPr>
          <w:rFonts w:ascii="Arial" w:hAnsi="Arial" w:cs="Arial"/>
        </w:rPr>
        <w:t>canters</w:t>
      </w:r>
      <w:r w:rsidRPr="00984A05">
        <w:rPr>
          <w:rFonts w:ascii="Arial" w:hAnsi="Arial" w:cs="Arial"/>
        </w:rPr>
        <w:t xml:space="preserve">, sought avenues for diversification. It shifted toward knowledge-based and service-oriented sectors, leveraging a coastal setting for tourism and tapping Swansea University as a source of research and innovation (Stewart, 2022). Although these initiatives showed promise, they also revealed deep structural challenges. Post-industrial </w:t>
      </w:r>
      <w:proofErr w:type="spellStart"/>
      <w:r w:rsidRPr="00984A05">
        <w:rPr>
          <w:rFonts w:ascii="Arial" w:hAnsi="Arial" w:cs="Arial"/>
        </w:rPr>
        <w:t>neighborhoods</w:t>
      </w:r>
      <w:proofErr w:type="spellEnd"/>
      <w:r w:rsidRPr="00984A05">
        <w:rPr>
          <w:rFonts w:ascii="Arial" w:hAnsi="Arial" w:cs="Arial"/>
        </w:rPr>
        <w:t xml:space="preserve"> continued facing socio-economic disparities, environmental contamination issues </w:t>
      </w:r>
      <w:r w:rsidRPr="00984A05">
        <w:rPr>
          <w:rFonts w:ascii="Arial" w:hAnsi="Arial" w:cs="Arial"/>
        </w:rPr>
        <w:lastRenderedPageBreak/>
        <w:t>lingered, and the city struggled to frame a contemporary identity consistent with its historical roots (O’Brien &amp; Matthews, 2015).</w:t>
      </w:r>
    </w:p>
    <w:p w14:paraId="7CBDB294" w14:textId="77777777" w:rsidR="00984A05" w:rsidRPr="00984A05" w:rsidRDefault="00984A05" w:rsidP="00984A05">
      <w:pPr>
        <w:spacing w:line="480" w:lineRule="auto"/>
        <w:jc w:val="both"/>
        <w:rPr>
          <w:rFonts w:ascii="Arial" w:hAnsi="Arial" w:cs="Arial"/>
        </w:rPr>
      </w:pPr>
      <w:r w:rsidRPr="00984A05">
        <w:rPr>
          <w:rFonts w:ascii="Arial" w:hAnsi="Arial" w:cs="Arial"/>
        </w:rPr>
        <w:t>The outcome is a complex, ongoing process of transformation that merges historical pride with new development goals. Policymakers, businesses, and local communities have championed heritage-led initiatives that utilize Swansea’s industrial past to forge modern cultural and entrepreneurial activities (Powe, Pringle, &amp; Hart, 2015). For example, the redevelopment of former copperworking sites has turned industrial ruins into tourist attractions and community spaces. However, the path remains intricate, requiring balanced consideration of economic revitalization, environmental remediation, and social inclusion. Swansea’s “changing fortunes” reflect both the city’s resilience and the broader national shift away from heavy industry toward more sustainable and socially attuned economic models (Viken, 2016).</w:t>
      </w:r>
    </w:p>
    <w:p w14:paraId="77BABC9A" w14:textId="4A79746B" w:rsidR="00984A05" w:rsidRPr="00950B81" w:rsidRDefault="00950B81" w:rsidP="00950B81">
      <w:pPr>
        <w:pStyle w:val="ListParagraph"/>
        <w:numPr>
          <w:ilvl w:val="0"/>
          <w:numId w:val="1"/>
        </w:numPr>
        <w:spacing w:line="480" w:lineRule="auto"/>
        <w:jc w:val="both"/>
        <w:rPr>
          <w:rFonts w:ascii="Arial Black" w:hAnsi="Arial Black" w:cs="Arial"/>
          <w:color w:val="4C94D8" w:themeColor="text2" w:themeTint="80"/>
        </w:rPr>
      </w:pPr>
      <w:r w:rsidRPr="00950B81">
        <w:rPr>
          <w:rFonts w:ascii="Arial Black" w:hAnsi="Arial Black" w:cs="Arial"/>
          <w:color w:val="4C94D8" w:themeColor="text2" w:themeTint="80"/>
        </w:rPr>
        <w:t>Existing assets, structures and economic character</w:t>
      </w:r>
    </w:p>
    <w:p w14:paraId="51E24E64" w14:textId="77777777" w:rsidR="00984A05" w:rsidRPr="00984A05" w:rsidRDefault="00984A05" w:rsidP="00984A05">
      <w:pPr>
        <w:spacing w:line="480" w:lineRule="auto"/>
        <w:jc w:val="both"/>
        <w:rPr>
          <w:rFonts w:ascii="Arial" w:hAnsi="Arial" w:cs="Arial"/>
        </w:rPr>
      </w:pPr>
      <w:r w:rsidRPr="00984A05">
        <w:rPr>
          <w:rFonts w:ascii="Arial" w:hAnsi="Arial" w:cs="Arial"/>
        </w:rPr>
        <w:t>Despite deindustrialization, Swansea retains potent physical and cultural assets that shape its economic character. Key remnants of the copper era include smelting sites, canals, and waterfront infrastructure that once bustled with global trade (Evans, 2014). Many of these areas lie in varying states of dereliction or have been partially repurposed, but their historic value remains high. Preservation efforts have targeted these structures for regeneration, using heritage interpretation, cultural exhibitions, and adaptive reuse to showcase the city’s role in the Industrial Revolution (Hughes, 2008).</w:t>
      </w:r>
    </w:p>
    <w:p w14:paraId="24BDD05E" w14:textId="77777777" w:rsidR="00984A05" w:rsidRPr="00984A05" w:rsidRDefault="00984A05" w:rsidP="00984A05">
      <w:pPr>
        <w:spacing w:line="480" w:lineRule="auto"/>
        <w:jc w:val="both"/>
        <w:rPr>
          <w:rFonts w:ascii="Arial" w:hAnsi="Arial" w:cs="Arial"/>
        </w:rPr>
      </w:pPr>
      <w:r w:rsidRPr="00984A05">
        <w:rPr>
          <w:rFonts w:ascii="Arial" w:hAnsi="Arial" w:cs="Arial"/>
        </w:rPr>
        <w:t xml:space="preserve">Alongside these industrial landmarks, Swansea boasts notable natural advantages. Its coastal location on Swansea Bay, plus the proximity of the Gower Peninsula—famed as Britain’s first Area of Outstanding Natural Beauty—have sparked a robust </w:t>
      </w:r>
      <w:r w:rsidRPr="00984A05">
        <w:rPr>
          <w:rFonts w:ascii="Arial" w:hAnsi="Arial" w:cs="Arial"/>
        </w:rPr>
        <w:lastRenderedPageBreak/>
        <w:t>tourism sector. The region’s beaches, cliffs, and opportunities for water sports attract visitors, while local authorities capitalize on place branding that combines heritage, nature, and leisure (Viken, 2016). This orientation toward tourism aligns with broader post-industrial strategies, where former manufacturing hubs increasingly present themselves as cultural and environmental destinations.</w:t>
      </w:r>
    </w:p>
    <w:p w14:paraId="1A4B156B" w14:textId="77777777" w:rsidR="00984A05" w:rsidRPr="00984A05" w:rsidRDefault="00984A05" w:rsidP="00984A05">
      <w:pPr>
        <w:spacing w:line="480" w:lineRule="auto"/>
        <w:jc w:val="both"/>
        <w:rPr>
          <w:rFonts w:ascii="Arial" w:hAnsi="Arial" w:cs="Arial"/>
        </w:rPr>
      </w:pPr>
      <w:r w:rsidRPr="00984A05">
        <w:rPr>
          <w:rFonts w:ascii="Arial" w:hAnsi="Arial" w:cs="Arial"/>
        </w:rPr>
        <w:t>Education and research also figure prominently in Swansea’s economy. Swansea University’s steady growth has diversified local employment, driving expansion in high-tech, materials science, engineering, and marine research. University-led innovation hubs and science parks exemplify the city’s transition from heavy industry to knowledge-intensive activities (Stewart, 2022). These initiatives breathe new life into derelict land and cultivate small businesses, entrepreneurial ventures, and social enterprises (Powe et al., 2015).</w:t>
      </w:r>
    </w:p>
    <w:p w14:paraId="79FA8D91" w14:textId="3DD07B5C" w:rsidR="00984A05" w:rsidRPr="00984A05" w:rsidRDefault="00984A05" w:rsidP="00984A05">
      <w:pPr>
        <w:spacing w:line="480" w:lineRule="auto"/>
        <w:jc w:val="both"/>
        <w:rPr>
          <w:rFonts w:ascii="Arial" w:hAnsi="Arial" w:cs="Arial"/>
        </w:rPr>
      </w:pPr>
      <w:r w:rsidRPr="00984A05">
        <w:rPr>
          <w:rFonts w:ascii="Arial" w:hAnsi="Arial" w:cs="Arial"/>
        </w:rPr>
        <w:t xml:space="preserve">Furthermore, Swansea’s cultural scene supports local identity and fosters resilience. Galleries, </w:t>
      </w:r>
      <w:r w:rsidR="00950B81" w:rsidRPr="00984A05">
        <w:rPr>
          <w:rFonts w:ascii="Arial" w:hAnsi="Arial" w:cs="Arial"/>
        </w:rPr>
        <w:t>theatres</w:t>
      </w:r>
      <w:r w:rsidRPr="00984A05">
        <w:rPr>
          <w:rFonts w:ascii="Arial" w:hAnsi="Arial" w:cs="Arial"/>
        </w:rPr>
        <w:t xml:space="preserve">, and arts festivals have blossomed, reflecting broader patterns of arts-driven regeneration in former industrial regions (O’Brien &amp; Matthews, 2015). Such creative </w:t>
      </w:r>
      <w:r w:rsidR="00950B81" w:rsidRPr="00984A05">
        <w:rPr>
          <w:rFonts w:ascii="Arial" w:hAnsi="Arial" w:cs="Arial"/>
        </w:rPr>
        <w:t>endeavours</w:t>
      </w:r>
      <w:r w:rsidRPr="00984A05">
        <w:rPr>
          <w:rFonts w:ascii="Arial" w:hAnsi="Arial" w:cs="Arial"/>
        </w:rPr>
        <w:t xml:space="preserve"> enhance civic pride and encourage footfall in the city </w:t>
      </w:r>
      <w:r w:rsidR="00950B81" w:rsidRPr="00984A05">
        <w:rPr>
          <w:rFonts w:ascii="Arial" w:hAnsi="Arial" w:cs="Arial"/>
        </w:rPr>
        <w:t>centre</w:t>
      </w:r>
      <w:r w:rsidRPr="00984A05">
        <w:rPr>
          <w:rFonts w:ascii="Arial" w:hAnsi="Arial" w:cs="Arial"/>
        </w:rPr>
        <w:t xml:space="preserve">, contributing to a service-based economy that also includes hospitality, retail, and leisure services. Nonetheless, disparities persist; certain </w:t>
      </w:r>
      <w:r w:rsidR="00950B81" w:rsidRPr="00984A05">
        <w:rPr>
          <w:rFonts w:ascii="Arial" w:hAnsi="Arial" w:cs="Arial"/>
        </w:rPr>
        <w:t>neighbourhoods</w:t>
      </w:r>
      <w:r w:rsidRPr="00984A05">
        <w:rPr>
          <w:rFonts w:ascii="Arial" w:hAnsi="Arial" w:cs="Arial"/>
        </w:rPr>
        <w:t xml:space="preserve"> continue to face the lingering impact of deindustrialization, with pockets of unemployment and limited access to cultural and economic opportunities.</w:t>
      </w:r>
    </w:p>
    <w:p w14:paraId="29A530A6" w14:textId="77777777" w:rsidR="00950B81" w:rsidRDefault="00984A05" w:rsidP="00984A05">
      <w:pPr>
        <w:spacing w:line="480" w:lineRule="auto"/>
        <w:jc w:val="both"/>
        <w:rPr>
          <w:rFonts w:ascii="Arial" w:hAnsi="Arial" w:cs="Arial"/>
        </w:rPr>
      </w:pPr>
      <w:r w:rsidRPr="00984A05">
        <w:rPr>
          <w:rFonts w:ascii="Arial" w:hAnsi="Arial" w:cs="Arial"/>
        </w:rPr>
        <w:t xml:space="preserve">This mix of industrial heritage, natural beauty, academic research, and cultural amenities shapes a hybrid economic landscape. The result is a complex interplay of old industrial sites, modern development, and a service-driven shift. Although this environment creates prospects for heritage tourism and innovation-led growth, it also </w:t>
      </w:r>
      <w:r w:rsidRPr="00984A05">
        <w:rPr>
          <w:rFonts w:ascii="Arial" w:hAnsi="Arial" w:cs="Arial"/>
        </w:rPr>
        <w:lastRenderedPageBreak/>
        <w:t>demands comprehensive strategies to manage environmental remediation, stakeholder collaboration, and equitable distribution of benefits (Hughes, 2008). Swansea’s economic character thus hinges on leveraging unique local assets while acknowledging unresolved challenges from its industrial past.</w:t>
      </w:r>
    </w:p>
    <w:p w14:paraId="15E4C2A8" w14:textId="76BC1A56" w:rsidR="00984A05" w:rsidRPr="00950B81" w:rsidRDefault="00950B81" w:rsidP="00950B81">
      <w:pPr>
        <w:pStyle w:val="ListParagraph"/>
        <w:numPr>
          <w:ilvl w:val="0"/>
          <w:numId w:val="1"/>
        </w:numPr>
        <w:spacing w:line="480" w:lineRule="auto"/>
        <w:jc w:val="both"/>
        <w:rPr>
          <w:rFonts w:ascii="Arial Black" w:hAnsi="Arial Black" w:cs="Arial"/>
          <w:color w:val="4C94D8" w:themeColor="text2" w:themeTint="80"/>
        </w:rPr>
      </w:pPr>
      <w:r w:rsidRPr="00950B81">
        <w:rPr>
          <w:rFonts w:ascii="Arial Black" w:hAnsi="Arial Black" w:cs="Arial"/>
          <w:color w:val="4C94D8" w:themeColor="text2" w:themeTint="80"/>
        </w:rPr>
        <w:t>Key stakeholders and interest groups</w:t>
      </w:r>
    </w:p>
    <w:p w14:paraId="040C7077" w14:textId="77777777" w:rsidR="00984A05" w:rsidRPr="00984A05" w:rsidRDefault="00984A05" w:rsidP="00984A05">
      <w:pPr>
        <w:spacing w:line="480" w:lineRule="auto"/>
        <w:jc w:val="both"/>
        <w:rPr>
          <w:rFonts w:ascii="Arial" w:hAnsi="Arial" w:cs="Arial"/>
        </w:rPr>
      </w:pPr>
      <w:r w:rsidRPr="00984A05">
        <w:rPr>
          <w:rFonts w:ascii="Arial" w:hAnsi="Arial" w:cs="Arial"/>
        </w:rPr>
        <w:t>In a post-industrial city like Swansea, stakeholders span governmental bodies, private enterprises, educational institutions, community organizations, and broader regional actors. Local government, led by Swansea Council, oversees urban planning and regeneration frameworks. Through zoning, development consents, and policy alignment with Welsh Government priorities, local authorities shape large-scale redevelopment projects (Freeman, 1984). They also hold responsibility for addressing the environmental and social implications of deindustrialization, such as land remediation and housing.</w:t>
      </w:r>
    </w:p>
    <w:p w14:paraId="69EEC8E8" w14:textId="77777777" w:rsidR="00984A05" w:rsidRPr="00984A05" w:rsidRDefault="00984A05" w:rsidP="00984A05">
      <w:pPr>
        <w:spacing w:line="480" w:lineRule="auto"/>
        <w:jc w:val="both"/>
        <w:rPr>
          <w:rFonts w:ascii="Arial" w:hAnsi="Arial" w:cs="Arial"/>
        </w:rPr>
      </w:pPr>
      <w:r w:rsidRPr="00984A05">
        <w:rPr>
          <w:rFonts w:ascii="Arial" w:hAnsi="Arial" w:cs="Arial"/>
        </w:rPr>
        <w:t>Simultaneously, the Welsh Government exerts a broader influence by supporting city-level initiatives with funding and policy directives tied to sustainability and community well-being (Pemberton, 2019). In many cases, they provide grants for cleaning up polluted sites, improving transport links, or fostering cultural tourism. They also set strategic development goals aimed at combining economic progress with environmental stewardship, drawing from frameworks like Chambers and Conway’s (1992) call for sustainable livelihoods.</w:t>
      </w:r>
    </w:p>
    <w:p w14:paraId="3E30BFB0" w14:textId="30CFCCB0" w:rsidR="00984A05" w:rsidRPr="00984A05" w:rsidRDefault="00984A05" w:rsidP="00984A05">
      <w:pPr>
        <w:spacing w:line="480" w:lineRule="auto"/>
        <w:jc w:val="both"/>
        <w:rPr>
          <w:rFonts w:ascii="Arial" w:hAnsi="Arial" w:cs="Arial"/>
        </w:rPr>
      </w:pPr>
      <w:r w:rsidRPr="00984A05">
        <w:rPr>
          <w:rFonts w:ascii="Arial" w:hAnsi="Arial" w:cs="Arial"/>
        </w:rPr>
        <w:t xml:space="preserve">Educational institutions, especially Swansea University, act as hubs of research, technology transfer, and skills development. They collaborate with local businesses and entrepreneurs, </w:t>
      </w:r>
      <w:r w:rsidR="00950B81" w:rsidRPr="00984A05">
        <w:rPr>
          <w:rFonts w:ascii="Arial" w:hAnsi="Arial" w:cs="Arial"/>
        </w:rPr>
        <w:t>fuelling</w:t>
      </w:r>
      <w:r w:rsidRPr="00984A05">
        <w:rPr>
          <w:rFonts w:ascii="Arial" w:hAnsi="Arial" w:cs="Arial"/>
        </w:rPr>
        <w:t xml:space="preserve"> start-ups and supporting community enterprises (Stewart, 2022). Such partnerships often arise from stakeholder dialogue, in line with Freeman’s </w:t>
      </w:r>
      <w:r w:rsidRPr="00984A05">
        <w:rPr>
          <w:rFonts w:ascii="Arial" w:hAnsi="Arial" w:cs="Arial"/>
        </w:rPr>
        <w:lastRenderedPageBreak/>
        <w:t>(1984) argument that effective strategy requires balancing multiple interests. University-led schemes may offer training in renewable energy, advanced materials, or tourism management, thereby diversifying Swansea’s economic base.</w:t>
      </w:r>
    </w:p>
    <w:p w14:paraId="1D740C9B" w14:textId="76521A07" w:rsidR="00984A05" w:rsidRPr="00984A05" w:rsidRDefault="00984A05" w:rsidP="00984A05">
      <w:pPr>
        <w:spacing w:line="480" w:lineRule="auto"/>
        <w:jc w:val="both"/>
        <w:rPr>
          <w:rFonts w:ascii="Arial" w:hAnsi="Arial" w:cs="Arial"/>
        </w:rPr>
      </w:pPr>
      <w:r w:rsidRPr="00984A05">
        <w:rPr>
          <w:rFonts w:ascii="Arial" w:hAnsi="Arial" w:cs="Arial"/>
        </w:rPr>
        <w:t xml:space="preserve">The local community encompasses residents, workers, and grassroots organizations, many of whom maintain strong emotional ties to Swansea’s industrial heritage. Their active participation is pivotal to ensuring that regeneration is inclusive, rather than a top-down process (O’Brien &amp; Matthews, 2015). </w:t>
      </w:r>
      <w:r w:rsidR="002B0C4F">
        <w:rPr>
          <w:rFonts w:ascii="Arial" w:hAnsi="Arial" w:cs="Arial"/>
        </w:rPr>
        <w:t>Community</w:t>
      </w:r>
      <w:r w:rsidRPr="00984A05">
        <w:rPr>
          <w:rFonts w:ascii="Arial" w:hAnsi="Arial" w:cs="Arial"/>
        </w:rPr>
        <w:t xml:space="preserve"> councils, historical societies, and volunteer groups frequently seek to preserve industrial sites or promote local culture, advocating for community benefits in large-scale projects. Mah (2012) notes that post-industrial communities risk marginalization if they are not consulted properly, so involving local people in decision-making is vital for legitimacy and social cohesion.</w:t>
      </w:r>
    </w:p>
    <w:p w14:paraId="0E7EE8C3" w14:textId="6ABAA4EA" w:rsidR="00984A05" w:rsidRPr="00984A05" w:rsidRDefault="00984A05" w:rsidP="00984A05">
      <w:pPr>
        <w:spacing w:line="480" w:lineRule="auto"/>
        <w:jc w:val="both"/>
        <w:rPr>
          <w:rFonts w:ascii="Arial" w:hAnsi="Arial" w:cs="Arial"/>
        </w:rPr>
      </w:pPr>
      <w:r w:rsidRPr="00984A05">
        <w:rPr>
          <w:rFonts w:ascii="Arial" w:hAnsi="Arial" w:cs="Arial"/>
        </w:rPr>
        <w:t>Private-sector actors, from property developers to tourism operators, also shape Swansea’s future. Their investments can stimulate job creation, infrastructure renewal, and consumer spending. However, purely profit-driven initiatives may conflict with community values or conservation aims (Gray, 2000). Achieving balance requires robust stakeholder engagement</w:t>
      </w:r>
      <w:r w:rsidR="002B0C4F">
        <w:rPr>
          <w:rFonts w:ascii="Arial" w:hAnsi="Arial" w:cs="Arial"/>
        </w:rPr>
        <w:t xml:space="preserve"> </w:t>
      </w:r>
      <w:r w:rsidRPr="00984A05">
        <w:rPr>
          <w:rFonts w:ascii="Arial" w:hAnsi="Arial" w:cs="Arial"/>
        </w:rPr>
        <w:t xml:space="preserve">if developers collaborate with public bodies and </w:t>
      </w:r>
      <w:r w:rsidR="00950B81" w:rsidRPr="00984A05">
        <w:rPr>
          <w:rFonts w:ascii="Arial" w:hAnsi="Arial" w:cs="Arial"/>
        </w:rPr>
        <w:t>residents</w:t>
      </w:r>
      <w:r w:rsidRPr="00984A05">
        <w:rPr>
          <w:rFonts w:ascii="Arial" w:hAnsi="Arial" w:cs="Arial"/>
        </w:rPr>
        <w:t>, regeneration can align with the city’s long-term sustainability goals (Freeman, 1984).</w:t>
      </w:r>
    </w:p>
    <w:p w14:paraId="5EB208CD" w14:textId="4ECD4F82" w:rsidR="00984A05" w:rsidRPr="00984A05" w:rsidRDefault="00984A05" w:rsidP="00984A05">
      <w:pPr>
        <w:spacing w:line="480" w:lineRule="auto"/>
        <w:jc w:val="both"/>
        <w:rPr>
          <w:rFonts w:ascii="Arial" w:hAnsi="Arial" w:cs="Arial"/>
        </w:rPr>
      </w:pPr>
      <w:r w:rsidRPr="00984A05">
        <w:rPr>
          <w:rFonts w:ascii="Arial" w:hAnsi="Arial" w:cs="Arial"/>
        </w:rPr>
        <w:t xml:space="preserve">Non-profits and social enterprises further enrich Swansea’s stakeholder landscape. These organizations often </w:t>
      </w:r>
      <w:r w:rsidR="00950B81" w:rsidRPr="00984A05">
        <w:rPr>
          <w:rFonts w:ascii="Arial" w:hAnsi="Arial" w:cs="Arial"/>
        </w:rPr>
        <w:t>endeavour</w:t>
      </w:r>
      <w:r w:rsidRPr="00984A05">
        <w:rPr>
          <w:rFonts w:ascii="Arial" w:hAnsi="Arial" w:cs="Arial"/>
        </w:rPr>
        <w:t xml:space="preserve"> to address social exclusion, unemployment, and environmental challenges in areas hit hardest by industrial decline (</w:t>
      </w:r>
      <w:proofErr w:type="spellStart"/>
      <w:r w:rsidRPr="00984A05">
        <w:rPr>
          <w:rFonts w:ascii="Arial" w:hAnsi="Arial" w:cs="Arial"/>
        </w:rPr>
        <w:t>Defourny</w:t>
      </w:r>
      <w:proofErr w:type="spellEnd"/>
      <w:r w:rsidRPr="00984A05">
        <w:rPr>
          <w:rFonts w:ascii="Arial" w:hAnsi="Arial" w:cs="Arial"/>
        </w:rPr>
        <w:t xml:space="preserve"> &amp; Nyssens, 2010). By reinvesting profits into community objectives, social enterprises can </w:t>
      </w:r>
      <w:r w:rsidR="00950B81" w:rsidRPr="00984A05">
        <w:rPr>
          <w:rFonts w:ascii="Arial" w:hAnsi="Arial" w:cs="Arial"/>
        </w:rPr>
        <w:t>catalyse</w:t>
      </w:r>
      <w:r w:rsidRPr="00984A05">
        <w:rPr>
          <w:rFonts w:ascii="Arial" w:hAnsi="Arial" w:cs="Arial"/>
        </w:rPr>
        <w:t xml:space="preserve"> local empowerment, echoing Powe et al.’s (2015) emphasis on matching </w:t>
      </w:r>
      <w:r w:rsidRPr="00984A05">
        <w:rPr>
          <w:rFonts w:ascii="Arial" w:hAnsi="Arial" w:cs="Arial"/>
        </w:rPr>
        <w:lastRenderedPageBreak/>
        <w:t>strategies to local needs. Likewise, they often collaborate with universities, government agencies, and private firms to secure resources and visibility.</w:t>
      </w:r>
    </w:p>
    <w:p w14:paraId="7284FFBC" w14:textId="77777777" w:rsidR="00950B81" w:rsidRDefault="00984A05" w:rsidP="00984A05">
      <w:pPr>
        <w:spacing w:line="480" w:lineRule="auto"/>
        <w:jc w:val="both"/>
        <w:rPr>
          <w:rFonts w:ascii="Arial" w:hAnsi="Arial" w:cs="Arial"/>
        </w:rPr>
      </w:pPr>
      <w:r w:rsidRPr="00984A05">
        <w:rPr>
          <w:rFonts w:ascii="Arial" w:hAnsi="Arial" w:cs="Arial"/>
        </w:rPr>
        <w:t xml:space="preserve">Altogether, these diverse interest groups shape the city’s regeneration prospects. If they are unified by transparent communication, shared objectives, and a willingness to co-design projects, Swansea stands a better chance of devising meaningful, sustainable, and equitable policies. The city’s history of industrial rise and decline underscores the importance of this multi-stakeholder approach, ensuring that future transformations </w:t>
      </w:r>
      <w:r w:rsidR="00950B81" w:rsidRPr="00984A05">
        <w:rPr>
          <w:rFonts w:ascii="Arial" w:hAnsi="Arial" w:cs="Arial"/>
        </w:rPr>
        <w:t>honour</w:t>
      </w:r>
      <w:r w:rsidRPr="00984A05">
        <w:rPr>
          <w:rFonts w:ascii="Arial" w:hAnsi="Arial" w:cs="Arial"/>
        </w:rPr>
        <w:t xml:space="preserve"> Swansea’s heritage and build resilience across its communities (Viken, 2016).</w:t>
      </w:r>
    </w:p>
    <w:p w14:paraId="474A8F5E" w14:textId="4B4C58A6" w:rsidR="00950B81" w:rsidRPr="00950B81" w:rsidRDefault="00950B81" w:rsidP="00950B81">
      <w:pPr>
        <w:pStyle w:val="ListParagraph"/>
        <w:numPr>
          <w:ilvl w:val="0"/>
          <w:numId w:val="1"/>
        </w:numPr>
        <w:spacing w:line="480" w:lineRule="auto"/>
        <w:jc w:val="both"/>
        <w:rPr>
          <w:rFonts w:ascii="Arial Black" w:hAnsi="Arial Black" w:cs="Arial"/>
          <w:color w:val="4C94D8" w:themeColor="text2" w:themeTint="80"/>
        </w:rPr>
      </w:pPr>
      <w:r w:rsidRPr="00950B81">
        <w:rPr>
          <w:rFonts w:ascii="Arial Black" w:hAnsi="Arial Black" w:cs="Arial"/>
          <w:color w:val="4C94D8" w:themeColor="text2" w:themeTint="80"/>
        </w:rPr>
        <w:t>Local/ regional development strategies</w:t>
      </w:r>
      <w:r w:rsidRPr="00950B81">
        <w:rPr>
          <w:rFonts w:ascii="Arial Black" w:hAnsi="Arial Black" w:cs="Arial"/>
          <w:color w:val="4C94D8" w:themeColor="text2" w:themeTint="80"/>
        </w:rPr>
        <w:t xml:space="preserve"> </w:t>
      </w:r>
    </w:p>
    <w:p w14:paraId="7FC65B65" w14:textId="6F47CA5D" w:rsidR="00984A05" w:rsidRPr="00984A05" w:rsidRDefault="00984A05" w:rsidP="00984A05">
      <w:pPr>
        <w:spacing w:line="480" w:lineRule="auto"/>
        <w:jc w:val="both"/>
        <w:rPr>
          <w:rFonts w:ascii="Arial" w:hAnsi="Arial" w:cs="Arial"/>
        </w:rPr>
      </w:pPr>
      <w:r w:rsidRPr="00984A05">
        <w:rPr>
          <w:rFonts w:ascii="Arial" w:hAnsi="Arial" w:cs="Arial"/>
        </w:rPr>
        <w:t xml:space="preserve">In alignment with Welsh Government directives and evolving UK-wide regeneration models, Swansea has embraced strategies that combine sustainability, heritage </w:t>
      </w:r>
      <w:r w:rsidR="00950B81" w:rsidRPr="00984A05">
        <w:rPr>
          <w:rFonts w:ascii="Arial" w:hAnsi="Arial" w:cs="Arial"/>
        </w:rPr>
        <w:t>valorisation</w:t>
      </w:r>
      <w:r w:rsidRPr="00984A05">
        <w:rPr>
          <w:rFonts w:ascii="Arial" w:hAnsi="Arial" w:cs="Arial"/>
        </w:rPr>
        <w:t>, and social equity (Pemberton, 2019). Many of these approaches reflect Chambers and Conway’s (1992) advocacy for integrating environmental care with local livelihoods, ensuring that economic reforms do not come at the expense of social well-being. A prime example is the repurposing of disused copperworks, where planning authorities have aimed to fuse tourism potential with historical conservation.</w:t>
      </w:r>
    </w:p>
    <w:p w14:paraId="4AA7CCA1" w14:textId="77777777" w:rsidR="00984A05" w:rsidRPr="00984A05" w:rsidRDefault="00984A05" w:rsidP="00984A05">
      <w:pPr>
        <w:spacing w:line="480" w:lineRule="auto"/>
        <w:jc w:val="both"/>
        <w:rPr>
          <w:rFonts w:ascii="Arial" w:hAnsi="Arial" w:cs="Arial"/>
        </w:rPr>
      </w:pPr>
      <w:r w:rsidRPr="00984A05">
        <w:rPr>
          <w:rFonts w:ascii="Arial" w:hAnsi="Arial" w:cs="Arial"/>
        </w:rPr>
        <w:t xml:space="preserve">Heritage-led regeneration stands out as a vital component of local policy, mirroring trends observed in other post-industrial towns (O’Brien &amp; Matthews, 2015). Former foundries and smelting sites, once symbols of pollution, are reimagined as educational attractions, cultural spaces, or incubators for creative industries. This approach underscores Mah’s (2012) perspective that industrial ruination need not be a terminal condition but can spark novel forms of place-making. In Swansea, local government, academic experts, and community organizations have collaborated to transform </w:t>
      </w:r>
      <w:r w:rsidRPr="00984A05">
        <w:rPr>
          <w:rFonts w:ascii="Arial" w:hAnsi="Arial" w:cs="Arial"/>
        </w:rPr>
        <w:lastRenderedPageBreak/>
        <w:t>certain brownfield sites into mixed-use developments with museums, workshops, and event spaces.</w:t>
      </w:r>
    </w:p>
    <w:p w14:paraId="29BFD204" w14:textId="77777777" w:rsidR="00984A05" w:rsidRPr="00984A05" w:rsidRDefault="00984A05" w:rsidP="00984A05">
      <w:pPr>
        <w:spacing w:line="480" w:lineRule="auto"/>
        <w:jc w:val="both"/>
        <w:rPr>
          <w:rFonts w:ascii="Arial" w:hAnsi="Arial" w:cs="Arial"/>
        </w:rPr>
      </w:pPr>
      <w:r w:rsidRPr="00984A05">
        <w:rPr>
          <w:rFonts w:ascii="Arial" w:hAnsi="Arial" w:cs="Arial"/>
        </w:rPr>
        <w:t>At the regional level, strategies frequently focus on diversifying the economy. Encouraging high-value sectors, such as advanced manufacturing, digital technology, and renewable energy, has been a priority, often facilitated through grants or collaboration with Swansea University (Stewart, 2022). These initiatives seek to raise skill levels and help residents adapt to an economy no longer reliant on heavy industry. Indeed, Powe et al. (2015) note that regeneration in smaller or mid-sized cities requires tailoring interventions to specific local conditions; in Swansea, this involves leveraging university-driven innovation, tourist appeal, and industrial heritage.</w:t>
      </w:r>
    </w:p>
    <w:p w14:paraId="7D462ADE" w14:textId="77777777" w:rsidR="00984A05" w:rsidRPr="00984A05" w:rsidRDefault="00984A05" w:rsidP="00984A05">
      <w:pPr>
        <w:spacing w:line="480" w:lineRule="auto"/>
        <w:jc w:val="both"/>
        <w:rPr>
          <w:rFonts w:ascii="Arial" w:hAnsi="Arial" w:cs="Arial"/>
        </w:rPr>
      </w:pPr>
      <w:r w:rsidRPr="00984A05">
        <w:rPr>
          <w:rFonts w:ascii="Arial" w:hAnsi="Arial" w:cs="Arial"/>
        </w:rPr>
        <w:t>Social inclusivity is another crucial element in these strategies. Drawing on Viken’s (2016) concept of place reinvention, policymakers acknowledge that local identity is a cornerstone of successful regeneration. When residents and community groups can shape how their city’s history is commemorated or utilized, the result is a stronger sense of belonging and increased social capital (O’Brien &amp; Matthews, 2015). For instance, community-led cultural festivals celebrating copperworks heritage or maritime traditions can reinforce local pride, while ensuring that proceeds circulate in the local economy.</w:t>
      </w:r>
    </w:p>
    <w:p w14:paraId="59F91640" w14:textId="0EC240C0" w:rsidR="00984A05" w:rsidRPr="00984A05" w:rsidRDefault="00984A05" w:rsidP="00984A05">
      <w:pPr>
        <w:spacing w:line="480" w:lineRule="auto"/>
        <w:jc w:val="both"/>
        <w:rPr>
          <w:rFonts w:ascii="Arial" w:hAnsi="Arial" w:cs="Arial"/>
        </w:rPr>
      </w:pPr>
      <w:r w:rsidRPr="00984A05">
        <w:rPr>
          <w:rFonts w:ascii="Arial" w:hAnsi="Arial" w:cs="Arial"/>
        </w:rPr>
        <w:t xml:space="preserve">Supporting social enterprises and ethical business practices has likewise gained traction. </w:t>
      </w:r>
      <w:proofErr w:type="spellStart"/>
      <w:r w:rsidRPr="00984A05">
        <w:rPr>
          <w:rFonts w:ascii="Arial" w:hAnsi="Arial" w:cs="Arial"/>
        </w:rPr>
        <w:t>Defourny</w:t>
      </w:r>
      <w:proofErr w:type="spellEnd"/>
      <w:r w:rsidRPr="00984A05">
        <w:rPr>
          <w:rFonts w:ascii="Arial" w:hAnsi="Arial" w:cs="Arial"/>
        </w:rPr>
        <w:t xml:space="preserve"> and Nyssens (2010) highlight how social enterprises can address local issues</w:t>
      </w:r>
      <w:r w:rsidR="00950B81">
        <w:rPr>
          <w:rFonts w:ascii="Arial" w:hAnsi="Arial" w:cs="Arial"/>
        </w:rPr>
        <w:t xml:space="preserve"> </w:t>
      </w:r>
      <w:r w:rsidRPr="00984A05">
        <w:rPr>
          <w:rFonts w:ascii="Arial" w:hAnsi="Arial" w:cs="Arial"/>
        </w:rPr>
        <w:t>like unemployment or social isolation</w:t>
      </w:r>
      <w:r w:rsidR="00950B81">
        <w:rPr>
          <w:rFonts w:ascii="Arial" w:hAnsi="Arial" w:cs="Arial"/>
        </w:rPr>
        <w:t xml:space="preserve"> </w:t>
      </w:r>
      <w:r w:rsidRPr="00984A05">
        <w:rPr>
          <w:rFonts w:ascii="Arial" w:hAnsi="Arial" w:cs="Arial"/>
        </w:rPr>
        <w:t xml:space="preserve">by embedding social missions within commercial ventures. In Swansea, such organizations may operate tourism services, artisan workshops, or green initiatives, reinvesting revenue into training or </w:t>
      </w:r>
      <w:r w:rsidR="00950B81" w:rsidRPr="00984A05">
        <w:rPr>
          <w:rFonts w:ascii="Arial" w:hAnsi="Arial" w:cs="Arial"/>
        </w:rPr>
        <w:t>neighbourhood</w:t>
      </w:r>
      <w:r w:rsidRPr="00984A05">
        <w:rPr>
          <w:rFonts w:ascii="Arial" w:hAnsi="Arial" w:cs="Arial"/>
        </w:rPr>
        <w:t xml:space="preserve"> improvements. Aligning with Elkington’s (1997) triple bottom line </w:t>
      </w:r>
      <w:r w:rsidRPr="00984A05">
        <w:rPr>
          <w:rFonts w:ascii="Arial" w:hAnsi="Arial" w:cs="Arial"/>
        </w:rPr>
        <w:lastRenderedPageBreak/>
        <w:t>model, local strategies increasingly encourage businesses to measure success by social and environmental contributions as well as profits (Gray, 2000). Collaborations with entities like the Fairtrade Foundation (2020) reflect efforts to make Swansea a hub for ethical consumption and sustainable sourcing.</w:t>
      </w:r>
    </w:p>
    <w:p w14:paraId="3AB3B831" w14:textId="77777777" w:rsidR="00984A05" w:rsidRPr="00984A05" w:rsidRDefault="00984A05" w:rsidP="00984A05">
      <w:pPr>
        <w:spacing w:line="480" w:lineRule="auto"/>
        <w:jc w:val="both"/>
        <w:rPr>
          <w:rFonts w:ascii="Arial" w:hAnsi="Arial" w:cs="Arial"/>
        </w:rPr>
      </w:pPr>
      <w:r w:rsidRPr="00984A05">
        <w:rPr>
          <w:rFonts w:ascii="Arial" w:hAnsi="Arial" w:cs="Arial"/>
        </w:rPr>
        <w:t>Meanwhile, the Welsh Government’s broader focus on well-being and sustainability provides a supportive policy framework. Programmes such as the Well-being of Future Generations Act encourage local authorities to consider long-term impacts on the environment and social equity. Funding from UK-level or European initiatives has further propelled infrastructure upgrades, cultural festivals, and environmental clean-up. Pemberton (2019) observes that smaller communities or post-industrial regions heavily rely on external support, but success hinges on how well these external resources integrate with local ownership. Swansea’s development strategies underline the significance of synergy between top-down initiatives and grassroots involvement.</w:t>
      </w:r>
    </w:p>
    <w:p w14:paraId="7E728D39" w14:textId="7BE9291B" w:rsidR="00984A05" w:rsidRPr="00984A05" w:rsidRDefault="00984A05" w:rsidP="00984A05">
      <w:pPr>
        <w:spacing w:line="480" w:lineRule="auto"/>
        <w:jc w:val="both"/>
        <w:rPr>
          <w:rFonts w:ascii="Arial" w:hAnsi="Arial" w:cs="Arial"/>
        </w:rPr>
      </w:pPr>
      <w:r w:rsidRPr="00984A05">
        <w:rPr>
          <w:rFonts w:ascii="Arial" w:hAnsi="Arial" w:cs="Arial"/>
        </w:rPr>
        <w:t xml:space="preserve">Overall, these policies represent attempts at balancing industrial heritage with emerging economic sectors, and sustainability goals with profitability. However, numerous hurdles persist. </w:t>
      </w:r>
      <w:r w:rsidR="00950B81">
        <w:rPr>
          <w:rFonts w:ascii="Arial" w:hAnsi="Arial" w:cs="Arial"/>
        </w:rPr>
        <w:t>Community</w:t>
      </w:r>
      <w:r w:rsidRPr="00984A05">
        <w:rPr>
          <w:rFonts w:ascii="Arial" w:hAnsi="Arial" w:cs="Arial"/>
        </w:rPr>
        <w:t xml:space="preserve"> deprivation, environmental contamination, and occasional conflicts between private investors and local communities must be addressed. Even so, Swansea’s adoption of multi-pronged strategies</w:t>
      </w:r>
      <w:r w:rsidR="00950B81">
        <w:rPr>
          <w:rFonts w:ascii="Arial" w:hAnsi="Arial" w:cs="Arial"/>
        </w:rPr>
        <w:t xml:space="preserve"> </w:t>
      </w:r>
      <w:r w:rsidRPr="00984A05">
        <w:rPr>
          <w:rFonts w:ascii="Arial" w:hAnsi="Arial" w:cs="Arial"/>
        </w:rPr>
        <w:t>heritage conservation, academic collaboration, social enterprise, and tourism promotion</w:t>
      </w:r>
      <w:r w:rsidR="00950B81">
        <w:rPr>
          <w:rFonts w:ascii="Arial" w:hAnsi="Arial" w:cs="Arial"/>
        </w:rPr>
        <w:t xml:space="preserve"> </w:t>
      </w:r>
      <w:r w:rsidRPr="00984A05">
        <w:rPr>
          <w:rFonts w:ascii="Arial" w:hAnsi="Arial" w:cs="Arial"/>
        </w:rPr>
        <w:t>signals a determined effort to map a more equitable and prosperous future.</w:t>
      </w:r>
    </w:p>
    <w:p w14:paraId="0BA0AF28" w14:textId="77777777" w:rsidR="00984A05" w:rsidRPr="00984A05" w:rsidRDefault="00984A05" w:rsidP="00984A05">
      <w:pPr>
        <w:spacing w:line="480" w:lineRule="auto"/>
        <w:jc w:val="both"/>
        <w:rPr>
          <w:rFonts w:ascii="Arial" w:hAnsi="Arial" w:cs="Arial"/>
        </w:rPr>
      </w:pPr>
    </w:p>
    <w:p w14:paraId="5EE1ACB0" w14:textId="77777777" w:rsidR="00950B81" w:rsidRDefault="00950B81" w:rsidP="00984A05">
      <w:pPr>
        <w:spacing w:line="480" w:lineRule="auto"/>
        <w:jc w:val="both"/>
        <w:rPr>
          <w:rFonts w:ascii="Arial" w:hAnsi="Arial" w:cs="Arial"/>
        </w:rPr>
      </w:pPr>
    </w:p>
    <w:p w14:paraId="3E3C94BA" w14:textId="77777777" w:rsidR="00950B81" w:rsidRDefault="00950B81" w:rsidP="00984A05">
      <w:pPr>
        <w:spacing w:line="480" w:lineRule="auto"/>
        <w:jc w:val="both"/>
        <w:rPr>
          <w:rFonts w:ascii="Arial" w:hAnsi="Arial" w:cs="Arial"/>
        </w:rPr>
      </w:pPr>
    </w:p>
    <w:p w14:paraId="2E6C574A" w14:textId="0B44CDFB" w:rsidR="00984A05" w:rsidRPr="00950B81" w:rsidRDefault="00984A05" w:rsidP="00950B81">
      <w:pPr>
        <w:pStyle w:val="ListParagraph"/>
        <w:numPr>
          <w:ilvl w:val="0"/>
          <w:numId w:val="1"/>
        </w:numPr>
        <w:spacing w:line="480" w:lineRule="auto"/>
        <w:jc w:val="both"/>
        <w:rPr>
          <w:rFonts w:ascii="Arial Black" w:hAnsi="Arial Black" w:cs="Arial"/>
          <w:color w:val="4C94D8" w:themeColor="text2" w:themeTint="80"/>
        </w:rPr>
      </w:pPr>
      <w:r w:rsidRPr="00950B81">
        <w:rPr>
          <w:rFonts w:ascii="Arial Black" w:hAnsi="Arial Black" w:cs="Arial"/>
          <w:color w:val="4C94D8" w:themeColor="text2" w:themeTint="80"/>
        </w:rPr>
        <w:lastRenderedPageBreak/>
        <w:t>Future opportunities for regeneration</w:t>
      </w:r>
    </w:p>
    <w:p w14:paraId="0D5D8FD9" w14:textId="77777777" w:rsidR="00984A05" w:rsidRPr="00984A05" w:rsidRDefault="00984A05" w:rsidP="00984A05">
      <w:pPr>
        <w:spacing w:line="480" w:lineRule="auto"/>
        <w:jc w:val="both"/>
        <w:rPr>
          <w:rFonts w:ascii="Arial" w:hAnsi="Arial" w:cs="Arial"/>
        </w:rPr>
      </w:pPr>
      <w:r w:rsidRPr="00984A05">
        <w:rPr>
          <w:rFonts w:ascii="Arial" w:hAnsi="Arial" w:cs="Arial"/>
        </w:rPr>
        <w:t>Several new opportunities for Swansea’s sustainable regeneration build upon these existing strategies while applying theoretical insights from Chambers and Conway (1992), Freeman (1984), and Elkington (1997). One potential initiative is establishing a heritage innovation district around former copperworks and docklands, integrating cultural interpretation with startup incubators, artisans, and social enterprises. By highlighting Swansea’s metallurgical legacy through museums or interactive exhibits, this district can draw tourists and school groups, creating revenue streams to finance business development or community activities (O’Brien &amp; Matthews, 2015). Heritage programming would not be limited to static displays; it could encompass performance art, workshops, or research opportunities in collaboration with Swansea University (Stewart, 2022).</w:t>
      </w:r>
    </w:p>
    <w:p w14:paraId="7196961D" w14:textId="73B1468D" w:rsidR="00984A05" w:rsidRPr="00984A05" w:rsidRDefault="00984A05" w:rsidP="00984A05">
      <w:pPr>
        <w:spacing w:line="480" w:lineRule="auto"/>
        <w:jc w:val="both"/>
        <w:rPr>
          <w:rFonts w:ascii="Arial" w:hAnsi="Arial" w:cs="Arial"/>
        </w:rPr>
      </w:pPr>
      <w:r w:rsidRPr="00984A05">
        <w:rPr>
          <w:rFonts w:ascii="Arial" w:hAnsi="Arial" w:cs="Arial"/>
        </w:rPr>
        <w:t>A second opportunity lies in community-led tourism circuits linking industrial heritage with coastal landscapes. These could feature walking and cycling routes that traverse copper-smelting remnants, canal paths, and scenic cliffs, offering a narrative that fuses past and present. Local guides or social enterprises might deliver tours that emphasize environmental stewardship, fair trade, and sustainable transport. This aligns with Viken’s (2016) argument that local identity can be invigorated through place reinvention, especially when communities host visitors and share their stories. In this scheme, tourism income would stay in local networks, and entrepreneurial spinoffs</w:t>
      </w:r>
      <w:r w:rsidR="00950B81">
        <w:rPr>
          <w:rFonts w:ascii="Arial" w:hAnsi="Arial" w:cs="Arial"/>
        </w:rPr>
        <w:t xml:space="preserve"> </w:t>
      </w:r>
      <w:r w:rsidRPr="00984A05">
        <w:rPr>
          <w:rFonts w:ascii="Arial" w:hAnsi="Arial" w:cs="Arial"/>
        </w:rPr>
        <w:t>like small cafés or arts stalls</w:t>
      </w:r>
      <w:r w:rsidR="00950B81">
        <w:rPr>
          <w:rFonts w:ascii="Arial" w:hAnsi="Arial" w:cs="Arial"/>
        </w:rPr>
        <w:t xml:space="preserve"> </w:t>
      </w:r>
      <w:r w:rsidRPr="00984A05">
        <w:rPr>
          <w:rFonts w:ascii="Arial" w:hAnsi="Arial" w:cs="Arial"/>
        </w:rPr>
        <w:t>could flourish.</w:t>
      </w:r>
    </w:p>
    <w:p w14:paraId="19A92406" w14:textId="77777777" w:rsidR="002B0C4F" w:rsidRDefault="00984A05" w:rsidP="00984A05">
      <w:pPr>
        <w:spacing w:line="480" w:lineRule="auto"/>
        <w:jc w:val="both"/>
        <w:rPr>
          <w:rFonts w:ascii="Arial" w:hAnsi="Arial" w:cs="Arial"/>
        </w:rPr>
      </w:pPr>
      <w:r w:rsidRPr="00984A05">
        <w:rPr>
          <w:rFonts w:ascii="Arial" w:hAnsi="Arial" w:cs="Arial"/>
        </w:rPr>
        <w:t xml:space="preserve">Swansea could encourage upcycling and environmentally responsible production by allocating unused industrial sites for recycling cooperatives, innovation labs, and training </w:t>
      </w:r>
      <w:r w:rsidR="002B0C4F" w:rsidRPr="00984A05">
        <w:rPr>
          <w:rFonts w:ascii="Arial" w:hAnsi="Arial" w:cs="Arial"/>
        </w:rPr>
        <w:t>canters</w:t>
      </w:r>
      <w:r w:rsidRPr="00984A05">
        <w:rPr>
          <w:rFonts w:ascii="Arial" w:hAnsi="Arial" w:cs="Arial"/>
        </w:rPr>
        <w:t xml:space="preserve">. Such a hub could partner with local government departments, </w:t>
      </w:r>
      <w:r w:rsidRPr="00984A05">
        <w:rPr>
          <w:rFonts w:ascii="Arial" w:hAnsi="Arial" w:cs="Arial"/>
        </w:rPr>
        <w:lastRenderedPageBreak/>
        <w:t>universities, and businesses to minimize resource waste and promote sustainable consumption patterns (Elkington, 1997). Over time, this might spawn green manufacturing jobs, skill-building programs, and a distinct local brand featuring eco-friendly products.</w:t>
      </w:r>
    </w:p>
    <w:p w14:paraId="5E54AFB2" w14:textId="0FE5B01D" w:rsidR="00984A05" w:rsidRPr="00984A05" w:rsidRDefault="00984A05" w:rsidP="00984A05">
      <w:pPr>
        <w:spacing w:line="480" w:lineRule="auto"/>
        <w:jc w:val="both"/>
        <w:rPr>
          <w:rFonts w:ascii="Arial" w:hAnsi="Arial" w:cs="Arial"/>
        </w:rPr>
      </w:pPr>
      <w:r w:rsidRPr="00984A05">
        <w:rPr>
          <w:rFonts w:ascii="Arial" w:hAnsi="Arial" w:cs="Arial"/>
        </w:rPr>
        <w:t xml:space="preserve">Moreover, large anchor institutions like the university and healthcare facilities could adopt local procurement policies, mirroring Fairtrade Foundation (2020) practices of ethical sourcing. By </w:t>
      </w:r>
      <w:r w:rsidR="002B0C4F" w:rsidRPr="00984A05">
        <w:rPr>
          <w:rFonts w:ascii="Arial" w:hAnsi="Arial" w:cs="Arial"/>
        </w:rPr>
        <w:t>favouring</w:t>
      </w:r>
      <w:r w:rsidRPr="00984A05">
        <w:rPr>
          <w:rFonts w:ascii="Arial" w:hAnsi="Arial" w:cs="Arial"/>
        </w:rPr>
        <w:t xml:space="preserve"> local suppliers and socially responsible products, these organizations would bolster community enterprises and help create stable demand for SMEs. Gray (2000) emphasizes that transparent environmental and social reporting is crucial here; if local authorities and universities publicly track their sustainable purchasing, it encourages accountability and spurs competition among suppliers to meet ethical standards. Such policies exemplify the stakeholder approach described by Freeman (1984), ensuring that local businesses, residents, and public institutions collaborate for mutual benefit.</w:t>
      </w:r>
    </w:p>
    <w:p w14:paraId="00ADD1E5" w14:textId="546526BF" w:rsidR="00984A05" w:rsidRPr="00984A05" w:rsidRDefault="00984A05" w:rsidP="00984A05">
      <w:pPr>
        <w:spacing w:line="480" w:lineRule="auto"/>
        <w:jc w:val="both"/>
        <w:rPr>
          <w:rFonts w:ascii="Arial" w:hAnsi="Arial" w:cs="Arial"/>
        </w:rPr>
      </w:pPr>
      <w:r w:rsidRPr="00984A05">
        <w:rPr>
          <w:rFonts w:ascii="Arial" w:hAnsi="Arial" w:cs="Arial"/>
        </w:rPr>
        <w:t>Finally, any regeneration plan could benefit from expanded educational partnerships, integrating real-world challenges—like contaminated land, cultural tourism, and infrastructural decay</w:t>
      </w:r>
      <w:r w:rsidR="002B0C4F">
        <w:rPr>
          <w:rFonts w:ascii="Arial" w:hAnsi="Arial" w:cs="Arial"/>
        </w:rPr>
        <w:t xml:space="preserve"> </w:t>
      </w:r>
      <w:r w:rsidRPr="00984A05">
        <w:rPr>
          <w:rFonts w:ascii="Arial" w:hAnsi="Arial" w:cs="Arial"/>
        </w:rPr>
        <w:t>into university curricula. Students in fields ranging from architecture and engineering to sociology and history could work on “living lab” projects that address Swansea’s regeneration needs. Reflecting Powe et al.’s (2015) call for context-specific processes, these educational collaborations would not only develop local capacity but also keep regeneration innovative and research-informed. By focusing on environmental recovery and inclusive design, the city can nurture a generation of graduates equipped to further local development.</w:t>
      </w:r>
    </w:p>
    <w:p w14:paraId="275A00F4" w14:textId="77777777" w:rsidR="00984A05" w:rsidRPr="00984A05" w:rsidRDefault="00984A05" w:rsidP="00984A05">
      <w:pPr>
        <w:spacing w:line="480" w:lineRule="auto"/>
        <w:jc w:val="both"/>
        <w:rPr>
          <w:rFonts w:ascii="Arial" w:hAnsi="Arial" w:cs="Arial"/>
        </w:rPr>
      </w:pPr>
    </w:p>
    <w:p w14:paraId="70E25BD2" w14:textId="5BAC54FE" w:rsidR="00984A05" w:rsidRDefault="00984A05" w:rsidP="00984A05">
      <w:pPr>
        <w:spacing w:line="480" w:lineRule="auto"/>
        <w:jc w:val="both"/>
        <w:rPr>
          <w:rFonts w:ascii="Arial" w:hAnsi="Arial" w:cs="Arial"/>
        </w:rPr>
      </w:pPr>
      <w:r w:rsidRPr="00984A05">
        <w:rPr>
          <w:rFonts w:ascii="Arial" w:hAnsi="Arial" w:cs="Arial"/>
        </w:rPr>
        <w:lastRenderedPageBreak/>
        <w:t xml:space="preserve">In </w:t>
      </w:r>
      <w:r w:rsidR="002B0C4F">
        <w:rPr>
          <w:rFonts w:ascii="Arial" w:hAnsi="Arial" w:cs="Arial"/>
        </w:rPr>
        <w:t>conclusion</w:t>
      </w:r>
      <w:r w:rsidRPr="00984A05">
        <w:rPr>
          <w:rFonts w:ascii="Arial" w:hAnsi="Arial" w:cs="Arial"/>
        </w:rPr>
        <w:t>, these future opportunities highlight how heritage, community empowerment, environmental responsibility, and innovative collaborations can be braided into Swansea’s regeneration journey. Although challenges persist</w:t>
      </w:r>
      <w:r w:rsidR="002B0C4F">
        <w:rPr>
          <w:rFonts w:ascii="Arial" w:hAnsi="Arial" w:cs="Arial"/>
        </w:rPr>
        <w:t xml:space="preserve"> </w:t>
      </w:r>
      <w:r w:rsidRPr="00984A05">
        <w:rPr>
          <w:rFonts w:ascii="Arial" w:hAnsi="Arial" w:cs="Arial"/>
        </w:rPr>
        <w:t>such as funding constraints, social inequalities, and potential conflicts over land use</w:t>
      </w:r>
      <w:r w:rsidR="002B0C4F">
        <w:rPr>
          <w:rFonts w:ascii="Arial" w:hAnsi="Arial" w:cs="Arial"/>
        </w:rPr>
        <w:t xml:space="preserve"> </w:t>
      </w:r>
      <w:r w:rsidRPr="00984A05">
        <w:rPr>
          <w:rFonts w:ascii="Arial" w:hAnsi="Arial" w:cs="Arial"/>
        </w:rPr>
        <w:t xml:space="preserve">the city’s industrial past and existing initiatives provide a robust platform. By bridging theory and local conditions, Swansea can continue evolving from a copper-smelting powerhouse into a </w:t>
      </w:r>
      <w:r w:rsidR="002B0C4F" w:rsidRPr="00984A05">
        <w:rPr>
          <w:rFonts w:ascii="Arial" w:hAnsi="Arial" w:cs="Arial"/>
        </w:rPr>
        <w:t>centre</w:t>
      </w:r>
      <w:r w:rsidRPr="00984A05">
        <w:rPr>
          <w:rFonts w:ascii="Arial" w:hAnsi="Arial" w:cs="Arial"/>
        </w:rPr>
        <w:t xml:space="preserve"> of sustainable, community-driven development.</w:t>
      </w:r>
    </w:p>
    <w:p w14:paraId="6E0264A8" w14:textId="77777777" w:rsidR="002B0C4F" w:rsidRDefault="002B0C4F" w:rsidP="00984A05">
      <w:pPr>
        <w:spacing w:line="480" w:lineRule="auto"/>
        <w:jc w:val="both"/>
        <w:rPr>
          <w:rFonts w:ascii="Arial" w:hAnsi="Arial" w:cs="Arial"/>
        </w:rPr>
      </w:pPr>
    </w:p>
    <w:p w14:paraId="62F7A54D" w14:textId="77777777" w:rsidR="002B0C4F" w:rsidRDefault="002B0C4F" w:rsidP="00984A05">
      <w:pPr>
        <w:spacing w:line="480" w:lineRule="auto"/>
        <w:jc w:val="both"/>
        <w:rPr>
          <w:rFonts w:ascii="Arial" w:hAnsi="Arial" w:cs="Arial"/>
        </w:rPr>
      </w:pPr>
    </w:p>
    <w:p w14:paraId="36E176E4" w14:textId="77777777" w:rsidR="002B0C4F" w:rsidRDefault="002B0C4F" w:rsidP="00984A05">
      <w:pPr>
        <w:spacing w:line="480" w:lineRule="auto"/>
        <w:jc w:val="both"/>
        <w:rPr>
          <w:rFonts w:ascii="Arial" w:hAnsi="Arial" w:cs="Arial"/>
        </w:rPr>
      </w:pPr>
    </w:p>
    <w:p w14:paraId="077B73E3" w14:textId="77777777" w:rsidR="002B0C4F" w:rsidRDefault="002B0C4F" w:rsidP="00984A05">
      <w:pPr>
        <w:spacing w:line="480" w:lineRule="auto"/>
        <w:jc w:val="both"/>
        <w:rPr>
          <w:rFonts w:ascii="Arial" w:hAnsi="Arial" w:cs="Arial"/>
        </w:rPr>
      </w:pPr>
    </w:p>
    <w:p w14:paraId="3CD13914" w14:textId="77777777" w:rsidR="002B0C4F" w:rsidRDefault="002B0C4F" w:rsidP="00984A05">
      <w:pPr>
        <w:spacing w:line="480" w:lineRule="auto"/>
        <w:jc w:val="both"/>
        <w:rPr>
          <w:rFonts w:ascii="Arial" w:hAnsi="Arial" w:cs="Arial"/>
        </w:rPr>
      </w:pPr>
    </w:p>
    <w:p w14:paraId="0542E78A" w14:textId="77777777" w:rsidR="002B0C4F" w:rsidRDefault="002B0C4F" w:rsidP="00984A05">
      <w:pPr>
        <w:spacing w:line="480" w:lineRule="auto"/>
        <w:jc w:val="both"/>
        <w:rPr>
          <w:rFonts w:ascii="Arial" w:hAnsi="Arial" w:cs="Arial"/>
        </w:rPr>
      </w:pPr>
    </w:p>
    <w:p w14:paraId="49B70E9A" w14:textId="77777777" w:rsidR="002B0C4F" w:rsidRDefault="002B0C4F" w:rsidP="00984A05">
      <w:pPr>
        <w:spacing w:line="480" w:lineRule="auto"/>
        <w:jc w:val="both"/>
        <w:rPr>
          <w:rFonts w:ascii="Arial" w:hAnsi="Arial" w:cs="Arial"/>
        </w:rPr>
      </w:pPr>
    </w:p>
    <w:p w14:paraId="45A0FA3E" w14:textId="77777777" w:rsidR="002B0C4F" w:rsidRDefault="002B0C4F" w:rsidP="00984A05">
      <w:pPr>
        <w:spacing w:line="480" w:lineRule="auto"/>
        <w:jc w:val="both"/>
        <w:rPr>
          <w:rFonts w:ascii="Arial" w:hAnsi="Arial" w:cs="Arial"/>
        </w:rPr>
      </w:pPr>
    </w:p>
    <w:p w14:paraId="4465EB9D" w14:textId="77777777" w:rsidR="002B0C4F" w:rsidRDefault="002B0C4F" w:rsidP="00984A05">
      <w:pPr>
        <w:spacing w:line="480" w:lineRule="auto"/>
        <w:jc w:val="both"/>
        <w:rPr>
          <w:rFonts w:ascii="Arial" w:hAnsi="Arial" w:cs="Arial"/>
        </w:rPr>
      </w:pPr>
    </w:p>
    <w:p w14:paraId="25A8405C" w14:textId="77777777" w:rsidR="002B0C4F" w:rsidRDefault="002B0C4F" w:rsidP="00984A05">
      <w:pPr>
        <w:spacing w:line="480" w:lineRule="auto"/>
        <w:jc w:val="both"/>
        <w:rPr>
          <w:rFonts w:ascii="Arial" w:hAnsi="Arial" w:cs="Arial"/>
        </w:rPr>
      </w:pPr>
    </w:p>
    <w:p w14:paraId="6C11C3E5" w14:textId="77777777" w:rsidR="002B0C4F" w:rsidRDefault="002B0C4F" w:rsidP="00984A05">
      <w:pPr>
        <w:spacing w:line="480" w:lineRule="auto"/>
        <w:jc w:val="both"/>
        <w:rPr>
          <w:rFonts w:ascii="Arial" w:hAnsi="Arial" w:cs="Arial"/>
        </w:rPr>
      </w:pPr>
    </w:p>
    <w:p w14:paraId="72E59756" w14:textId="77777777" w:rsidR="002B0C4F" w:rsidRDefault="002B0C4F" w:rsidP="00984A05">
      <w:pPr>
        <w:spacing w:line="480" w:lineRule="auto"/>
        <w:jc w:val="both"/>
        <w:rPr>
          <w:rFonts w:ascii="Arial" w:hAnsi="Arial" w:cs="Arial"/>
        </w:rPr>
      </w:pPr>
    </w:p>
    <w:p w14:paraId="282A38D4" w14:textId="77777777" w:rsidR="002B0C4F" w:rsidRDefault="002B0C4F" w:rsidP="00984A05">
      <w:pPr>
        <w:spacing w:line="480" w:lineRule="auto"/>
        <w:jc w:val="both"/>
        <w:rPr>
          <w:rFonts w:ascii="Arial" w:hAnsi="Arial" w:cs="Arial"/>
        </w:rPr>
      </w:pPr>
    </w:p>
    <w:p w14:paraId="4B8F879C" w14:textId="77777777" w:rsidR="002B0C4F" w:rsidRDefault="002B0C4F" w:rsidP="00984A05">
      <w:pPr>
        <w:spacing w:line="480" w:lineRule="auto"/>
        <w:jc w:val="both"/>
        <w:rPr>
          <w:rFonts w:ascii="Arial" w:hAnsi="Arial" w:cs="Arial"/>
        </w:rPr>
      </w:pPr>
    </w:p>
    <w:p w14:paraId="5B474400" w14:textId="301FEA31" w:rsidR="002B0C4F" w:rsidRPr="002B0C4F" w:rsidRDefault="002B0C4F" w:rsidP="00984A05">
      <w:pPr>
        <w:spacing w:line="480" w:lineRule="auto"/>
        <w:jc w:val="both"/>
        <w:rPr>
          <w:rFonts w:ascii="Arial Black" w:hAnsi="Arial Black" w:cs="Arial"/>
          <w:color w:val="4C94D8" w:themeColor="text2" w:themeTint="80"/>
        </w:rPr>
      </w:pPr>
      <w:r w:rsidRPr="002B0C4F">
        <w:rPr>
          <w:rFonts w:ascii="Arial Black" w:hAnsi="Arial Black" w:cs="Arial"/>
          <w:color w:val="4C94D8" w:themeColor="text2" w:themeTint="80"/>
        </w:rPr>
        <w:lastRenderedPageBreak/>
        <w:t xml:space="preserve">References </w:t>
      </w:r>
    </w:p>
    <w:p w14:paraId="754AC80C"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Chambers, R., &amp; Conway, G. (1992). </w:t>
      </w:r>
      <w:r w:rsidRPr="002B0C4F">
        <w:rPr>
          <w:rFonts w:ascii="Arial" w:hAnsi="Arial" w:cs="Arial"/>
          <w:i/>
          <w:iCs/>
        </w:rPr>
        <w:t xml:space="preserve">Sustainable rural livelihoods: Practical concepts for the 21st century </w:t>
      </w:r>
      <w:r w:rsidRPr="002B0C4F">
        <w:rPr>
          <w:rFonts w:ascii="Arial" w:hAnsi="Arial" w:cs="Arial"/>
        </w:rPr>
        <w:t>(IDS Discussion Paper 296). Institute of Development Studies.</w:t>
      </w:r>
    </w:p>
    <w:p w14:paraId="50E97A41" w14:textId="77777777" w:rsidR="002B0C4F" w:rsidRPr="002B0C4F" w:rsidRDefault="002B0C4F" w:rsidP="002B0C4F">
      <w:pPr>
        <w:spacing w:line="480" w:lineRule="auto"/>
        <w:ind w:left="720" w:hanging="720"/>
        <w:jc w:val="both"/>
        <w:rPr>
          <w:rFonts w:ascii="Arial" w:hAnsi="Arial" w:cs="Arial"/>
        </w:rPr>
      </w:pPr>
      <w:proofErr w:type="spellStart"/>
      <w:r w:rsidRPr="002B0C4F">
        <w:rPr>
          <w:rFonts w:ascii="Arial" w:hAnsi="Arial" w:cs="Arial"/>
        </w:rPr>
        <w:t>Defourny</w:t>
      </w:r>
      <w:proofErr w:type="spellEnd"/>
      <w:r w:rsidRPr="002B0C4F">
        <w:rPr>
          <w:rFonts w:ascii="Arial" w:hAnsi="Arial" w:cs="Arial"/>
        </w:rPr>
        <w:t xml:space="preserve">, J., &amp; Nyssens, M. (2010). Social enterprise in Europe: At the crossroads of market, public policies and third sector. </w:t>
      </w:r>
      <w:r w:rsidRPr="002B0C4F">
        <w:rPr>
          <w:rFonts w:ascii="Arial" w:hAnsi="Arial" w:cs="Arial"/>
          <w:i/>
          <w:iCs/>
        </w:rPr>
        <w:t>Policy and Society, 29</w:t>
      </w:r>
      <w:r w:rsidRPr="002B0C4F">
        <w:rPr>
          <w:rFonts w:ascii="Arial" w:hAnsi="Arial" w:cs="Arial"/>
        </w:rPr>
        <w:t>(3), 231–242.</w:t>
      </w:r>
    </w:p>
    <w:p w14:paraId="2804003B"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Elkington, J. (1997). </w:t>
      </w:r>
      <w:r w:rsidRPr="002B0C4F">
        <w:rPr>
          <w:rFonts w:ascii="Arial" w:hAnsi="Arial" w:cs="Arial"/>
          <w:i/>
          <w:iCs/>
        </w:rPr>
        <w:t>Cannibals with forks: The triple bottom line of 21st century business.</w:t>
      </w:r>
      <w:r w:rsidRPr="002B0C4F">
        <w:rPr>
          <w:rFonts w:ascii="Arial" w:hAnsi="Arial" w:cs="Arial"/>
        </w:rPr>
        <w:t xml:space="preserve"> Capstone Publishing.</w:t>
      </w:r>
    </w:p>
    <w:p w14:paraId="3C89B17F"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Evans, C. (2014). A world of copper: introducing Swansea, globalization and the Industrial Revolution. </w:t>
      </w:r>
      <w:r w:rsidRPr="002B0C4F">
        <w:rPr>
          <w:rFonts w:ascii="Arial" w:hAnsi="Arial" w:cs="Arial"/>
          <w:i/>
          <w:iCs/>
        </w:rPr>
        <w:t>Welsh History Review, 27(</w:t>
      </w:r>
      <w:r w:rsidRPr="002B0C4F">
        <w:rPr>
          <w:rFonts w:ascii="Arial" w:hAnsi="Arial" w:cs="Arial"/>
        </w:rPr>
        <w:t>1), 85–91.</w:t>
      </w:r>
    </w:p>
    <w:p w14:paraId="096B3BB8"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Evans, C., &amp; Saunders, O. (2015). A world of copper: globalizing the Industrial Revolution, 1830–70</w:t>
      </w:r>
      <w:r w:rsidRPr="002B0C4F">
        <w:rPr>
          <w:rFonts w:ascii="Arial" w:hAnsi="Arial" w:cs="Arial"/>
          <w:i/>
          <w:iCs/>
        </w:rPr>
        <w:t>. Journal of Global History, 10</w:t>
      </w:r>
      <w:r w:rsidRPr="002B0C4F">
        <w:rPr>
          <w:rFonts w:ascii="Arial" w:hAnsi="Arial" w:cs="Arial"/>
        </w:rPr>
        <w:t>(1), 3–26.</w:t>
      </w:r>
    </w:p>
    <w:p w14:paraId="05F35294"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Freeman, R. E. (1984). </w:t>
      </w:r>
      <w:r w:rsidRPr="002B0C4F">
        <w:rPr>
          <w:rFonts w:ascii="Arial" w:hAnsi="Arial" w:cs="Arial"/>
          <w:i/>
          <w:iCs/>
        </w:rPr>
        <w:t>Strategic management</w:t>
      </w:r>
      <w:r w:rsidRPr="002B0C4F">
        <w:rPr>
          <w:rFonts w:ascii="Arial" w:hAnsi="Arial" w:cs="Arial"/>
        </w:rPr>
        <w:t>: A stakeholder approach. Pitman.</w:t>
      </w:r>
    </w:p>
    <w:p w14:paraId="62B3B907"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Gray, R. (2000). Current developments and trends in social and environmental auditing, reporting and attestation: A review and comment. </w:t>
      </w:r>
      <w:r w:rsidRPr="002B0C4F">
        <w:rPr>
          <w:rFonts w:ascii="Arial" w:hAnsi="Arial" w:cs="Arial"/>
          <w:i/>
          <w:iCs/>
        </w:rPr>
        <w:t>International Journal of Auditing, 4</w:t>
      </w:r>
      <w:r w:rsidRPr="002B0C4F">
        <w:rPr>
          <w:rFonts w:ascii="Arial" w:hAnsi="Arial" w:cs="Arial"/>
        </w:rPr>
        <w:t>(3), 247–268.</w:t>
      </w:r>
    </w:p>
    <w:p w14:paraId="3630E270"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Hughes, S. (2008). The characteristics of extractive and smelting landscapes of the Industrial Revolution at Swansea and Blaenavon. </w:t>
      </w:r>
      <w:r w:rsidRPr="002B0C4F">
        <w:rPr>
          <w:rFonts w:ascii="Arial" w:hAnsi="Arial" w:cs="Arial"/>
          <w:i/>
          <w:iCs/>
        </w:rPr>
        <w:t>Landscape History, 30</w:t>
      </w:r>
      <w:r w:rsidRPr="002B0C4F">
        <w:rPr>
          <w:rFonts w:ascii="Arial" w:hAnsi="Arial" w:cs="Arial"/>
        </w:rPr>
        <w:t>(1), 21–47.</w:t>
      </w:r>
    </w:p>
    <w:p w14:paraId="0C6BA920"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Mah, A. (2012</w:t>
      </w:r>
      <w:r w:rsidRPr="002B0C4F">
        <w:rPr>
          <w:rFonts w:ascii="Arial" w:hAnsi="Arial" w:cs="Arial"/>
          <w:i/>
          <w:iCs/>
        </w:rPr>
        <w:t xml:space="preserve">). Industrial Ruination, Community and Place: Landscapes and Legacies of Urban Decline. </w:t>
      </w:r>
      <w:r w:rsidRPr="002B0C4F">
        <w:rPr>
          <w:rFonts w:ascii="Arial" w:hAnsi="Arial" w:cs="Arial"/>
        </w:rPr>
        <w:t>University of Toronto Press.</w:t>
      </w:r>
    </w:p>
    <w:p w14:paraId="1943DA37"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lastRenderedPageBreak/>
        <w:t xml:space="preserve">Newell, E. (1990). “Copperopolis”: The Rise and Fall of the Copper Industry in the Swansea District, 1826-1921. </w:t>
      </w:r>
      <w:r w:rsidRPr="002B0C4F">
        <w:rPr>
          <w:rFonts w:ascii="Arial" w:hAnsi="Arial" w:cs="Arial"/>
          <w:i/>
          <w:iCs/>
        </w:rPr>
        <w:t>Business History, 32</w:t>
      </w:r>
      <w:r w:rsidRPr="002B0C4F">
        <w:rPr>
          <w:rFonts w:ascii="Arial" w:hAnsi="Arial" w:cs="Arial"/>
        </w:rPr>
        <w:t>(3), 75–97.</w:t>
      </w:r>
    </w:p>
    <w:p w14:paraId="5B171C30"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O’Brien, D., &amp; Matthews, P. (Eds.). (2015). </w:t>
      </w:r>
      <w:r w:rsidRPr="002B0C4F">
        <w:rPr>
          <w:rFonts w:ascii="Arial" w:hAnsi="Arial" w:cs="Arial"/>
          <w:i/>
          <w:iCs/>
        </w:rPr>
        <w:t>After Urban Regeneration: Communities, Policy and Place</w:t>
      </w:r>
      <w:r w:rsidRPr="002B0C4F">
        <w:rPr>
          <w:rFonts w:ascii="Arial" w:hAnsi="Arial" w:cs="Arial"/>
        </w:rPr>
        <w:t xml:space="preserve"> (Connected Communities). Policy Press.</w:t>
      </w:r>
    </w:p>
    <w:p w14:paraId="20A13DB9"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Pemberton, S. (2019). </w:t>
      </w:r>
      <w:r w:rsidRPr="002B0C4F">
        <w:rPr>
          <w:rFonts w:ascii="Arial" w:hAnsi="Arial" w:cs="Arial"/>
          <w:i/>
          <w:iCs/>
        </w:rPr>
        <w:t>Rural Regeneration in the UK</w:t>
      </w:r>
      <w:r w:rsidRPr="002B0C4F">
        <w:rPr>
          <w:rFonts w:ascii="Arial" w:hAnsi="Arial" w:cs="Arial"/>
        </w:rPr>
        <w:t>. Routledge.</w:t>
      </w:r>
    </w:p>
    <w:p w14:paraId="64C9A557"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Powe, N., Pringle, R., &amp; Hart, T. (2015). Matching the process to the challenge within small town regeneration. </w:t>
      </w:r>
      <w:r w:rsidRPr="002B0C4F">
        <w:rPr>
          <w:rFonts w:ascii="Arial" w:hAnsi="Arial" w:cs="Arial"/>
          <w:i/>
          <w:iCs/>
        </w:rPr>
        <w:t>Town Planning Review, 86</w:t>
      </w:r>
      <w:r w:rsidRPr="002B0C4F">
        <w:rPr>
          <w:rFonts w:ascii="Arial" w:hAnsi="Arial" w:cs="Arial"/>
        </w:rPr>
        <w:t>(2), 177–202.</w:t>
      </w:r>
    </w:p>
    <w:p w14:paraId="26D8F138" w14:textId="77777777" w:rsidR="002B0C4F" w:rsidRPr="002B0C4F" w:rsidRDefault="002B0C4F" w:rsidP="002B0C4F">
      <w:pPr>
        <w:spacing w:line="480" w:lineRule="auto"/>
        <w:ind w:left="720" w:hanging="720"/>
        <w:jc w:val="both"/>
        <w:rPr>
          <w:rFonts w:ascii="Arial" w:hAnsi="Arial" w:cs="Arial"/>
        </w:rPr>
      </w:pPr>
      <w:r w:rsidRPr="002B0C4F">
        <w:rPr>
          <w:rFonts w:ascii="Arial" w:hAnsi="Arial" w:cs="Arial"/>
        </w:rPr>
        <w:t xml:space="preserve">Stewart, J. (2022). </w:t>
      </w:r>
      <w:r w:rsidRPr="002B0C4F">
        <w:rPr>
          <w:rFonts w:ascii="Arial" w:hAnsi="Arial" w:cs="Arial"/>
          <w:i/>
          <w:iCs/>
        </w:rPr>
        <w:t xml:space="preserve">From Fabian’s Bay to Fabian Way: The development of Kilvey, St. Thomas, </w:t>
      </w:r>
      <w:proofErr w:type="spellStart"/>
      <w:r w:rsidRPr="002B0C4F">
        <w:rPr>
          <w:rFonts w:ascii="Arial" w:hAnsi="Arial" w:cs="Arial"/>
          <w:i/>
          <w:iCs/>
        </w:rPr>
        <w:t>Danygraig</w:t>
      </w:r>
      <w:proofErr w:type="spellEnd"/>
      <w:r w:rsidRPr="002B0C4F">
        <w:rPr>
          <w:rFonts w:ascii="Arial" w:hAnsi="Arial" w:cs="Arial"/>
          <w:i/>
          <w:iCs/>
        </w:rPr>
        <w:t>, and Port Tennant in Victorian Swansea</w:t>
      </w:r>
      <w:r w:rsidRPr="002B0C4F">
        <w:rPr>
          <w:rFonts w:ascii="Arial" w:hAnsi="Arial" w:cs="Arial"/>
        </w:rPr>
        <w:t>. Cambria Publishing.</w:t>
      </w:r>
    </w:p>
    <w:p w14:paraId="0D126F72" w14:textId="6BAAB96C" w:rsidR="002B0C4F" w:rsidRDefault="002B0C4F" w:rsidP="002B0C4F">
      <w:pPr>
        <w:spacing w:line="480" w:lineRule="auto"/>
        <w:ind w:left="720" w:hanging="720"/>
        <w:jc w:val="both"/>
        <w:rPr>
          <w:rFonts w:ascii="Arial" w:hAnsi="Arial" w:cs="Arial"/>
        </w:rPr>
      </w:pPr>
      <w:r w:rsidRPr="002B0C4F">
        <w:rPr>
          <w:rFonts w:ascii="Arial" w:hAnsi="Arial" w:cs="Arial"/>
        </w:rPr>
        <w:t xml:space="preserve">Viken, A. (2016). </w:t>
      </w:r>
      <w:r w:rsidRPr="002B0C4F">
        <w:rPr>
          <w:rFonts w:ascii="Arial" w:hAnsi="Arial" w:cs="Arial"/>
          <w:i/>
          <w:iCs/>
        </w:rPr>
        <w:t>Place Reinvention: Northern Perspectives</w:t>
      </w:r>
      <w:r w:rsidRPr="002B0C4F">
        <w:rPr>
          <w:rFonts w:ascii="Arial" w:hAnsi="Arial" w:cs="Arial"/>
        </w:rPr>
        <w:t>. Routledge.</w:t>
      </w:r>
    </w:p>
    <w:p w14:paraId="5E6671F4" w14:textId="77777777" w:rsidR="002B0C4F" w:rsidRDefault="002B0C4F" w:rsidP="00984A05">
      <w:pPr>
        <w:spacing w:line="480" w:lineRule="auto"/>
        <w:jc w:val="both"/>
        <w:rPr>
          <w:rFonts w:ascii="Arial" w:hAnsi="Arial" w:cs="Arial"/>
        </w:rPr>
      </w:pPr>
    </w:p>
    <w:p w14:paraId="668609C3" w14:textId="77777777" w:rsidR="002B0C4F" w:rsidRPr="00984A05" w:rsidRDefault="002B0C4F" w:rsidP="00984A05">
      <w:pPr>
        <w:spacing w:line="480" w:lineRule="auto"/>
        <w:jc w:val="both"/>
        <w:rPr>
          <w:rFonts w:ascii="Arial" w:hAnsi="Arial" w:cs="Arial"/>
        </w:rPr>
      </w:pPr>
    </w:p>
    <w:sectPr w:rsidR="002B0C4F" w:rsidRPr="00984A05" w:rsidSect="002B0C4F">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D04DF" w14:textId="77777777" w:rsidR="00E45DD5" w:rsidRDefault="00E45DD5" w:rsidP="00984A05">
      <w:pPr>
        <w:spacing w:after="0" w:line="240" w:lineRule="auto"/>
      </w:pPr>
      <w:r>
        <w:separator/>
      </w:r>
    </w:p>
  </w:endnote>
  <w:endnote w:type="continuationSeparator" w:id="0">
    <w:p w14:paraId="08C5836E" w14:textId="77777777" w:rsidR="00E45DD5" w:rsidRDefault="00E45DD5" w:rsidP="00984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273469"/>
      <w:docPartObj>
        <w:docPartGallery w:val="Page Numbers (Bottom of Page)"/>
        <w:docPartUnique/>
      </w:docPartObj>
    </w:sdtPr>
    <w:sdtEndPr>
      <w:rPr>
        <w:color w:val="7F7F7F" w:themeColor="background1" w:themeShade="7F"/>
        <w:spacing w:val="60"/>
      </w:rPr>
    </w:sdtEndPr>
    <w:sdtContent>
      <w:p w14:paraId="40D53186" w14:textId="36A23BFA" w:rsidR="00984A05" w:rsidRDefault="00984A0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CC23C55" w14:textId="77777777" w:rsidR="00984A05" w:rsidRDefault="00984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D64BF" w14:textId="77777777" w:rsidR="00E45DD5" w:rsidRDefault="00E45DD5" w:rsidP="00984A05">
      <w:pPr>
        <w:spacing w:after="0" w:line="240" w:lineRule="auto"/>
      </w:pPr>
      <w:r>
        <w:separator/>
      </w:r>
    </w:p>
  </w:footnote>
  <w:footnote w:type="continuationSeparator" w:id="0">
    <w:p w14:paraId="72561483" w14:textId="77777777" w:rsidR="00E45DD5" w:rsidRDefault="00E45DD5" w:rsidP="00984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2A5"/>
    <w:multiLevelType w:val="hybridMultilevel"/>
    <w:tmpl w:val="5F524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DA5ACA"/>
    <w:multiLevelType w:val="hybridMultilevel"/>
    <w:tmpl w:val="61E8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8323D"/>
    <w:multiLevelType w:val="hybridMultilevel"/>
    <w:tmpl w:val="10C493A2"/>
    <w:lvl w:ilvl="0" w:tplc="E036FC6A">
      <w:start w:val="5"/>
      <w:numFmt w:val="bullet"/>
      <w:lvlText w:val="•"/>
      <w:lvlJc w:val="left"/>
      <w:pPr>
        <w:ind w:left="1080" w:hanging="720"/>
      </w:pPr>
      <w:rPr>
        <w:rFonts w:ascii="Arial Black" w:eastAsiaTheme="minorHAnsi" w:hAnsi="Arial Black"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17A3F"/>
    <w:multiLevelType w:val="hybridMultilevel"/>
    <w:tmpl w:val="21505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FA7508"/>
    <w:multiLevelType w:val="hybridMultilevel"/>
    <w:tmpl w:val="B83C7742"/>
    <w:lvl w:ilvl="0" w:tplc="0809000B">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5974182">
    <w:abstractNumId w:val="0"/>
  </w:num>
  <w:num w:numId="2" w16cid:durableId="488448261">
    <w:abstractNumId w:val="1"/>
  </w:num>
  <w:num w:numId="3" w16cid:durableId="257057277">
    <w:abstractNumId w:val="2"/>
  </w:num>
  <w:num w:numId="4" w16cid:durableId="65811674">
    <w:abstractNumId w:val="4"/>
  </w:num>
  <w:num w:numId="5" w16cid:durableId="1302420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05"/>
    <w:rsid w:val="002B0C4F"/>
    <w:rsid w:val="0031542D"/>
    <w:rsid w:val="00950B81"/>
    <w:rsid w:val="00984A05"/>
    <w:rsid w:val="00E45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F9EC"/>
  <w15:chartTrackingRefBased/>
  <w15:docId w15:val="{E66B551A-4C07-47D9-97FC-787A7B84E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4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4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4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4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A05"/>
    <w:rPr>
      <w:rFonts w:eastAsiaTheme="majorEastAsia" w:cstheme="majorBidi"/>
      <w:color w:val="272727" w:themeColor="text1" w:themeTint="D8"/>
    </w:rPr>
  </w:style>
  <w:style w:type="paragraph" w:styleId="Title">
    <w:name w:val="Title"/>
    <w:basedOn w:val="Normal"/>
    <w:next w:val="Normal"/>
    <w:link w:val="TitleChar"/>
    <w:uiPriority w:val="10"/>
    <w:qFormat/>
    <w:rsid w:val="00984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A05"/>
    <w:pPr>
      <w:spacing w:before="160"/>
      <w:jc w:val="center"/>
    </w:pPr>
    <w:rPr>
      <w:i/>
      <w:iCs/>
      <w:color w:val="404040" w:themeColor="text1" w:themeTint="BF"/>
    </w:rPr>
  </w:style>
  <w:style w:type="character" w:customStyle="1" w:styleId="QuoteChar">
    <w:name w:val="Quote Char"/>
    <w:basedOn w:val="DefaultParagraphFont"/>
    <w:link w:val="Quote"/>
    <w:uiPriority w:val="29"/>
    <w:rsid w:val="00984A05"/>
    <w:rPr>
      <w:i/>
      <w:iCs/>
      <w:color w:val="404040" w:themeColor="text1" w:themeTint="BF"/>
    </w:rPr>
  </w:style>
  <w:style w:type="paragraph" w:styleId="ListParagraph">
    <w:name w:val="List Paragraph"/>
    <w:basedOn w:val="Normal"/>
    <w:uiPriority w:val="34"/>
    <w:qFormat/>
    <w:rsid w:val="00984A05"/>
    <w:pPr>
      <w:ind w:left="720"/>
      <w:contextualSpacing/>
    </w:pPr>
  </w:style>
  <w:style w:type="character" w:styleId="IntenseEmphasis">
    <w:name w:val="Intense Emphasis"/>
    <w:basedOn w:val="DefaultParagraphFont"/>
    <w:uiPriority w:val="21"/>
    <w:qFormat/>
    <w:rsid w:val="00984A05"/>
    <w:rPr>
      <w:i/>
      <w:iCs/>
      <w:color w:val="0F4761" w:themeColor="accent1" w:themeShade="BF"/>
    </w:rPr>
  </w:style>
  <w:style w:type="paragraph" w:styleId="IntenseQuote">
    <w:name w:val="Intense Quote"/>
    <w:basedOn w:val="Normal"/>
    <w:next w:val="Normal"/>
    <w:link w:val="IntenseQuoteChar"/>
    <w:uiPriority w:val="30"/>
    <w:qFormat/>
    <w:rsid w:val="00984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A05"/>
    <w:rPr>
      <w:i/>
      <w:iCs/>
      <w:color w:val="0F4761" w:themeColor="accent1" w:themeShade="BF"/>
    </w:rPr>
  </w:style>
  <w:style w:type="character" w:styleId="IntenseReference">
    <w:name w:val="Intense Reference"/>
    <w:basedOn w:val="DefaultParagraphFont"/>
    <w:uiPriority w:val="32"/>
    <w:qFormat/>
    <w:rsid w:val="00984A05"/>
    <w:rPr>
      <w:b/>
      <w:bCs/>
      <w:smallCaps/>
      <w:color w:val="0F4761" w:themeColor="accent1" w:themeShade="BF"/>
      <w:spacing w:val="5"/>
    </w:rPr>
  </w:style>
  <w:style w:type="paragraph" w:styleId="Header">
    <w:name w:val="header"/>
    <w:basedOn w:val="Normal"/>
    <w:link w:val="HeaderChar"/>
    <w:uiPriority w:val="99"/>
    <w:unhideWhenUsed/>
    <w:rsid w:val="00984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A05"/>
  </w:style>
  <w:style w:type="paragraph" w:styleId="Footer">
    <w:name w:val="footer"/>
    <w:basedOn w:val="Normal"/>
    <w:link w:val="FooterChar"/>
    <w:uiPriority w:val="99"/>
    <w:unhideWhenUsed/>
    <w:rsid w:val="00984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15</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Appraisal</dc:title>
  <dc:subject/>
  <dc:creator>Mirabela Voican (1907947)</dc:creator>
  <cp:keywords/>
  <dc:description/>
  <cp:lastModifiedBy>Mirabela Voican (1907947)</cp:lastModifiedBy>
  <cp:revision>1</cp:revision>
  <dcterms:created xsi:type="dcterms:W3CDTF">2025-02-08T16:08:00Z</dcterms:created>
  <dcterms:modified xsi:type="dcterms:W3CDTF">2025-02-08T16:39:00Z</dcterms:modified>
</cp:coreProperties>
</file>