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2264A4" w:rsidRPr="002264A4" w:rsidRDefault="002264A4" w:rsidP="002264A4">
      <w:pPr>
        <w:ind w:firstLine="0"/>
        <w:jc w:val="center"/>
        <w:rPr>
          <w:b/>
        </w:rPr>
      </w:pPr>
    </w:p>
    <w:p w:rsidR="002264A4" w:rsidRPr="002264A4" w:rsidRDefault="002264A4" w:rsidP="002264A4">
      <w:pPr>
        <w:ind w:firstLine="0"/>
        <w:jc w:val="center"/>
        <w:rPr>
          <w:b/>
        </w:rPr>
      </w:pPr>
    </w:p>
    <w:p w:rsidR="002264A4" w:rsidRPr="002264A4" w:rsidRDefault="002264A4" w:rsidP="002264A4">
      <w:pPr>
        <w:ind w:firstLine="0"/>
        <w:jc w:val="center"/>
        <w:rPr>
          <w:b/>
        </w:rPr>
      </w:pPr>
      <w:r w:rsidRPr="002264A4">
        <w:rPr>
          <w:b/>
        </w:rPr>
        <w:t>Programme: BA Business Management (BABM)</w:t>
      </w:r>
    </w:p>
    <w:p w:rsidR="002264A4" w:rsidRPr="002264A4" w:rsidRDefault="002264A4" w:rsidP="002264A4">
      <w:pPr>
        <w:ind w:firstLine="0"/>
        <w:jc w:val="center"/>
        <w:rPr>
          <w:b/>
        </w:rPr>
      </w:pPr>
      <w:r w:rsidRPr="002264A4">
        <w:rPr>
          <w:b/>
        </w:rPr>
        <w:t>Module: Accounting Fundamentals</w:t>
      </w:r>
    </w:p>
    <w:p w:rsidR="002264A4" w:rsidRPr="002264A4" w:rsidRDefault="002264A4" w:rsidP="002264A4">
      <w:pPr>
        <w:ind w:firstLine="0"/>
        <w:jc w:val="center"/>
        <w:rPr>
          <w:b/>
        </w:rPr>
      </w:pPr>
      <w:r w:rsidRPr="002264A4">
        <w:rPr>
          <w:b/>
        </w:rPr>
        <w:t>Module</w:t>
      </w:r>
      <w:r>
        <w:rPr>
          <w:b/>
        </w:rPr>
        <w:t xml:space="preserve"> code: LCBB4001</w:t>
      </w:r>
    </w:p>
    <w:p w:rsidR="002264A4" w:rsidRDefault="002264A4" w:rsidP="00004A5B">
      <w:pPr>
        <w:ind w:firstLine="0"/>
      </w:pPr>
      <w:bookmarkStart w:id="0" w:name="_GoBack"/>
      <w:bookmarkEnd w:id="0"/>
    </w:p>
    <w:p w:rsidR="00004A5B" w:rsidRDefault="00004A5B" w:rsidP="00004A5B">
      <w:pPr>
        <w:jc w:val="center"/>
      </w:pPr>
      <w:r>
        <w:t xml:space="preserve">Roxana </w:t>
      </w:r>
      <w:proofErr w:type="spellStart"/>
      <w:r>
        <w:t>Mihaela</w:t>
      </w:r>
      <w:proofErr w:type="spellEnd"/>
      <w:r>
        <w:t xml:space="preserve"> </w:t>
      </w:r>
      <w:proofErr w:type="spellStart"/>
      <w:r>
        <w:t>Baciu</w:t>
      </w:r>
      <w:proofErr w:type="spellEnd"/>
    </w:p>
    <w:p w:rsidR="00004A5B" w:rsidRDefault="00004A5B" w:rsidP="00004A5B">
      <w:pPr>
        <w:spacing w:line="390" w:lineRule="atLeast"/>
      </w:pPr>
      <w:r>
        <w:t xml:space="preserve">                                            University of Wales Trinity Saint David</w:t>
      </w:r>
    </w:p>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 w:rsidR="009C75BA" w:rsidRDefault="009C75BA">
      <w:pPr>
        <w:ind w:firstLine="0"/>
      </w:pPr>
    </w:p>
    <w:p w:rsidR="009C75BA" w:rsidRDefault="009C75BA"/>
    <w:p w:rsidR="009C75BA" w:rsidRDefault="00820B35">
      <w:pPr>
        <w:jc w:val="center"/>
        <w:rPr>
          <w:b/>
        </w:rPr>
      </w:pPr>
      <w:r>
        <w:rPr>
          <w:b/>
        </w:rPr>
        <w:t>Table of Content</w:t>
      </w:r>
    </w:p>
    <w:sdt>
      <w:sdtPr>
        <w:rPr>
          <w:rFonts w:ascii="Times New Roman" w:eastAsia="Calibri" w:hAnsi="Times New Roman"/>
          <w:color w:val="auto"/>
          <w:sz w:val="24"/>
          <w:szCs w:val="22"/>
          <w:lang w:val="en-GB"/>
        </w:rPr>
        <w:id w:val="-1462875236"/>
        <w:docPartObj>
          <w:docPartGallery w:val="Table of Contents"/>
          <w:docPartUnique/>
        </w:docPartObj>
      </w:sdtPr>
      <w:sdtEndPr>
        <w:rPr>
          <w:b/>
          <w:bCs/>
        </w:rPr>
      </w:sdtEndPr>
      <w:sdtContent>
        <w:p w:rsidR="009C75BA" w:rsidRDefault="009C75BA">
          <w:pPr>
            <w:pStyle w:val="TOCHeading1"/>
          </w:pPr>
        </w:p>
        <w:p w:rsidR="009C75BA" w:rsidRDefault="00820B35">
          <w:pPr>
            <w:pStyle w:val="TOC1"/>
            <w:tabs>
              <w:tab w:val="right" w:leader="dot" w:pos="9360"/>
            </w:tabs>
          </w:pPr>
          <w:r>
            <w:fldChar w:fldCharType="begin"/>
          </w:r>
          <w:r>
            <w:instrText xml:space="preserve"> TOC \o "1-3" \h \z \u </w:instrText>
          </w:r>
          <w:r>
            <w:fldChar w:fldCharType="separate"/>
          </w:r>
          <w:hyperlink w:anchor="_Toc28854" w:history="1">
            <w:r>
              <w:t>QUESTION 1</w:t>
            </w:r>
            <w:r>
              <w:tab/>
            </w:r>
            <w:r>
              <w:fldChar w:fldCharType="begin"/>
            </w:r>
            <w:r>
              <w:instrText xml:space="preserve"> PAGEREF _Toc28854 \h </w:instrText>
            </w:r>
            <w:r>
              <w:fldChar w:fldCharType="separate"/>
            </w:r>
            <w:r>
              <w:t>3</w:t>
            </w:r>
            <w:r>
              <w:fldChar w:fldCharType="end"/>
            </w:r>
          </w:hyperlink>
        </w:p>
        <w:p w:rsidR="009C75BA" w:rsidRDefault="00CB2D80">
          <w:pPr>
            <w:pStyle w:val="TOC1"/>
            <w:tabs>
              <w:tab w:val="right" w:leader="dot" w:pos="9360"/>
            </w:tabs>
          </w:pPr>
          <w:hyperlink w:anchor="_Toc24617" w:history="1">
            <w:r w:rsidR="00820B35">
              <w:rPr>
                <w:bCs/>
                <w:lang w:val="en-US"/>
              </w:rPr>
              <w:t xml:space="preserve">a. </w:t>
            </w:r>
            <w:r w:rsidR="00820B35">
              <w:rPr>
                <w:lang w:val="en-US"/>
              </w:rPr>
              <w:t>Income Statement and Balance Sheet of the Company</w:t>
            </w:r>
            <w:r w:rsidR="00820B35">
              <w:tab/>
            </w:r>
            <w:r w:rsidR="00820B35">
              <w:fldChar w:fldCharType="begin"/>
            </w:r>
            <w:r w:rsidR="00820B35">
              <w:instrText xml:space="preserve"> PAGEREF _Toc24617 \h </w:instrText>
            </w:r>
            <w:r w:rsidR="00820B35">
              <w:fldChar w:fldCharType="separate"/>
            </w:r>
            <w:r w:rsidR="00820B35">
              <w:t>3</w:t>
            </w:r>
            <w:r w:rsidR="00820B35">
              <w:fldChar w:fldCharType="end"/>
            </w:r>
          </w:hyperlink>
        </w:p>
        <w:p w:rsidR="009C75BA" w:rsidRDefault="00CB2D80">
          <w:pPr>
            <w:pStyle w:val="TOC1"/>
            <w:tabs>
              <w:tab w:val="right" w:leader="dot" w:pos="9360"/>
            </w:tabs>
          </w:pPr>
          <w:hyperlink w:anchor="_Toc13951" w:history="1">
            <w:r w:rsidR="00820B35">
              <w:rPr>
                <w:bCs/>
                <w:lang w:val="en-US"/>
              </w:rPr>
              <w:t xml:space="preserve">b. </w:t>
            </w:r>
            <w:r w:rsidR="00820B35">
              <w:rPr>
                <w:lang w:val="en-US"/>
              </w:rPr>
              <w:t>Why does a Statement of Financial Position Balance</w:t>
            </w:r>
            <w:r w:rsidR="00820B35">
              <w:tab/>
            </w:r>
            <w:r w:rsidR="00820B35">
              <w:fldChar w:fldCharType="begin"/>
            </w:r>
            <w:r w:rsidR="00820B35">
              <w:instrText xml:space="preserve"> PAGEREF _Toc13951 \h </w:instrText>
            </w:r>
            <w:r w:rsidR="00820B35">
              <w:fldChar w:fldCharType="separate"/>
            </w:r>
            <w:r w:rsidR="00820B35">
              <w:t>4</w:t>
            </w:r>
            <w:r w:rsidR="00820B35">
              <w:fldChar w:fldCharType="end"/>
            </w:r>
          </w:hyperlink>
        </w:p>
        <w:p w:rsidR="009C75BA" w:rsidRDefault="00CB2D80">
          <w:pPr>
            <w:pStyle w:val="TOC1"/>
            <w:tabs>
              <w:tab w:val="right" w:leader="dot" w:pos="9360"/>
            </w:tabs>
          </w:pPr>
          <w:hyperlink w:anchor="_Toc13408" w:history="1">
            <w:r w:rsidR="00820B35">
              <w:rPr>
                <w:lang w:val="en-US"/>
              </w:rPr>
              <w:t>Reference</w:t>
            </w:r>
            <w:r w:rsidR="00820B35">
              <w:tab/>
            </w:r>
            <w:r w:rsidR="00820B35">
              <w:fldChar w:fldCharType="begin"/>
            </w:r>
            <w:r w:rsidR="00820B35">
              <w:instrText xml:space="preserve"> PAGEREF _Toc13408 \h </w:instrText>
            </w:r>
            <w:r w:rsidR="00820B35">
              <w:fldChar w:fldCharType="separate"/>
            </w:r>
            <w:r w:rsidR="00820B35">
              <w:t>6</w:t>
            </w:r>
            <w:r w:rsidR="00820B35">
              <w:fldChar w:fldCharType="end"/>
            </w:r>
          </w:hyperlink>
        </w:p>
        <w:p w:rsidR="009C75BA" w:rsidRDefault="00CB2D80">
          <w:pPr>
            <w:pStyle w:val="TOC1"/>
            <w:tabs>
              <w:tab w:val="right" w:leader="dot" w:pos="9360"/>
            </w:tabs>
          </w:pPr>
          <w:hyperlink w:anchor="_Toc11075" w:history="1">
            <w:r w:rsidR="00820B35">
              <w:rPr>
                <w:lang w:val="en-US"/>
              </w:rPr>
              <w:t xml:space="preserve">QUESTION </w:t>
            </w:r>
            <w:r w:rsidR="00820B35">
              <w:rPr>
                <w:rFonts w:eastAsia="SimSun"/>
                <w:shd w:val="clear" w:color="auto" w:fill="FFFFFF"/>
                <w:lang w:val="en-US"/>
              </w:rPr>
              <w:t>2</w:t>
            </w:r>
            <w:r w:rsidR="00820B35">
              <w:tab/>
            </w:r>
            <w:r w:rsidR="00820B35">
              <w:fldChar w:fldCharType="begin"/>
            </w:r>
            <w:r w:rsidR="00820B35">
              <w:instrText xml:space="preserve"> PAGEREF _Toc11075 \h </w:instrText>
            </w:r>
            <w:r w:rsidR="00820B35">
              <w:fldChar w:fldCharType="separate"/>
            </w:r>
            <w:r w:rsidR="00820B35">
              <w:t>7</w:t>
            </w:r>
            <w:r w:rsidR="00820B35">
              <w:fldChar w:fldCharType="end"/>
            </w:r>
          </w:hyperlink>
        </w:p>
        <w:p w:rsidR="009C75BA" w:rsidRDefault="00CB2D80">
          <w:pPr>
            <w:pStyle w:val="TOC1"/>
            <w:tabs>
              <w:tab w:val="right" w:leader="dot" w:pos="9360"/>
            </w:tabs>
          </w:pPr>
          <w:hyperlink w:anchor="_Toc23414" w:history="1">
            <w:r w:rsidR="00820B35">
              <w:rPr>
                <w:lang w:val="en-US"/>
              </w:rPr>
              <w:t>1. Overview of Financial Ratio</w:t>
            </w:r>
            <w:r w:rsidR="00820B35">
              <w:tab/>
            </w:r>
            <w:r w:rsidR="00820B35">
              <w:fldChar w:fldCharType="begin"/>
            </w:r>
            <w:r w:rsidR="00820B35">
              <w:instrText xml:space="preserve"> PAGEREF _Toc23414 \h </w:instrText>
            </w:r>
            <w:r w:rsidR="00820B35">
              <w:fldChar w:fldCharType="separate"/>
            </w:r>
            <w:r w:rsidR="00820B35">
              <w:t>7</w:t>
            </w:r>
            <w:r w:rsidR="00820B35">
              <w:fldChar w:fldCharType="end"/>
            </w:r>
          </w:hyperlink>
        </w:p>
        <w:p w:rsidR="009C75BA" w:rsidRDefault="00CB2D80">
          <w:pPr>
            <w:pStyle w:val="TOC1"/>
            <w:tabs>
              <w:tab w:val="right" w:leader="dot" w:pos="9360"/>
            </w:tabs>
          </w:pPr>
          <w:hyperlink w:anchor="_Toc6394" w:history="1">
            <w:r w:rsidR="00820B35">
              <w:rPr>
                <w:lang w:val="en-US"/>
              </w:rPr>
              <w:t>2. Analyse the Financial Performance and Position of the Sweets Plc</w:t>
            </w:r>
            <w:r w:rsidR="00820B35">
              <w:tab/>
            </w:r>
            <w:r w:rsidR="00820B35">
              <w:fldChar w:fldCharType="begin"/>
            </w:r>
            <w:r w:rsidR="00820B35">
              <w:instrText xml:space="preserve"> PAGEREF _Toc6394 \h </w:instrText>
            </w:r>
            <w:r w:rsidR="00820B35">
              <w:fldChar w:fldCharType="separate"/>
            </w:r>
            <w:r w:rsidR="00820B35">
              <w:t>7</w:t>
            </w:r>
            <w:r w:rsidR="00820B35">
              <w:fldChar w:fldCharType="end"/>
            </w:r>
          </w:hyperlink>
        </w:p>
        <w:p w:rsidR="009C75BA" w:rsidRDefault="00CB2D80">
          <w:pPr>
            <w:pStyle w:val="TOC1"/>
            <w:tabs>
              <w:tab w:val="right" w:leader="dot" w:pos="9360"/>
            </w:tabs>
          </w:pPr>
          <w:hyperlink w:anchor="_Toc4100" w:history="1">
            <w:r w:rsidR="00820B35">
              <w:rPr>
                <w:lang w:val="en-US"/>
              </w:rPr>
              <w:t>References</w:t>
            </w:r>
            <w:r w:rsidR="00820B35">
              <w:tab/>
            </w:r>
            <w:r w:rsidR="00820B35">
              <w:fldChar w:fldCharType="begin"/>
            </w:r>
            <w:r w:rsidR="00820B35">
              <w:instrText xml:space="preserve"> PAGEREF _Toc4100 \h </w:instrText>
            </w:r>
            <w:r w:rsidR="00820B35">
              <w:fldChar w:fldCharType="separate"/>
            </w:r>
            <w:r w:rsidR="00820B35">
              <w:t>10</w:t>
            </w:r>
            <w:r w:rsidR="00820B35">
              <w:fldChar w:fldCharType="end"/>
            </w:r>
          </w:hyperlink>
        </w:p>
        <w:p w:rsidR="009C75BA" w:rsidRDefault="00CB2D80">
          <w:pPr>
            <w:pStyle w:val="TOC1"/>
            <w:tabs>
              <w:tab w:val="right" w:leader="dot" w:pos="9360"/>
            </w:tabs>
          </w:pPr>
          <w:hyperlink w:anchor="_Toc3667" w:history="1">
            <w:r w:rsidR="00820B35">
              <w:rPr>
                <w:lang w:val="en-US"/>
              </w:rPr>
              <w:t>Appendix 1</w:t>
            </w:r>
            <w:r w:rsidR="00820B35">
              <w:tab/>
            </w:r>
            <w:r w:rsidR="00820B35">
              <w:fldChar w:fldCharType="begin"/>
            </w:r>
            <w:r w:rsidR="00820B35">
              <w:instrText xml:space="preserve"> PAGEREF _Toc3667 \h </w:instrText>
            </w:r>
            <w:r w:rsidR="00820B35">
              <w:fldChar w:fldCharType="separate"/>
            </w:r>
            <w:r w:rsidR="00820B35">
              <w:t>11</w:t>
            </w:r>
            <w:r w:rsidR="00820B35">
              <w:fldChar w:fldCharType="end"/>
            </w:r>
          </w:hyperlink>
        </w:p>
        <w:p w:rsidR="009C75BA" w:rsidRDefault="00820B35">
          <w:r>
            <w:rPr>
              <w:bCs/>
            </w:rPr>
            <w:fldChar w:fldCharType="end"/>
          </w:r>
        </w:p>
      </w:sdtContent>
    </w:sdt>
    <w:p w:rsidR="009C75BA" w:rsidRDefault="009C75BA">
      <w:pPr>
        <w:jc w:val="left"/>
      </w:pPr>
    </w:p>
    <w:p w:rsidR="009C75BA" w:rsidRDefault="009C75BA">
      <w:pPr>
        <w:jc w:val="center"/>
      </w:pPr>
    </w:p>
    <w:p w:rsidR="009C75BA" w:rsidRDefault="009C75BA">
      <w:pPr>
        <w:jc w:val="center"/>
      </w:pPr>
    </w:p>
    <w:p w:rsidR="009C75BA" w:rsidRDefault="009C75BA">
      <w:pPr>
        <w:jc w:val="center"/>
      </w:pPr>
    </w:p>
    <w:p w:rsidR="009C75BA" w:rsidRDefault="009C75BA">
      <w:pPr>
        <w:jc w:val="center"/>
      </w:pPr>
    </w:p>
    <w:p w:rsidR="009C75BA" w:rsidRDefault="009C75BA">
      <w:pPr>
        <w:jc w:val="center"/>
      </w:pPr>
    </w:p>
    <w:p w:rsidR="009C75BA" w:rsidRDefault="009C75BA">
      <w:pPr>
        <w:jc w:val="center"/>
      </w:pPr>
    </w:p>
    <w:p w:rsidR="009C75BA" w:rsidRDefault="009C75BA">
      <w:pPr>
        <w:jc w:val="center"/>
      </w:pPr>
    </w:p>
    <w:p w:rsidR="009C75BA" w:rsidRDefault="00820B35">
      <w:pPr>
        <w:spacing w:line="240" w:lineRule="auto"/>
        <w:ind w:firstLine="0"/>
        <w:jc w:val="left"/>
        <w:rPr>
          <w:rFonts w:eastAsia="Times New Roman"/>
          <w:b/>
          <w:szCs w:val="24"/>
        </w:rPr>
      </w:pPr>
      <w:bookmarkStart w:id="1" w:name="_Toc121498054"/>
      <w:r>
        <w:br w:type="page"/>
      </w:r>
    </w:p>
    <w:p w:rsidR="009C75BA" w:rsidRDefault="00820B35">
      <w:pPr>
        <w:pStyle w:val="Heading1"/>
      </w:pPr>
      <w:bookmarkStart w:id="2" w:name="_Toc28854"/>
      <w:r>
        <w:lastRenderedPageBreak/>
        <w:t>QUESTION 1</w:t>
      </w:r>
      <w:bookmarkEnd w:id="1"/>
      <w:bookmarkEnd w:id="2"/>
    </w:p>
    <w:p w:rsidR="009C75BA" w:rsidRDefault="009C75BA"/>
    <w:p w:rsidR="009C75BA" w:rsidRDefault="00820B35">
      <w:pPr>
        <w:pStyle w:val="Heading1"/>
        <w:numPr>
          <w:ilvl w:val="0"/>
          <w:numId w:val="1"/>
        </w:numPr>
        <w:ind w:left="420" w:firstLineChars="200" w:firstLine="482"/>
        <w:jc w:val="left"/>
        <w:rPr>
          <w:bCs/>
          <w:i/>
          <w:iCs/>
          <w:lang w:val="en-US"/>
        </w:rPr>
      </w:pPr>
      <w:bookmarkStart w:id="3" w:name="_Toc24617"/>
      <w:r>
        <w:rPr>
          <w:lang w:val="en-US"/>
        </w:rPr>
        <w:t>Income Statement and Balance Sheet of the Company</w:t>
      </w:r>
      <w:bookmarkEnd w:id="3"/>
      <w:r>
        <w:rPr>
          <w:lang w:val="en-US"/>
        </w:rPr>
        <w:t xml:space="preserve">  </w:t>
      </w:r>
    </w:p>
    <w:p w:rsidR="009C75BA" w:rsidRDefault="009C75BA">
      <w:pPr>
        <w:rPr>
          <w:lang w:val="en-US"/>
        </w:rPr>
      </w:pPr>
    </w:p>
    <w:p w:rsidR="009C75BA" w:rsidRDefault="00820B35">
      <w:pPr>
        <w:pStyle w:val="Caption"/>
        <w:ind w:leftChars="100" w:left="240" w:firstLineChars="250" w:firstLine="602"/>
        <w:jc w:val="center"/>
        <w:rPr>
          <w:b/>
          <w:bCs/>
          <w:i/>
          <w:lang w:val="en-US"/>
        </w:rPr>
      </w:pPr>
      <w:r>
        <w:rPr>
          <w:b/>
          <w:bCs/>
          <w:i/>
        </w:rPr>
        <w:t xml:space="preserve">Table </w:t>
      </w:r>
      <w:r>
        <w:rPr>
          <w:b/>
          <w:bCs/>
          <w:i/>
        </w:rPr>
        <w:fldChar w:fldCharType="begin"/>
      </w:r>
      <w:r>
        <w:rPr>
          <w:b/>
          <w:bCs/>
          <w:i/>
        </w:rPr>
        <w:instrText xml:space="preserve"> SEQ Table \* ARABIC </w:instrText>
      </w:r>
      <w:r>
        <w:rPr>
          <w:b/>
          <w:bCs/>
          <w:i/>
        </w:rPr>
        <w:fldChar w:fldCharType="separate"/>
      </w:r>
      <w:r>
        <w:rPr>
          <w:b/>
          <w:bCs/>
          <w:i/>
        </w:rPr>
        <w:t>1</w:t>
      </w:r>
      <w:r>
        <w:rPr>
          <w:b/>
          <w:bCs/>
          <w:i/>
        </w:rPr>
        <w:fldChar w:fldCharType="end"/>
      </w:r>
      <w:r>
        <w:rPr>
          <w:b/>
          <w:bCs/>
          <w:i/>
          <w:lang w:val="en-US"/>
        </w:rPr>
        <w:t xml:space="preserve">: Wales Plc </w:t>
      </w:r>
      <w:r>
        <w:rPr>
          <w:b/>
          <w:bCs/>
          <w:i/>
          <w:lang w:val="en-US"/>
        </w:rPr>
        <w:br/>
        <w:t xml:space="preserve">      </w:t>
      </w:r>
      <w:proofErr w:type="gramStart"/>
      <w:r>
        <w:rPr>
          <w:b/>
          <w:bCs/>
          <w:i/>
          <w:lang w:val="en-US"/>
        </w:rPr>
        <w:t>Income  Statement</w:t>
      </w:r>
      <w:proofErr w:type="gramEnd"/>
    </w:p>
    <w:tbl>
      <w:tblPr>
        <w:tblW w:w="83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99"/>
        <w:gridCol w:w="2142"/>
      </w:tblGrid>
      <w:tr w:rsidR="009C75BA">
        <w:trPr>
          <w:trHeight w:val="483"/>
          <w:jc w:val="center"/>
        </w:trPr>
        <w:tc>
          <w:tcPr>
            <w:tcW w:w="0" w:type="auto"/>
            <w:shd w:val="clear" w:color="auto" w:fill="auto"/>
            <w:noWrap/>
            <w:vAlign w:val="center"/>
          </w:tcPr>
          <w:p w:rsidR="009C75BA" w:rsidRDefault="00820B35">
            <w:pPr>
              <w:ind w:firstLine="0"/>
              <w:rPr>
                <w:color w:val="000000"/>
                <w:szCs w:val="24"/>
              </w:rPr>
            </w:pPr>
            <w:r>
              <w:rPr>
                <w:rFonts w:eastAsia="SimSun"/>
                <w:color w:val="000000"/>
                <w:szCs w:val="24"/>
                <w:lang w:val="en-US" w:eastAsia="zh-CN" w:bidi="ar"/>
              </w:rPr>
              <w:t>For the ended  31 Dec 2021</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Sales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800,000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Cost of sales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578,650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Gross Profit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221,350</w:t>
            </w: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Operating  Expenses </w:t>
            </w: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Administrative expenses</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30,000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Directors remuneration</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5,000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Distribution costs</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28,000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Total operating expense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63,000</w:t>
            </w: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Operating  Income </w:t>
            </w:r>
          </w:p>
        </w:tc>
        <w:tc>
          <w:tcPr>
            <w:tcW w:w="0" w:type="auto"/>
            <w:shd w:val="clear" w:color="auto" w:fill="auto"/>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158,350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Interest paid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2000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Profit  before Tax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156,350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Corporation Tax Expenses</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100,000</w:t>
            </w:r>
          </w:p>
        </w:tc>
      </w:tr>
      <w:tr w:rsidR="009C75BA">
        <w:trPr>
          <w:trHeight w:val="303"/>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Net Income </w:t>
            </w:r>
          </w:p>
        </w:tc>
        <w:tc>
          <w:tcPr>
            <w:tcW w:w="0" w:type="auto"/>
            <w:shd w:val="clear" w:color="auto" w:fill="auto"/>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56,350</w:t>
            </w:r>
          </w:p>
        </w:tc>
      </w:tr>
    </w:tbl>
    <w:p w:rsidR="009C75BA" w:rsidRDefault="009C75BA">
      <w:pPr>
        <w:rPr>
          <w:lang w:val="en-US"/>
        </w:rPr>
      </w:pPr>
    </w:p>
    <w:p w:rsidR="009C75BA" w:rsidRDefault="00820B35">
      <w:pPr>
        <w:pStyle w:val="Caption"/>
        <w:jc w:val="center"/>
        <w:rPr>
          <w:lang w:val="en-US"/>
        </w:rPr>
      </w:pPr>
      <w:r>
        <w:rPr>
          <w:b/>
          <w:bCs/>
          <w:i/>
          <w:iCs w:val="0"/>
        </w:rPr>
        <w:t xml:space="preserve">Table </w:t>
      </w:r>
      <w:r>
        <w:rPr>
          <w:b/>
          <w:bCs/>
          <w:i/>
          <w:iCs w:val="0"/>
        </w:rPr>
        <w:fldChar w:fldCharType="begin"/>
      </w:r>
      <w:r>
        <w:rPr>
          <w:b/>
          <w:bCs/>
          <w:i/>
          <w:iCs w:val="0"/>
        </w:rPr>
        <w:instrText xml:space="preserve"> SEQ Table \* ARABIC </w:instrText>
      </w:r>
      <w:r>
        <w:rPr>
          <w:b/>
          <w:bCs/>
          <w:i/>
          <w:iCs w:val="0"/>
        </w:rPr>
        <w:fldChar w:fldCharType="separate"/>
      </w:r>
      <w:r>
        <w:rPr>
          <w:b/>
          <w:bCs/>
          <w:i/>
          <w:iCs w:val="0"/>
        </w:rPr>
        <w:t>2</w:t>
      </w:r>
      <w:r>
        <w:rPr>
          <w:b/>
          <w:bCs/>
          <w:i/>
          <w:iCs w:val="0"/>
        </w:rPr>
        <w:fldChar w:fldCharType="end"/>
      </w:r>
      <w:r>
        <w:rPr>
          <w:b/>
          <w:bCs/>
          <w:i/>
          <w:iCs w:val="0"/>
          <w:lang w:val="en-US"/>
        </w:rPr>
        <w:t xml:space="preserve">: Wales Plc </w:t>
      </w:r>
      <w:r>
        <w:rPr>
          <w:b/>
          <w:bCs/>
          <w:i/>
          <w:iCs w:val="0"/>
          <w:lang w:val="en-US"/>
        </w:rPr>
        <w:br/>
        <w:t xml:space="preserve">          Balance Sheet</w:t>
      </w:r>
    </w:p>
    <w:tbl>
      <w:tblPr>
        <w:tblW w:w="655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87"/>
        <w:gridCol w:w="1572"/>
      </w:tblGrid>
      <w:tr w:rsidR="009C75BA">
        <w:trPr>
          <w:trHeight w:val="288"/>
          <w:jc w:val="center"/>
        </w:trPr>
        <w:tc>
          <w:tcPr>
            <w:tcW w:w="4987" w:type="dxa"/>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Current Assets </w:t>
            </w:r>
          </w:p>
        </w:tc>
        <w:tc>
          <w:tcPr>
            <w:tcW w:w="1572" w:type="dxa"/>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cash and Bank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126,270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Account Receivables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980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prepaid Interest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2,000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Trade Receivable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170,125</w:t>
            </w:r>
          </w:p>
        </w:tc>
      </w:tr>
      <w:tr w:rsidR="009C75BA">
        <w:trPr>
          <w:trHeight w:val="303"/>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lastRenderedPageBreak/>
              <w:t xml:space="preserve">Inventory Stock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430,600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Total Current  Assets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729,975</w:t>
            </w:r>
          </w:p>
        </w:tc>
      </w:tr>
      <w:tr w:rsidR="009C75BA">
        <w:trPr>
          <w:trHeight w:val="288"/>
          <w:jc w:val="center"/>
        </w:trPr>
        <w:tc>
          <w:tcPr>
            <w:tcW w:w="0" w:type="auto"/>
            <w:shd w:val="clear" w:color="auto" w:fill="auto"/>
            <w:noWrap/>
            <w:vAlign w:val="center"/>
          </w:tcPr>
          <w:p w:rsidR="009C75BA" w:rsidRDefault="009C75BA">
            <w:pPr>
              <w:rPr>
                <w:color w:val="000000"/>
                <w:szCs w:val="24"/>
              </w:rPr>
            </w:pP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Non-Current  Assets</w:t>
            </w: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Plant and Equipment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1,250,000</w:t>
            </w:r>
          </w:p>
        </w:tc>
      </w:tr>
      <w:tr w:rsidR="009C75BA">
        <w:trPr>
          <w:trHeight w:val="303"/>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Total Assets </w:t>
            </w:r>
          </w:p>
        </w:tc>
        <w:tc>
          <w:tcPr>
            <w:tcW w:w="0" w:type="auto"/>
            <w:shd w:val="clear" w:color="auto" w:fill="auto"/>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1,979,975</w:t>
            </w:r>
          </w:p>
        </w:tc>
      </w:tr>
      <w:tr w:rsidR="009C75BA">
        <w:trPr>
          <w:trHeight w:val="303"/>
          <w:jc w:val="center"/>
        </w:trPr>
        <w:tc>
          <w:tcPr>
            <w:tcW w:w="0" w:type="auto"/>
            <w:shd w:val="clear" w:color="auto" w:fill="auto"/>
            <w:noWrap/>
            <w:vAlign w:val="center"/>
          </w:tcPr>
          <w:p w:rsidR="009C75BA" w:rsidRDefault="009C75BA">
            <w:pPr>
              <w:rPr>
                <w:color w:val="000000"/>
                <w:szCs w:val="24"/>
              </w:rPr>
            </w:pP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Current Liabilities </w:t>
            </w: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Trade Payable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188,625</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Sales commissions payable</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3000</w:t>
            </w: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Non-current Liabilities </w:t>
            </w:r>
          </w:p>
        </w:tc>
        <w:tc>
          <w:tcPr>
            <w:tcW w:w="0" w:type="auto"/>
            <w:shd w:val="clear" w:color="auto" w:fill="auto"/>
            <w:noWrap/>
            <w:vAlign w:val="center"/>
          </w:tcPr>
          <w:p w:rsidR="009C75BA" w:rsidRDefault="009C75BA">
            <w:pPr>
              <w:rPr>
                <w:color w:val="000000"/>
                <w:szCs w:val="24"/>
              </w:rPr>
            </w:pPr>
          </w:p>
        </w:tc>
      </w:tr>
      <w:tr w:rsidR="009C75BA">
        <w:trPr>
          <w:trHeight w:val="303"/>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Long term  Debt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200,000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Total Short and Long term liabilities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391,625</w:t>
            </w:r>
          </w:p>
        </w:tc>
      </w:tr>
      <w:tr w:rsidR="009C75BA">
        <w:trPr>
          <w:trHeight w:val="288"/>
          <w:jc w:val="center"/>
        </w:trPr>
        <w:tc>
          <w:tcPr>
            <w:tcW w:w="0" w:type="auto"/>
            <w:shd w:val="clear" w:color="auto" w:fill="auto"/>
            <w:noWrap/>
            <w:vAlign w:val="center"/>
          </w:tcPr>
          <w:p w:rsidR="009C75BA" w:rsidRDefault="009C75BA">
            <w:pPr>
              <w:rPr>
                <w:b/>
                <w:bCs/>
                <w:color w:val="000000"/>
                <w:szCs w:val="24"/>
              </w:rPr>
            </w:pP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Equity </w:t>
            </w:r>
          </w:p>
        </w:tc>
        <w:tc>
          <w:tcPr>
            <w:tcW w:w="0" w:type="auto"/>
            <w:shd w:val="clear" w:color="auto" w:fill="auto"/>
            <w:noWrap/>
            <w:vAlign w:val="center"/>
          </w:tcPr>
          <w:p w:rsidR="009C75BA" w:rsidRDefault="009C75BA">
            <w:pPr>
              <w:rPr>
                <w:color w:val="000000"/>
                <w:szCs w:val="24"/>
              </w:rPr>
            </w:pP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Common share equity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1,000,000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Preference share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400,000</w:t>
            </w:r>
          </w:p>
        </w:tc>
      </w:tr>
      <w:tr w:rsidR="009C75BA">
        <w:trPr>
          <w:trHeight w:val="303"/>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Retained profits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188,350</w:t>
            </w:r>
          </w:p>
        </w:tc>
      </w:tr>
      <w:tr w:rsidR="009C75BA">
        <w:trPr>
          <w:trHeight w:val="288"/>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Total Equity </w:t>
            </w:r>
          </w:p>
        </w:tc>
        <w:tc>
          <w:tcPr>
            <w:tcW w:w="0" w:type="auto"/>
            <w:shd w:val="clear" w:color="auto" w:fill="auto"/>
            <w:noWrap/>
            <w:vAlign w:val="center"/>
          </w:tcPr>
          <w:p w:rsidR="009C75BA" w:rsidRDefault="00820B35">
            <w:pPr>
              <w:jc w:val="right"/>
              <w:textAlignment w:val="center"/>
              <w:rPr>
                <w:color w:val="000000"/>
                <w:szCs w:val="24"/>
              </w:rPr>
            </w:pPr>
            <w:r>
              <w:rPr>
                <w:rFonts w:eastAsia="SimSun"/>
                <w:color w:val="000000"/>
                <w:szCs w:val="24"/>
                <w:lang w:val="en-US" w:eastAsia="zh-CN" w:bidi="ar"/>
              </w:rPr>
              <w:t>1,588,350</w:t>
            </w:r>
          </w:p>
        </w:tc>
      </w:tr>
      <w:tr w:rsidR="009C75BA">
        <w:trPr>
          <w:trHeight w:val="313"/>
          <w:jc w:val="center"/>
        </w:trPr>
        <w:tc>
          <w:tcPr>
            <w:tcW w:w="0" w:type="auto"/>
            <w:shd w:val="clear" w:color="auto" w:fill="auto"/>
            <w:noWrap/>
            <w:vAlign w:val="center"/>
          </w:tcPr>
          <w:p w:rsidR="009C75BA" w:rsidRDefault="00820B35">
            <w:pPr>
              <w:jc w:val="left"/>
              <w:textAlignment w:val="center"/>
              <w:rPr>
                <w:color w:val="000000"/>
                <w:szCs w:val="24"/>
              </w:rPr>
            </w:pPr>
            <w:r>
              <w:rPr>
                <w:rFonts w:eastAsia="SimSun"/>
                <w:color w:val="000000"/>
                <w:szCs w:val="24"/>
                <w:lang w:val="en-US" w:eastAsia="zh-CN" w:bidi="ar"/>
              </w:rPr>
              <w:lastRenderedPageBreak/>
              <w:t xml:space="preserve">Total  liabilities and Equity </w:t>
            </w:r>
          </w:p>
        </w:tc>
        <w:tc>
          <w:tcPr>
            <w:tcW w:w="0" w:type="auto"/>
            <w:shd w:val="clear" w:color="auto" w:fill="auto"/>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1,979,975</w:t>
            </w:r>
          </w:p>
        </w:tc>
      </w:tr>
    </w:tbl>
    <w:p w:rsidR="009C75BA" w:rsidRDefault="009C75BA">
      <w:pPr>
        <w:ind w:firstLine="0"/>
        <w:rPr>
          <w:lang w:val="en-US"/>
        </w:rPr>
      </w:pPr>
    </w:p>
    <w:p w:rsidR="009C75BA" w:rsidRDefault="00820B35">
      <w:pPr>
        <w:rPr>
          <w:lang w:val="en-US"/>
        </w:rPr>
      </w:pPr>
      <w:r>
        <w:rPr>
          <w:lang w:val="en-US"/>
        </w:rPr>
        <w:t xml:space="preserve">The presented tables show the financial statement of Wales Plc for the year ended 31st December 2021. Table 1 shows the Wales Plc Income Statement which has a net income of £56,350 during the year ended 2021. In addition, table 2 illustrates the financial position of Wales plc. </w:t>
      </w:r>
    </w:p>
    <w:p w:rsidR="009C75BA" w:rsidRDefault="00820B35">
      <w:pPr>
        <w:pStyle w:val="Heading1"/>
        <w:numPr>
          <w:ilvl w:val="0"/>
          <w:numId w:val="1"/>
        </w:numPr>
        <w:tabs>
          <w:tab w:val="clear" w:pos="840"/>
          <w:tab w:val="left" w:pos="-240"/>
          <w:tab w:val="left" w:pos="240"/>
        </w:tabs>
        <w:ind w:leftChars="-100" w:left="-240" w:firstLineChars="200" w:firstLine="482"/>
        <w:jc w:val="left"/>
        <w:rPr>
          <w:lang w:val="en-US"/>
        </w:rPr>
      </w:pPr>
      <w:bookmarkStart w:id="4" w:name="_Toc13951"/>
      <w:r>
        <w:rPr>
          <w:lang w:val="en-US"/>
        </w:rPr>
        <w:t>Why does a Statement of Financial Position Balance</w:t>
      </w:r>
      <w:bookmarkEnd w:id="4"/>
      <w:r>
        <w:rPr>
          <w:lang w:val="en-US"/>
        </w:rPr>
        <w:t xml:space="preserve"> </w:t>
      </w:r>
    </w:p>
    <w:p w:rsidR="009C75BA" w:rsidRDefault="00820B35">
      <w:pPr>
        <w:rPr>
          <w:lang w:val="en-US"/>
        </w:rPr>
      </w:pPr>
      <w:r>
        <w:rPr>
          <w:lang w:val="en-US"/>
        </w:rPr>
        <w:t xml:space="preserve">A company's financial status is determined by the actions it makes in its financial statements. The value of a company as of a specific date is presented in a financial statement. A balance sheet lists the company's assets, or what it owns, whereas liabilities are the debts owed by the company. </w:t>
      </w:r>
      <w:proofErr w:type="spellStart"/>
      <w:r>
        <w:rPr>
          <w:lang w:val="en-US"/>
        </w:rPr>
        <w:t>Hasanaj</w:t>
      </w:r>
      <w:proofErr w:type="spellEnd"/>
      <w:r>
        <w:rPr>
          <w:lang w:val="en-US"/>
        </w:rPr>
        <w:t xml:space="preserve"> and </w:t>
      </w:r>
      <w:proofErr w:type="spellStart"/>
      <w:r>
        <w:rPr>
          <w:lang w:val="en-US"/>
        </w:rPr>
        <w:t>Kuqi</w:t>
      </w:r>
      <w:proofErr w:type="spellEnd"/>
      <w:r>
        <w:rPr>
          <w:lang w:val="en-US"/>
        </w:rPr>
        <w:t xml:space="preserve"> (2019) define a financial report that lists corporate resources, debts, and </w:t>
      </w:r>
      <w:proofErr w:type="gramStart"/>
      <w:r>
        <w:rPr>
          <w:lang w:val="en-US"/>
        </w:rPr>
        <w:t>shareholders ’</w:t>
      </w:r>
      <w:proofErr w:type="gramEnd"/>
      <w:r>
        <w:rPr>
          <w:lang w:val="en-US"/>
        </w:rPr>
        <w:t xml:space="preserve"> equity at a certain point in time referred to as a balance sheet. The balance sheet provides the basis for evaluating a company’s capital structure. To make it more precise, the statement of balance sheet evaluation what a company owes, owns, and the money invested by shareholders. According to Nguyen, </w:t>
      </w:r>
      <w:proofErr w:type="spellStart"/>
      <w:r>
        <w:rPr>
          <w:lang w:val="en-US"/>
        </w:rPr>
        <w:t>Gan</w:t>
      </w:r>
      <w:proofErr w:type="spellEnd"/>
      <w:r>
        <w:rPr>
          <w:lang w:val="en-US"/>
        </w:rPr>
        <w:t>, and Li (2020), the company's financial position which is often referred to as a balance sheet adheres to the accounting equation, where assets are presented on one side, meanwhile liabilities and shareholder equity are presented on the other side of the balance sheet. In terms of numbers, the left and right sides of the balance sheet must equal each other. Carpenter et al. (2018). Song et al. (2019) explain that the primary reason causing a balance sheet to balance in accounting is the double entry rule. Every transaction is recorded in at least two different accounts, therefore this accounting system also acts as a check to make sure the entries are accurate.</w:t>
      </w:r>
    </w:p>
    <w:p w:rsidR="009C75BA" w:rsidRDefault="00820B35">
      <w:pPr>
        <w:ind w:firstLine="0"/>
        <w:rPr>
          <w:lang w:val="en-US"/>
        </w:rPr>
      </w:pPr>
      <w:r>
        <w:rPr>
          <w:lang w:val="en-US"/>
        </w:rPr>
        <w:t xml:space="preserve"> Double bookkeeping requires debits equal to credit. Moreover, the financial position typically describes the functions of the statement. It has been determined that when the balance of both sides of a financial position is not equal then it is an indication of a problem while recording accounting entries (</w:t>
      </w:r>
      <w:proofErr w:type="spellStart"/>
      <w:r>
        <w:rPr>
          <w:lang w:val="en-US"/>
        </w:rPr>
        <w:t>Faccia</w:t>
      </w:r>
      <w:proofErr w:type="spellEnd"/>
      <w:r>
        <w:rPr>
          <w:lang w:val="en-US"/>
        </w:rPr>
        <w:t xml:space="preserve"> and </w:t>
      </w:r>
      <w:proofErr w:type="spellStart"/>
      <w:r>
        <w:rPr>
          <w:lang w:val="en-US"/>
        </w:rPr>
        <w:t>Mosteanu</w:t>
      </w:r>
      <w:proofErr w:type="spellEnd"/>
      <w:r>
        <w:rPr>
          <w:lang w:val="en-US"/>
        </w:rPr>
        <w:t xml:space="preserve">, 2019). In addition, </w:t>
      </w:r>
      <w:proofErr w:type="gramStart"/>
      <w:r>
        <w:rPr>
          <w:lang w:val="en-US"/>
        </w:rPr>
        <w:t>The</w:t>
      </w:r>
      <w:proofErr w:type="gramEnd"/>
      <w:r>
        <w:rPr>
          <w:lang w:val="en-US"/>
        </w:rPr>
        <w:t xml:space="preserve"> balance sheet is a key reporting statement that is used by analysts, executives, and investors to understand a company's present financial situation. The financial situation statement is typically provided by </w:t>
      </w:r>
      <w:proofErr w:type="spellStart"/>
      <w:r>
        <w:rPr>
          <w:lang w:val="en-US"/>
        </w:rPr>
        <w:t>organisations</w:t>
      </w:r>
      <w:proofErr w:type="spellEnd"/>
      <w:r>
        <w:rPr>
          <w:lang w:val="en-US"/>
        </w:rPr>
        <w:t xml:space="preserve"> using a double-entry accounting system since it enables ongoing adjustments to the company's resources, obligations, and equity accounts. Furthermore, using the double-entry bookkeeping </w:t>
      </w:r>
      <w:r>
        <w:rPr>
          <w:lang w:val="en-US"/>
        </w:rPr>
        <w:lastRenderedPageBreak/>
        <w:t>record system allow a company to check and maintain balance for each transaction, thus it provides the investors and analyst with the accuracy of the company and ensures the business consistency of maintaining funds. Moro-Visconti (2022) argue that balance in a statement in financial position ensures the investors that the company is misrepresenting any information since both sides of a balance sheet (Asset = Liabilities and owner’s equity) are equal. It's more likely that accounts will balance when the company use double-entry accounting because it reduces errors. By lowering errors and assisting in financial reporting to prevent fraud, the double-entry accounting system can improve business accuracy.</w:t>
      </w:r>
    </w:p>
    <w:p w:rsidR="009C75BA" w:rsidRDefault="009C75BA">
      <w:pPr>
        <w:pStyle w:val="Heading1"/>
        <w:jc w:val="left"/>
        <w:rPr>
          <w:lang w:val="en-US"/>
        </w:rPr>
        <w:sectPr w:rsidR="009C75BA">
          <w:headerReference w:type="default" r:id="rId9"/>
          <w:pgSz w:w="12240" w:h="15840"/>
          <w:pgMar w:top="1440" w:right="1440" w:bottom="1440" w:left="1440" w:header="708" w:footer="708" w:gutter="0"/>
          <w:cols w:space="708"/>
          <w:docGrid w:linePitch="360"/>
        </w:sectPr>
      </w:pPr>
    </w:p>
    <w:p w:rsidR="009C75BA" w:rsidRDefault="00820B35">
      <w:pPr>
        <w:pStyle w:val="Heading1"/>
        <w:jc w:val="left"/>
        <w:rPr>
          <w:lang w:val="en-US"/>
        </w:rPr>
      </w:pPr>
      <w:bookmarkStart w:id="5" w:name="_Toc13408"/>
      <w:r>
        <w:rPr>
          <w:lang w:val="en-US"/>
        </w:rPr>
        <w:lastRenderedPageBreak/>
        <w:t>Reference</w:t>
      </w:r>
      <w:bookmarkEnd w:id="5"/>
    </w:p>
    <w:p w:rsidR="009C75BA" w:rsidRDefault="00820B35">
      <w:pPr>
        <w:ind w:left="720" w:hanging="720"/>
        <w:rPr>
          <w:rFonts w:eastAsia="SimSun"/>
          <w:color w:val="222222"/>
          <w:szCs w:val="24"/>
          <w:shd w:val="clear" w:color="auto" w:fill="FFFFFF"/>
        </w:rPr>
      </w:pPr>
      <w:r>
        <w:rPr>
          <w:color w:val="000000" w:themeColor="text1"/>
          <w:szCs w:val="24"/>
          <w:shd w:val="clear" w:color="auto" w:fill="FFFFFF"/>
        </w:rPr>
        <w:t>Carpenter</w:t>
      </w:r>
      <w:r>
        <w:rPr>
          <w:rFonts w:eastAsia="SimSun"/>
          <w:color w:val="222222"/>
          <w:szCs w:val="24"/>
          <w:shd w:val="clear" w:color="auto" w:fill="FFFFFF"/>
        </w:rPr>
        <w:t xml:space="preserve">, S., </w:t>
      </w:r>
      <w:proofErr w:type="spellStart"/>
      <w:r>
        <w:rPr>
          <w:rFonts w:eastAsia="SimSun"/>
          <w:color w:val="222222"/>
          <w:szCs w:val="24"/>
          <w:shd w:val="clear" w:color="auto" w:fill="FFFFFF"/>
        </w:rPr>
        <w:t>Ihrig</w:t>
      </w:r>
      <w:proofErr w:type="spellEnd"/>
      <w:r>
        <w:rPr>
          <w:rFonts w:eastAsia="SimSun"/>
          <w:color w:val="222222"/>
          <w:szCs w:val="24"/>
          <w:shd w:val="clear" w:color="auto" w:fill="FFFFFF"/>
        </w:rPr>
        <w:t xml:space="preserve">, J., Klee, E., Quinn, D. and </w:t>
      </w:r>
      <w:proofErr w:type="spellStart"/>
      <w:r>
        <w:rPr>
          <w:rFonts w:eastAsia="SimSun"/>
          <w:color w:val="222222"/>
          <w:szCs w:val="24"/>
          <w:shd w:val="clear" w:color="auto" w:fill="FFFFFF"/>
        </w:rPr>
        <w:t>Boote</w:t>
      </w:r>
      <w:proofErr w:type="spellEnd"/>
      <w:r>
        <w:rPr>
          <w:rFonts w:eastAsia="SimSun"/>
          <w:color w:val="222222"/>
          <w:szCs w:val="24"/>
          <w:shd w:val="clear" w:color="auto" w:fill="FFFFFF"/>
        </w:rPr>
        <w:t>, A., 2018. The Federal Reserve's balance sheet and earnings: a primer and projections. </w:t>
      </w:r>
      <w:r>
        <w:rPr>
          <w:rFonts w:eastAsia="SimSun"/>
          <w:i/>
          <w:iCs/>
          <w:color w:val="222222"/>
          <w:szCs w:val="24"/>
          <w:shd w:val="clear" w:color="auto" w:fill="FFFFFF"/>
        </w:rPr>
        <w:t>39th issue (March 2015) of the International Journal of Central Banking</w:t>
      </w:r>
      <w:r>
        <w:rPr>
          <w:rFonts w:eastAsia="SimSun"/>
          <w:color w:val="222222"/>
          <w:szCs w:val="24"/>
          <w:shd w:val="clear" w:color="auto" w:fill="FFFFFF"/>
        </w:rPr>
        <w:t>.</w:t>
      </w:r>
    </w:p>
    <w:p w:rsidR="009C75BA" w:rsidRDefault="00820B35">
      <w:pPr>
        <w:ind w:left="720" w:hanging="720"/>
        <w:rPr>
          <w:rFonts w:eastAsia="SimSun"/>
          <w:color w:val="222222"/>
          <w:szCs w:val="24"/>
          <w:shd w:val="clear" w:color="auto" w:fill="FFFFFF"/>
        </w:rPr>
      </w:pPr>
      <w:proofErr w:type="spellStart"/>
      <w:r>
        <w:rPr>
          <w:color w:val="000000" w:themeColor="text1"/>
          <w:szCs w:val="24"/>
          <w:shd w:val="clear" w:color="auto" w:fill="FFFFFF"/>
        </w:rPr>
        <w:t>Faccia</w:t>
      </w:r>
      <w:proofErr w:type="spellEnd"/>
      <w:r>
        <w:rPr>
          <w:rFonts w:eastAsia="SimSun"/>
          <w:color w:val="222222"/>
          <w:szCs w:val="24"/>
          <w:shd w:val="clear" w:color="auto" w:fill="FFFFFF"/>
        </w:rPr>
        <w:t xml:space="preserve">, A. and </w:t>
      </w:r>
      <w:proofErr w:type="spellStart"/>
      <w:r>
        <w:rPr>
          <w:rFonts w:eastAsia="SimSun"/>
          <w:color w:val="222222"/>
          <w:szCs w:val="24"/>
          <w:shd w:val="clear" w:color="auto" w:fill="FFFFFF"/>
        </w:rPr>
        <w:t>Mosteanu</w:t>
      </w:r>
      <w:proofErr w:type="spellEnd"/>
      <w:r>
        <w:rPr>
          <w:rFonts w:eastAsia="SimSun"/>
          <w:color w:val="222222"/>
          <w:szCs w:val="24"/>
          <w:shd w:val="clear" w:color="auto" w:fill="FFFFFF"/>
        </w:rPr>
        <w:t xml:space="preserve">, N.R., 2019. Accounting and </w:t>
      </w:r>
      <w:proofErr w:type="spellStart"/>
      <w:r>
        <w:rPr>
          <w:rFonts w:eastAsia="SimSun"/>
          <w:color w:val="222222"/>
          <w:szCs w:val="24"/>
          <w:shd w:val="clear" w:color="auto" w:fill="FFFFFF"/>
        </w:rPr>
        <w:t>blockchain</w:t>
      </w:r>
      <w:proofErr w:type="spellEnd"/>
      <w:r>
        <w:rPr>
          <w:rFonts w:eastAsia="SimSun"/>
          <w:color w:val="222222"/>
          <w:szCs w:val="24"/>
          <w:shd w:val="clear" w:color="auto" w:fill="FFFFFF"/>
        </w:rPr>
        <w:t xml:space="preserve"> technology: from double-entry to triple-entry. </w:t>
      </w:r>
      <w:r>
        <w:rPr>
          <w:rFonts w:eastAsia="SimSun"/>
          <w:i/>
          <w:iCs/>
          <w:color w:val="222222"/>
          <w:szCs w:val="24"/>
          <w:shd w:val="clear" w:color="auto" w:fill="FFFFFF"/>
        </w:rPr>
        <w:t>The Business &amp; Management Review</w:t>
      </w:r>
      <w:r>
        <w:rPr>
          <w:rFonts w:eastAsia="SimSun"/>
          <w:color w:val="222222"/>
          <w:szCs w:val="24"/>
          <w:shd w:val="clear" w:color="auto" w:fill="FFFFFF"/>
        </w:rPr>
        <w:t>, </w:t>
      </w:r>
      <w:r>
        <w:rPr>
          <w:rFonts w:eastAsia="SimSun"/>
          <w:i/>
          <w:iCs/>
          <w:color w:val="222222"/>
          <w:szCs w:val="24"/>
          <w:shd w:val="clear" w:color="auto" w:fill="FFFFFF"/>
        </w:rPr>
        <w:t>10</w:t>
      </w:r>
      <w:r>
        <w:rPr>
          <w:rFonts w:eastAsia="SimSun"/>
          <w:color w:val="222222"/>
          <w:szCs w:val="24"/>
          <w:shd w:val="clear" w:color="auto" w:fill="FFFFFF"/>
        </w:rPr>
        <w:t>(2), pp.108-116.</w:t>
      </w:r>
    </w:p>
    <w:p w:rsidR="009C75BA" w:rsidRDefault="00820B35">
      <w:pPr>
        <w:ind w:left="720" w:hanging="720"/>
        <w:rPr>
          <w:rFonts w:eastAsia="SimSun"/>
          <w:color w:val="222222"/>
          <w:szCs w:val="24"/>
          <w:shd w:val="clear" w:color="auto" w:fill="FFFFFF"/>
        </w:rPr>
      </w:pPr>
      <w:proofErr w:type="spellStart"/>
      <w:r>
        <w:rPr>
          <w:color w:val="000000" w:themeColor="text1"/>
          <w:szCs w:val="24"/>
          <w:shd w:val="clear" w:color="auto" w:fill="FFFFFF"/>
        </w:rPr>
        <w:t>Hasanaj</w:t>
      </w:r>
      <w:proofErr w:type="spellEnd"/>
      <w:r>
        <w:rPr>
          <w:rFonts w:eastAsia="SimSun"/>
          <w:color w:val="222222"/>
          <w:szCs w:val="24"/>
          <w:shd w:val="clear" w:color="auto" w:fill="FFFFFF"/>
        </w:rPr>
        <w:t xml:space="preserve">, P. and </w:t>
      </w:r>
      <w:proofErr w:type="spellStart"/>
      <w:r>
        <w:rPr>
          <w:rFonts w:eastAsia="SimSun"/>
          <w:color w:val="222222"/>
          <w:szCs w:val="24"/>
          <w:shd w:val="clear" w:color="auto" w:fill="FFFFFF"/>
        </w:rPr>
        <w:t>Kuqi</w:t>
      </w:r>
      <w:proofErr w:type="spellEnd"/>
      <w:r>
        <w:rPr>
          <w:rFonts w:eastAsia="SimSun"/>
          <w:color w:val="222222"/>
          <w:szCs w:val="24"/>
          <w:shd w:val="clear" w:color="auto" w:fill="FFFFFF"/>
        </w:rPr>
        <w:t>, B., 2019. Analysis of financial statements. </w:t>
      </w:r>
      <w:r>
        <w:rPr>
          <w:rFonts w:eastAsia="SimSun"/>
          <w:i/>
          <w:iCs/>
          <w:color w:val="222222"/>
          <w:szCs w:val="24"/>
          <w:shd w:val="clear" w:color="auto" w:fill="FFFFFF"/>
        </w:rPr>
        <w:t>Humanities and Social Science Research</w:t>
      </w:r>
      <w:r>
        <w:rPr>
          <w:rFonts w:eastAsia="SimSun"/>
          <w:color w:val="222222"/>
          <w:szCs w:val="24"/>
          <w:shd w:val="clear" w:color="auto" w:fill="FFFFFF"/>
        </w:rPr>
        <w:t>, </w:t>
      </w:r>
      <w:r>
        <w:rPr>
          <w:rFonts w:eastAsia="SimSun"/>
          <w:i/>
          <w:iCs/>
          <w:color w:val="222222"/>
          <w:szCs w:val="24"/>
          <w:shd w:val="clear" w:color="auto" w:fill="FFFFFF"/>
        </w:rPr>
        <w:t>2</w:t>
      </w:r>
      <w:r>
        <w:rPr>
          <w:rFonts w:eastAsia="SimSun"/>
          <w:color w:val="222222"/>
          <w:szCs w:val="24"/>
          <w:shd w:val="clear" w:color="auto" w:fill="FFFFFF"/>
        </w:rPr>
        <w:t>(2), pp.p17-p17.</w:t>
      </w:r>
    </w:p>
    <w:p w:rsidR="009C75BA" w:rsidRDefault="00820B35">
      <w:pPr>
        <w:ind w:left="720" w:hanging="720"/>
        <w:rPr>
          <w:rFonts w:eastAsia="SimSun"/>
          <w:color w:val="222222"/>
          <w:szCs w:val="24"/>
          <w:shd w:val="clear" w:color="auto" w:fill="FFFFFF"/>
        </w:rPr>
      </w:pPr>
      <w:r>
        <w:rPr>
          <w:color w:val="000000" w:themeColor="text1"/>
          <w:szCs w:val="24"/>
          <w:shd w:val="clear" w:color="auto" w:fill="FFFFFF"/>
        </w:rPr>
        <w:t>Moro</w:t>
      </w:r>
      <w:r>
        <w:rPr>
          <w:rFonts w:eastAsia="SimSun"/>
          <w:color w:val="222222"/>
          <w:szCs w:val="24"/>
          <w:shd w:val="clear" w:color="auto" w:fill="FFFFFF"/>
        </w:rPr>
        <w:t>-Visconti, R., 2022. Corporate Governance Concerns and Bankability Issues of the Digital Assets: More Guarantees with Less Collateral</w:t>
      </w:r>
      <w:proofErr w:type="gramStart"/>
      <w:r>
        <w:rPr>
          <w:rFonts w:eastAsia="SimSun"/>
          <w:color w:val="222222"/>
          <w:szCs w:val="24"/>
          <w:shd w:val="clear" w:color="auto" w:fill="FFFFFF"/>
        </w:rPr>
        <w:t>?.</w:t>
      </w:r>
      <w:proofErr w:type="gramEnd"/>
      <w:r>
        <w:rPr>
          <w:rFonts w:eastAsia="SimSun"/>
          <w:color w:val="222222"/>
          <w:szCs w:val="24"/>
          <w:shd w:val="clear" w:color="auto" w:fill="FFFFFF"/>
        </w:rPr>
        <w:t xml:space="preserve"> In </w:t>
      </w:r>
      <w:r>
        <w:rPr>
          <w:rFonts w:eastAsia="SimSun"/>
          <w:i/>
          <w:iCs/>
          <w:color w:val="222222"/>
          <w:szCs w:val="24"/>
          <w:shd w:val="clear" w:color="auto" w:fill="FFFFFF"/>
        </w:rPr>
        <w:t>The Valuation of Digital Intangibles</w:t>
      </w:r>
      <w:r>
        <w:rPr>
          <w:rFonts w:eastAsia="SimSun"/>
          <w:color w:val="222222"/>
          <w:szCs w:val="24"/>
          <w:shd w:val="clear" w:color="auto" w:fill="FFFFFF"/>
        </w:rPr>
        <w:t> (pp. 765-799). Palgrave Macmillan, Cham.</w:t>
      </w:r>
    </w:p>
    <w:p w:rsidR="009C75BA" w:rsidRDefault="00820B35">
      <w:pPr>
        <w:ind w:left="720" w:hanging="720"/>
        <w:rPr>
          <w:rFonts w:eastAsia="SimSun"/>
          <w:color w:val="222222"/>
          <w:szCs w:val="24"/>
          <w:shd w:val="clear" w:color="auto" w:fill="FFFFFF"/>
          <w:lang w:val="en-US"/>
        </w:rPr>
      </w:pPr>
      <w:r>
        <w:rPr>
          <w:color w:val="000000" w:themeColor="text1"/>
          <w:szCs w:val="24"/>
          <w:shd w:val="clear" w:color="auto" w:fill="FFFFFF"/>
        </w:rPr>
        <w:t>Nguyen</w:t>
      </w:r>
      <w:r>
        <w:rPr>
          <w:rFonts w:eastAsia="SimSun"/>
          <w:color w:val="222222"/>
          <w:szCs w:val="24"/>
          <w:shd w:val="clear" w:color="auto" w:fill="FFFFFF"/>
        </w:rPr>
        <w:t xml:space="preserve">, Q.T.T., </w:t>
      </w:r>
      <w:proofErr w:type="spellStart"/>
      <w:r>
        <w:rPr>
          <w:rFonts w:eastAsia="SimSun"/>
          <w:color w:val="222222"/>
          <w:szCs w:val="24"/>
          <w:shd w:val="clear" w:color="auto" w:fill="FFFFFF"/>
        </w:rPr>
        <w:t>Gan</w:t>
      </w:r>
      <w:proofErr w:type="spellEnd"/>
      <w:r>
        <w:rPr>
          <w:rFonts w:eastAsia="SimSun"/>
          <w:color w:val="222222"/>
          <w:szCs w:val="24"/>
          <w:shd w:val="clear" w:color="auto" w:fill="FFFFFF"/>
        </w:rPr>
        <w:t>, C. and Li, Z., 2020. Capital regulation and bank balance sheet adjustments: a simultaneous approach. </w:t>
      </w:r>
      <w:r>
        <w:rPr>
          <w:rFonts w:eastAsia="SimSun"/>
          <w:i/>
          <w:iCs/>
          <w:color w:val="222222"/>
          <w:szCs w:val="24"/>
          <w:shd w:val="clear" w:color="auto" w:fill="FFFFFF"/>
        </w:rPr>
        <w:t>Accounting &amp; Finance</w:t>
      </w:r>
      <w:r>
        <w:rPr>
          <w:rFonts w:eastAsia="SimSun"/>
          <w:color w:val="222222"/>
          <w:szCs w:val="24"/>
          <w:shd w:val="clear" w:color="auto" w:fill="FFFFFF"/>
        </w:rPr>
        <w:t>, </w:t>
      </w:r>
      <w:r>
        <w:rPr>
          <w:rFonts w:eastAsia="SimSun"/>
          <w:i/>
          <w:iCs/>
          <w:color w:val="222222"/>
          <w:szCs w:val="24"/>
          <w:shd w:val="clear" w:color="auto" w:fill="FFFFFF"/>
        </w:rPr>
        <w:t>60</w:t>
      </w:r>
      <w:r>
        <w:rPr>
          <w:rFonts w:eastAsia="SimSun"/>
          <w:color w:val="222222"/>
          <w:szCs w:val="24"/>
          <w:shd w:val="clear" w:color="auto" w:fill="FFFFFF"/>
        </w:rPr>
        <w:t>(2), pp.1563-1599.</w:t>
      </w:r>
    </w:p>
    <w:p w:rsidR="009C75BA" w:rsidRDefault="00820B35">
      <w:pPr>
        <w:ind w:left="720" w:hanging="720"/>
        <w:rPr>
          <w:rFonts w:eastAsia="SimSun"/>
          <w:color w:val="222222"/>
          <w:szCs w:val="24"/>
          <w:shd w:val="clear" w:color="auto" w:fill="FFFFFF"/>
        </w:rPr>
      </w:pPr>
      <w:r>
        <w:rPr>
          <w:color w:val="000000" w:themeColor="text1"/>
          <w:szCs w:val="24"/>
          <w:shd w:val="clear" w:color="auto" w:fill="FFFFFF"/>
        </w:rPr>
        <w:t>Song</w:t>
      </w:r>
      <w:r>
        <w:rPr>
          <w:rFonts w:eastAsia="SimSun"/>
          <w:color w:val="222222"/>
          <w:szCs w:val="24"/>
          <w:shd w:val="clear" w:color="auto" w:fill="FFFFFF"/>
        </w:rPr>
        <w:t>, M., Zhu, S., Wang, J. and Wang, S., 2019. China's natural resources balance sheet from the perspective of government oversight: based on the analysis of governance and accounting attributes. </w:t>
      </w:r>
      <w:r>
        <w:rPr>
          <w:rFonts w:eastAsia="SimSun"/>
          <w:i/>
          <w:iCs/>
          <w:color w:val="222222"/>
          <w:szCs w:val="24"/>
          <w:shd w:val="clear" w:color="auto" w:fill="FFFFFF"/>
        </w:rPr>
        <w:t>Journal of environmental management</w:t>
      </w:r>
      <w:r>
        <w:rPr>
          <w:rFonts w:eastAsia="SimSun"/>
          <w:color w:val="222222"/>
          <w:szCs w:val="24"/>
          <w:shd w:val="clear" w:color="auto" w:fill="FFFFFF"/>
        </w:rPr>
        <w:t>, </w:t>
      </w:r>
      <w:r>
        <w:rPr>
          <w:rFonts w:eastAsia="SimSun"/>
          <w:i/>
          <w:iCs/>
          <w:color w:val="222222"/>
          <w:szCs w:val="24"/>
          <w:shd w:val="clear" w:color="auto" w:fill="FFFFFF"/>
        </w:rPr>
        <w:t>248</w:t>
      </w:r>
      <w:r>
        <w:rPr>
          <w:rFonts w:eastAsia="SimSun"/>
          <w:color w:val="222222"/>
          <w:szCs w:val="24"/>
          <w:shd w:val="clear" w:color="auto" w:fill="FFFFFF"/>
        </w:rPr>
        <w:t>, p.109232.</w:t>
      </w: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firstLine="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820B35">
      <w:pPr>
        <w:pStyle w:val="Heading1"/>
        <w:rPr>
          <w:rFonts w:eastAsia="SimSun"/>
          <w:color w:val="222222"/>
          <w:shd w:val="clear" w:color="auto" w:fill="FFFFFF"/>
          <w:lang w:val="en-US"/>
        </w:rPr>
      </w:pPr>
      <w:bookmarkStart w:id="6" w:name="_Toc11075"/>
      <w:r>
        <w:rPr>
          <w:lang w:val="en-US"/>
        </w:rPr>
        <w:t xml:space="preserve">QUESTION </w:t>
      </w:r>
      <w:r>
        <w:rPr>
          <w:rFonts w:eastAsia="SimSun"/>
          <w:color w:val="222222"/>
          <w:shd w:val="clear" w:color="auto" w:fill="FFFFFF"/>
          <w:lang w:val="en-US"/>
        </w:rPr>
        <w:t>2</w:t>
      </w:r>
      <w:bookmarkEnd w:id="6"/>
    </w:p>
    <w:p w:rsidR="009C75BA" w:rsidRDefault="00820B35">
      <w:pPr>
        <w:pStyle w:val="Heading1"/>
        <w:numPr>
          <w:ilvl w:val="0"/>
          <w:numId w:val="2"/>
        </w:numPr>
        <w:jc w:val="both"/>
        <w:rPr>
          <w:lang w:val="en-US"/>
        </w:rPr>
      </w:pPr>
      <w:bookmarkStart w:id="7" w:name="_Toc23414"/>
      <w:r>
        <w:rPr>
          <w:lang w:val="en-US"/>
        </w:rPr>
        <w:t>Overview of Financial Ratio</w:t>
      </w:r>
      <w:bookmarkEnd w:id="7"/>
      <w:r>
        <w:rPr>
          <w:lang w:val="en-US"/>
        </w:rPr>
        <w:t xml:space="preserve"> </w:t>
      </w:r>
    </w:p>
    <w:p w:rsidR="009C75BA" w:rsidRDefault="00820B35">
      <w:pPr>
        <w:rPr>
          <w:lang w:val="en-US"/>
        </w:rPr>
      </w:pPr>
      <w:r>
        <w:rPr>
          <w:szCs w:val="24"/>
          <w:lang w:val="en-US"/>
        </w:rPr>
        <w:t xml:space="preserve">By </w:t>
      </w:r>
      <w:proofErr w:type="spellStart"/>
      <w:r>
        <w:rPr>
          <w:szCs w:val="24"/>
          <w:lang w:val="en-US"/>
        </w:rPr>
        <w:t>analysing</w:t>
      </w:r>
      <w:proofErr w:type="spellEnd"/>
      <w:r>
        <w:rPr>
          <w:szCs w:val="24"/>
          <w:lang w:val="en-US"/>
        </w:rPr>
        <w:t xml:space="preserve"> both historical and present financial data, the company’s financial ratio is used to assess a company's financial health. Using comparative statistics, the performance of the company over time may be displayed and predicted. The financial performance of a company may be contrasted with that of its competitors and the industry as a whole. Various ratios are used to evaluate the performance of the company which involve the profitability, liquidity, solvency, and debt position of the company. According to </w:t>
      </w:r>
      <w:proofErr w:type="spellStart"/>
      <w:r>
        <w:rPr>
          <w:szCs w:val="24"/>
          <w:lang w:val="en-US"/>
        </w:rPr>
        <w:t>Bordeianu</w:t>
      </w:r>
      <w:proofErr w:type="spellEnd"/>
      <w:r>
        <w:rPr>
          <w:szCs w:val="24"/>
          <w:lang w:val="en-US"/>
        </w:rPr>
        <w:t xml:space="preserve"> and </w:t>
      </w:r>
      <w:proofErr w:type="spellStart"/>
      <w:r>
        <w:rPr>
          <w:szCs w:val="24"/>
          <w:lang w:val="en-US"/>
        </w:rPr>
        <w:t>Radu</w:t>
      </w:r>
      <w:proofErr w:type="spellEnd"/>
      <w:r>
        <w:rPr>
          <w:szCs w:val="24"/>
          <w:lang w:val="en-US"/>
        </w:rPr>
        <w:t xml:space="preserve"> (2020), ratio analysis can be used by investors with ease because the financial records of a company contain all the data required to calculate the ratios. Appendix </w:t>
      </w:r>
      <w:proofErr w:type="gramStart"/>
      <w:r>
        <w:rPr>
          <w:szCs w:val="24"/>
          <w:lang w:val="en-US"/>
        </w:rPr>
        <w:t>1  shows</w:t>
      </w:r>
      <w:proofErr w:type="gramEnd"/>
      <w:r>
        <w:rPr>
          <w:szCs w:val="24"/>
          <w:lang w:val="en-US"/>
        </w:rPr>
        <w:t xml:space="preserve"> the calculation of the ratios of Sweets Plc from the year 2020 and 2021 fiscal year. The provided calculation also provide the change of each ratio during the year. </w:t>
      </w:r>
    </w:p>
    <w:p w:rsidR="009C75BA" w:rsidRDefault="009C75BA">
      <w:pPr>
        <w:ind w:firstLine="0"/>
        <w:rPr>
          <w:lang w:val="en-US"/>
        </w:rPr>
      </w:pPr>
    </w:p>
    <w:p w:rsidR="009C75BA" w:rsidRDefault="00820B35">
      <w:pPr>
        <w:pStyle w:val="Heading1"/>
        <w:numPr>
          <w:ilvl w:val="0"/>
          <w:numId w:val="2"/>
        </w:numPr>
        <w:jc w:val="both"/>
        <w:rPr>
          <w:lang w:val="en-US"/>
        </w:rPr>
      </w:pPr>
      <w:bookmarkStart w:id="8" w:name="_Toc6394"/>
      <w:proofErr w:type="spellStart"/>
      <w:r>
        <w:rPr>
          <w:lang w:val="en-US"/>
        </w:rPr>
        <w:t>Analyse</w:t>
      </w:r>
      <w:proofErr w:type="spellEnd"/>
      <w:r>
        <w:rPr>
          <w:lang w:val="en-US"/>
        </w:rPr>
        <w:t xml:space="preserve"> the Financial Performance and Position of the Sweets Plc</w:t>
      </w:r>
      <w:bookmarkEnd w:id="8"/>
    </w:p>
    <w:p w:rsidR="009C75BA" w:rsidRDefault="00820B35">
      <w:pPr>
        <w:ind w:firstLine="0"/>
        <w:rPr>
          <w:lang w:val="en-US"/>
        </w:rPr>
      </w:pPr>
      <w:r>
        <w:rPr>
          <w:szCs w:val="24"/>
          <w:lang w:val="en-US"/>
        </w:rPr>
        <w:tab/>
        <w:t xml:space="preserve">To evaluate the entire performance and position of the company, a number of variables, such as solvency, profitability, liquidity, repayment capacity, and financial efficiency should be considered. Each of these factors evaluates a separate component of </w:t>
      </w:r>
      <w:proofErr w:type="gramStart"/>
      <w:r>
        <w:rPr>
          <w:szCs w:val="24"/>
          <w:lang w:val="en-US"/>
        </w:rPr>
        <w:t>financial  performance</w:t>
      </w:r>
      <w:proofErr w:type="gramEnd"/>
      <w:r>
        <w:rPr>
          <w:szCs w:val="24"/>
          <w:lang w:val="en-US"/>
        </w:rPr>
        <w:t xml:space="preserve"> and position  of the company. The ROCE calculation demonstrates how much money a company makes for each £1 of capital invested. The greater the profit a company can produce per unit of output, the better (</w:t>
      </w:r>
      <w:proofErr w:type="spellStart"/>
      <w:r>
        <w:rPr>
          <w:szCs w:val="24"/>
          <w:lang w:val="en-US"/>
        </w:rPr>
        <w:t>Purba</w:t>
      </w:r>
      <w:proofErr w:type="spellEnd"/>
      <w:r>
        <w:rPr>
          <w:szCs w:val="24"/>
          <w:lang w:val="en-US"/>
        </w:rPr>
        <w:t xml:space="preserve"> and Africa, 2019). Therefore, in corporate comparisons, a larger ROCE indicates more profitability. The computation of Sweets plc ROCE shows that ratio increased by 1.21% from 2020 to 2021. The reason for the increased in ROCE for Sweet's plc is because of higher operating income or EBIT observed from Sweet’s financial statement during 2020-2021 which increased the ratio of ROCE. In addition,</w:t>
      </w:r>
      <w:r>
        <w:rPr>
          <w:lang w:val="en-US"/>
        </w:rPr>
        <w:t xml:space="preserve"> the computation of ROE allows an investor to </w:t>
      </w:r>
      <w:proofErr w:type="spellStart"/>
      <w:r>
        <w:rPr>
          <w:lang w:val="en-US"/>
        </w:rPr>
        <w:t>analyse</w:t>
      </w:r>
      <w:proofErr w:type="spellEnd"/>
      <w:r>
        <w:rPr>
          <w:lang w:val="en-US"/>
        </w:rPr>
        <w:t xml:space="preserve"> how well a company is efficient to manage its capital. The appendix 1 shows the calculation of return on equity for 2020 and 2021, it was discovered that in 2021, the company's return on equity ratio increased by 1.39% because there was in increase in the net income of the company in 2021. Thus, a higher ratio indicates the higher profitability of the company. </w:t>
      </w:r>
    </w:p>
    <w:p w:rsidR="009C75BA" w:rsidRDefault="009C75BA">
      <w:pPr>
        <w:rPr>
          <w:lang w:val="en-US"/>
        </w:rPr>
      </w:pPr>
    </w:p>
    <w:p w:rsidR="009C75BA" w:rsidRDefault="009C75BA">
      <w:pPr>
        <w:ind w:firstLine="0"/>
        <w:rPr>
          <w:rFonts w:eastAsia="SimSun"/>
          <w:color w:val="222222"/>
          <w:szCs w:val="24"/>
          <w:shd w:val="clear" w:color="auto" w:fill="FFFFFF"/>
          <w:lang w:val="en-US"/>
        </w:rPr>
      </w:pPr>
    </w:p>
    <w:p w:rsidR="009C75BA" w:rsidRDefault="00820B35">
      <w:pPr>
        <w:ind w:firstLine="0"/>
        <w:rPr>
          <w:rFonts w:eastAsia="SimSun"/>
          <w:color w:val="222222"/>
          <w:szCs w:val="24"/>
          <w:shd w:val="clear" w:color="auto" w:fill="FFFFFF"/>
          <w:lang w:val="en-US"/>
        </w:rPr>
      </w:pPr>
      <w:r>
        <w:rPr>
          <w:rFonts w:eastAsia="SimSun"/>
          <w:color w:val="222222"/>
          <w:szCs w:val="24"/>
          <w:shd w:val="clear" w:color="auto" w:fill="FFFFFF"/>
          <w:lang w:val="en-US"/>
        </w:rPr>
        <w:lastRenderedPageBreak/>
        <w:tab/>
        <w:t>Profits are divided by the number of shares of common stock to determine a company's profit per share (EPS) (</w:t>
      </w:r>
      <w:proofErr w:type="spellStart"/>
      <w:r>
        <w:rPr>
          <w:rFonts w:eastAsia="SimSun"/>
          <w:color w:val="222222"/>
          <w:szCs w:val="24"/>
          <w:shd w:val="clear" w:color="auto" w:fill="FFFFFF"/>
          <w:lang w:val="en-US"/>
        </w:rPr>
        <w:t>Pramitta</w:t>
      </w:r>
      <w:proofErr w:type="spellEnd"/>
      <w:r>
        <w:rPr>
          <w:rFonts w:eastAsia="SimSun"/>
          <w:color w:val="222222"/>
          <w:szCs w:val="24"/>
          <w:shd w:val="clear" w:color="auto" w:fill="FFFFFF"/>
          <w:lang w:val="en-US"/>
        </w:rPr>
        <w:t xml:space="preserve"> </w:t>
      </w:r>
      <w:proofErr w:type="spellStart"/>
      <w:r>
        <w:rPr>
          <w:rFonts w:eastAsia="SimSun"/>
          <w:color w:val="222222"/>
          <w:szCs w:val="24"/>
          <w:shd w:val="clear" w:color="auto" w:fill="FFFFFF"/>
          <w:lang w:val="en-US"/>
        </w:rPr>
        <w:t>Yulianda</w:t>
      </w:r>
      <w:proofErr w:type="spellEnd"/>
      <w:r>
        <w:rPr>
          <w:rFonts w:eastAsia="SimSun"/>
          <w:color w:val="222222"/>
          <w:szCs w:val="24"/>
          <w:shd w:val="clear" w:color="auto" w:fill="FFFFFF"/>
          <w:lang w:val="en-US"/>
        </w:rPr>
        <w:t xml:space="preserve">, </w:t>
      </w:r>
      <w:proofErr w:type="spellStart"/>
      <w:r>
        <w:rPr>
          <w:rFonts w:eastAsia="SimSun"/>
          <w:color w:val="222222"/>
          <w:szCs w:val="24"/>
          <w:shd w:val="clear" w:color="auto" w:fill="FFFFFF"/>
          <w:lang w:val="en-US"/>
        </w:rPr>
        <w:t>Thio</w:t>
      </w:r>
      <w:proofErr w:type="spellEnd"/>
      <w:r>
        <w:rPr>
          <w:rFonts w:eastAsia="SimSun"/>
          <w:color w:val="222222"/>
          <w:szCs w:val="24"/>
          <w:shd w:val="clear" w:color="auto" w:fill="FFFFFF"/>
          <w:lang w:val="en-US"/>
        </w:rPr>
        <w:t xml:space="preserve">, and </w:t>
      </w:r>
      <w:proofErr w:type="spellStart"/>
      <w:r>
        <w:rPr>
          <w:rFonts w:eastAsia="SimSun"/>
          <w:color w:val="222222"/>
          <w:szCs w:val="24"/>
          <w:shd w:val="clear" w:color="auto" w:fill="FFFFFF"/>
          <w:lang w:val="en-US"/>
        </w:rPr>
        <w:t>Asri</w:t>
      </w:r>
      <w:proofErr w:type="spellEnd"/>
      <w:r>
        <w:rPr>
          <w:rFonts w:eastAsia="SimSun"/>
          <w:color w:val="222222"/>
          <w:szCs w:val="24"/>
          <w:shd w:val="clear" w:color="auto" w:fill="FFFFFF"/>
          <w:lang w:val="en-US"/>
        </w:rPr>
        <w:t xml:space="preserve">, 2018).  On this figure, a company's profitability is determined. </w:t>
      </w:r>
      <w:proofErr w:type="spellStart"/>
      <w:r>
        <w:rPr>
          <w:rFonts w:eastAsia="SimSun"/>
          <w:color w:val="222222"/>
          <w:szCs w:val="24"/>
          <w:shd w:val="clear" w:color="auto" w:fill="FFFFFF"/>
          <w:lang w:val="en-US"/>
        </w:rPr>
        <w:t>Abd</w:t>
      </w:r>
      <w:proofErr w:type="spellEnd"/>
      <w:r>
        <w:rPr>
          <w:rFonts w:eastAsia="SimSun"/>
          <w:color w:val="222222"/>
          <w:szCs w:val="24"/>
          <w:shd w:val="clear" w:color="auto" w:fill="FFFFFF"/>
          <w:lang w:val="en-US"/>
        </w:rPr>
        <w:t xml:space="preserve"> Rahim et al. (2020) define that companies frequently </w:t>
      </w:r>
      <w:proofErr w:type="spellStart"/>
      <w:r>
        <w:rPr>
          <w:rFonts w:eastAsia="SimSun"/>
          <w:color w:val="222222"/>
          <w:szCs w:val="24"/>
          <w:shd w:val="clear" w:color="auto" w:fill="FFFFFF"/>
          <w:lang w:val="en-US"/>
        </w:rPr>
        <w:t>utilise</w:t>
      </w:r>
      <w:proofErr w:type="spellEnd"/>
      <w:r>
        <w:rPr>
          <w:rFonts w:eastAsia="SimSun"/>
          <w:color w:val="222222"/>
          <w:szCs w:val="24"/>
          <w:shd w:val="clear" w:color="auto" w:fill="FFFFFF"/>
          <w:lang w:val="en-US"/>
        </w:rPr>
        <w:t xml:space="preserve"> the EPS ratio to report their financial results. From the provided appendix it has been figured out that from 2021 to 2020 </w:t>
      </w:r>
      <w:proofErr w:type="gramStart"/>
      <w:r>
        <w:rPr>
          <w:rFonts w:eastAsia="SimSun"/>
          <w:color w:val="222222"/>
          <w:szCs w:val="24"/>
          <w:shd w:val="clear" w:color="auto" w:fill="FFFFFF"/>
          <w:lang w:val="en-US"/>
        </w:rPr>
        <w:t>the  EPS</w:t>
      </w:r>
      <w:proofErr w:type="gramEnd"/>
      <w:r>
        <w:rPr>
          <w:rFonts w:eastAsia="SimSun"/>
          <w:color w:val="222222"/>
          <w:szCs w:val="24"/>
          <w:shd w:val="clear" w:color="auto" w:fill="FFFFFF"/>
          <w:lang w:val="en-US"/>
        </w:rPr>
        <w:t xml:space="preserve"> of the company increased by 0.217, which suggests that investors would pay more for Sweet’s plc shares if they believe the company has larger earnings relative to its share price, thus the higher EPS denotes more value for the company and increased the net worth of the Sweets plc.  </w:t>
      </w:r>
    </w:p>
    <w:p w:rsidR="009C75BA" w:rsidRDefault="00820B35">
      <w:pPr>
        <w:ind w:firstLine="0"/>
        <w:rPr>
          <w:rFonts w:eastAsia="SimSun"/>
          <w:color w:val="222222"/>
          <w:szCs w:val="24"/>
          <w:shd w:val="clear" w:color="auto" w:fill="FFFFFF"/>
          <w:lang w:val="en-US"/>
        </w:rPr>
      </w:pPr>
      <w:r>
        <w:rPr>
          <w:rFonts w:eastAsia="SimSun"/>
          <w:color w:val="222222"/>
          <w:szCs w:val="24"/>
          <w:shd w:val="clear" w:color="auto" w:fill="FFFFFF"/>
          <w:lang w:val="en-US"/>
        </w:rPr>
        <w:tab/>
        <w:t>The percentage of profits that remain after all operating and non-operating costs have been subtracted from the period's sales is known as the net profit margin (</w:t>
      </w:r>
      <w:proofErr w:type="spellStart"/>
      <w:r>
        <w:rPr>
          <w:rFonts w:eastAsia="SimSun"/>
          <w:color w:val="222222"/>
          <w:szCs w:val="24"/>
          <w:shd w:val="clear" w:color="auto" w:fill="FFFFFF"/>
          <w:lang w:val="en-US"/>
        </w:rPr>
        <w:t>Jayathilaka</w:t>
      </w:r>
      <w:proofErr w:type="spellEnd"/>
      <w:r>
        <w:rPr>
          <w:rFonts w:eastAsia="SimSun"/>
          <w:color w:val="222222"/>
          <w:szCs w:val="24"/>
          <w:shd w:val="clear" w:color="auto" w:fill="FFFFFF"/>
          <w:lang w:val="en-US"/>
        </w:rPr>
        <w:t xml:space="preserve">, 2020).NPM is another measurement of computing the profitability of the company. The given financial statement and a calculated ratio of NPM suggest that although the net income of the company increased from 2020-21 the ratio decreased from 6.4% to g 5.7% because of the higher cost incurred observed during the year which significantly lowered the ratio by 0.71%. Sales are compared to the total value of assets to compute the asset turnover ratio. This metric measures the efficiency with which assets are turned into monetary value. After the computation, it is found that the company is running more effectively and using its capital because it earns more income from its assets in addition, inventory days on hand is a metric often used to determine how long it takes a company to sell through its inventory supply, from the company analysis it can be asserted that Sweets Plc has significantly reduced the period of stock inventory from 77.6 days in 2020 and 37.02 days observed in 2021. Thus the result shows that the company is effectively </w:t>
      </w:r>
      <w:proofErr w:type="spellStart"/>
      <w:r>
        <w:rPr>
          <w:rFonts w:eastAsia="SimSun"/>
          <w:color w:val="222222"/>
          <w:szCs w:val="24"/>
          <w:shd w:val="clear" w:color="auto" w:fill="FFFFFF"/>
          <w:lang w:val="en-US"/>
        </w:rPr>
        <w:t>utilising</w:t>
      </w:r>
      <w:proofErr w:type="spellEnd"/>
      <w:r>
        <w:rPr>
          <w:rFonts w:eastAsia="SimSun"/>
          <w:color w:val="222222"/>
          <w:szCs w:val="24"/>
          <w:shd w:val="clear" w:color="auto" w:fill="FFFFFF"/>
          <w:lang w:val="en-US"/>
        </w:rPr>
        <w:t xml:space="preserve"> its inventory. </w:t>
      </w:r>
    </w:p>
    <w:p w:rsidR="009C75BA" w:rsidRDefault="00820B35">
      <w:pPr>
        <w:ind w:firstLine="0"/>
        <w:rPr>
          <w:rFonts w:eastAsia="SimSun"/>
          <w:color w:val="222222"/>
          <w:szCs w:val="24"/>
          <w:shd w:val="clear" w:color="auto" w:fill="FFFFFF"/>
          <w:lang w:val="en-US"/>
        </w:rPr>
      </w:pPr>
      <w:r>
        <w:rPr>
          <w:rFonts w:eastAsia="SimSun"/>
          <w:color w:val="222222"/>
          <w:szCs w:val="24"/>
          <w:shd w:val="clear" w:color="auto" w:fill="FFFFFF"/>
          <w:lang w:val="en-US"/>
        </w:rPr>
        <w:tab/>
        <w:t xml:space="preserve"> The debtors' collection period reflects the time a company take to collect a debt from trade. It is generally considered the higher efficiency if the number of debtors collection decreased (Furman and </w:t>
      </w:r>
      <w:proofErr w:type="gramStart"/>
      <w:r>
        <w:rPr>
          <w:rFonts w:eastAsia="SimSun"/>
          <w:color w:val="222222"/>
          <w:szCs w:val="24"/>
          <w:shd w:val="clear" w:color="auto" w:fill="FFFFFF"/>
          <w:lang w:val="en-US"/>
        </w:rPr>
        <w:t>Summers</w:t>
      </w:r>
      <w:proofErr w:type="gramEnd"/>
      <w:r>
        <w:rPr>
          <w:rFonts w:eastAsia="SimSun"/>
          <w:color w:val="222222"/>
          <w:szCs w:val="24"/>
          <w:shd w:val="clear" w:color="auto" w:fill="FFFFFF"/>
          <w:lang w:val="en-US"/>
        </w:rPr>
        <w:t xml:space="preserve">, 2019). From the provided financial statement of Sweets Plc, the Debtors Collection Period is decreased from 72.9 days to 68.68 days which also reflects the higher efficiency of the company. The current ratio is one of the liquidity metrics used to calculate a company's capacity to pay short-term debt commitments. According to </w:t>
      </w:r>
      <w:proofErr w:type="spellStart"/>
      <w:r>
        <w:rPr>
          <w:rFonts w:eastAsia="SimSun"/>
          <w:color w:val="222222"/>
          <w:szCs w:val="24"/>
          <w:shd w:val="clear" w:color="auto" w:fill="FFFFFF"/>
          <w:lang w:val="en-US"/>
        </w:rPr>
        <w:t>Gayathri</w:t>
      </w:r>
      <w:proofErr w:type="spellEnd"/>
      <w:r>
        <w:rPr>
          <w:rFonts w:eastAsia="SimSun"/>
          <w:color w:val="222222"/>
          <w:szCs w:val="24"/>
          <w:shd w:val="clear" w:color="auto" w:fill="FFFFFF"/>
          <w:lang w:val="en-US"/>
        </w:rPr>
        <w:t xml:space="preserve"> et al. (2019), </w:t>
      </w:r>
      <w:proofErr w:type="gramStart"/>
      <w:r>
        <w:rPr>
          <w:rFonts w:eastAsia="SimSun"/>
          <w:color w:val="222222"/>
          <w:szCs w:val="24"/>
          <w:shd w:val="clear" w:color="auto" w:fill="FFFFFF"/>
          <w:lang w:val="en-US"/>
        </w:rPr>
        <w:t>The</w:t>
      </w:r>
      <w:proofErr w:type="gramEnd"/>
      <w:r>
        <w:rPr>
          <w:rFonts w:eastAsia="SimSun"/>
          <w:color w:val="222222"/>
          <w:szCs w:val="24"/>
          <w:shd w:val="clear" w:color="auto" w:fill="FFFFFF"/>
          <w:lang w:val="en-US"/>
        </w:rPr>
        <w:t xml:space="preserve"> current ratio takes into account how much of the total current liabilities are covered by the total current assets. Chika</w:t>
      </w:r>
      <w:proofErr w:type="gramStart"/>
      <w:r>
        <w:rPr>
          <w:rFonts w:eastAsia="SimSun"/>
          <w:color w:val="222222"/>
          <w:szCs w:val="24"/>
          <w:shd w:val="clear" w:color="auto" w:fill="FFFFFF"/>
          <w:lang w:val="en-US"/>
        </w:rPr>
        <w:t>,  Promise</w:t>
      </w:r>
      <w:proofErr w:type="gramEnd"/>
      <w:r>
        <w:rPr>
          <w:rFonts w:eastAsia="SimSun"/>
          <w:color w:val="222222"/>
          <w:szCs w:val="24"/>
          <w:shd w:val="clear" w:color="auto" w:fill="FFFFFF"/>
          <w:lang w:val="en-US"/>
        </w:rPr>
        <w:t xml:space="preserve">, and </w:t>
      </w:r>
      <w:proofErr w:type="spellStart"/>
      <w:r>
        <w:rPr>
          <w:rFonts w:eastAsia="SimSun"/>
          <w:color w:val="222222"/>
          <w:szCs w:val="24"/>
          <w:shd w:val="clear" w:color="auto" w:fill="FFFFFF"/>
          <w:lang w:val="en-US"/>
        </w:rPr>
        <w:t>Werikum</w:t>
      </w:r>
      <w:proofErr w:type="spellEnd"/>
      <w:r>
        <w:rPr>
          <w:rFonts w:eastAsia="SimSun"/>
          <w:color w:val="222222"/>
          <w:szCs w:val="24"/>
          <w:shd w:val="clear" w:color="auto" w:fill="FFFFFF"/>
          <w:lang w:val="en-US"/>
        </w:rPr>
        <w:t xml:space="preserve"> (2022) defines that the current ratio is one of the most prominent metric for determining a company's liquidity. From the company </w:t>
      </w:r>
      <w:proofErr w:type="spellStart"/>
      <w:r>
        <w:rPr>
          <w:rFonts w:eastAsia="SimSun"/>
          <w:color w:val="222222"/>
          <w:szCs w:val="24"/>
          <w:shd w:val="clear" w:color="auto" w:fill="FFFFFF"/>
          <w:lang w:val="en-US"/>
        </w:rPr>
        <w:lastRenderedPageBreak/>
        <w:t>analyse</w:t>
      </w:r>
      <w:proofErr w:type="spellEnd"/>
      <w:r>
        <w:rPr>
          <w:rFonts w:eastAsia="SimSun"/>
          <w:color w:val="222222"/>
          <w:szCs w:val="24"/>
          <w:shd w:val="clear" w:color="auto" w:fill="FFFFFF"/>
          <w:lang w:val="en-US"/>
        </w:rPr>
        <w:t xml:space="preserve"> it has been evaluated that the liquidity position of the company increased during the year. In 2020 the current ratio was 0.773 which increased by 0.144. Thus, the ratio shows that the company's liquidity position has increased because of an increase in higher current assets.</w:t>
      </w:r>
      <w:r>
        <w:rPr>
          <w:rFonts w:ascii="SimSun" w:eastAsia="SimSun" w:hAnsi="SimSun" w:cs="SimSun"/>
          <w:color w:val="0E101A"/>
          <w:szCs w:val="24"/>
        </w:rPr>
        <w:t> </w:t>
      </w:r>
    </w:p>
    <w:p w:rsidR="009C75BA" w:rsidRDefault="00820B35">
      <w:pPr>
        <w:ind w:firstLine="0"/>
        <w:rPr>
          <w:rFonts w:eastAsia="SimSun"/>
          <w:color w:val="222222"/>
          <w:szCs w:val="24"/>
          <w:shd w:val="clear" w:color="auto" w:fill="FFFFFF"/>
          <w:lang w:val="en-US"/>
        </w:rPr>
      </w:pPr>
      <w:r>
        <w:rPr>
          <w:rFonts w:eastAsia="SimSun"/>
          <w:color w:val="222222"/>
          <w:szCs w:val="24"/>
          <w:shd w:val="clear" w:color="auto" w:fill="FFFFFF"/>
          <w:lang w:val="en-US"/>
        </w:rPr>
        <w:tab/>
        <w:t xml:space="preserve">To </w:t>
      </w:r>
      <w:proofErr w:type="spellStart"/>
      <w:r>
        <w:rPr>
          <w:rFonts w:eastAsia="SimSun"/>
          <w:color w:val="222222"/>
          <w:szCs w:val="24"/>
          <w:shd w:val="clear" w:color="auto" w:fill="FFFFFF"/>
          <w:lang w:val="en-US"/>
        </w:rPr>
        <w:t>analyse</w:t>
      </w:r>
      <w:proofErr w:type="spellEnd"/>
      <w:r>
        <w:rPr>
          <w:rFonts w:eastAsia="SimSun"/>
          <w:color w:val="222222"/>
          <w:szCs w:val="24"/>
          <w:shd w:val="clear" w:color="auto" w:fill="FFFFFF"/>
          <w:lang w:val="en-US"/>
        </w:rPr>
        <w:t xml:space="preserve"> the financial position and performance it is important to evaluate the debt position of the company. The computation of the </w:t>
      </w:r>
      <w:r>
        <w:rPr>
          <w:rFonts w:eastAsia="SimSun"/>
          <w:color w:val="222222"/>
          <w:szCs w:val="24"/>
          <w:shd w:val="clear" w:color="auto" w:fill="FFFFFF"/>
          <w:lang w:val="en-US" w:eastAsia="zh-CN"/>
        </w:rPr>
        <w:t xml:space="preserve">Gearing </w:t>
      </w:r>
      <w:r>
        <w:rPr>
          <w:rFonts w:eastAsia="SimSun"/>
          <w:color w:val="222222"/>
          <w:szCs w:val="24"/>
          <w:shd w:val="clear" w:color="auto" w:fill="FFFFFF"/>
          <w:lang w:val="en-US"/>
        </w:rPr>
        <w:t xml:space="preserve">ratios measures the company's leverage and financial health by comparing shareholders' equity to corporate debt. Appendix 1 shows the results of the company gearing ratio. After calculating the gearing ratio of Sweet's plc it has been </w:t>
      </w:r>
      <w:proofErr w:type="spellStart"/>
      <w:r>
        <w:rPr>
          <w:rFonts w:eastAsia="SimSun"/>
          <w:color w:val="222222"/>
          <w:szCs w:val="24"/>
          <w:shd w:val="clear" w:color="auto" w:fill="FFFFFF"/>
          <w:lang w:val="en-US"/>
        </w:rPr>
        <w:t>analysed</w:t>
      </w:r>
      <w:proofErr w:type="spellEnd"/>
      <w:r>
        <w:rPr>
          <w:rFonts w:eastAsia="SimSun"/>
          <w:color w:val="222222"/>
          <w:szCs w:val="24"/>
          <w:shd w:val="clear" w:color="auto" w:fill="FFFFFF"/>
          <w:lang w:val="en-US"/>
        </w:rPr>
        <w:t xml:space="preserve"> that the debt position of the company has lowered by 0.311 which reflects that Sweet's plc has lowered its debt level. Additionally, the interest coverage ratio is another matrix that is used to </w:t>
      </w:r>
      <w:proofErr w:type="spellStart"/>
      <w:r>
        <w:rPr>
          <w:rFonts w:eastAsia="SimSun"/>
          <w:color w:val="222222"/>
          <w:szCs w:val="24"/>
          <w:shd w:val="clear" w:color="auto" w:fill="FFFFFF"/>
          <w:lang w:val="en-US"/>
        </w:rPr>
        <w:t>analyse</w:t>
      </w:r>
      <w:proofErr w:type="spellEnd"/>
      <w:r>
        <w:rPr>
          <w:rFonts w:eastAsia="SimSun"/>
          <w:color w:val="222222"/>
          <w:szCs w:val="24"/>
          <w:shd w:val="clear" w:color="auto" w:fill="FFFFFF"/>
          <w:lang w:val="en-US"/>
        </w:rPr>
        <w:t xml:space="preserve"> the financial position of the company. </w:t>
      </w:r>
      <w:proofErr w:type="spellStart"/>
      <w:r>
        <w:rPr>
          <w:rFonts w:eastAsia="SimSun"/>
          <w:color w:val="222222"/>
          <w:szCs w:val="24"/>
          <w:shd w:val="clear" w:color="auto" w:fill="FFFFFF"/>
          <w:lang w:val="en-US"/>
        </w:rPr>
        <w:t>Restianti</w:t>
      </w:r>
      <w:proofErr w:type="spellEnd"/>
      <w:r>
        <w:rPr>
          <w:rFonts w:eastAsia="SimSun"/>
          <w:color w:val="222222"/>
          <w:szCs w:val="24"/>
          <w:shd w:val="clear" w:color="auto" w:fill="FFFFFF"/>
          <w:lang w:val="en-US"/>
        </w:rPr>
        <w:t xml:space="preserve"> and </w:t>
      </w:r>
      <w:proofErr w:type="spellStart"/>
      <w:r>
        <w:rPr>
          <w:rFonts w:eastAsia="SimSun"/>
          <w:color w:val="222222"/>
          <w:szCs w:val="24"/>
          <w:shd w:val="clear" w:color="auto" w:fill="FFFFFF"/>
          <w:lang w:val="en-US"/>
        </w:rPr>
        <w:t>Agustina</w:t>
      </w:r>
      <w:proofErr w:type="spellEnd"/>
      <w:r>
        <w:rPr>
          <w:rFonts w:eastAsia="SimSun"/>
          <w:color w:val="222222"/>
          <w:szCs w:val="24"/>
          <w:shd w:val="clear" w:color="auto" w:fill="FFFFFF"/>
          <w:lang w:val="en-US"/>
        </w:rPr>
        <w:t xml:space="preserve"> (2018) describe </w:t>
      </w:r>
      <w:proofErr w:type="gramStart"/>
      <w:r>
        <w:rPr>
          <w:rFonts w:eastAsia="SimSun"/>
          <w:color w:val="222222"/>
          <w:szCs w:val="24"/>
          <w:shd w:val="clear" w:color="auto" w:fill="FFFFFF"/>
          <w:lang w:val="en-US"/>
        </w:rPr>
        <w:t>that  higher</w:t>
      </w:r>
      <w:proofErr w:type="gramEnd"/>
      <w:r>
        <w:rPr>
          <w:rFonts w:eastAsia="SimSun"/>
          <w:color w:val="222222"/>
          <w:szCs w:val="24"/>
          <w:shd w:val="clear" w:color="auto" w:fill="FFFFFF"/>
          <w:lang w:val="en-US"/>
        </w:rPr>
        <w:t> interest coverage ratio shows the higher efficiency of the company. The computation of Sweets Plc shows that the company has lowered its coverage ratio by 0.3, which increases the possibility of the company earning lower operating profit. Because the formula for computing the interest coverage ratio can be stated as EBIT divided by interest expense. The company financial statement analysis suggest that Sweet's plc interest expense has been increased from 181 to 226 pound which reduces the company coverage ratio during the year. Overall, the analysis of the Sweets Plc ratios analysis suggests that the company is earning higher profitability and efficiency. Meanwhile, the current ratio indicates a higher liquidity position of the company. Thus, the analysis and results reflect the good financial position of Sweet's plc. </w:t>
      </w: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9C75BA">
      <w:pPr>
        <w:ind w:firstLine="0"/>
        <w:rPr>
          <w:rFonts w:eastAsia="SimSun"/>
          <w:color w:val="222222"/>
          <w:szCs w:val="24"/>
          <w:shd w:val="clear" w:color="auto" w:fill="FFFFFF"/>
          <w:lang w:val="en-US"/>
        </w:rPr>
      </w:pPr>
    </w:p>
    <w:p w:rsidR="009C75BA" w:rsidRDefault="00820B35">
      <w:pPr>
        <w:pStyle w:val="Heading1"/>
        <w:jc w:val="both"/>
        <w:rPr>
          <w:rFonts w:eastAsia="SimSun"/>
          <w:color w:val="222222"/>
          <w:shd w:val="clear" w:color="auto" w:fill="FFFFFF"/>
        </w:rPr>
      </w:pPr>
      <w:bookmarkStart w:id="9" w:name="_Toc4100"/>
      <w:r>
        <w:rPr>
          <w:lang w:val="en-US"/>
        </w:rPr>
        <w:t>References</w:t>
      </w:r>
      <w:bookmarkEnd w:id="9"/>
      <w:r>
        <w:rPr>
          <w:lang w:val="en-US"/>
        </w:rPr>
        <w:t xml:space="preserve"> </w:t>
      </w:r>
    </w:p>
    <w:p w:rsidR="009C75BA" w:rsidRDefault="00820B35">
      <w:pPr>
        <w:ind w:left="720" w:hanging="720"/>
        <w:rPr>
          <w:rFonts w:eastAsia="SimSun"/>
          <w:color w:val="222222"/>
          <w:szCs w:val="24"/>
          <w:shd w:val="clear" w:color="auto" w:fill="FFFFFF"/>
        </w:rPr>
      </w:pPr>
      <w:proofErr w:type="spellStart"/>
      <w:r>
        <w:rPr>
          <w:rFonts w:eastAsia="SimSun"/>
          <w:color w:val="222222"/>
          <w:szCs w:val="24"/>
          <w:shd w:val="clear" w:color="auto" w:fill="FFFFFF"/>
        </w:rPr>
        <w:t>Abd</w:t>
      </w:r>
      <w:proofErr w:type="spellEnd"/>
      <w:r>
        <w:rPr>
          <w:rFonts w:eastAsia="SimSun"/>
          <w:color w:val="222222"/>
          <w:szCs w:val="24"/>
          <w:shd w:val="clear" w:color="auto" w:fill="FFFFFF"/>
        </w:rPr>
        <w:t xml:space="preserve"> </w:t>
      </w:r>
      <w:r>
        <w:rPr>
          <w:rFonts w:eastAsia="SimSun"/>
          <w:color w:val="222222"/>
          <w:szCs w:val="24"/>
          <w:shd w:val="clear" w:color="auto" w:fill="FFFFFF"/>
          <w:lang w:val="en-US"/>
        </w:rPr>
        <w:t>Rahim</w:t>
      </w:r>
      <w:r>
        <w:rPr>
          <w:rFonts w:eastAsia="SimSun"/>
          <w:color w:val="222222"/>
          <w:szCs w:val="24"/>
          <w:shd w:val="clear" w:color="auto" w:fill="FFFFFF"/>
        </w:rPr>
        <w:t xml:space="preserve">, Z.H., </w:t>
      </w:r>
      <w:proofErr w:type="spellStart"/>
      <w:r>
        <w:rPr>
          <w:rFonts w:eastAsia="SimSun"/>
          <w:color w:val="222222"/>
          <w:szCs w:val="24"/>
          <w:shd w:val="clear" w:color="auto" w:fill="FFFFFF"/>
        </w:rPr>
        <w:t>Azhar</w:t>
      </w:r>
      <w:proofErr w:type="spellEnd"/>
      <w:r>
        <w:rPr>
          <w:rFonts w:eastAsia="SimSun"/>
          <w:color w:val="222222"/>
          <w:szCs w:val="24"/>
          <w:shd w:val="clear" w:color="auto" w:fill="FFFFFF"/>
        </w:rPr>
        <w:t xml:space="preserve">, F.W., Abdullah </w:t>
      </w:r>
      <w:proofErr w:type="spellStart"/>
      <w:r>
        <w:rPr>
          <w:rFonts w:eastAsia="SimSun"/>
          <w:color w:val="222222"/>
          <w:szCs w:val="24"/>
          <w:shd w:val="clear" w:color="auto" w:fill="FFFFFF"/>
        </w:rPr>
        <w:t>Fahami</w:t>
      </w:r>
      <w:proofErr w:type="spellEnd"/>
      <w:r>
        <w:rPr>
          <w:rFonts w:eastAsia="SimSun"/>
          <w:color w:val="222222"/>
          <w:szCs w:val="24"/>
          <w:shd w:val="clear" w:color="auto" w:fill="FFFFFF"/>
        </w:rPr>
        <w:t xml:space="preserve">, N., </w:t>
      </w:r>
      <w:proofErr w:type="spellStart"/>
      <w:r>
        <w:rPr>
          <w:rFonts w:eastAsia="SimSun"/>
          <w:color w:val="222222"/>
          <w:szCs w:val="24"/>
          <w:shd w:val="clear" w:color="auto" w:fill="FFFFFF"/>
        </w:rPr>
        <w:t>Abd</w:t>
      </w:r>
      <w:proofErr w:type="spellEnd"/>
      <w:r>
        <w:rPr>
          <w:rFonts w:eastAsia="SimSun"/>
          <w:color w:val="222222"/>
          <w:szCs w:val="24"/>
          <w:shd w:val="clear" w:color="auto" w:fill="FFFFFF"/>
        </w:rPr>
        <w:t xml:space="preserve"> Karim, H. and </w:t>
      </w:r>
      <w:proofErr w:type="gramStart"/>
      <w:r>
        <w:rPr>
          <w:rFonts w:eastAsia="SimSun"/>
          <w:color w:val="222222"/>
          <w:szCs w:val="24"/>
          <w:shd w:val="clear" w:color="auto" w:fill="FFFFFF"/>
        </w:rPr>
        <w:t>Nor</w:t>
      </w:r>
      <w:proofErr w:type="gramEnd"/>
      <w:r>
        <w:rPr>
          <w:rFonts w:eastAsia="SimSun"/>
          <w:color w:val="222222"/>
          <w:szCs w:val="24"/>
          <w:shd w:val="clear" w:color="auto" w:fill="FFFFFF"/>
        </w:rPr>
        <w:t xml:space="preserve"> Abdul Rahim, S.K., 2020. Application of TOPSIS analysis method in financial performance evaluation: a case study of construction sector in Malaysia. </w:t>
      </w:r>
      <w:r>
        <w:rPr>
          <w:rFonts w:eastAsia="SimSun"/>
          <w:i/>
          <w:iCs/>
          <w:color w:val="222222"/>
          <w:szCs w:val="24"/>
          <w:shd w:val="clear" w:color="auto" w:fill="FFFFFF"/>
        </w:rPr>
        <w:t>Advances in Business Research International Journal</w:t>
      </w:r>
      <w:r>
        <w:rPr>
          <w:rFonts w:eastAsia="SimSun"/>
          <w:color w:val="222222"/>
          <w:szCs w:val="24"/>
          <w:shd w:val="clear" w:color="auto" w:fill="FFFFFF"/>
        </w:rPr>
        <w:t>, </w:t>
      </w:r>
      <w:r>
        <w:rPr>
          <w:rFonts w:eastAsia="SimSun"/>
          <w:i/>
          <w:iCs/>
          <w:color w:val="222222"/>
          <w:szCs w:val="24"/>
          <w:shd w:val="clear" w:color="auto" w:fill="FFFFFF"/>
        </w:rPr>
        <w:t>6</w:t>
      </w:r>
      <w:r>
        <w:rPr>
          <w:rFonts w:eastAsia="SimSun"/>
          <w:color w:val="222222"/>
          <w:szCs w:val="24"/>
          <w:shd w:val="clear" w:color="auto" w:fill="FFFFFF"/>
        </w:rPr>
        <w:t>(1), pp.1-9.</w:t>
      </w:r>
    </w:p>
    <w:p w:rsidR="009C75BA" w:rsidRDefault="00820B35">
      <w:pPr>
        <w:ind w:left="720" w:hanging="720"/>
        <w:rPr>
          <w:rFonts w:eastAsia="SimSun"/>
          <w:color w:val="222222"/>
          <w:szCs w:val="24"/>
          <w:shd w:val="clear" w:color="auto" w:fill="FFFFFF"/>
        </w:rPr>
      </w:pPr>
      <w:proofErr w:type="spellStart"/>
      <w:r>
        <w:rPr>
          <w:color w:val="000000" w:themeColor="text1"/>
          <w:szCs w:val="24"/>
          <w:shd w:val="clear" w:color="auto" w:fill="FFFFFF"/>
        </w:rPr>
        <w:t>Bordeianu</w:t>
      </w:r>
      <w:proofErr w:type="spellEnd"/>
      <w:r>
        <w:rPr>
          <w:rFonts w:eastAsia="SimSun"/>
          <w:color w:val="222222"/>
          <w:szCs w:val="24"/>
          <w:shd w:val="clear" w:color="auto" w:fill="FFFFFF"/>
        </w:rPr>
        <w:t xml:space="preserve">, G.D. and </w:t>
      </w:r>
      <w:proofErr w:type="spellStart"/>
      <w:r>
        <w:rPr>
          <w:rFonts w:eastAsia="SimSun"/>
          <w:color w:val="222222"/>
          <w:szCs w:val="24"/>
          <w:shd w:val="clear" w:color="auto" w:fill="FFFFFF"/>
        </w:rPr>
        <w:t>Radu</w:t>
      </w:r>
      <w:proofErr w:type="spellEnd"/>
      <w:r>
        <w:rPr>
          <w:rFonts w:eastAsia="SimSun"/>
          <w:color w:val="222222"/>
          <w:szCs w:val="24"/>
          <w:shd w:val="clear" w:color="auto" w:fill="FFFFFF"/>
        </w:rPr>
        <w:t>, F., 2020. Basic Types of Financial Ratios Used to Measure a Company's Performance. </w:t>
      </w:r>
      <w:r>
        <w:rPr>
          <w:rFonts w:eastAsia="SimSun"/>
          <w:i/>
          <w:iCs/>
          <w:color w:val="222222"/>
          <w:szCs w:val="24"/>
          <w:shd w:val="clear" w:color="auto" w:fill="FFFFFF"/>
        </w:rPr>
        <w:t xml:space="preserve">Economy </w:t>
      </w:r>
      <w:proofErr w:type="spellStart"/>
      <w:r>
        <w:rPr>
          <w:rFonts w:eastAsia="SimSun"/>
          <w:i/>
          <w:iCs/>
          <w:color w:val="222222"/>
          <w:szCs w:val="24"/>
          <w:shd w:val="clear" w:color="auto" w:fill="FFFFFF"/>
        </w:rPr>
        <w:t>Transdisciplinarity</w:t>
      </w:r>
      <w:proofErr w:type="spellEnd"/>
      <w:r>
        <w:rPr>
          <w:rFonts w:eastAsia="SimSun"/>
          <w:i/>
          <w:iCs/>
          <w:color w:val="222222"/>
          <w:szCs w:val="24"/>
          <w:shd w:val="clear" w:color="auto" w:fill="FFFFFF"/>
        </w:rPr>
        <w:t xml:space="preserve"> Cognition</w:t>
      </w:r>
      <w:r>
        <w:rPr>
          <w:rFonts w:eastAsia="SimSun"/>
          <w:color w:val="222222"/>
          <w:szCs w:val="24"/>
          <w:shd w:val="clear" w:color="auto" w:fill="FFFFFF"/>
        </w:rPr>
        <w:t>, </w:t>
      </w:r>
      <w:r>
        <w:rPr>
          <w:rFonts w:eastAsia="SimSun"/>
          <w:i/>
          <w:iCs/>
          <w:color w:val="222222"/>
          <w:szCs w:val="24"/>
          <w:shd w:val="clear" w:color="auto" w:fill="FFFFFF"/>
        </w:rPr>
        <w:t>23</w:t>
      </w:r>
      <w:r>
        <w:rPr>
          <w:rFonts w:eastAsia="SimSun"/>
          <w:color w:val="222222"/>
          <w:szCs w:val="24"/>
          <w:shd w:val="clear" w:color="auto" w:fill="FFFFFF"/>
        </w:rPr>
        <w:t>(2).</w:t>
      </w:r>
    </w:p>
    <w:p w:rsidR="009C75BA" w:rsidRDefault="00820B35">
      <w:pPr>
        <w:ind w:left="720" w:hanging="720"/>
        <w:rPr>
          <w:rFonts w:eastAsia="SimSun"/>
          <w:color w:val="222222"/>
          <w:szCs w:val="24"/>
          <w:shd w:val="clear" w:color="auto" w:fill="FFFFFF"/>
        </w:rPr>
      </w:pPr>
      <w:r>
        <w:rPr>
          <w:rFonts w:eastAsia="SimSun"/>
          <w:color w:val="222222"/>
          <w:szCs w:val="24"/>
          <w:shd w:val="clear" w:color="auto" w:fill="FFFFFF"/>
        </w:rPr>
        <w:t xml:space="preserve">Chika, O.V., Promise, E. and </w:t>
      </w:r>
      <w:proofErr w:type="spellStart"/>
      <w:r>
        <w:rPr>
          <w:rFonts w:eastAsia="SimSun"/>
          <w:color w:val="222222"/>
          <w:szCs w:val="24"/>
          <w:shd w:val="clear" w:color="auto" w:fill="FFFFFF"/>
        </w:rPr>
        <w:t>Werikum</w:t>
      </w:r>
      <w:proofErr w:type="spellEnd"/>
      <w:r>
        <w:rPr>
          <w:rFonts w:eastAsia="SimSun"/>
          <w:color w:val="222222"/>
          <w:szCs w:val="24"/>
          <w:shd w:val="clear" w:color="auto" w:fill="FFFFFF"/>
        </w:rPr>
        <w:t>, E.V., 2022. Influence of Liquidity and Profitability on Profits Growth of Nigerian Pharmaceutical Firms. </w:t>
      </w:r>
      <w:proofErr w:type="spellStart"/>
      <w:r>
        <w:rPr>
          <w:rFonts w:eastAsia="SimSun"/>
          <w:i/>
          <w:iCs/>
          <w:color w:val="222222"/>
          <w:szCs w:val="24"/>
          <w:shd w:val="clear" w:color="auto" w:fill="FFFFFF"/>
        </w:rPr>
        <w:t>Goodwood</w:t>
      </w:r>
      <w:proofErr w:type="spellEnd"/>
      <w:r>
        <w:rPr>
          <w:rFonts w:eastAsia="SimSun"/>
          <w:i/>
          <w:iCs/>
          <w:color w:val="222222"/>
          <w:szCs w:val="24"/>
          <w:shd w:val="clear" w:color="auto" w:fill="FFFFFF"/>
        </w:rPr>
        <w:t xml:space="preserve"> </w:t>
      </w:r>
      <w:proofErr w:type="spellStart"/>
      <w:r>
        <w:rPr>
          <w:rFonts w:eastAsia="SimSun"/>
          <w:i/>
          <w:iCs/>
          <w:color w:val="222222"/>
          <w:szCs w:val="24"/>
          <w:shd w:val="clear" w:color="auto" w:fill="FFFFFF"/>
        </w:rPr>
        <w:t>Akuntansi</w:t>
      </w:r>
      <w:proofErr w:type="spellEnd"/>
      <w:r>
        <w:rPr>
          <w:rFonts w:eastAsia="SimSun"/>
          <w:i/>
          <w:iCs/>
          <w:color w:val="222222"/>
          <w:szCs w:val="24"/>
          <w:shd w:val="clear" w:color="auto" w:fill="FFFFFF"/>
        </w:rPr>
        <w:t xml:space="preserve"> </w:t>
      </w:r>
      <w:proofErr w:type="spellStart"/>
      <w:r>
        <w:rPr>
          <w:rFonts w:eastAsia="SimSun"/>
          <w:i/>
          <w:iCs/>
          <w:color w:val="222222"/>
          <w:szCs w:val="24"/>
          <w:shd w:val="clear" w:color="auto" w:fill="FFFFFF"/>
        </w:rPr>
        <w:t>dan</w:t>
      </w:r>
      <w:proofErr w:type="spellEnd"/>
      <w:r>
        <w:rPr>
          <w:rFonts w:eastAsia="SimSun"/>
          <w:i/>
          <w:iCs/>
          <w:color w:val="222222"/>
          <w:szCs w:val="24"/>
          <w:shd w:val="clear" w:color="auto" w:fill="FFFFFF"/>
        </w:rPr>
        <w:t xml:space="preserve"> Auditing </w:t>
      </w:r>
      <w:proofErr w:type="spellStart"/>
      <w:r>
        <w:rPr>
          <w:rFonts w:eastAsia="SimSun"/>
          <w:i/>
          <w:iCs/>
          <w:color w:val="222222"/>
          <w:szCs w:val="24"/>
          <w:shd w:val="clear" w:color="auto" w:fill="FFFFFF"/>
        </w:rPr>
        <w:t>Reviu</w:t>
      </w:r>
      <w:proofErr w:type="spellEnd"/>
      <w:r>
        <w:rPr>
          <w:rFonts w:eastAsia="SimSun"/>
          <w:color w:val="222222"/>
          <w:szCs w:val="24"/>
          <w:shd w:val="clear" w:color="auto" w:fill="FFFFFF"/>
        </w:rPr>
        <w:t>, </w:t>
      </w:r>
      <w:r>
        <w:rPr>
          <w:rFonts w:eastAsia="SimSun"/>
          <w:i/>
          <w:iCs/>
          <w:color w:val="222222"/>
          <w:szCs w:val="24"/>
          <w:shd w:val="clear" w:color="auto" w:fill="FFFFFF"/>
        </w:rPr>
        <w:t>1</w:t>
      </w:r>
      <w:r>
        <w:rPr>
          <w:rFonts w:eastAsia="SimSun"/>
          <w:color w:val="222222"/>
          <w:szCs w:val="24"/>
          <w:shd w:val="clear" w:color="auto" w:fill="FFFFFF"/>
        </w:rPr>
        <w:t>(1), pp.1-13.</w:t>
      </w:r>
    </w:p>
    <w:p w:rsidR="009C75BA" w:rsidRDefault="00820B35">
      <w:pPr>
        <w:ind w:left="720" w:hanging="720"/>
        <w:rPr>
          <w:rFonts w:eastAsia="SimSun"/>
          <w:color w:val="222222"/>
          <w:szCs w:val="24"/>
          <w:shd w:val="clear" w:color="auto" w:fill="FFFFFF"/>
        </w:rPr>
      </w:pPr>
      <w:r>
        <w:rPr>
          <w:rFonts w:eastAsia="SimSun"/>
          <w:color w:val="222222"/>
          <w:szCs w:val="24"/>
          <w:shd w:val="clear" w:color="auto" w:fill="FFFFFF"/>
          <w:lang w:val="en-US"/>
        </w:rPr>
        <w:t>Furman</w:t>
      </w:r>
      <w:r>
        <w:rPr>
          <w:rFonts w:eastAsia="SimSun"/>
          <w:color w:val="222222"/>
          <w:szCs w:val="24"/>
          <w:shd w:val="clear" w:color="auto" w:fill="FFFFFF"/>
        </w:rPr>
        <w:t xml:space="preserve">, J. and </w:t>
      </w:r>
      <w:proofErr w:type="gramStart"/>
      <w:r>
        <w:rPr>
          <w:rFonts w:eastAsia="SimSun"/>
          <w:color w:val="222222"/>
          <w:szCs w:val="24"/>
          <w:shd w:val="clear" w:color="auto" w:fill="FFFFFF"/>
        </w:rPr>
        <w:t>Summers</w:t>
      </w:r>
      <w:proofErr w:type="gramEnd"/>
      <w:r>
        <w:rPr>
          <w:rFonts w:eastAsia="SimSun"/>
          <w:color w:val="222222"/>
          <w:szCs w:val="24"/>
          <w:shd w:val="clear" w:color="auto" w:fill="FFFFFF"/>
        </w:rPr>
        <w:t xml:space="preserve">, L.H., 2019. Who's Afraid of Budget Deficits: How Washington Should End Its Debt </w:t>
      </w:r>
      <w:proofErr w:type="gramStart"/>
      <w:r>
        <w:rPr>
          <w:rFonts w:eastAsia="SimSun"/>
          <w:color w:val="222222"/>
          <w:szCs w:val="24"/>
          <w:shd w:val="clear" w:color="auto" w:fill="FFFFFF"/>
        </w:rPr>
        <w:t>Obsession.</w:t>
      </w:r>
      <w:proofErr w:type="gramEnd"/>
      <w:r>
        <w:rPr>
          <w:rFonts w:eastAsia="SimSun"/>
          <w:color w:val="222222"/>
          <w:szCs w:val="24"/>
          <w:shd w:val="clear" w:color="auto" w:fill="FFFFFF"/>
        </w:rPr>
        <w:t> </w:t>
      </w:r>
      <w:r>
        <w:rPr>
          <w:rFonts w:eastAsia="SimSun"/>
          <w:i/>
          <w:iCs/>
          <w:color w:val="222222"/>
          <w:szCs w:val="24"/>
          <w:shd w:val="clear" w:color="auto" w:fill="FFFFFF"/>
        </w:rPr>
        <w:t xml:space="preserve">Foreign </w:t>
      </w:r>
      <w:proofErr w:type="spellStart"/>
      <w:r>
        <w:rPr>
          <w:rFonts w:eastAsia="SimSun"/>
          <w:i/>
          <w:iCs/>
          <w:color w:val="222222"/>
          <w:szCs w:val="24"/>
          <w:shd w:val="clear" w:color="auto" w:fill="FFFFFF"/>
        </w:rPr>
        <w:t>Aff</w:t>
      </w:r>
      <w:proofErr w:type="spellEnd"/>
      <w:r>
        <w:rPr>
          <w:rFonts w:eastAsia="SimSun"/>
          <w:i/>
          <w:iCs/>
          <w:color w:val="222222"/>
          <w:szCs w:val="24"/>
          <w:shd w:val="clear" w:color="auto" w:fill="FFFFFF"/>
        </w:rPr>
        <w:t>.</w:t>
      </w:r>
      <w:r>
        <w:rPr>
          <w:rFonts w:eastAsia="SimSun"/>
          <w:color w:val="222222"/>
          <w:szCs w:val="24"/>
          <w:shd w:val="clear" w:color="auto" w:fill="FFFFFF"/>
        </w:rPr>
        <w:t>, </w:t>
      </w:r>
      <w:r>
        <w:rPr>
          <w:rFonts w:eastAsia="SimSun"/>
          <w:i/>
          <w:iCs/>
          <w:color w:val="222222"/>
          <w:szCs w:val="24"/>
          <w:shd w:val="clear" w:color="auto" w:fill="FFFFFF"/>
        </w:rPr>
        <w:t>98</w:t>
      </w:r>
      <w:r>
        <w:rPr>
          <w:rFonts w:eastAsia="SimSun"/>
          <w:color w:val="222222"/>
          <w:szCs w:val="24"/>
          <w:shd w:val="clear" w:color="auto" w:fill="FFFFFF"/>
        </w:rPr>
        <w:t>, p.82.</w:t>
      </w:r>
    </w:p>
    <w:p w:rsidR="009C75BA" w:rsidRDefault="00820B35">
      <w:pPr>
        <w:ind w:left="720" w:hanging="720"/>
        <w:rPr>
          <w:rFonts w:eastAsia="SimSun"/>
          <w:color w:val="222222"/>
          <w:szCs w:val="24"/>
          <w:shd w:val="clear" w:color="auto" w:fill="FFFFFF"/>
        </w:rPr>
      </w:pPr>
      <w:proofErr w:type="spellStart"/>
      <w:r>
        <w:rPr>
          <w:rFonts w:eastAsia="SimSun"/>
          <w:color w:val="222222"/>
          <w:szCs w:val="24"/>
          <w:shd w:val="clear" w:color="auto" w:fill="FFFFFF"/>
          <w:lang w:val="en-US"/>
        </w:rPr>
        <w:t>Gayathri</w:t>
      </w:r>
      <w:proofErr w:type="spellEnd"/>
      <w:r>
        <w:rPr>
          <w:rFonts w:eastAsia="SimSun"/>
          <w:color w:val="222222"/>
          <w:szCs w:val="24"/>
          <w:shd w:val="clear" w:color="auto" w:fill="FFFFFF"/>
        </w:rPr>
        <w:t xml:space="preserve">, C., Kamala, V., </w:t>
      </w:r>
      <w:proofErr w:type="spellStart"/>
      <w:r>
        <w:rPr>
          <w:rFonts w:eastAsia="SimSun"/>
          <w:color w:val="222222"/>
          <w:szCs w:val="24"/>
          <w:shd w:val="clear" w:color="auto" w:fill="FFFFFF"/>
        </w:rPr>
        <w:t>Gajanand</w:t>
      </w:r>
      <w:proofErr w:type="spellEnd"/>
      <w:r>
        <w:rPr>
          <w:rFonts w:eastAsia="SimSun"/>
          <w:color w:val="222222"/>
          <w:szCs w:val="24"/>
          <w:shd w:val="clear" w:color="auto" w:fill="FFFFFF"/>
        </w:rPr>
        <w:t xml:space="preserve">, M.S. and </w:t>
      </w:r>
      <w:proofErr w:type="spellStart"/>
      <w:r>
        <w:rPr>
          <w:rFonts w:eastAsia="SimSun"/>
          <w:color w:val="222222"/>
          <w:szCs w:val="24"/>
          <w:shd w:val="clear" w:color="auto" w:fill="FFFFFF"/>
        </w:rPr>
        <w:t>Yamini</w:t>
      </w:r>
      <w:proofErr w:type="spellEnd"/>
      <w:r>
        <w:rPr>
          <w:rFonts w:eastAsia="SimSun"/>
          <w:color w:val="222222"/>
          <w:szCs w:val="24"/>
          <w:shd w:val="clear" w:color="auto" w:fill="FFFFFF"/>
        </w:rPr>
        <w:t>, S., 2021. Analysis of operational and financial performance of ports: an integrated fuzzy DEMATEL-TOPSIS approach. </w:t>
      </w:r>
      <w:r>
        <w:rPr>
          <w:rFonts w:eastAsia="SimSun"/>
          <w:i/>
          <w:iCs/>
          <w:color w:val="222222"/>
          <w:szCs w:val="24"/>
          <w:shd w:val="clear" w:color="auto" w:fill="FFFFFF"/>
        </w:rPr>
        <w:t>Benchmarking: An International Journal</w:t>
      </w:r>
      <w:r>
        <w:rPr>
          <w:rFonts w:eastAsia="SimSun"/>
          <w:color w:val="222222"/>
          <w:szCs w:val="24"/>
          <w:shd w:val="clear" w:color="auto" w:fill="FFFFFF"/>
        </w:rPr>
        <w:t>.</w:t>
      </w:r>
    </w:p>
    <w:p w:rsidR="009C75BA" w:rsidRDefault="00820B35">
      <w:pPr>
        <w:ind w:left="720" w:hanging="720"/>
        <w:rPr>
          <w:rFonts w:eastAsia="SimSun"/>
          <w:color w:val="222222"/>
          <w:szCs w:val="24"/>
          <w:shd w:val="clear" w:color="auto" w:fill="FFFFFF"/>
        </w:rPr>
      </w:pPr>
      <w:proofErr w:type="spellStart"/>
      <w:r>
        <w:rPr>
          <w:color w:val="000000" w:themeColor="text1"/>
          <w:szCs w:val="24"/>
          <w:shd w:val="clear" w:color="auto" w:fill="FFFFFF"/>
          <w:lang w:val="en-US"/>
        </w:rPr>
        <w:t>Jayathilaka</w:t>
      </w:r>
      <w:proofErr w:type="spellEnd"/>
      <w:r>
        <w:rPr>
          <w:rFonts w:eastAsia="SimSun"/>
          <w:color w:val="222222"/>
          <w:szCs w:val="24"/>
          <w:shd w:val="clear" w:color="auto" w:fill="FFFFFF"/>
        </w:rPr>
        <w:t>, A.K., 2020. Operating Profit and Net Profit: Measurements of Profitability. </w:t>
      </w:r>
      <w:r>
        <w:rPr>
          <w:rFonts w:eastAsia="SimSun"/>
          <w:i/>
          <w:iCs/>
          <w:color w:val="222222"/>
          <w:szCs w:val="24"/>
          <w:shd w:val="clear" w:color="auto" w:fill="FFFFFF"/>
        </w:rPr>
        <w:t>Open Access Library Journal</w:t>
      </w:r>
      <w:r>
        <w:rPr>
          <w:rFonts w:eastAsia="SimSun"/>
          <w:color w:val="222222"/>
          <w:szCs w:val="24"/>
          <w:shd w:val="clear" w:color="auto" w:fill="FFFFFF"/>
        </w:rPr>
        <w:t>, </w:t>
      </w:r>
      <w:r>
        <w:rPr>
          <w:rFonts w:eastAsia="SimSun"/>
          <w:i/>
          <w:iCs/>
          <w:color w:val="222222"/>
          <w:szCs w:val="24"/>
          <w:shd w:val="clear" w:color="auto" w:fill="FFFFFF"/>
        </w:rPr>
        <w:t>7</w:t>
      </w:r>
      <w:r>
        <w:rPr>
          <w:rFonts w:eastAsia="SimSun"/>
          <w:color w:val="222222"/>
          <w:szCs w:val="24"/>
          <w:shd w:val="clear" w:color="auto" w:fill="FFFFFF"/>
        </w:rPr>
        <w:t>(12), pp.1-11.</w:t>
      </w:r>
    </w:p>
    <w:p w:rsidR="009C75BA" w:rsidRDefault="00820B35">
      <w:pPr>
        <w:ind w:left="720" w:hanging="720"/>
        <w:rPr>
          <w:rFonts w:eastAsia="SimSun"/>
          <w:color w:val="222222"/>
          <w:szCs w:val="24"/>
          <w:shd w:val="clear" w:color="auto" w:fill="FFFFFF"/>
        </w:rPr>
      </w:pPr>
      <w:proofErr w:type="spellStart"/>
      <w:r>
        <w:rPr>
          <w:rFonts w:eastAsia="SimSun"/>
          <w:color w:val="222222"/>
          <w:szCs w:val="24"/>
          <w:shd w:val="clear" w:color="auto" w:fill="FFFFFF"/>
        </w:rPr>
        <w:t>Pramitta</w:t>
      </w:r>
      <w:proofErr w:type="spellEnd"/>
      <w:r>
        <w:rPr>
          <w:rFonts w:eastAsia="SimSun"/>
          <w:color w:val="222222"/>
          <w:szCs w:val="24"/>
          <w:shd w:val="clear" w:color="auto" w:fill="FFFFFF"/>
        </w:rPr>
        <w:t xml:space="preserve"> </w:t>
      </w:r>
      <w:proofErr w:type="spellStart"/>
      <w:r>
        <w:rPr>
          <w:rFonts w:eastAsia="SimSun"/>
          <w:color w:val="222222"/>
          <w:szCs w:val="24"/>
          <w:shd w:val="clear" w:color="auto" w:fill="FFFFFF"/>
          <w:lang w:val="en-US"/>
        </w:rPr>
        <w:t>Yulianda</w:t>
      </w:r>
      <w:proofErr w:type="spellEnd"/>
      <w:r>
        <w:rPr>
          <w:rFonts w:eastAsia="SimSun"/>
          <w:color w:val="222222"/>
          <w:szCs w:val="24"/>
          <w:shd w:val="clear" w:color="auto" w:fill="FFFFFF"/>
        </w:rPr>
        <w:t xml:space="preserve">, A., </w:t>
      </w:r>
      <w:proofErr w:type="spellStart"/>
      <w:r>
        <w:rPr>
          <w:rFonts w:eastAsia="SimSun"/>
          <w:color w:val="222222"/>
          <w:szCs w:val="24"/>
          <w:shd w:val="clear" w:color="auto" w:fill="FFFFFF"/>
        </w:rPr>
        <w:t>Thio</w:t>
      </w:r>
      <w:proofErr w:type="spellEnd"/>
      <w:r>
        <w:rPr>
          <w:rFonts w:eastAsia="SimSun"/>
          <w:color w:val="222222"/>
          <w:szCs w:val="24"/>
          <w:shd w:val="clear" w:color="auto" w:fill="FFFFFF"/>
        </w:rPr>
        <w:t xml:space="preserve">, S. and </w:t>
      </w:r>
      <w:proofErr w:type="spellStart"/>
      <w:r>
        <w:rPr>
          <w:rFonts w:eastAsia="SimSun"/>
          <w:color w:val="222222"/>
          <w:szCs w:val="24"/>
          <w:shd w:val="clear" w:color="auto" w:fill="FFFFFF"/>
        </w:rPr>
        <w:t>Asri</w:t>
      </w:r>
      <w:proofErr w:type="spellEnd"/>
      <w:r>
        <w:rPr>
          <w:rFonts w:eastAsia="SimSun"/>
          <w:color w:val="222222"/>
          <w:szCs w:val="24"/>
          <w:shd w:val="clear" w:color="auto" w:fill="FFFFFF"/>
        </w:rPr>
        <w:t xml:space="preserve">, M., 2018. Dilutive Securities and Earnings </w:t>
      </w:r>
      <w:proofErr w:type="gramStart"/>
      <w:r>
        <w:rPr>
          <w:rFonts w:eastAsia="SimSun"/>
          <w:color w:val="222222"/>
          <w:szCs w:val="24"/>
          <w:shd w:val="clear" w:color="auto" w:fill="FFFFFF"/>
        </w:rPr>
        <w:t>Per</w:t>
      </w:r>
      <w:proofErr w:type="gramEnd"/>
      <w:r>
        <w:rPr>
          <w:rFonts w:eastAsia="SimSun"/>
          <w:color w:val="222222"/>
          <w:szCs w:val="24"/>
          <w:shd w:val="clear" w:color="auto" w:fill="FFFFFF"/>
        </w:rPr>
        <w:t xml:space="preserve"> Share. </w:t>
      </w:r>
      <w:proofErr w:type="spellStart"/>
      <w:r>
        <w:rPr>
          <w:rFonts w:eastAsia="SimSun"/>
          <w:i/>
          <w:iCs/>
          <w:color w:val="222222"/>
          <w:szCs w:val="24"/>
          <w:shd w:val="clear" w:color="auto" w:fill="FFFFFF"/>
        </w:rPr>
        <w:t>Stevani</w:t>
      </w:r>
      <w:proofErr w:type="spellEnd"/>
      <w:r>
        <w:rPr>
          <w:rFonts w:eastAsia="SimSun"/>
          <w:i/>
          <w:iCs/>
          <w:color w:val="222222"/>
          <w:szCs w:val="24"/>
          <w:shd w:val="clear" w:color="auto" w:fill="FFFFFF"/>
        </w:rPr>
        <w:t xml:space="preserve"> and </w:t>
      </w:r>
      <w:proofErr w:type="spellStart"/>
      <w:r>
        <w:rPr>
          <w:rFonts w:eastAsia="SimSun"/>
          <w:i/>
          <w:iCs/>
          <w:color w:val="222222"/>
          <w:szCs w:val="24"/>
          <w:shd w:val="clear" w:color="auto" w:fill="FFFFFF"/>
        </w:rPr>
        <w:t>Asri</w:t>
      </w:r>
      <w:proofErr w:type="spellEnd"/>
      <w:r>
        <w:rPr>
          <w:rFonts w:eastAsia="SimSun"/>
          <w:i/>
          <w:iCs/>
          <w:color w:val="222222"/>
          <w:szCs w:val="24"/>
          <w:shd w:val="clear" w:color="auto" w:fill="FFFFFF"/>
        </w:rPr>
        <w:t xml:space="preserve">, </w:t>
      </w:r>
      <w:proofErr w:type="spellStart"/>
      <w:r>
        <w:rPr>
          <w:rFonts w:eastAsia="SimSun"/>
          <w:i/>
          <w:iCs/>
          <w:color w:val="222222"/>
          <w:szCs w:val="24"/>
          <w:shd w:val="clear" w:color="auto" w:fill="FFFFFF"/>
        </w:rPr>
        <w:t>Marselinus</w:t>
      </w:r>
      <w:proofErr w:type="spellEnd"/>
      <w:r>
        <w:rPr>
          <w:rFonts w:eastAsia="SimSun"/>
          <w:i/>
          <w:iCs/>
          <w:color w:val="222222"/>
          <w:szCs w:val="24"/>
          <w:shd w:val="clear" w:color="auto" w:fill="FFFFFF"/>
        </w:rPr>
        <w:t xml:space="preserve">, Dilutive Securities and Earnings </w:t>
      </w:r>
      <w:proofErr w:type="gramStart"/>
      <w:r>
        <w:rPr>
          <w:rFonts w:eastAsia="SimSun"/>
          <w:i/>
          <w:iCs/>
          <w:color w:val="222222"/>
          <w:szCs w:val="24"/>
          <w:shd w:val="clear" w:color="auto" w:fill="FFFFFF"/>
        </w:rPr>
        <w:t>Per</w:t>
      </w:r>
      <w:proofErr w:type="gramEnd"/>
      <w:r>
        <w:rPr>
          <w:rFonts w:eastAsia="SimSun"/>
          <w:i/>
          <w:iCs/>
          <w:color w:val="222222"/>
          <w:szCs w:val="24"/>
          <w:shd w:val="clear" w:color="auto" w:fill="FFFFFF"/>
        </w:rPr>
        <w:t xml:space="preserve"> Share (July 8, 2018)</w:t>
      </w:r>
      <w:r>
        <w:rPr>
          <w:rFonts w:eastAsia="SimSun"/>
          <w:color w:val="222222"/>
          <w:szCs w:val="24"/>
          <w:shd w:val="clear" w:color="auto" w:fill="FFFFFF"/>
        </w:rPr>
        <w:t>.</w:t>
      </w:r>
    </w:p>
    <w:p w:rsidR="009C75BA" w:rsidRDefault="00820B35">
      <w:pPr>
        <w:ind w:left="720" w:hanging="720"/>
        <w:rPr>
          <w:rFonts w:eastAsia="SimSun"/>
          <w:color w:val="222222"/>
          <w:szCs w:val="24"/>
          <w:shd w:val="clear" w:color="auto" w:fill="FFFFFF"/>
        </w:rPr>
      </w:pPr>
      <w:proofErr w:type="spellStart"/>
      <w:r>
        <w:rPr>
          <w:rFonts w:eastAsia="SimSun"/>
          <w:color w:val="222222"/>
          <w:szCs w:val="24"/>
          <w:shd w:val="clear" w:color="auto" w:fill="FFFFFF"/>
          <w:lang w:val="en-US"/>
        </w:rPr>
        <w:t>Purba</w:t>
      </w:r>
      <w:proofErr w:type="spellEnd"/>
      <w:r>
        <w:rPr>
          <w:rFonts w:eastAsia="SimSun"/>
          <w:color w:val="222222"/>
          <w:szCs w:val="24"/>
          <w:shd w:val="clear" w:color="auto" w:fill="FFFFFF"/>
        </w:rPr>
        <w:t>, J.T. and Africa, L.A., 2019. The effect of capital structure, institutional ownership, managerial ownership, and profitability on company value in manufacturing companies. </w:t>
      </w:r>
      <w:r>
        <w:rPr>
          <w:rFonts w:eastAsia="SimSun"/>
          <w:i/>
          <w:iCs/>
          <w:color w:val="222222"/>
          <w:szCs w:val="24"/>
          <w:shd w:val="clear" w:color="auto" w:fill="FFFFFF"/>
        </w:rPr>
        <w:t>The Indonesian Accounting Review</w:t>
      </w:r>
      <w:r>
        <w:rPr>
          <w:rFonts w:eastAsia="SimSun"/>
          <w:color w:val="222222"/>
          <w:szCs w:val="24"/>
          <w:shd w:val="clear" w:color="auto" w:fill="FFFFFF"/>
        </w:rPr>
        <w:t>, </w:t>
      </w:r>
      <w:r>
        <w:rPr>
          <w:rFonts w:eastAsia="SimSun"/>
          <w:i/>
          <w:iCs/>
          <w:color w:val="222222"/>
          <w:szCs w:val="24"/>
          <w:shd w:val="clear" w:color="auto" w:fill="FFFFFF"/>
        </w:rPr>
        <w:t>9</w:t>
      </w:r>
      <w:r>
        <w:rPr>
          <w:rFonts w:eastAsia="SimSun"/>
          <w:color w:val="222222"/>
          <w:szCs w:val="24"/>
          <w:shd w:val="clear" w:color="auto" w:fill="FFFFFF"/>
        </w:rPr>
        <w:t>(1), pp.27-38.</w:t>
      </w:r>
    </w:p>
    <w:p w:rsidR="009C75BA" w:rsidRDefault="00820B35">
      <w:pPr>
        <w:ind w:left="720" w:hanging="720"/>
        <w:rPr>
          <w:rFonts w:eastAsia="SimSun"/>
          <w:color w:val="222222"/>
          <w:szCs w:val="24"/>
          <w:shd w:val="clear" w:color="auto" w:fill="FFFFFF"/>
        </w:rPr>
      </w:pPr>
      <w:proofErr w:type="spellStart"/>
      <w:r>
        <w:rPr>
          <w:rFonts w:eastAsia="SimSun"/>
          <w:color w:val="222222"/>
          <w:szCs w:val="24"/>
          <w:shd w:val="clear" w:color="auto" w:fill="FFFFFF"/>
        </w:rPr>
        <w:t>Restianti</w:t>
      </w:r>
      <w:proofErr w:type="spellEnd"/>
      <w:r>
        <w:rPr>
          <w:rFonts w:eastAsia="SimSun"/>
          <w:color w:val="222222"/>
          <w:szCs w:val="24"/>
          <w:shd w:val="clear" w:color="auto" w:fill="FFFFFF"/>
        </w:rPr>
        <w:t xml:space="preserve">, T. and </w:t>
      </w:r>
      <w:proofErr w:type="spellStart"/>
      <w:r>
        <w:rPr>
          <w:rFonts w:eastAsia="SimSun"/>
          <w:color w:val="222222"/>
          <w:szCs w:val="24"/>
          <w:shd w:val="clear" w:color="auto" w:fill="FFFFFF"/>
        </w:rPr>
        <w:t>Agustina</w:t>
      </w:r>
      <w:proofErr w:type="spellEnd"/>
      <w:r>
        <w:rPr>
          <w:rFonts w:eastAsia="SimSun"/>
          <w:color w:val="222222"/>
          <w:szCs w:val="24"/>
          <w:shd w:val="clear" w:color="auto" w:fill="FFFFFF"/>
        </w:rPr>
        <w:t xml:space="preserve">, L., 2018. The effect of financial ratios on financial distress conditions in </w:t>
      </w:r>
      <w:r>
        <w:rPr>
          <w:rFonts w:eastAsia="SimSun"/>
          <w:color w:val="222222"/>
          <w:szCs w:val="24"/>
          <w:shd w:val="clear" w:color="auto" w:fill="FFFFFF"/>
          <w:lang w:val="en-US"/>
        </w:rPr>
        <w:t xml:space="preserve">sub </w:t>
      </w:r>
      <w:r>
        <w:rPr>
          <w:rFonts w:eastAsia="SimSun"/>
          <w:color w:val="222222"/>
          <w:szCs w:val="24"/>
          <w:shd w:val="clear" w:color="auto" w:fill="FFFFFF"/>
        </w:rPr>
        <w:t>industrial sector company. </w:t>
      </w:r>
      <w:r>
        <w:rPr>
          <w:rFonts w:eastAsia="SimSun"/>
          <w:i/>
          <w:iCs/>
          <w:color w:val="222222"/>
          <w:szCs w:val="24"/>
          <w:shd w:val="clear" w:color="auto" w:fill="FFFFFF"/>
        </w:rPr>
        <w:t>Accounting Analysis Journal</w:t>
      </w:r>
      <w:r>
        <w:rPr>
          <w:rFonts w:eastAsia="SimSun"/>
          <w:color w:val="222222"/>
          <w:szCs w:val="24"/>
          <w:shd w:val="clear" w:color="auto" w:fill="FFFFFF"/>
        </w:rPr>
        <w:t>, </w:t>
      </w:r>
      <w:r>
        <w:rPr>
          <w:rFonts w:eastAsia="SimSun"/>
          <w:i/>
          <w:iCs/>
          <w:color w:val="222222"/>
          <w:szCs w:val="24"/>
          <w:shd w:val="clear" w:color="auto" w:fill="FFFFFF"/>
        </w:rPr>
        <w:t>7</w:t>
      </w:r>
      <w:r>
        <w:rPr>
          <w:rFonts w:eastAsia="SimSun"/>
          <w:color w:val="222222"/>
          <w:szCs w:val="24"/>
          <w:shd w:val="clear" w:color="auto" w:fill="FFFFFF"/>
        </w:rPr>
        <w:t>(1), pp.25-33.</w:t>
      </w: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left="720" w:hanging="720"/>
        <w:rPr>
          <w:rFonts w:eastAsia="SimSun"/>
          <w:color w:val="222222"/>
          <w:szCs w:val="24"/>
          <w:shd w:val="clear" w:color="auto" w:fill="FFFFFF"/>
        </w:rPr>
      </w:pPr>
    </w:p>
    <w:p w:rsidR="009C75BA" w:rsidRDefault="009C75BA">
      <w:pPr>
        <w:ind w:firstLine="0"/>
        <w:rPr>
          <w:rFonts w:eastAsia="SimSun"/>
          <w:color w:val="222222"/>
          <w:szCs w:val="24"/>
          <w:shd w:val="clear" w:color="auto" w:fill="FFFFFF"/>
        </w:rPr>
      </w:pPr>
    </w:p>
    <w:p w:rsidR="009C75BA" w:rsidRDefault="00820B35">
      <w:pPr>
        <w:pStyle w:val="Heading1"/>
        <w:rPr>
          <w:lang w:val="en-US"/>
        </w:rPr>
      </w:pPr>
      <w:bookmarkStart w:id="10" w:name="_Toc3667"/>
      <w:r>
        <w:rPr>
          <w:lang w:val="en-US"/>
        </w:rPr>
        <w:t>Appendix 1</w:t>
      </w:r>
      <w:bookmarkEnd w:id="10"/>
      <w:r>
        <w:rPr>
          <w:lang w:val="en-US"/>
        </w:rPr>
        <w:t xml:space="preserve"> </w:t>
      </w:r>
    </w:p>
    <w:p w:rsidR="009C75BA" w:rsidRDefault="009C75BA">
      <w:pPr>
        <w:rPr>
          <w:lang w:val="en-US"/>
        </w:rPr>
      </w:pPr>
    </w:p>
    <w:p w:rsidR="009C75BA" w:rsidRDefault="00820B35">
      <w:pPr>
        <w:pStyle w:val="Caption"/>
        <w:jc w:val="center"/>
        <w:rPr>
          <w:rFonts w:eastAsia="SimSun"/>
          <w:iCs w:val="0"/>
          <w:color w:val="222222"/>
          <w:lang w:val="en-US"/>
        </w:rPr>
      </w:pPr>
      <w:r>
        <w:rPr>
          <w:b/>
          <w:bCs/>
          <w:i/>
          <w:iCs w:val="0"/>
        </w:rPr>
        <w:t xml:space="preserve">Table </w:t>
      </w:r>
      <w:r>
        <w:rPr>
          <w:b/>
          <w:bCs/>
          <w:i/>
          <w:iCs w:val="0"/>
        </w:rPr>
        <w:fldChar w:fldCharType="begin"/>
      </w:r>
      <w:r>
        <w:rPr>
          <w:b/>
          <w:bCs/>
          <w:i/>
          <w:iCs w:val="0"/>
        </w:rPr>
        <w:instrText xml:space="preserve"> SEQ Table \* ARABIC </w:instrText>
      </w:r>
      <w:r>
        <w:rPr>
          <w:b/>
          <w:bCs/>
          <w:i/>
          <w:iCs w:val="0"/>
        </w:rPr>
        <w:fldChar w:fldCharType="separate"/>
      </w:r>
      <w:r>
        <w:rPr>
          <w:b/>
          <w:bCs/>
          <w:i/>
          <w:iCs w:val="0"/>
        </w:rPr>
        <w:t>3</w:t>
      </w:r>
      <w:r>
        <w:rPr>
          <w:b/>
          <w:bCs/>
          <w:i/>
          <w:iCs w:val="0"/>
        </w:rPr>
        <w:fldChar w:fldCharType="end"/>
      </w:r>
      <w:r>
        <w:rPr>
          <w:b/>
          <w:bCs/>
          <w:i/>
          <w:iCs w:val="0"/>
          <w:lang w:val="en-US"/>
        </w:rPr>
        <w:t>: Sweets Plc Ratio Analysis</w:t>
      </w:r>
    </w:p>
    <w:tbl>
      <w:tblPr>
        <w:tblW w:w="11241" w:type="dxa"/>
        <w:tblInd w:w="-779" w:type="dxa"/>
        <w:tblLayout w:type="fixed"/>
        <w:tblLook w:val="04A0" w:firstRow="1" w:lastRow="0" w:firstColumn="1" w:lastColumn="0" w:noHBand="0" w:noVBand="1"/>
      </w:tblPr>
      <w:tblGrid>
        <w:gridCol w:w="4011"/>
        <w:gridCol w:w="2134"/>
        <w:gridCol w:w="2586"/>
        <w:gridCol w:w="2510"/>
      </w:tblGrid>
      <w:tr w:rsidR="009C75BA">
        <w:trPr>
          <w:trHeight w:val="388"/>
        </w:trPr>
        <w:tc>
          <w:tcPr>
            <w:tcW w:w="4011" w:type="dxa"/>
            <w:tcBorders>
              <w:top w:val="single" w:sz="8" w:space="0" w:color="4F81BD"/>
              <w:left w:val="single" w:sz="8" w:space="0" w:color="4F81BD"/>
              <w:bottom w:val="single" w:sz="18" w:space="0" w:color="FFFFFF"/>
              <w:right w:val="single" w:sz="8" w:space="0" w:color="4F81BD"/>
            </w:tcBorders>
            <w:shd w:val="clear" w:color="auto" w:fill="4F81BD"/>
            <w:noWrap/>
            <w:vAlign w:val="center"/>
          </w:tcPr>
          <w:p w:rsidR="009C75BA" w:rsidRDefault="009C75BA">
            <w:pPr>
              <w:rPr>
                <w:rFonts w:ascii="Calibri" w:hAnsi="Calibri" w:cs="Calibri"/>
                <w:color w:val="FFFFFF"/>
                <w:sz w:val="22"/>
              </w:rPr>
            </w:pPr>
          </w:p>
        </w:tc>
        <w:tc>
          <w:tcPr>
            <w:tcW w:w="2134" w:type="dxa"/>
            <w:tcBorders>
              <w:top w:val="single" w:sz="8" w:space="0" w:color="4F81BD"/>
              <w:left w:val="single" w:sz="8" w:space="0" w:color="4F81BD"/>
              <w:bottom w:val="single" w:sz="18" w:space="0" w:color="FFFFFF"/>
              <w:right w:val="single" w:sz="8" w:space="0" w:color="4F81BD"/>
            </w:tcBorders>
            <w:shd w:val="clear" w:color="auto" w:fill="4F81BD"/>
            <w:noWrap/>
            <w:vAlign w:val="center"/>
          </w:tcPr>
          <w:p w:rsidR="009C75BA" w:rsidRDefault="009C75BA">
            <w:pPr>
              <w:rPr>
                <w:rFonts w:ascii="Calibri" w:hAnsi="Calibri" w:cs="Calibri"/>
                <w:color w:val="FFFFFF"/>
                <w:sz w:val="22"/>
              </w:rPr>
            </w:pPr>
          </w:p>
        </w:tc>
        <w:tc>
          <w:tcPr>
            <w:tcW w:w="2586" w:type="dxa"/>
            <w:tcBorders>
              <w:top w:val="single" w:sz="8" w:space="0" w:color="4F81BD"/>
              <w:left w:val="single" w:sz="8" w:space="0" w:color="4F81BD"/>
              <w:bottom w:val="single" w:sz="18" w:space="0" w:color="FFFFFF"/>
              <w:right w:val="single" w:sz="8" w:space="0" w:color="4F81BD"/>
            </w:tcBorders>
            <w:shd w:val="clear" w:color="auto" w:fill="4F81BD"/>
            <w:noWrap/>
            <w:vAlign w:val="center"/>
          </w:tcPr>
          <w:p w:rsidR="009C75BA" w:rsidRDefault="009C75BA">
            <w:pPr>
              <w:rPr>
                <w:rFonts w:ascii="Calibri" w:hAnsi="Calibri" w:cs="Calibri"/>
                <w:color w:val="FFFFFF"/>
                <w:sz w:val="22"/>
              </w:rPr>
            </w:pPr>
          </w:p>
        </w:tc>
        <w:tc>
          <w:tcPr>
            <w:tcW w:w="2510" w:type="dxa"/>
            <w:tcBorders>
              <w:top w:val="single" w:sz="8" w:space="0" w:color="4F81BD"/>
              <w:left w:val="single" w:sz="8" w:space="0" w:color="4F81BD"/>
              <w:bottom w:val="single" w:sz="18" w:space="0" w:color="FFFFFF"/>
              <w:right w:val="single" w:sz="8" w:space="0" w:color="4F81BD"/>
            </w:tcBorders>
            <w:shd w:val="clear" w:color="auto" w:fill="4F81BD"/>
            <w:noWrap/>
            <w:vAlign w:val="center"/>
          </w:tcPr>
          <w:p w:rsidR="009C75BA" w:rsidRDefault="009C75BA">
            <w:pPr>
              <w:rPr>
                <w:rFonts w:ascii="Calibri" w:hAnsi="Calibri" w:cs="Calibri"/>
                <w:color w:val="FFFFFF"/>
                <w:sz w:val="22"/>
              </w:rPr>
            </w:pPr>
          </w:p>
        </w:tc>
      </w:tr>
      <w:tr w:rsidR="009C75BA">
        <w:trPr>
          <w:trHeight w:val="422"/>
        </w:trPr>
        <w:tc>
          <w:tcPr>
            <w:tcW w:w="4011" w:type="dxa"/>
            <w:tcBorders>
              <w:top w:val="single" w:sz="18" w:space="0" w:color="FFFFFF"/>
              <w:left w:val="single" w:sz="8" w:space="0" w:color="4F81BD"/>
              <w:bottom w:val="single" w:sz="8" w:space="0" w:color="4F81BD"/>
              <w:right w:val="single" w:sz="8" w:space="0" w:color="4F81BD"/>
            </w:tcBorders>
            <w:shd w:val="clear" w:color="auto" w:fill="FFFFFF"/>
            <w:noWrap/>
            <w:vAlign w:val="center"/>
          </w:tcPr>
          <w:p w:rsidR="009C75BA" w:rsidRDefault="009C75BA">
            <w:pPr>
              <w:rPr>
                <w:rFonts w:ascii="Calibri" w:hAnsi="Calibri" w:cs="Calibri"/>
                <w:color w:val="000000"/>
                <w:sz w:val="22"/>
              </w:rPr>
            </w:pPr>
          </w:p>
        </w:tc>
        <w:tc>
          <w:tcPr>
            <w:tcW w:w="2134" w:type="dxa"/>
            <w:tcBorders>
              <w:top w:val="single" w:sz="18" w:space="0" w:color="FFFFFF"/>
              <w:left w:val="single" w:sz="8" w:space="0" w:color="4F81BD"/>
              <w:bottom w:val="single" w:sz="8" w:space="0" w:color="4F81BD"/>
              <w:right w:val="single" w:sz="8" w:space="0" w:color="4F81BD"/>
            </w:tcBorders>
            <w:shd w:val="clear" w:color="auto" w:fill="FFFFFF"/>
            <w:noWrap/>
            <w:vAlign w:val="center"/>
          </w:tcPr>
          <w:p w:rsidR="009C75BA" w:rsidRDefault="009C75BA">
            <w:pPr>
              <w:rPr>
                <w:rFonts w:ascii="Calibri" w:hAnsi="Calibri" w:cs="Calibri"/>
                <w:color w:val="000000"/>
                <w:sz w:val="22"/>
              </w:rPr>
            </w:pPr>
          </w:p>
        </w:tc>
        <w:tc>
          <w:tcPr>
            <w:tcW w:w="2586" w:type="dxa"/>
            <w:tcBorders>
              <w:top w:val="single" w:sz="18" w:space="0" w:color="FFFFFF"/>
              <w:left w:val="single" w:sz="8" w:space="0" w:color="4F81BD"/>
              <w:bottom w:val="single" w:sz="8" w:space="0" w:color="4F81BD"/>
              <w:right w:val="single" w:sz="8" w:space="0" w:color="4F81BD"/>
            </w:tcBorders>
            <w:shd w:val="clear" w:color="auto" w:fill="FFFFFF"/>
            <w:noWrap/>
            <w:vAlign w:val="center"/>
          </w:tcPr>
          <w:p w:rsidR="009C75BA" w:rsidRDefault="009C75BA">
            <w:pPr>
              <w:rPr>
                <w:rFonts w:ascii="Calibri" w:hAnsi="Calibri" w:cs="Calibri"/>
                <w:color w:val="000000"/>
                <w:sz w:val="22"/>
              </w:rPr>
            </w:pPr>
          </w:p>
        </w:tc>
        <w:tc>
          <w:tcPr>
            <w:tcW w:w="2510" w:type="dxa"/>
            <w:tcBorders>
              <w:top w:val="single" w:sz="18" w:space="0" w:color="FFFFFF"/>
              <w:left w:val="single" w:sz="8" w:space="0" w:color="4F81BD"/>
              <w:bottom w:val="single" w:sz="8" w:space="0" w:color="4F81BD"/>
              <w:right w:val="single" w:sz="8" w:space="0" w:color="4F81BD"/>
            </w:tcBorders>
            <w:shd w:val="clear" w:color="auto" w:fill="FFFFFF"/>
            <w:noWrap/>
            <w:vAlign w:val="center"/>
          </w:tcPr>
          <w:p w:rsidR="009C75BA" w:rsidRDefault="009C75BA">
            <w:pPr>
              <w:rPr>
                <w:rFonts w:ascii="Calibri" w:hAnsi="Calibri" w:cs="Calibri"/>
                <w:color w:val="000000"/>
                <w:sz w:val="22"/>
              </w:rPr>
            </w:pPr>
          </w:p>
        </w:tc>
      </w:tr>
      <w:tr w:rsidR="009C75BA">
        <w:trPr>
          <w:trHeight w:val="38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9C75BA">
            <w:pPr>
              <w:rPr>
                <w:color w:val="000000"/>
                <w:szCs w:val="24"/>
              </w:rPr>
            </w:pP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2020</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b/>
                <w:bCs/>
                <w:color w:val="000000"/>
                <w:szCs w:val="24"/>
              </w:rPr>
            </w:pPr>
            <w:r>
              <w:rPr>
                <w:rFonts w:eastAsia="SimSun"/>
                <w:b/>
                <w:bCs/>
                <w:color w:val="000000"/>
                <w:szCs w:val="24"/>
                <w:lang w:val="en-US" w:eastAsia="zh-CN" w:bidi="ar"/>
              </w:rPr>
              <w:t>2021</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b/>
                <w:bCs/>
                <w:color w:val="000000"/>
                <w:szCs w:val="24"/>
              </w:rPr>
            </w:pPr>
            <w:r>
              <w:rPr>
                <w:rFonts w:eastAsia="SimSun"/>
                <w:b/>
                <w:bCs/>
                <w:color w:val="000000"/>
                <w:szCs w:val="24"/>
                <w:lang w:val="en-US" w:eastAsia="zh-CN" w:bidi="ar"/>
              </w:rPr>
              <w:t xml:space="preserve">Change </w:t>
            </w:r>
          </w:p>
        </w:tc>
      </w:tr>
      <w:tr w:rsidR="009C75BA">
        <w:trPr>
          <w:trHeight w:val="38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9C75BA">
            <w:pPr>
              <w:rPr>
                <w:color w:val="000000"/>
                <w:szCs w:val="24"/>
              </w:rPr>
            </w:pP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w:t>
            </w:r>
          </w:p>
        </w:tc>
      </w:tr>
      <w:tr w:rsidR="009C75BA">
        <w:trPr>
          <w:trHeight w:val="424"/>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ROCE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9.9%</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11.1%</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1.21%</w:t>
            </w:r>
          </w:p>
        </w:tc>
      </w:tr>
      <w:tr w:rsidR="009C75BA">
        <w:trPr>
          <w:trHeight w:val="38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ROE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12.6%</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14.0%</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1.39%</w:t>
            </w:r>
          </w:p>
        </w:tc>
      </w:tr>
      <w:tr w:rsidR="009C75BA">
        <w:trPr>
          <w:trHeight w:val="476"/>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proofErr w:type="spellStart"/>
            <w:r>
              <w:rPr>
                <w:rFonts w:eastAsia="SimSun"/>
                <w:color w:val="000000"/>
                <w:szCs w:val="24"/>
                <w:lang w:val="en-US" w:eastAsia="zh-CN" w:bidi="ar"/>
              </w:rPr>
              <w:t>Earning</w:t>
            </w:r>
            <w:proofErr w:type="spellEnd"/>
            <w:r>
              <w:rPr>
                <w:rFonts w:eastAsia="SimSun"/>
                <w:color w:val="000000"/>
                <w:szCs w:val="24"/>
                <w:lang w:val="en-US" w:eastAsia="zh-CN" w:bidi="ar"/>
              </w:rPr>
              <w:t xml:space="preserve"> per share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1.2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1.4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0.217 </w:t>
            </w:r>
          </w:p>
        </w:tc>
      </w:tr>
      <w:tr w:rsidR="009C75BA">
        <w:trPr>
          <w:trHeight w:val="476"/>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Net Profit Margin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6.4%</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5.7%</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-0.71%</w:t>
            </w:r>
          </w:p>
        </w:tc>
      </w:tr>
      <w:tr w:rsidR="009C75BA">
        <w:trPr>
          <w:trHeight w:val="476"/>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Asset Turnover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0.6385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0.6798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0.041 </w:t>
            </w:r>
          </w:p>
        </w:tc>
      </w:tr>
      <w:tr w:rsidR="009C75BA">
        <w:trPr>
          <w:trHeight w:val="476"/>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Inventory Turnover</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4.6980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9.8581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5.160 </w:t>
            </w:r>
          </w:p>
        </w:tc>
      </w:tr>
      <w:tr w:rsidR="009C75BA">
        <w:trPr>
          <w:trHeight w:val="476"/>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Stock Holding days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77.6922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37.0255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-40.667 </w:t>
            </w:r>
          </w:p>
        </w:tc>
      </w:tr>
      <w:tr w:rsidR="009C75BA">
        <w:trPr>
          <w:trHeight w:val="75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Account Receivable Turnover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5.0047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5.3139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0.3092 </w:t>
            </w:r>
          </w:p>
        </w:tc>
      </w:tr>
      <w:tr w:rsidR="009C75BA">
        <w:trPr>
          <w:trHeight w:val="721"/>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Debtors Collection Period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72.9320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68.6880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-4.244 </w:t>
            </w:r>
          </w:p>
        </w:tc>
      </w:tr>
      <w:tr w:rsidR="009C75BA">
        <w:trPr>
          <w:trHeight w:val="38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Current Ratio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0.7731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0.9172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0.1440 </w:t>
            </w:r>
          </w:p>
        </w:tc>
      </w:tr>
      <w:tr w:rsidR="009C75BA">
        <w:trPr>
          <w:trHeight w:val="388"/>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 xml:space="preserve">Gearing Ratio </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2.4639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2.1528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-0.311 </w:t>
            </w:r>
          </w:p>
        </w:tc>
      </w:tr>
      <w:tr w:rsidR="009C75BA">
        <w:trPr>
          <w:trHeight w:val="521"/>
        </w:trPr>
        <w:tc>
          <w:tcPr>
            <w:tcW w:w="4011"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left"/>
              <w:textAlignment w:val="center"/>
              <w:rPr>
                <w:color w:val="000000"/>
                <w:szCs w:val="24"/>
              </w:rPr>
            </w:pPr>
            <w:r>
              <w:rPr>
                <w:rFonts w:eastAsia="SimSun"/>
                <w:color w:val="000000"/>
                <w:szCs w:val="24"/>
                <w:lang w:val="en-US" w:eastAsia="zh-CN" w:bidi="ar"/>
              </w:rPr>
              <w:t>Interest  Cover</w:t>
            </w:r>
          </w:p>
        </w:tc>
        <w:tc>
          <w:tcPr>
            <w:tcW w:w="2134"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3.8619 </w:t>
            </w:r>
          </w:p>
        </w:tc>
        <w:tc>
          <w:tcPr>
            <w:tcW w:w="2586"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3.5619 </w:t>
            </w:r>
          </w:p>
        </w:tc>
        <w:tc>
          <w:tcPr>
            <w:tcW w:w="2510" w:type="dxa"/>
            <w:tcBorders>
              <w:top w:val="single" w:sz="8" w:space="0" w:color="4F81BD"/>
              <w:left w:val="single" w:sz="8" w:space="0" w:color="4F81BD"/>
              <w:bottom w:val="single" w:sz="8" w:space="0" w:color="4F81BD"/>
              <w:right w:val="single" w:sz="8" w:space="0" w:color="4F81BD"/>
            </w:tcBorders>
            <w:shd w:val="clear" w:color="auto" w:fill="FFFFFF"/>
            <w:noWrap/>
            <w:vAlign w:val="center"/>
          </w:tcPr>
          <w:p w:rsidR="009C75BA" w:rsidRDefault="00820B35">
            <w:pPr>
              <w:jc w:val="right"/>
              <w:textAlignment w:val="center"/>
              <w:rPr>
                <w:color w:val="000000"/>
                <w:szCs w:val="24"/>
              </w:rPr>
            </w:pPr>
            <w:r>
              <w:rPr>
                <w:rFonts w:eastAsia="SimSun"/>
                <w:color w:val="000000"/>
                <w:szCs w:val="24"/>
                <w:lang w:val="en-US" w:eastAsia="zh-CN" w:bidi="ar"/>
              </w:rPr>
              <w:t xml:space="preserve">-0.300 </w:t>
            </w:r>
          </w:p>
        </w:tc>
      </w:tr>
    </w:tbl>
    <w:p w:rsidR="009C75BA" w:rsidRDefault="009C75BA">
      <w:pPr>
        <w:ind w:left="720" w:hanging="720"/>
        <w:rPr>
          <w:rFonts w:eastAsia="SimSun"/>
          <w:color w:val="222222"/>
          <w:szCs w:val="24"/>
          <w:shd w:val="clear" w:color="auto" w:fill="FFFFFF"/>
          <w:lang w:val="en-US"/>
        </w:rPr>
      </w:pPr>
    </w:p>
    <w:sectPr w:rsidR="009C75BA" w:rsidSect="000A080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2D80" w:rsidRDefault="00CB2D80">
      <w:pPr>
        <w:spacing w:line="240" w:lineRule="auto"/>
      </w:pPr>
      <w:r>
        <w:separator/>
      </w:r>
    </w:p>
  </w:endnote>
  <w:endnote w:type="continuationSeparator" w:id="0">
    <w:p w:rsidR="00CB2D80" w:rsidRDefault="00CB2D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2D80" w:rsidRDefault="00CB2D80">
      <w:r>
        <w:separator/>
      </w:r>
    </w:p>
  </w:footnote>
  <w:footnote w:type="continuationSeparator" w:id="0">
    <w:p w:rsidR="00CB2D80" w:rsidRDefault="00CB2D8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4552699"/>
      <w:docPartObj>
        <w:docPartGallery w:val="Page Numbers (Top of Page)"/>
        <w:docPartUnique/>
      </w:docPartObj>
    </w:sdtPr>
    <w:sdtEndPr>
      <w:rPr>
        <w:noProof/>
      </w:rPr>
    </w:sdtEndPr>
    <w:sdtContent>
      <w:p w:rsidR="000A0804" w:rsidRDefault="000A0804">
        <w:pPr>
          <w:pStyle w:val="Header"/>
          <w:jc w:val="right"/>
        </w:pPr>
        <w:r>
          <w:fldChar w:fldCharType="begin"/>
        </w:r>
        <w:r>
          <w:instrText xml:space="preserve"> PAGE   \* MERGEFORMAT </w:instrText>
        </w:r>
        <w:r>
          <w:fldChar w:fldCharType="separate"/>
        </w:r>
        <w:r w:rsidR="00004A5B">
          <w:rPr>
            <w:noProof/>
          </w:rPr>
          <w:t>1</w:t>
        </w:r>
        <w:r>
          <w:rPr>
            <w:noProof/>
          </w:rPr>
          <w:fldChar w:fldCharType="end"/>
        </w:r>
      </w:p>
    </w:sdtContent>
  </w:sdt>
  <w:p w:rsidR="000A0804" w:rsidRDefault="000A08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F19FB7F"/>
    <w:multiLevelType w:val="singleLevel"/>
    <w:tmpl w:val="BF19FB7F"/>
    <w:lvl w:ilvl="0">
      <w:start w:val="1"/>
      <w:numFmt w:val="upperLetter"/>
      <w:lvlText w:val="%1."/>
      <w:lvlJc w:val="left"/>
      <w:pPr>
        <w:tabs>
          <w:tab w:val="left" w:pos="840"/>
        </w:tabs>
        <w:ind w:left="840"/>
      </w:pPr>
    </w:lvl>
  </w:abstractNum>
  <w:abstractNum w:abstractNumId="1">
    <w:nsid w:val="C710025F"/>
    <w:multiLevelType w:val="singleLevel"/>
    <w:tmpl w:val="C710025F"/>
    <w:lvl w:ilvl="0">
      <w:start w:val="1"/>
      <w:numFmt w:val="upperLetter"/>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UwNjM0NzeyMDM0MDZX0lEKTi0uzszPAykwrQUAwSO4NiwAAAA="/>
  </w:docVars>
  <w:rsids>
    <w:rsidRoot w:val="00DB5C6D"/>
    <w:rsid w:val="00004A5B"/>
    <w:rsid w:val="000A0804"/>
    <w:rsid w:val="000D4FC4"/>
    <w:rsid w:val="001A0CA7"/>
    <w:rsid w:val="002175F4"/>
    <w:rsid w:val="002264A4"/>
    <w:rsid w:val="00242FCE"/>
    <w:rsid w:val="002630C4"/>
    <w:rsid w:val="003655E8"/>
    <w:rsid w:val="0041689B"/>
    <w:rsid w:val="004569F5"/>
    <w:rsid w:val="004C0586"/>
    <w:rsid w:val="0055045B"/>
    <w:rsid w:val="00571120"/>
    <w:rsid w:val="006778B8"/>
    <w:rsid w:val="006C738C"/>
    <w:rsid w:val="00774B3F"/>
    <w:rsid w:val="00777898"/>
    <w:rsid w:val="007B7B46"/>
    <w:rsid w:val="00820B35"/>
    <w:rsid w:val="00831BED"/>
    <w:rsid w:val="00875680"/>
    <w:rsid w:val="008B07B0"/>
    <w:rsid w:val="009246D8"/>
    <w:rsid w:val="009C75BA"/>
    <w:rsid w:val="00A139AB"/>
    <w:rsid w:val="00A84E9A"/>
    <w:rsid w:val="00AC34BC"/>
    <w:rsid w:val="00B00571"/>
    <w:rsid w:val="00B119F9"/>
    <w:rsid w:val="00BA0E37"/>
    <w:rsid w:val="00BE5A39"/>
    <w:rsid w:val="00C07991"/>
    <w:rsid w:val="00C90F5F"/>
    <w:rsid w:val="00CB2D80"/>
    <w:rsid w:val="00CD3971"/>
    <w:rsid w:val="00D005AB"/>
    <w:rsid w:val="00D9303F"/>
    <w:rsid w:val="00D95D6C"/>
    <w:rsid w:val="00DB178C"/>
    <w:rsid w:val="00DB5C6D"/>
    <w:rsid w:val="00DE4430"/>
    <w:rsid w:val="00E70213"/>
    <w:rsid w:val="00ED2FDE"/>
    <w:rsid w:val="00F74D9D"/>
    <w:rsid w:val="00FF3905"/>
    <w:rsid w:val="0F657030"/>
    <w:rsid w:val="128356FF"/>
    <w:rsid w:val="21342D27"/>
    <w:rsid w:val="263929E8"/>
    <w:rsid w:val="279664C8"/>
    <w:rsid w:val="30D469E5"/>
    <w:rsid w:val="31B14DEE"/>
    <w:rsid w:val="325830A9"/>
    <w:rsid w:val="37D53B15"/>
    <w:rsid w:val="3E39680C"/>
    <w:rsid w:val="4F2E1987"/>
    <w:rsid w:val="769D16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360" w:lineRule="auto"/>
      <w:ind w:firstLine="720"/>
      <w:jc w:val="both"/>
    </w:pPr>
    <w:rPr>
      <w:rFonts w:eastAsia="Calibri"/>
      <w:sz w:val="24"/>
      <w:szCs w:val="22"/>
      <w:lang w:val="en-GB"/>
    </w:rPr>
  </w:style>
  <w:style w:type="paragraph" w:styleId="Heading1">
    <w:name w:val="heading 1"/>
    <w:basedOn w:val="Normal"/>
    <w:next w:val="Normal"/>
    <w:link w:val="Heading1Char"/>
    <w:uiPriority w:val="9"/>
    <w:qFormat/>
    <w:pPr>
      <w:keepNext/>
      <w:keepLines/>
      <w:ind w:firstLine="0"/>
      <w:jc w:val="center"/>
      <w:outlineLvl w:val="0"/>
    </w:pPr>
    <w:rPr>
      <w:rFonts w:eastAsia="Times New Roman"/>
      <w:b/>
      <w:szCs w:val="24"/>
    </w:rPr>
  </w:style>
  <w:style w:type="paragraph" w:styleId="Heading2">
    <w:name w:val="heading 2"/>
    <w:basedOn w:val="Normal"/>
    <w:next w:val="Normal"/>
    <w:link w:val="Heading2Char"/>
    <w:uiPriority w:val="9"/>
    <w:qFormat/>
    <w:pPr>
      <w:keepNext/>
      <w:keepLines/>
      <w:spacing w:line="240" w:lineRule="auto"/>
      <w:ind w:firstLine="0"/>
      <w:outlineLvl w:val="1"/>
    </w:pPr>
    <w:rPr>
      <w:rFonts w:eastAsia="Times New Roman"/>
      <w:b/>
      <w:i/>
      <w:szCs w:val="24"/>
    </w:rPr>
  </w:style>
  <w:style w:type="paragraph" w:styleId="Heading3">
    <w:name w:val="heading 3"/>
    <w:basedOn w:val="Normal"/>
    <w:next w:val="Normal"/>
    <w:link w:val="Heading3Char"/>
    <w:uiPriority w:val="9"/>
    <w:qFormat/>
    <w:pPr>
      <w:keepNext/>
      <w:keepLines/>
      <w:spacing w:before="40"/>
      <w:ind w:firstLine="0"/>
      <w:outlineLvl w:val="2"/>
    </w:pPr>
    <w:rPr>
      <w:rFonts w:eastAsia="Times New Roman"/>
      <w:i/>
      <w:color w:val="000000"/>
      <w:szCs w:val="24"/>
    </w:rPr>
  </w:style>
  <w:style w:type="paragraph" w:styleId="Heading4">
    <w:name w:val="heading 4"/>
    <w:basedOn w:val="Normal"/>
    <w:next w:val="Normal"/>
    <w:link w:val="Heading4Char"/>
    <w:uiPriority w:val="9"/>
    <w:unhideWhenUsed/>
    <w:qFormat/>
    <w:pPr>
      <w:keepNext/>
      <w:keepLines/>
      <w:spacing w:before="40"/>
      <w:ind w:left="864" w:hanging="864"/>
      <w:jc w:val="left"/>
      <w:outlineLvl w:val="3"/>
    </w:pPr>
    <w:rPr>
      <w:rFonts w:eastAsia="Times New Roman"/>
      <w:i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Caption">
    <w:name w:val="caption"/>
    <w:basedOn w:val="Normal"/>
    <w:next w:val="Normal"/>
    <w:uiPriority w:val="35"/>
    <w:qFormat/>
    <w:pPr>
      <w:widowControl w:val="0"/>
      <w:suppressLineNumbers/>
      <w:suppressAutoHyphens/>
    </w:pPr>
    <w:rPr>
      <w:rFonts w:eastAsia="Times New Roman"/>
      <w:iCs/>
      <w:szCs w:val="24"/>
      <w:shd w:val="clear" w:color="auto" w:fill="FFFFFF"/>
      <w:lang w:eastAsia="en-GB"/>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szCs w:val="24"/>
      <w:lang w:val="en-US"/>
    </w:rPr>
  </w:style>
  <w:style w:type="character" w:styleId="Strong">
    <w:name w:val="Strong"/>
    <w:basedOn w:val="DefaultParagraphFont"/>
    <w:uiPriority w:val="22"/>
    <w:qFormat/>
    <w:rPr>
      <w:b/>
      <w:bCs/>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link w:val="Heading1"/>
    <w:uiPriority w:val="9"/>
    <w:qFormat/>
    <w:rPr>
      <w:rFonts w:ascii="Times New Roman" w:eastAsia="Times New Roman" w:hAnsi="Times New Roman"/>
      <w:b/>
      <w:sz w:val="24"/>
      <w:szCs w:val="24"/>
      <w:lang w:val="en-GB"/>
    </w:rPr>
  </w:style>
  <w:style w:type="character" w:customStyle="1" w:styleId="Heading2Char">
    <w:name w:val="Heading 2 Char"/>
    <w:link w:val="Heading2"/>
    <w:uiPriority w:val="9"/>
    <w:rPr>
      <w:rFonts w:ascii="Times New Roman" w:eastAsia="Times New Roman" w:hAnsi="Times New Roman"/>
      <w:b/>
      <w:i/>
      <w:sz w:val="24"/>
      <w:szCs w:val="24"/>
      <w:lang w:val="en-GB"/>
    </w:rPr>
  </w:style>
  <w:style w:type="character" w:customStyle="1" w:styleId="Heading3Char">
    <w:name w:val="Heading 3 Char"/>
    <w:link w:val="Heading3"/>
    <w:uiPriority w:val="9"/>
    <w:qFormat/>
    <w:rPr>
      <w:rFonts w:ascii="Times New Roman" w:eastAsia="Times New Roman" w:hAnsi="Times New Roman"/>
      <w:i/>
      <w:color w:val="000000"/>
      <w:sz w:val="24"/>
      <w:szCs w:val="24"/>
      <w:lang w:val="en-GB"/>
    </w:rPr>
  </w:style>
  <w:style w:type="character" w:customStyle="1" w:styleId="Heading4Char">
    <w:name w:val="Heading 4 Char"/>
    <w:link w:val="Heading4"/>
    <w:uiPriority w:val="9"/>
    <w:rPr>
      <w:rFonts w:ascii="Times New Roman" w:eastAsia="Times New Roman" w:hAnsi="Times New Roman"/>
      <w:iCs/>
      <w:color w:val="000000"/>
      <w:sz w:val="24"/>
      <w:szCs w:val="22"/>
      <w:lang w:val="en-GB"/>
    </w:rPr>
  </w:style>
  <w:style w:type="paragraph" w:styleId="NoSpacing">
    <w:name w:val="No Spacing"/>
    <w:uiPriority w:val="1"/>
    <w:qFormat/>
    <w:rPr>
      <w:rFonts w:eastAsia="Calibri"/>
      <w:b/>
      <w:sz w:val="24"/>
      <w:szCs w:val="22"/>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qFormat/>
    <w:pPr>
      <w:spacing w:line="259" w:lineRule="auto"/>
      <w:jc w:val="left"/>
      <w:outlineLvl w:val="9"/>
    </w:pPr>
    <w:rPr>
      <w:rFonts w:ascii="Calibri Light" w:hAnsi="Calibri Light"/>
      <w:b w:val="0"/>
      <w:color w:val="2F5496"/>
      <w:sz w:val="32"/>
      <w:lang w:val="en-US"/>
    </w:rPr>
  </w:style>
  <w:style w:type="character" w:customStyle="1" w:styleId="CommentTextChar">
    <w:name w:val="Comment Text Char"/>
    <w:basedOn w:val="DefaultParagraphFont"/>
    <w:link w:val="CommentText"/>
    <w:uiPriority w:val="99"/>
    <w:semiHidden/>
    <w:rPr>
      <w:rFonts w:ascii="Times New Roman" w:hAnsi="Times New Roman"/>
      <w:lang w:val="en-GB"/>
    </w:rPr>
  </w:style>
  <w:style w:type="character" w:customStyle="1" w:styleId="CommentSubjectChar">
    <w:name w:val="Comment Subject Char"/>
    <w:basedOn w:val="CommentTextChar"/>
    <w:link w:val="CommentSubject"/>
    <w:uiPriority w:val="99"/>
    <w:semiHidden/>
    <w:rPr>
      <w:rFonts w:ascii="Times New Roman" w:hAnsi="Times New Roman"/>
      <w:b/>
      <w:bCs/>
      <w:lang w:val="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paragraph" w:styleId="Header">
    <w:name w:val="header"/>
    <w:basedOn w:val="Normal"/>
    <w:link w:val="HeaderChar"/>
    <w:uiPriority w:val="99"/>
    <w:unhideWhenUsed/>
    <w:rsid w:val="000A0804"/>
    <w:pPr>
      <w:tabs>
        <w:tab w:val="center" w:pos="4680"/>
        <w:tab w:val="right" w:pos="9360"/>
      </w:tabs>
      <w:spacing w:line="240" w:lineRule="auto"/>
    </w:pPr>
  </w:style>
  <w:style w:type="character" w:customStyle="1" w:styleId="HeaderChar">
    <w:name w:val="Header Char"/>
    <w:basedOn w:val="DefaultParagraphFont"/>
    <w:link w:val="Header"/>
    <w:uiPriority w:val="99"/>
    <w:rsid w:val="000A0804"/>
    <w:rPr>
      <w:rFonts w:eastAsia="Calibri"/>
      <w:sz w:val="24"/>
      <w:szCs w:val="22"/>
      <w:lang w:val="en-GB"/>
    </w:rPr>
  </w:style>
  <w:style w:type="paragraph" w:styleId="Footer">
    <w:name w:val="footer"/>
    <w:basedOn w:val="Normal"/>
    <w:link w:val="FooterChar"/>
    <w:uiPriority w:val="99"/>
    <w:unhideWhenUsed/>
    <w:rsid w:val="000A0804"/>
    <w:pPr>
      <w:tabs>
        <w:tab w:val="center" w:pos="4680"/>
        <w:tab w:val="right" w:pos="9360"/>
      </w:tabs>
      <w:spacing w:line="240" w:lineRule="auto"/>
    </w:pPr>
  </w:style>
  <w:style w:type="character" w:customStyle="1" w:styleId="FooterChar">
    <w:name w:val="Footer Char"/>
    <w:basedOn w:val="DefaultParagraphFont"/>
    <w:link w:val="Footer"/>
    <w:uiPriority w:val="99"/>
    <w:rsid w:val="000A0804"/>
    <w:rPr>
      <w:rFonts w:eastAsia="Calibri"/>
      <w:sz w:val="24"/>
      <w:szCs w:val="22"/>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360" w:lineRule="auto"/>
      <w:ind w:firstLine="720"/>
      <w:jc w:val="both"/>
    </w:pPr>
    <w:rPr>
      <w:rFonts w:eastAsia="Calibri"/>
      <w:sz w:val="24"/>
      <w:szCs w:val="22"/>
      <w:lang w:val="en-GB"/>
    </w:rPr>
  </w:style>
  <w:style w:type="paragraph" w:styleId="Heading1">
    <w:name w:val="heading 1"/>
    <w:basedOn w:val="Normal"/>
    <w:next w:val="Normal"/>
    <w:link w:val="Heading1Char"/>
    <w:uiPriority w:val="9"/>
    <w:qFormat/>
    <w:pPr>
      <w:keepNext/>
      <w:keepLines/>
      <w:ind w:firstLine="0"/>
      <w:jc w:val="center"/>
      <w:outlineLvl w:val="0"/>
    </w:pPr>
    <w:rPr>
      <w:rFonts w:eastAsia="Times New Roman"/>
      <w:b/>
      <w:szCs w:val="24"/>
    </w:rPr>
  </w:style>
  <w:style w:type="paragraph" w:styleId="Heading2">
    <w:name w:val="heading 2"/>
    <w:basedOn w:val="Normal"/>
    <w:next w:val="Normal"/>
    <w:link w:val="Heading2Char"/>
    <w:uiPriority w:val="9"/>
    <w:qFormat/>
    <w:pPr>
      <w:keepNext/>
      <w:keepLines/>
      <w:spacing w:line="240" w:lineRule="auto"/>
      <w:ind w:firstLine="0"/>
      <w:outlineLvl w:val="1"/>
    </w:pPr>
    <w:rPr>
      <w:rFonts w:eastAsia="Times New Roman"/>
      <w:b/>
      <w:i/>
      <w:szCs w:val="24"/>
    </w:rPr>
  </w:style>
  <w:style w:type="paragraph" w:styleId="Heading3">
    <w:name w:val="heading 3"/>
    <w:basedOn w:val="Normal"/>
    <w:next w:val="Normal"/>
    <w:link w:val="Heading3Char"/>
    <w:uiPriority w:val="9"/>
    <w:qFormat/>
    <w:pPr>
      <w:keepNext/>
      <w:keepLines/>
      <w:spacing w:before="40"/>
      <w:ind w:firstLine="0"/>
      <w:outlineLvl w:val="2"/>
    </w:pPr>
    <w:rPr>
      <w:rFonts w:eastAsia="Times New Roman"/>
      <w:i/>
      <w:color w:val="000000"/>
      <w:szCs w:val="24"/>
    </w:rPr>
  </w:style>
  <w:style w:type="paragraph" w:styleId="Heading4">
    <w:name w:val="heading 4"/>
    <w:basedOn w:val="Normal"/>
    <w:next w:val="Normal"/>
    <w:link w:val="Heading4Char"/>
    <w:uiPriority w:val="9"/>
    <w:unhideWhenUsed/>
    <w:qFormat/>
    <w:pPr>
      <w:keepNext/>
      <w:keepLines/>
      <w:spacing w:before="40"/>
      <w:ind w:left="864" w:hanging="864"/>
      <w:jc w:val="left"/>
      <w:outlineLvl w:val="3"/>
    </w:pPr>
    <w:rPr>
      <w:rFonts w:eastAsia="Times New Roman"/>
      <w:i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Caption">
    <w:name w:val="caption"/>
    <w:basedOn w:val="Normal"/>
    <w:next w:val="Normal"/>
    <w:uiPriority w:val="35"/>
    <w:qFormat/>
    <w:pPr>
      <w:widowControl w:val="0"/>
      <w:suppressLineNumbers/>
      <w:suppressAutoHyphens/>
    </w:pPr>
    <w:rPr>
      <w:rFonts w:eastAsia="Times New Roman"/>
      <w:iCs/>
      <w:szCs w:val="24"/>
      <w:shd w:val="clear" w:color="auto" w:fill="FFFFFF"/>
      <w:lang w:eastAsia="en-GB"/>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szCs w:val="24"/>
      <w:lang w:val="en-US"/>
    </w:rPr>
  </w:style>
  <w:style w:type="character" w:styleId="Strong">
    <w:name w:val="Strong"/>
    <w:basedOn w:val="DefaultParagraphFont"/>
    <w:uiPriority w:val="22"/>
    <w:qFormat/>
    <w:rPr>
      <w:b/>
      <w:bCs/>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link w:val="Heading1"/>
    <w:uiPriority w:val="9"/>
    <w:qFormat/>
    <w:rPr>
      <w:rFonts w:ascii="Times New Roman" w:eastAsia="Times New Roman" w:hAnsi="Times New Roman"/>
      <w:b/>
      <w:sz w:val="24"/>
      <w:szCs w:val="24"/>
      <w:lang w:val="en-GB"/>
    </w:rPr>
  </w:style>
  <w:style w:type="character" w:customStyle="1" w:styleId="Heading2Char">
    <w:name w:val="Heading 2 Char"/>
    <w:link w:val="Heading2"/>
    <w:uiPriority w:val="9"/>
    <w:rPr>
      <w:rFonts w:ascii="Times New Roman" w:eastAsia="Times New Roman" w:hAnsi="Times New Roman"/>
      <w:b/>
      <w:i/>
      <w:sz w:val="24"/>
      <w:szCs w:val="24"/>
      <w:lang w:val="en-GB"/>
    </w:rPr>
  </w:style>
  <w:style w:type="character" w:customStyle="1" w:styleId="Heading3Char">
    <w:name w:val="Heading 3 Char"/>
    <w:link w:val="Heading3"/>
    <w:uiPriority w:val="9"/>
    <w:qFormat/>
    <w:rPr>
      <w:rFonts w:ascii="Times New Roman" w:eastAsia="Times New Roman" w:hAnsi="Times New Roman"/>
      <w:i/>
      <w:color w:val="000000"/>
      <w:sz w:val="24"/>
      <w:szCs w:val="24"/>
      <w:lang w:val="en-GB"/>
    </w:rPr>
  </w:style>
  <w:style w:type="character" w:customStyle="1" w:styleId="Heading4Char">
    <w:name w:val="Heading 4 Char"/>
    <w:link w:val="Heading4"/>
    <w:uiPriority w:val="9"/>
    <w:rPr>
      <w:rFonts w:ascii="Times New Roman" w:eastAsia="Times New Roman" w:hAnsi="Times New Roman"/>
      <w:iCs/>
      <w:color w:val="000000"/>
      <w:sz w:val="24"/>
      <w:szCs w:val="22"/>
      <w:lang w:val="en-GB"/>
    </w:rPr>
  </w:style>
  <w:style w:type="paragraph" w:styleId="NoSpacing">
    <w:name w:val="No Spacing"/>
    <w:uiPriority w:val="1"/>
    <w:qFormat/>
    <w:rPr>
      <w:rFonts w:eastAsia="Calibri"/>
      <w:b/>
      <w:sz w:val="24"/>
      <w:szCs w:val="22"/>
    </w:rPr>
  </w:style>
  <w:style w:type="paragraph" w:styleId="ListParagraph">
    <w:name w:val="List Paragraph"/>
    <w:basedOn w:val="Normal"/>
    <w:uiPriority w:val="34"/>
    <w:qFormat/>
    <w:pPr>
      <w:ind w:left="720"/>
      <w:contextualSpacing/>
    </w:pPr>
  </w:style>
  <w:style w:type="paragraph" w:customStyle="1" w:styleId="TOCHeading1">
    <w:name w:val="TOC Heading1"/>
    <w:basedOn w:val="Heading1"/>
    <w:next w:val="Normal"/>
    <w:uiPriority w:val="39"/>
    <w:qFormat/>
    <w:pPr>
      <w:spacing w:line="259" w:lineRule="auto"/>
      <w:jc w:val="left"/>
      <w:outlineLvl w:val="9"/>
    </w:pPr>
    <w:rPr>
      <w:rFonts w:ascii="Calibri Light" w:hAnsi="Calibri Light"/>
      <w:b w:val="0"/>
      <w:color w:val="2F5496"/>
      <w:sz w:val="32"/>
      <w:lang w:val="en-US"/>
    </w:rPr>
  </w:style>
  <w:style w:type="character" w:customStyle="1" w:styleId="CommentTextChar">
    <w:name w:val="Comment Text Char"/>
    <w:basedOn w:val="DefaultParagraphFont"/>
    <w:link w:val="CommentText"/>
    <w:uiPriority w:val="99"/>
    <w:semiHidden/>
    <w:rPr>
      <w:rFonts w:ascii="Times New Roman" w:hAnsi="Times New Roman"/>
      <w:lang w:val="en-GB"/>
    </w:rPr>
  </w:style>
  <w:style w:type="character" w:customStyle="1" w:styleId="CommentSubjectChar">
    <w:name w:val="Comment Subject Char"/>
    <w:basedOn w:val="CommentTextChar"/>
    <w:link w:val="CommentSubject"/>
    <w:uiPriority w:val="99"/>
    <w:semiHidden/>
    <w:rPr>
      <w:rFonts w:ascii="Times New Roman" w:hAnsi="Times New Roman"/>
      <w:b/>
      <w:bCs/>
      <w:lang w:val="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paragraph" w:styleId="Header">
    <w:name w:val="header"/>
    <w:basedOn w:val="Normal"/>
    <w:link w:val="HeaderChar"/>
    <w:uiPriority w:val="99"/>
    <w:unhideWhenUsed/>
    <w:rsid w:val="000A0804"/>
    <w:pPr>
      <w:tabs>
        <w:tab w:val="center" w:pos="4680"/>
        <w:tab w:val="right" w:pos="9360"/>
      </w:tabs>
      <w:spacing w:line="240" w:lineRule="auto"/>
    </w:pPr>
  </w:style>
  <w:style w:type="character" w:customStyle="1" w:styleId="HeaderChar">
    <w:name w:val="Header Char"/>
    <w:basedOn w:val="DefaultParagraphFont"/>
    <w:link w:val="Header"/>
    <w:uiPriority w:val="99"/>
    <w:rsid w:val="000A0804"/>
    <w:rPr>
      <w:rFonts w:eastAsia="Calibri"/>
      <w:sz w:val="24"/>
      <w:szCs w:val="22"/>
      <w:lang w:val="en-GB"/>
    </w:rPr>
  </w:style>
  <w:style w:type="paragraph" w:styleId="Footer">
    <w:name w:val="footer"/>
    <w:basedOn w:val="Normal"/>
    <w:link w:val="FooterChar"/>
    <w:uiPriority w:val="99"/>
    <w:unhideWhenUsed/>
    <w:rsid w:val="000A0804"/>
    <w:pPr>
      <w:tabs>
        <w:tab w:val="center" w:pos="4680"/>
        <w:tab w:val="right" w:pos="9360"/>
      </w:tabs>
      <w:spacing w:line="240" w:lineRule="auto"/>
    </w:pPr>
  </w:style>
  <w:style w:type="character" w:customStyle="1" w:styleId="FooterChar">
    <w:name w:val="Footer Char"/>
    <w:basedOn w:val="DefaultParagraphFont"/>
    <w:link w:val="Footer"/>
    <w:uiPriority w:val="99"/>
    <w:rsid w:val="000A0804"/>
    <w:rPr>
      <w:rFonts w:eastAsia="Calibri"/>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54498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706B74-DE54-4E27-BA6B-7B8A80C08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2358</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dc:creator>
  <cp:lastModifiedBy>Roxana</cp:lastModifiedBy>
  <cp:revision>9</cp:revision>
  <dcterms:created xsi:type="dcterms:W3CDTF">2022-12-10T13:16:00Z</dcterms:created>
  <dcterms:modified xsi:type="dcterms:W3CDTF">2023-01-04T22:39:00Z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1EA23AE1914F4F0085B64FA815514503</vt:lpwstr>
  </property>
</Properties>
</file>