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ntTable.xml" ContentType="application/vnd.openxmlformats-officedocument.wordprocessingml.fontTable+xml"/>
  <Override PartName="/word/numbering.xml" ContentType="application/vnd.openxmlformats-officedocument.wordprocessingml.numbering+xml"/>
  <Override PartName="/word/footer1.xml" ContentType="application/vnd.openxmlformats-officedocument.wordprocessingml.footer+xml"/>
  <Override PartName="/word/settings.xml" ContentType="application/vnd.openxmlformats-officedocument.wordprocessingml.settings+xml"/>
  <Override PartName="/word/header3.xml" ContentType="application/vnd.openxmlformats-officedocument.wordprocessingml.header+xml"/>
  <Override PartName="/word/styles.xml" ContentType="application/vnd.openxmlformats-officedocument.wordprocessingml.styles+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theme/theme1.xml" ContentType="application/vnd.openxmlformats-officedocument.theme+xml"/>
  <Override PartName="/word/document.xml" ContentType="application/vnd.openxmlformats-officedocument.wordprocessingml.document.main+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bidi w:val="0"/>
        <w:spacing w:lineRule="auto" w:line="276" w:before="0" w:after="200"/>
        <w:jc w:val="center"/>
        <w:rPr>
          <w:rFonts w:ascii="Arial" w:hAnsi="Arial"/>
          <w:sz w:val="24"/>
          <w:szCs w:val="24"/>
        </w:rPr>
      </w:pPr>
      <w:r>
        <w:rPr>
          <w:rFonts w:eastAsia="Times New Roman" w:cs="Times New Roman"/>
          <w:b/>
          <w:sz w:val="24"/>
          <w:szCs w:val="24"/>
        </w:rPr>
        <w:t>Assessment component: Individual report</w:t>
      </w:r>
    </w:p>
    <w:p>
      <w:pPr>
        <w:pStyle w:val="Normal"/>
        <w:spacing w:lineRule="auto" w:line="276" w:before="0" w:after="200"/>
        <w:jc w:val="center"/>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spacing w:lineRule="auto" w:line="276" w:before="0" w:after="200"/>
        <w:jc w:val="center"/>
        <w:rPr>
          <w:rFonts w:ascii="Arial" w:hAnsi="Arial"/>
          <w:sz w:val="24"/>
          <w:szCs w:val="24"/>
        </w:rPr>
      </w:pPr>
      <w:r>
        <w:rPr>
          <w:rFonts w:eastAsia="Times New Roman" w:cs="Times New Roman"/>
          <w:b/>
          <w:sz w:val="24"/>
          <w:szCs w:val="24"/>
        </w:rPr>
        <w:t xml:space="preserve">Student Name : </w:t>
      </w:r>
      <w:r>
        <w:rPr>
          <w:rFonts w:eastAsia="Times New Roman" w:cs="Times New Roman"/>
          <w:b w:val="false"/>
          <w:bCs w:val="false"/>
          <w:sz w:val="24"/>
          <w:szCs w:val="24"/>
        </w:rPr>
        <w:t>Dipak Modhavadiya</w:t>
      </w:r>
    </w:p>
    <w:p>
      <w:pPr>
        <w:pStyle w:val="Normal"/>
        <w:bidi w:val="0"/>
        <w:spacing w:lineRule="auto" w:line="276" w:before="0" w:after="200"/>
        <w:jc w:val="center"/>
        <w:rPr>
          <w:rFonts w:ascii="Arial" w:hAnsi="Arial"/>
          <w:sz w:val="24"/>
          <w:szCs w:val="24"/>
        </w:rPr>
      </w:pPr>
      <w:r>
        <w:rPr>
          <w:rFonts w:eastAsia="Times New Roman" w:cs="Times New Roman"/>
          <w:b/>
          <w:sz w:val="24"/>
          <w:szCs w:val="24"/>
        </w:rPr>
        <w:t xml:space="preserve">Student ID : </w:t>
      </w:r>
      <w:r>
        <w:rPr>
          <w:rFonts w:eastAsia="Times New Roman" w:cs="Times New Roman"/>
          <w:b w:val="false"/>
          <w:bCs w:val="false"/>
          <w:sz w:val="24"/>
          <w:szCs w:val="24"/>
        </w:rPr>
        <w:t>2506701</w:t>
      </w:r>
    </w:p>
    <w:p>
      <w:pPr>
        <w:pStyle w:val="Normal"/>
        <w:bidi w:val="0"/>
        <w:spacing w:lineRule="auto" w:line="276" w:before="0" w:after="200"/>
        <w:jc w:val="center"/>
        <w:rPr>
          <w:rFonts w:ascii="Arial" w:hAnsi="Arial"/>
          <w:sz w:val="24"/>
          <w:szCs w:val="24"/>
        </w:rPr>
      </w:pPr>
      <w:r>
        <w:rPr>
          <w:rFonts w:eastAsia="Times New Roman" w:cs="Times New Roman"/>
          <w:b/>
          <w:sz w:val="24"/>
          <w:szCs w:val="24"/>
        </w:rPr>
        <w:t>Module Name:</w:t>
      </w:r>
      <w:r>
        <w:rPr>
          <w:rFonts w:eastAsia="Times New Roman" w:cs="Times New Roman"/>
          <w:b w:val="false"/>
          <w:bCs w:val="false"/>
          <w:sz w:val="24"/>
          <w:szCs w:val="24"/>
        </w:rPr>
        <w:t xml:space="preserve"> Strategic Management</w:t>
      </w:r>
    </w:p>
    <w:p>
      <w:pPr>
        <w:pStyle w:val="Normal"/>
        <w:spacing w:lineRule="auto" w:line="276" w:before="0" w:after="200"/>
        <w:jc w:val="center"/>
        <w:rPr>
          <w:rFonts w:ascii="Arial" w:hAnsi="Arial"/>
          <w:sz w:val="24"/>
          <w:szCs w:val="24"/>
        </w:rPr>
      </w:pPr>
      <w:r>
        <w:rPr>
          <w:rFonts w:eastAsia="Times New Roman" w:cs="Times New Roman"/>
          <w:b/>
          <w:sz w:val="24"/>
          <w:szCs w:val="24"/>
        </w:rPr>
        <w:t xml:space="preserve">Module Code: </w:t>
      </w:r>
      <w:r>
        <w:rPr>
          <w:rFonts w:eastAsia="Times New Roman" w:cs="Times New Roman"/>
          <w:b w:val="false"/>
          <w:bCs w:val="false"/>
          <w:sz w:val="24"/>
          <w:szCs w:val="24"/>
        </w:rPr>
        <w:t>LCMB7003</w:t>
      </w:r>
    </w:p>
    <w:p>
      <w:pPr>
        <w:pStyle w:val="Normal"/>
        <w:spacing w:lineRule="auto" w:line="276" w:before="0" w:after="200"/>
        <w:jc w:val="center"/>
        <w:rPr>
          <w:rFonts w:ascii="Arial" w:hAnsi="Arial"/>
          <w:sz w:val="24"/>
          <w:szCs w:val="24"/>
        </w:rPr>
      </w:pPr>
      <w:r>
        <w:rPr>
          <w:rFonts w:eastAsia="Times New Roman" w:cs="Times New Roman"/>
          <w:b/>
          <w:sz w:val="24"/>
          <w:szCs w:val="24"/>
        </w:rPr>
        <w:t>Lecturere’s Name:</w:t>
      </w:r>
      <w:r>
        <w:rPr>
          <w:sz w:val="24"/>
          <w:szCs w:val="24"/>
        </w:rPr>
        <w:t xml:space="preserve"> Amare Desta</w:t>
      </w:r>
    </w:p>
    <w:p>
      <w:pPr>
        <w:pStyle w:val="Normal"/>
        <w:spacing w:lineRule="auto" w:line="276" w:before="0" w:after="200"/>
        <w:jc w:val="center"/>
        <w:rPr>
          <w:rFonts w:ascii="Arial" w:hAnsi="Arial"/>
          <w:sz w:val="24"/>
          <w:szCs w:val="24"/>
        </w:rPr>
      </w:pPr>
      <w:r>
        <w:rPr>
          <w:sz w:val="24"/>
          <w:szCs w:val="24"/>
        </w:rPr>
        <w:t xml:space="preserve">Zulf Khan </w:t>
      </w:r>
    </w:p>
    <w:p>
      <w:pPr>
        <w:pStyle w:val="Normal"/>
        <w:spacing w:lineRule="auto" w:line="276" w:before="0" w:after="200"/>
        <w:jc w:val="center"/>
        <w:rPr>
          <w:rFonts w:ascii="Arial" w:hAnsi="Arial"/>
          <w:sz w:val="24"/>
          <w:szCs w:val="24"/>
        </w:rPr>
      </w:pPr>
      <w:r>
        <w:rPr>
          <w:rFonts w:eastAsia="Times New Roman" w:cs="Times New Roman"/>
          <w:b/>
          <w:sz w:val="24"/>
          <w:szCs w:val="24"/>
        </w:rPr>
        <w:t xml:space="preserve">Word Count : </w:t>
      </w:r>
      <w:r>
        <w:rPr>
          <w:sz w:val="24"/>
          <w:szCs w:val="24"/>
        </w:rPr>
        <w:t xml:space="preserve">5000 words (± 10%) </w:t>
      </w:r>
    </w:p>
    <w:p>
      <w:pPr>
        <w:pStyle w:val="Normal"/>
        <w:spacing w:lineRule="auto" w:line="276" w:before="0" w:after="200"/>
        <w:jc w:val="center"/>
        <w:rPr>
          <w:rFonts w:ascii="Arial" w:hAnsi="Arial"/>
          <w:sz w:val="24"/>
          <w:szCs w:val="24"/>
        </w:rPr>
      </w:pPr>
      <w:r>
        <w:rPr>
          <w:rFonts w:eastAsia="Times New Roman" w:cs="Times New Roman"/>
          <w:b w:val="false"/>
          <w:bCs w:val="false"/>
          <w:sz w:val="24"/>
          <w:szCs w:val="24"/>
        </w:rPr>
        <w:t>Term 2</w:t>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r>
        <w:br w:type="page"/>
      </w:r>
    </w:p>
    <w:p>
      <w:pPr>
        <w:pStyle w:val="Normal"/>
        <w:spacing w:lineRule="auto" w:line="360" w:before="0" w:after="200"/>
        <w:jc w:val="center"/>
        <w:rPr>
          <w:rFonts w:ascii="Arial" w:hAnsi="Arial"/>
          <w:sz w:val="24"/>
          <w:szCs w:val="24"/>
        </w:rPr>
      </w:pPr>
      <w:r>
        <w:rPr>
          <w:rFonts w:eastAsia="Times New Roman" w:cs="Times New Roman"/>
          <w:b/>
          <w:sz w:val="24"/>
          <w:szCs w:val="24"/>
        </w:rPr>
        <w:t>Table of contents</w:t>
      </w:r>
    </w:p>
    <w:sdt>
      <w:sdtPr>
        <w:docPartObj>
          <w:docPartGallery w:val="Table of Contents"/>
          <w:docPartUnique w:val="true"/>
        </w:docPartObj>
      </w:sdtPr>
      <w:sdtContent>
        <w:p>
          <w:pPr>
            <w:pStyle w:val="Normal11"/>
            <w:tabs>
              <w:tab w:val="clear" w:pos="720"/>
              <w:tab w:val="right" w:pos="9350" w:leader="dot"/>
            </w:tabs>
            <w:spacing w:lineRule="auto" w:line="360" w:before="0" w:after="100"/>
            <w:jc w:val="both"/>
            <w:rPr>
              <w:color w:val="000000"/>
              <w:sz w:val="24"/>
              <w:szCs w:val="24"/>
              <w:lang w:val="en-GB"/>
            </w:rPr>
          </w:pPr>
          <w:r>
            <w:fldChar w:fldCharType="begin"/>
          </w:r>
          <w:r>
            <w:rPr>
              <w:rStyle w:val="IndexLink"/>
              <w:vanish w:val="false"/>
              <w:webHidden/>
              <w:color w:val="000000"/>
              <w:sz w:val="24"/>
              <w:szCs w:val="24"/>
              <w:lang w:val="en-GB"/>
            </w:rPr>
            <w:instrText xml:space="preserve"> TOC \z \o "1-9" \u \t "heading 1,1,heading 2,2,heading 3,3,heading 4,4,heading 5,5,heading 6,6" \h</w:instrText>
          </w:r>
          <w:r>
            <w:rPr>
              <w:rStyle w:val="IndexLink"/>
              <w:vanish w:val="false"/>
              <w:webHidden/>
              <w:color w:val="000000"/>
              <w:sz w:val="24"/>
              <w:szCs w:val="24"/>
              <w:lang w:val="en-GB"/>
            </w:rPr>
            <w:fldChar w:fldCharType="separate"/>
          </w:r>
          <w:hyperlink w:anchor="_heading=h.23tgpdk0faao">
            <w:r>
              <w:rPr>
                <w:rStyle w:val="IndexLink"/>
                <w:vanish w:val="false"/>
                <w:webHidden/>
                <w:color w:val="000000"/>
                <w:sz w:val="24"/>
                <w:szCs w:val="24"/>
                <w:lang w:val="en-GB"/>
              </w:rPr>
              <w:t xml:space="preserve">Section </w:t>
            </w:r>
            <w:r>
              <w:rPr>
                <w:rStyle w:val="IndexLink"/>
                <w:vanish w:val="false"/>
                <w:color w:val="000000"/>
                <w:sz w:val="24"/>
                <w:szCs w:val="24"/>
                <w:lang w:val="en-GB"/>
              </w:rPr>
              <w:t xml:space="preserve">0: </w:t>
            </w:r>
          </w:hyperlink>
          <w:hyperlink w:anchor="_heading=h.ntzrut26mc3g">
            <w:r>
              <w:rPr>
                <w:rStyle w:val="IndexLink"/>
                <w:vanish w:val="false"/>
                <w:webHidden/>
                <w:color w:val="000000"/>
                <w:sz w:val="24"/>
                <w:szCs w:val="24"/>
                <w:lang w:val="en-GB"/>
              </w:rPr>
              <w:t xml:space="preserve">Introduction to the report </w:t>
            </w:r>
          </w:hyperlink>
          <w:hyperlink w:anchor="_heading=h.23tgpdk0faao">
            <w:r>
              <w:rPr>
                <w:rStyle w:val="IndexLink"/>
                <w:vanish w:val="false"/>
                <w:webHidden/>
                <w:color w:val="000000"/>
                <w:sz w:val="24"/>
                <w:szCs w:val="24"/>
                <w:lang w:val="en-GB"/>
              </w:rPr>
              <w:t xml:space="preserve"> ………………………………………………..….. </w:t>
            </w:r>
          </w:hyperlink>
          <w:r>
            <w:rPr>
              <w:color w:val="000000"/>
              <w:sz w:val="24"/>
              <w:szCs w:val="24"/>
              <w:lang w:val="en-GB"/>
            </w:rPr>
            <w:t>3</w:t>
          </w:r>
        </w:p>
        <w:p>
          <w:pPr>
            <w:pStyle w:val="Normal11"/>
            <w:tabs>
              <w:tab w:val="clear" w:pos="720"/>
              <w:tab w:val="right" w:pos="9350" w:leader="dot"/>
            </w:tabs>
            <w:spacing w:lineRule="auto" w:line="360" w:before="0" w:after="100"/>
            <w:jc w:val="both"/>
            <w:rPr>
              <w:color w:val="000000"/>
              <w:sz w:val="24"/>
              <w:szCs w:val="24"/>
              <w:lang w:val="en-GB"/>
            </w:rPr>
          </w:pPr>
          <w:r>
            <w:rPr>
              <w:color w:val="000000"/>
              <w:sz w:val="24"/>
              <w:szCs w:val="24"/>
              <w:lang w:val="en-GB"/>
            </w:rPr>
            <w:t xml:space="preserve">Section </w:t>
          </w:r>
          <w:r>
            <w:rPr>
              <w:color w:val="000000"/>
              <w:sz w:val="24"/>
              <w:szCs w:val="24"/>
              <w:lang w:val="en-GB"/>
            </w:rPr>
            <w:t>1</w:t>
          </w:r>
          <w:r>
            <w:rPr>
              <w:color w:val="000000"/>
              <w:sz w:val="24"/>
              <w:szCs w:val="24"/>
              <w:lang w:val="en-GB"/>
            </w:rPr>
            <w:t xml:space="preserve">: Organisational Context and Overview …………………………………….... </w:t>
          </w:r>
          <w:r>
            <w:rPr>
              <w:color w:val="000000"/>
              <w:sz w:val="24"/>
              <w:szCs w:val="24"/>
              <w:lang w:val="en-GB"/>
            </w:rPr>
            <w:t>4</w:t>
          </w:r>
        </w:p>
        <w:p>
          <w:pPr>
            <w:pStyle w:val="Normal11"/>
            <w:tabs>
              <w:tab w:val="clear" w:pos="720"/>
              <w:tab w:val="right" w:pos="9350" w:leader="dot"/>
            </w:tabs>
            <w:spacing w:lineRule="auto" w:line="360" w:before="0" w:after="100"/>
            <w:jc w:val="both"/>
            <w:rPr>
              <w:color w:val="000000"/>
              <w:sz w:val="24"/>
              <w:szCs w:val="24"/>
              <w:lang w:val="en-GB"/>
            </w:rPr>
          </w:pPr>
          <w:r>
            <w:rPr>
              <w:color w:val="000000"/>
              <w:sz w:val="24"/>
              <w:szCs w:val="24"/>
              <w:lang w:val="en-GB"/>
            </w:rPr>
            <w:t xml:space="preserve">    </w:t>
          </w:r>
          <w:r>
            <w:rPr>
              <w:color w:val="000000"/>
              <w:sz w:val="24"/>
              <w:szCs w:val="24"/>
              <w:lang w:val="en-GB"/>
            </w:rPr>
            <w:t xml:space="preserve">External and Internal Environment Analysis ………………………………………... </w:t>
          </w:r>
          <w:r>
            <w:rPr>
              <w:color w:val="000000"/>
              <w:sz w:val="24"/>
              <w:szCs w:val="24"/>
              <w:lang w:val="en-GB"/>
            </w:rPr>
            <w:t>8</w:t>
          </w:r>
        </w:p>
        <w:p>
          <w:pPr>
            <w:pStyle w:val="Normal11"/>
            <w:tabs>
              <w:tab w:val="clear" w:pos="720"/>
              <w:tab w:val="right" w:pos="9350" w:leader="dot"/>
            </w:tabs>
            <w:spacing w:lineRule="auto" w:line="360" w:before="0" w:after="100"/>
            <w:jc w:val="both"/>
            <w:rPr>
              <w:color w:val="000000"/>
              <w:sz w:val="24"/>
              <w:szCs w:val="24"/>
              <w:lang w:val="en-GB"/>
            </w:rPr>
          </w:pPr>
          <w:r>
            <w:rPr>
              <w:color w:val="000000"/>
              <w:sz w:val="24"/>
              <w:szCs w:val="24"/>
              <w:lang w:val="en-GB"/>
            </w:rPr>
            <w:t xml:space="preserve">    </w:t>
          </w:r>
          <w:r>
            <w:rPr>
              <w:color w:val="000000"/>
              <w:sz w:val="24"/>
              <w:szCs w:val="24"/>
              <w:lang w:val="en-GB"/>
            </w:rPr>
            <w:t xml:space="preserve">CSR and Sustainability objectives …………………………………….……………. </w:t>
          </w:r>
          <w:r>
            <w:rPr>
              <w:color w:val="000000"/>
              <w:sz w:val="24"/>
              <w:szCs w:val="24"/>
              <w:lang w:val="en-GB"/>
            </w:rPr>
            <w:t>1</w:t>
          </w:r>
          <w:r>
            <w:rPr>
              <w:color w:val="000000"/>
              <w:sz w:val="24"/>
              <w:szCs w:val="24"/>
              <w:lang w:val="en-GB"/>
            </w:rPr>
            <w:t>4</w:t>
          </w:r>
        </w:p>
        <w:p>
          <w:pPr>
            <w:pStyle w:val="Normal11"/>
            <w:tabs>
              <w:tab w:val="clear" w:pos="720"/>
              <w:tab w:val="right" w:pos="9350" w:leader="dot"/>
            </w:tabs>
            <w:spacing w:lineRule="auto" w:line="360" w:before="0" w:after="100"/>
            <w:jc w:val="both"/>
            <w:rPr>
              <w:color w:val="000000"/>
              <w:sz w:val="24"/>
              <w:szCs w:val="24"/>
              <w:lang w:val="en-GB"/>
            </w:rPr>
          </w:pPr>
          <w:r>
            <w:rPr>
              <w:color w:val="000000"/>
              <w:sz w:val="24"/>
              <w:szCs w:val="24"/>
              <w:lang w:val="en-GB"/>
            </w:rPr>
            <w:t xml:space="preserve">    </w:t>
          </w:r>
          <w:r>
            <w:rPr>
              <w:color w:val="000000"/>
              <w:sz w:val="24"/>
              <w:szCs w:val="24"/>
              <w:lang w:val="en-GB"/>
            </w:rPr>
            <w:t xml:space="preserve">Comprehensive and holistic view of the organisation ………………………….…... </w:t>
          </w:r>
          <w:r>
            <w:rPr>
              <w:color w:val="000000"/>
              <w:sz w:val="24"/>
              <w:szCs w:val="24"/>
              <w:lang w:val="en-GB"/>
            </w:rPr>
            <w:t>16</w:t>
          </w:r>
        </w:p>
        <w:p>
          <w:pPr>
            <w:pStyle w:val="Normal11"/>
            <w:tabs>
              <w:tab w:val="clear" w:pos="720"/>
              <w:tab w:val="right" w:pos="9350" w:leader="dot"/>
            </w:tabs>
            <w:spacing w:lineRule="auto" w:line="360" w:before="0" w:after="100"/>
            <w:jc w:val="both"/>
            <w:rPr>
              <w:color w:val="000000"/>
              <w:sz w:val="24"/>
              <w:szCs w:val="24"/>
              <w:lang w:val="en-GB"/>
            </w:rPr>
          </w:pPr>
          <w:r>
            <w:rPr>
              <w:color w:val="000000"/>
              <w:sz w:val="24"/>
              <w:szCs w:val="24"/>
              <w:lang w:val="en-GB"/>
            </w:rPr>
            <w:t xml:space="preserve">    </w:t>
          </w:r>
          <w:r>
            <w:rPr>
              <w:color w:val="000000"/>
              <w:sz w:val="24"/>
              <w:szCs w:val="24"/>
              <w:lang w:val="en-GB"/>
            </w:rPr>
            <w:t xml:space="preserve">Strategic Choices and Implementation ……………………………………………... </w:t>
          </w:r>
          <w:r>
            <w:rPr>
              <w:color w:val="000000"/>
              <w:sz w:val="24"/>
              <w:szCs w:val="24"/>
              <w:lang w:val="en-GB"/>
            </w:rPr>
            <w:t>19</w:t>
          </w:r>
        </w:p>
        <w:p>
          <w:pPr>
            <w:pStyle w:val="Normal11"/>
            <w:tabs>
              <w:tab w:val="clear" w:pos="720"/>
              <w:tab w:val="right" w:pos="9350" w:leader="dot"/>
            </w:tabs>
            <w:spacing w:lineRule="auto" w:line="360" w:before="0" w:after="100"/>
            <w:jc w:val="both"/>
            <w:rPr>
              <w:color w:val="000000"/>
              <w:sz w:val="24"/>
              <w:szCs w:val="24"/>
              <w:lang w:val="en-GB"/>
            </w:rPr>
          </w:pPr>
          <w:r>
            <w:rPr>
              <w:color w:val="000000"/>
              <w:sz w:val="24"/>
              <w:szCs w:val="24"/>
              <w:lang w:val="en-GB"/>
            </w:rPr>
            <w:t xml:space="preserve">    </w:t>
          </w:r>
          <w:r>
            <w:rPr>
              <w:color w:val="000000"/>
              <w:sz w:val="24"/>
              <w:szCs w:val="24"/>
              <w:lang w:val="en-GB"/>
            </w:rPr>
            <w:t xml:space="preserve">Strategic Evaluation and Recommendations  ………………………………….….... </w:t>
          </w:r>
          <w:r>
            <w:rPr>
              <w:color w:val="000000"/>
              <w:sz w:val="24"/>
              <w:szCs w:val="24"/>
              <w:lang w:val="en-GB"/>
            </w:rPr>
            <w:t>20</w:t>
          </w:r>
        </w:p>
        <w:p>
          <w:pPr>
            <w:pStyle w:val="Normal11"/>
            <w:tabs>
              <w:tab w:val="clear" w:pos="720"/>
              <w:tab w:val="right" w:pos="9350" w:leader="dot"/>
            </w:tabs>
            <w:spacing w:lineRule="auto" w:line="360" w:before="0" w:after="100"/>
            <w:jc w:val="both"/>
            <w:rPr>
              <w:color w:val="000000"/>
              <w:sz w:val="24"/>
              <w:szCs w:val="24"/>
              <w:lang w:val="en-GB"/>
            </w:rPr>
          </w:pPr>
          <w:hyperlink w:anchor="_heading=h.p1je4oq0evuy">
            <w:r>
              <w:rPr>
                <w:rStyle w:val="IndexLink"/>
                <w:vanish w:val="false"/>
                <w:webHidden/>
                <w:color w:val="000000"/>
                <w:sz w:val="24"/>
                <w:szCs w:val="24"/>
                <w:lang w:val="en-GB"/>
              </w:rPr>
              <w:t xml:space="preserve">Section 2: Reflection  …………………………………………………………..……... </w:t>
            </w:r>
            <w:r>
              <w:rPr>
                <w:rStyle w:val="IndexLink"/>
                <w:color w:val="000000"/>
                <w:sz w:val="24"/>
                <w:szCs w:val="24"/>
                <w:lang w:val="en-GB"/>
              </w:rPr>
              <w:t>2</w:t>
            </w:r>
          </w:hyperlink>
          <w:r>
            <w:rPr>
              <w:color w:val="000000"/>
              <w:sz w:val="24"/>
              <w:szCs w:val="24"/>
              <w:lang w:val="en-GB"/>
            </w:rPr>
            <w:t>2</w:t>
          </w:r>
        </w:p>
        <w:p>
          <w:pPr>
            <w:pStyle w:val="Normal11"/>
            <w:tabs>
              <w:tab w:val="clear" w:pos="720"/>
              <w:tab w:val="right" w:pos="9350" w:leader="dot"/>
            </w:tabs>
            <w:spacing w:lineRule="auto" w:line="360" w:before="0" w:after="100"/>
            <w:jc w:val="both"/>
            <w:rPr>
              <w:color w:val="000000"/>
              <w:sz w:val="24"/>
              <w:szCs w:val="24"/>
              <w:lang w:val="en-GB"/>
            </w:rPr>
          </w:pPr>
          <w:hyperlink w:anchor="_heading=h.9awbb0qu0ons">
            <w:r>
              <w:rPr>
                <w:rStyle w:val="IndexLink"/>
                <w:rFonts w:eastAsia="Times New Roman" w:cs="Times New Roman"/>
                <w:b w:val="false"/>
                <w:i w:val="false"/>
                <w:caps w:val="false"/>
                <w:smallCaps w:val="false"/>
                <w:strike w:val="false"/>
                <w:dstrike w:val="false"/>
                <w:vanish w:val="false"/>
                <w:webHidden/>
                <w:color w:val="000000"/>
                <w:position w:val="0"/>
                <w:sz w:val="24"/>
                <w:szCs w:val="24"/>
                <w:u w:val="none"/>
                <w:shd w:fill="auto" w:val="clear"/>
                <w:vertAlign w:val="baseline"/>
                <w:lang w:val="en-GB"/>
              </w:rPr>
              <w:t>References …………………………………………………………………………..…</w:t>
            </w:r>
          </w:hyperlink>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lang w:val="en-GB"/>
            </w:rPr>
            <w:t xml:space="preserve"> </w:t>
          </w: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lang w:val="en-GB"/>
            </w:rPr>
            <w:t>2</w:t>
          </w: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lang w:val="en-GB"/>
            </w:rPr>
            <w:t>8</w:t>
          </w: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lang w:val="en-GB"/>
            </w:rPr>
            <w:fldChar w:fldCharType="end"/>
          </w:r>
        </w:p>
      </w:sdtContent>
    </w:sdt>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r>
        <w:br w:type="page"/>
      </w:r>
    </w:p>
    <w:p>
      <w:pPr>
        <w:pStyle w:val="Heading1"/>
        <w:spacing w:lineRule="auto" w:line="360" w:before="0" w:after="200"/>
        <w:jc w:val="both"/>
        <w:rPr>
          <w:rFonts w:ascii="Arial" w:hAnsi="Arial"/>
          <w:sz w:val="24"/>
          <w:szCs w:val="24"/>
        </w:rPr>
      </w:pPr>
      <w:r>
        <w:rPr>
          <w:rFonts w:ascii="Arial" w:hAnsi="Arial"/>
          <w:sz w:val="24"/>
          <w:szCs w:val="24"/>
        </w:rPr>
        <w:t>0.0. Introduction</w:t>
      </w:r>
    </w:p>
    <w:p>
      <w:pPr>
        <w:pStyle w:val="normal2"/>
        <w:pageBreakBefore w:val="false"/>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tab/>
        <w:t>Unilever is a well reputed and one of the largest brands in the FMCG market. In current macroeconomic environment and market volatility, an organization’s ability to sustain its competitive advantage relies on continuous strategic realignment and structural agility. This report provides a deep analysis of Unilever’s internal strengths and external external environment within the global FMCG domain and critically evaluates Unilever’s strategic management practices. Unilever is transitioning into a ruthless, performance-driven operational model under its ‘ 2024–2025 Growth Action Plan’.</w:t>
      </w:r>
    </w:p>
    <w:p>
      <w:pPr>
        <w:pStyle w:val="normal2"/>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t>To critically evaluate this major strategic pivot, the report examines company’s performance and competitive position using robust strategic frameworks such as PESTLE, VRIO, Porter’s five forces. It further examines the realignment of the company's Corporate Social Responsibility (CSR) objectives, translates its turnaround strategy into actionable metrics via the Balanced Scorecard, and utilises Ansoff’s Matrix and theories of corporate parenting to evaluate its recent strategic choices. It finally provides justified recommendations for Unilever’s future growth.</w:t>
      </w:r>
    </w:p>
    <w:p>
      <w:pPr>
        <w:pStyle w:val="normal2"/>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r>
    </w:p>
    <w:p>
      <w:pPr>
        <w:pStyle w:val="normal2"/>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r>
    </w:p>
    <w:p>
      <w:pPr>
        <w:pStyle w:val="normal2"/>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r>
    </w:p>
    <w:p>
      <w:pPr>
        <w:pStyle w:val="normal2"/>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r>
    </w:p>
    <w:p>
      <w:pPr>
        <w:pStyle w:val="normal2"/>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r>
    </w:p>
    <w:p>
      <w:pPr>
        <w:pStyle w:val="normal2"/>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r>
      <w:r>
        <w:br w:type="page"/>
      </w:r>
    </w:p>
    <w:p>
      <w:pPr>
        <w:pStyle w:val="Heading1"/>
        <w:spacing w:lineRule="auto" w:line="360" w:before="0" w:after="200"/>
        <w:jc w:val="both"/>
        <w:rPr>
          <w:rFonts w:ascii="Arial" w:hAnsi="Arial"/>
          <w:sz w:val="24"/>
          <w:szCs w:val="24"/>
        </w:rPr>
      </w:pPr>
      <w:r>
        <w:rPr>
          <w:rFonts w:ascii="Arial" w:hAnsi="Arial"/>
          <w:sz w:val="24"/>
          <w:szCs w:val="24"/>
        </w:rPr>
        <w:t xml:space="preserve">1.0. </w:t>
      </w:r>
      <w:r>
        <w:rPr>
          <w:rFonts w:ascii="Arial" w:hAnsi="Arial"/>
          <w:b/>
          <w:bCs/>
          <w:sz w:val="24"/>
          <w:szCs w:val="24"/>
        </w:rPr>
        <w:t>Organisational Context and Overview</w:t>
      </w:r>
    </w:p>
    <w:p>
      <w:pPr>
        <w:pStyle w:val="Normal"/>
        <w:spacing w:lineRule="auto" w:line="360" w:before="0" w:after="200"/>
        <w:jc w:val="both"/>
        <w:rPr>
          <w:rFonts w:ascii="Arial" w:hAnsi="Arial"/>
          <w:b/>
          <w:bCs/>
          <w:sz w:val="24"/>
          <w:szCs w:val="24"/>
        </w:rPr>
      </w:pPr>
      <w:r>
        <w:rPr>
          <w:b/>
          <w:bCs/>
          <w:sz w:val="24"/>
          <w:szCs w:val="24"/>
        </w:rPr>
        <w:t>Introduction and History</w:t>
      </w:r>
    </w:p>
    <w:p>
      <w:pPr>
        <w:pStyle w:val="Normal"/>
        <w:bidi w:val="0"/>
        <w:spacing w:lineRule="auto" w:line="360" w:before="0" w:after="200"/>
        <w:jc w:val="both"/>
        <w:rPr>
          <w:rFonts w:ascii="Arial" w:hAnsi="Arial"/>
          <w:sz w:val="24"/>
          <w:szCs w:val="24"/>
        </w:rPr>
      </w:pPr>
      <w:r>
        <w:rPr>
          <w:sz w:val="24"/>
          <w:szCs w:val="24"/>
        </w:rPr>
        <w:t>Strategic mangement is the process of analyzing and implementing long term plans to achieve sustainable competitive advantage and organizational goals by aligning internal resources with external market analysis (e.g. SWOT analysis).  This report’s core focus is on Unilever - one of the world’s largest Fast-Moving Consumer Goods (FMCG) corporations with an estimated 3.4 to 3.7 billion consumers daily. It is operating across the personal care, home care and nutrition sectors in over 190 countries from it’s global headquaters in London, UK. The organisation operates a massive global business model that includes regional supply chains and deep distribution networks (IE University, 2026). Historically Unilever is built upon a highly diversified, matrix-style corporate structure; but currently it is undergoing a massive strategic transformation to address it’s recent corporate problems of market stagnation and inflationary pressures.</w:t>
      </w:r>
    </w:p>
    <w:p>
      <w:pPr>
        <w:pStyle w:val="Normal"/>
        <w:spacing w:lineRule="auto" w:line="360" w:before="0" w:after="200"/>
        <w:jc w:val="center"/>
        <w:rPr>
          <w:sz w:val="24"/>
          <w:szCs w:val="24"/>
        </w:rPr>
      </w:pPr>
      <w:r>
        <w:drawing>
          <wp:anchor distT="0" distB="0" distL="0" distR="0" simplePos="0" relativeHeight="32" behindDoc="0" locked="0" layoutInCell="0" allowOverlap="1">
            <wp:simplePos x="0" y="0"/>
            <wp:positionH relativeFrom="column">
              <wp:align>center</wp:align>
            </wp:positionH>
            <wp:positionV relativeFrom="paragraph">
              <wp:posOffset>635</wp:posOffset>
            </wp:positionV>
            <wp:extent cx="5731510" cy="3475990"/>
            <wp:effectExtent l="0" t="0" r="0" b="0"/>
            <wp:wrapTopAndBottom/>
            <wp:docPr id="1"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3"/>
                    <pic:cNvPicPr>
                      <a:picLocks noChangeAspect="1" noChangeArrowheads="1"/>
                    </pic:cNvPicPr>
                  </pic:nvPicPr>
                  <pic:blipFill>
                    <a:blip r:embed="rId2"/>
                    <a:stretch>
                      <a:fillRect/>
                    </a:stretch>
                  </pic:blipFill>
                  <pic:spPr bwMode="auto">
                    <a:xfrm>
                      <a:off x="0" y="0"/>
                      <a:ext cx="5731510" cy="3475990"/>
                    </a:xfrm>
                    <a:prstGeom prst="rect">
                      <a:avLst/>
                    </a:prstGeom>
                    <a:noFill/>
                  </pic:spPr>
                </pic:pic>
              </a:graphicData>
            </a:graphic>
          </wp:anchor>
        </w:drawing>
      </w:r>
      <w:r>
        <w:rPr>
          <w:sz w:val="20"/>
          <w:szCs w:val="20"/>
        </w:rPr>
        <w:t xml:space="preserve">(Source: </w:t>
      </w:r>
      <w:hyperlink r:id="rId3">
        <w:r>
          <w:rPr>
            <w:rStyle w:val="Hyperlink"/>
            <w:sz w:val="20"/>
            <w:szCs w:val="20"/>
          </w:rPr>
          <w:t>https://matrixbcg.com/blogs/how-it-works/unilever</w:t>
        </w:r>
      </w:hyperlink>
      <w:r>
        <w:rPr>
          <w:sz w:val="20"/>
          <w:szCs w:val="20"/>
        </w:rPr>
        <w:t>)</w:t>
      </w:r>
    </w:p>
    <w:p>
      <w:pPr>
        <w:pStyle w:val="Normal"/>
        <w:spacing w:lineRule="auto" w:line="360" w:before="0" w:after="200"/>
        <w:jc w:val="both"/>
        <w:rPr>
          <w:rFonts w:ascii="Arial" w:hAnsi="Arial"/>
          <w:b/>
          <w:bCs/>
          <w:sz w:val="24"/>
          <w:szCs w:val="24"/>
        </w:rPr>
      </w:pPr>
      <w:r>
        <w:rPr>
          <w:b/>
          <w:bCs/>
          <w:sz w:val="24"/>
          <w:szCs w:val="24"/>
        </w:rPr>
      </w:r>
    </w:p>
    <w:p>
      <w:pPr>
        <w:pStyle w:val="Normal"/>
        <w:spacing w:lineRule="auto" w:line="360" w:before="0" w:after="200"/>
        <w:jc w:val="both"/>
        <w:rPr>
          <w:rFonts w:ascii="Arial" w:hAnsi="Arial"/>
          <w:b/>
          <w:bCs/>
          <w:sz w:val="24"/>
          <w:szCs w:val="24"/>
        </w:rPr>
      </w:pPr>
      <w:r>
        <w:rPr>
          <w:b/>
          <w:bCs/>
          <w:sz w:val="24"/>
          <w:szCs w:val="24"/>
        </w:rPr>
        <w:t>Mission, Vision, and Market Position</w:t>
      </w:r>
    </w:p>
    <w:p>
      <w:pPr>
        <w:pStyle w:val="Normal"/>
        <w:spacing w:lineRule="auto" w:line="360" w:before="0" w:after="200"/>
        <w:jc w:val="both"/>
        <w:rPr>
          <w:rFonts w:ascii="Arial" w:hAnsi="Arial"/>
          <w:sz w:val="24"/>
          <w:szCs w:val="24"/>
        </w:rPr>
      </w:pPr>
      <w:r>
        <w:rPr>
          <w:sz w:val="24"/>
          <w:szCs w:val="24"/>
        </w:rPr>
        <w:t>Unilever’s enduring corporate vision of "make sustainable living a commonplace" aligns its ethical purpose with it’s commercial objectives (Unilever, 2024). Its mission focuses on 2 objectives : meeting everyday consumer needs for nutrition, hygiene and personal care while reducing its environmental footprint at the same time. Unilever is maintaining a dominant market position globally against stronng rivals such as Procter &amp; Gamble and  Nestlé  in FMCG sector, which is highly saturated and competitive sector (IE University, 2026). While competitors like P&amp;G have traditionally maintained tight and highly focused brand portfolios, Unilever has historically operated a broader and more complex brand ecosystem.</w:t>
      </w:r>
    </w:p>
    <w:p>
      <w:pPr>
        <w:pStyle w:val="Normal"/>
        <w:spacing w:lineRule="auto" w:line="360" w:before="0" w:after="200"/>
        <w:jc w:val="center"/>
        <w:rPr>
          <w:sz w:val="20"/>
          <w:szCs w:val="20"/>
        </w:rPr>
      </w:pPr>
      <w:r>
        <w:drawing>
          <wp:anchor distT="0" distB="0" distL="0" distR="0" simplePos="0" relativeHeight="35" behindDoc="0" locked="0" layoutInCell="0" allowOverlap="1">
            <wp:simplePos x="0" y="0"/>
            <wp:positionH relativeFrom="column">
              <wp:align>center</wp:align>
            </wp:positionH>
            <wp:positionV relativeFrom="paragraph">
              <wp:posOffset>635</wp:posOffset>
            </wp:positionV>
            <wp:extent cx="4416425" cy="4879975"/>
            <wp:effectExtent l="0" t="0" r="0" b="0"/>
            <wp:wrapTopAndBottom/>
            <wp:docPr id="2"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5"/>
                    <pic:cNvPicPr>
                      <a:picLocks noChangeAspect="1" noChangeArrowheads="1"/>
                    </pic:cNvPicPr>
                  </pic:nvPicPr>
                  <pic:blipFill>
                    <a:blip r:embed="rId4"/>
                    <a:stretch>
                      <a:fillRect/>
                    </a:stretch>
                  </pic:blipFill>
                  <pic:spPr bwMode="auto">
                    <a:xfrm>
                      <a:off x="0" y="0"/>
                      <a:ext cx="4416425" cy="4879975"/>
                    </a:xfrm>
                    <a:prstGeom prst="rect">
                      <a:avLst/>
                    </a:prstGeom>
                    <a:noFill/>
                  </pic:spPr>
                </pic:pic>
              </a:graphicData>
            </a:graphic>
          </wp:anchor>
        </w:drawing>
      </w:r>
      <w:r>
        <w:rPr>
          <w:sz w:val="20"/>
          <w:szCs w:val="20"/>
        </w:rPr>
        <w:t xml:space="preserve">(Source: </w:t>
      </w:r>
      <w:hyperlink r:id="rId5">
        <w:r>
          <w:rPr>
            <w:rStyle w:val="Hyperlink"/>
            <w:sz w:val="20"/>
            <w:szCs w:val="20"/>
          </w:rPr>
          <w:t>https://www.unilever.com/files/unilever-annual-report-and-accounts-2024.pdf</w:t>
        </w:r>
      </w:hyperlink>
      <w:r>
        <w:rPr>
          <w:sz w:val="20"/>
          <w:szCs w:val="20"/>
        </w:rPr>
        <w:t>)</w:t>
      </w:r>
    </w:p>
    <w:p>
      <w:pPr>
        <w:pStyle w:val="Normal"/>
        <w:spacing w:lineRule="auto" w:line="360" w:before="0" w:after="200"/>
        <w:jc w:val="both"/>
        <w:rPr>
          <w:rFonts w:ascii="Arial" w:hAnsi="Arial"/>
          <w:b/>
          <w:bCs/>
          <w:sz w:val="24"/>
          <w:szCs w:val="24"/>
        </w:rPr>
      </w:pPr>
      <w:r>
        <w:rPr>
          <w:b/>
          <w:bCs/>
          <w:sz w:val="24"/>
          <w:szCs w:val="24"/>
        </w:rPr>
      </w:r>
    </w:p>
    <w:p>
      <w:pPr>
        <w:pStyle w:val="Normal"/>
        <w:spacing w:lineRule="auto" w:line="360" w:before="0" w:after="200"/>
        <w:jc w:val="both"/>
        <w:rPr>
          <w:rFonts w:ascii="Arial" w:hAnsi="Arial"/>
          <w:b/>
          <w:bCs/>
          <w:sz w:val="24"/>
          <w:szCs w:val="24"/>
        </w:rPr>
      </w:pPr>
      <w:r>
        <w:rPr>
          <w:b/>
          <w:bCs/>
          <w:sz w:val="24"/>
          <w:szCs w:val="24"/>
        </w:rPr>
        <w:t>Current Business Model and Strategic Shift</w:t>
      </w:r>
    </w:p>
    <w:p>
      <w:pPr>
        <w:pStyle w:val="Normal"/>
        <w:spacing w:lineRule="auto" w:line="360" w:before="0" w:after="200"/>
        <w:jc w:val="both"/>
        <w:rPr>
          <w:rFonts w:ascii="Arial" w:hAnsi="Arial"/>
          <w:sz w:val="24"/>
          <w:szCs w:val="24"/>
        </w:rPr>
      </w:pPr>
      <w:r>
        <w:rPr>
          <w:sz w:val="24"/>
          <w:szCs w:val="24"/>
        </w:rPr>
        <w:t>Unilever recently recognised that its bloated brand portfolio was causing strategic drift, and as the theoretical strategic management frameworks for dynamic capabilities and portfolio management emphasise : ‘an organisation must continually reconfigure its internal asset base to adapt to rapidly shifting external environments’ (Teece, Pisano and Shuen, 1997). Hence, Unilever has launched its 'Growth Action Plan' (GAP) to radically streamline its business model under CEO Hein Schumacher (Unilever, 2024; Unilever, 2025).</w:t>
      </w:r>
    </w:p>
    <w:p>
      <w:pPr>
        <w:pStyle w:val="Normal"/>
        <w:spacing w:lineRule="auto" w:line="360" w:before="0" w:after="200"/>
        <w:jc w:val="center"/>
        <w:rPr>
          <w:sz w:val="20"/>
          <w:szCs w:val="20"/>
        </w:rPr>
      </w:pPr>
      <w:r>
        <w:drawing>
          <wp:anchor distT="0" distB="0" distL="0" distR="0" simplePos="0" relativeHeight="34" behindDoc="0" locked="0" layoutInCell="0" allowOverlap="1">
            <wp:simplePos x="0" y="0"/>
            <wp:positionH relativeFrom="column">
              <wp:align>center</wp:align>
            </wp:positionH>
            <wp:positionV relativeFrom="paragraph">
              <wp:posOffset>635</wp:posOffset>
            </wp:positionV>
            <wp:extent cx="5051425" cy="3615055"/>
            <wp:effectExtent l="0" t="0" r="0" b="0"/>
            <wp:wrapTopAndBottom/>
            <wp:docPr id="3"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4"/>
                    <pic:cNvPicPr>
                      <a:picLocks noChangeAspect="1" noChangeArrowheads="1"/>
                    </pic:cNvPicPr>
                  </pic:nvPicPr>
                  <pic:blipFill>
                    <a:blip r:embed="rId6"/>
                    <a:stretch>
                      <a:fillRect/>
                    </a:stretch>
                  </pic:blipFill>
                  <pic:spPr bwMode="auto">
                    <a:xfrm>
                      <a:off x="0" y="0"/>
                      <a:ext cx="5051425" cy="3615055"/>
                    </a:xfrm>
                    <a:prstGeom prst="rect">
                      <a:avLst/>
                    </a:prstGeom>
                    <a:noFill/>
                  </pic:spPr>
                </pic:pic>
              </a:graphicData>
            </a:graphic>
          </wp:anchor>
        </w:drawing>
      </w:r>
      <w:r>
        <w:rPr>
          <w:sz w:val="20"/>
          <w:szCs w:val="20"/>
        </w:rPr>
        <w:t xml:space="preserve">(Source: </w:t>
      </w:r>
      <w:hyperlink r:id="rId7">
        <w:r>
          <w:rPr>
            <w:rStyle w:val="Hyperlink"/>
            <w:sz w:val="20"/>
            <w:szCs w:val="20"/>
          </w:rPr>
          <w:t>https://www.unilever.com/files/unilever-annual-report-and-accounts-2024.pdf</w:t>
        </w:r>
      </w:hyperlink>
      <w:r>
        <w:rPr>
          <w:sz w:val="20"/>
          <w:szCs w:val="20"/>
        </w:rPr>
        <w:t>)</w:t>
      </w:r>
    </w:p>
    <w:p>
      <w:pPr>
        <w:pStyle w:val="Normal"/>
        <w:spacing w:lineRule="auto" w:line="360" w:before="0" w:after="200"/>
        <w:jc w:val="both"/>
        <w:rPr>
          <w:rFonts w:ascii="Arial" w:hAnsi="Arial"/>
          <w:sz w:val="24"/>
          <w:szCs w:val="24"/>
        </w:rPr>
      </w:pPr>
      <w:r>
        <w:rPr>
          <w:sz w:val="24"/>
          <w:szCs w:val="24"/>
        </w:rPr>
        <w:t>Unilever’s new business is prioritising it’s best 30 power brands including Dove, Hellmann's and Magnum, rather than diluting capital across hundreds of smaller products. These brands account for over 75% of the company's total turnover (Unilever, 2024). Furthermore, the company is separating its low-margin, capital-intensive ice cream division by the end of 2025 – which shows aggressive corporate-level portfolio rationalisation by Unilever (MatrixBCG, 2026). Essentially the company is shifting from a volume-heavy, highly diversified conglomerate to a leaner, margin-focused enterprise; it highlights a crucial pivot in their organisational strategy.  In response to current volatility in the global economy, Unilever aims to  maintain its competitive advantage by consolidating its operations into five distinct business groups (Beauty and Wellbeing, Personal Care, Home Care, Nutrition and Ice Cream); This will  combine Unilever’s historical scale with the newfound divisional agility (MatrixBCG, 2026).</w:t>
      </w:r>
    </w:p>
    <w:p>
      <w:pPr>
        <w:pStyle w:val="Normal"/>
        <w:spacing w:lineRule="auto" w:line="360" w:before="0" w:after="200"/>
        <w:jc w:val="center"/>
        <w:rPr>
          <w:sz w:val="20"/>
          <w:szCs w:val="20"/>
        </w:rPr>
      </w:pPr>
      <w:r>
        <w:drawing>
          <wp:anchor distT="0" distB="0" distL="0" distR="0" simplePos="0" relativeHeight="33" behindDoc="0" locked="0" layoutInCell="0" allowOverlap="1">
            <wp:simplePos x="0" y="0"/>
            <wp:positionH relativeFrom="column">
              <wp:align>center</wp:align>
            </wp:positionH>
            <wp:positionV relativeFrom="paragraph">
              <wp:posOffset>635</wp:posOffset>
            </wp:positionV>
            <wp:extent cx="5535930" cy="2980055"/>
            <wp:effectExtent l="0" t="0" r="0" b="0"/>
            <wp:wrapTopAndBottom/>
            <wp:docPr id="4"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
                    <pic:cNvPicPr>
                      <a:picLocks noChangeAspect="1" noChangeArrowheads="1"/>
                    </pic:cNvPicPr>
                  </pic:nvPicPr>
                  <pic:blipFill>
                    <a:blip r:embed="rId8"/>
                    <a:stretch>
                      <a:fillRect/>
                    </a:stretch>
                  </pic:blipFill>
                  <pic:spPr bwMode="auto">
                    <a:xfrm>
                      <a:off x="0" y="0"/>
                      <a:ext cx="5535930" cy="2980055"/>
                    </a:xfrm>
                    <a:prstGeom prst="rect">
                      <a:avLst/>
                    </a:prstGeom>
                    <a:noFill/>
                  </pic:spPr>
                </pic:pic>
              </a:graphicData>
            </a:graphic>
          </wp:anchor>
        </w:drawing>
      </w:r>
      <w:r>
        <w:rPr>
          <w:sz w:val="20"/>
          <w:szCs w:val="20"/>
        </w:rPr>
        <w:t xml:space="preserve">(Source: </w:t>
      </w:r>
      <w:hyperlink r:id="rId9">
        <w:r>
          <w:rPr>
            <w:rStyle w:val="Hyperlink"/>
            <w:sz w:val="20"/>
            <w:szCs w:val="20"/>
          </w:rPr>
          <w:t>https://www.unilever.com/files/unilever-annual-report-and-accounts-2024.pdf</w:t>
        </w:r>
      </w:hyperlink>
      <w:r>
        <w:rPr>
          <w:sz w:val="20"/>
          <w:szCs w:val="20"/>
        </w:rPr>
        <w:t>)</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b/>
          <w:bCs/>
          <w:sz w:val="24"/>
          <w:szCs w:val="24"/>
        </w:rPr>
      </w:pPr>
      <w:r>
        <w:rPr>
          <w:b/>
          <w:bCs/>
          <w:sz w:val="24"/>
          <w:szCs w:val="24"/>
        </w:rPr>
      </w:r>
    </w:p>
    <w:p>
      <w:pPr>
        <w:pStyle w:val="Normal"/>
        <w:spacing w:lineRule="auto" w:line="360" w:before="0" w:after="200"/>
        <w:jc w:val="both"/>
        <w:rPr>
          <w:b/>
          <w:bCs/>
          <w:sz w:val="24"/>
          <w:szCs w:val="24"/>
        </w:rPr>
      </w:pPr>
      <w:r>
        <w:rPr>
          <w:b/>
          <w:bCs/>
          <w:sz w:val="24"/>
          <w:szCs w:val="24"/>
        </w:rPr>
      </w:r>
    </w:p>
    <w:p>
      <w:pPr>
        <w:pStyle w:val="Normal"/>
        <w:spacing w:lineRule="auto" w:line="360" w:before="0" w:after="200"/>
        <w:jc w:val="both"/>
        <w:rPr>
          <w:b/>
          <w:bCs/>
          <w:sz w:val="24"/>
          <w:szCs w:val="24"/>
        </w:rPr>
      </w:pPr>
      <w:r>
        <w:rPr>
          <w:b/>
          <w:bCs/>
          <w:sz w:val="24"/>
          <w:szCs w:val="24"/>
        </w:rPr>
      </w:r>
    </w:p>
    <w:p>
      <w:pPr>
        <w:pStyle w:val="Normal"/>
        <w:spacing w:lineRule="auto" w:line="360" w:before="0" w:after="200"/>
        <w:jc w:val="both"/>
        <w:rPr>
          <w:b/>
          <w:bCs/>
          <w:sz w:val="24"/>
          <w:szCs w:val="24"/>
        </w:rPr>
      </w:pPr>
      <w:r>
        <w:rPr>
          <w:b/>
          <w:bCs/>
          <w:sz w:val="24"/>
          <w:szCs w:val="24"/>
        </w:rPr>
      </w:r>
    </w:p>
    <w:p>
      <w:pPr>
        <w:pStyle w:val="Normal"/>
        <w:spacing w:lineRule="auto" w:line="360" w:before="0" w:after="200"/>
        <w:jc w:val="both"/>
        <w:rPr>
          <w:b/>
          <w:bCs/>
          <w:sz w:val="24"/>
          <w:szCs w:val="24"/>
        </w:rPr>
      </w:pPr>
      <w:r>
        <w:rPr>
          <w:b/>
          <w:bCs/>
          <w:sz w:val="24"/>
          <w:szCs w:val="24"/>
        </w:rPr>
      </w:r>
    </w:p>
    <w:p>
      <w:pPr>
        <w:pStyle w:val="Normal"/>
        <w:spacing w:lineRule="auto" w:line="360" w:before="0" w:after="200"/>
        <w:jc w:val="both"/>
        <w:rPr>
          <w:b/>
          <w:bCs/>
          <w:sz w:val="24"/>
          <w:szCs w:val="24"/>
        </w:rPr>
      </w:pPr>
      <w:r>
        <w:rPr>
          <w:b/>
          <w:bCs/>
          <w:sz w:val="24"/>
          <w:szCs w:val="24"/>
        </w:rPr>
      </w:r>
    </w:p>
    <w:p>
      <w:pPr>
        <w:pStyle w:val="Normal"/>
        <w:spacing w:lineRule="auto" w:line="360" w:before="0" w:after="200"/>
        <w:jc w:val="both"/>
        <w:rPr>
          <w:b/>
          <w:bCs/>
          <w:sz w:val="24"/>
          <w:szCs w:val="24"/>
        </w:rPr>
      </w:pPr>
      <w:r>
        <w:rPr>
          <w:b/>
          <w:bCs/>
          <w:sz w:val="24"/>
          <w:szCs w:val="24"/>
        </w:rPr>
      </w:r>
    </w:p>
    <w:p>
      <w:pPr>
        <w:pStyle w:val="Normal"/>
        <w:spacing w:lineRule="auto" w:line="360" w:before="0" w:after="200"/>
        <w:jc w:val="both"/>
        <w:rPr>
          <w:b/>
          <w:bCs/>
          <w:sz w:val="24"/>
          <w:szCs w:val="24"/>
        </w:rPr>
      </w:pPr>
      <w:r>
        <w:rPr>
          <w:b/>
          <w:bCs/>
          <w:sz w:val="24"/>
          <w:szCs w:val="24"/>
        </w:rPr>
        <w:t>2. External and Internal Environment Analysis</w:t>
      </w:r>
    </w:p>
    <w:p>
      <w:pPr>
        <w:pStyle w:val="Normal"/>
        <w:spacing w:lineRule="auto" w:line="360" w:before="0" w:after="200"/>
        <w:jc w:val="both"/>
        <w:rPr>
          <w:b/>
          <w:bCs/>
          <w:sz w:val="24"/>
          <w:szCs w:val="24"/>
        </w:rPr>
      </w:pPr>
      <w:r>
        <w:rPr>
          <w:b/>
          <w:bCs/>
          <w:sz w:val="24"/>
          <w:szCs w:val="24"/>
        </w:rPr>
        <w:t>The Macro-Environment and PESTEL Factors</w:t>
      </w:r>
    </w:p>
    <w:p>
      <w:pPr>
        <w:pStyle w:val="Normal"/>
        <w:spacing w:lineRule="auto" w:line="360" w:before="0" w:after="200"/>
        <w:jc w:val="both"/>
        <w:rPr>
          <w:rFonts w:ascii="Arial" w:hAnsi="Arial"/>
          <w:sz w:val="24"/>
          <w:szCs w:val="24"/>
        </w:rPr>
      </w:pPr>
      <w:r>
        <w:rPr>
          <w:sz w:val="24"/>
          <w:szCs w:val="24"/>
        </w:rPr>
        <w:t>Unilever operates in FMCG domain, which is affected by numerous macro-environmental factors. It must systemetically evaluate these external factors and adapt accordingly in advance to sustain its competitive advantage. The PESTEL (Political, Economic, Sociocultural, Technological, Environmental, Legal) framework is a critical analytical tool for identifying these macro level threats and opportunities (Whittington et al., 2020). Unilever specifically requires acute strategic responsiveness regarding Economic, Environmental and Technological pressures because of it’s new vision.</w:t>
      </w:r>
    </w:p>
    <w:p>
      <w:pPr>
        <w:pStyle w:val="Normal"/>
        <w:spacing w:lineRule="auto" w:line="360" w:before="0" w:after="200"/>
        <w:jc w:val="center"/>
        <w:rPr>
          <w:sz w:val="20"/>
          <w:szCs w:val="20"/>
        </w:rPr>
      </w:pPr>
      <w:r>
        <w:drawing>
          <wp:anchor distT="0" distB="0" distL="0" distR="0" simplePos="0" relativeHeight="41" behindDoc="0" locked="0" layoutInCell="0" allowOverlap="1">
            <wp:simplePos x="0" y="0"/>
            <wp:positionH relativeFrom="column">
              <wp:align>center</wp:align>
            </wp:positionH>
            <wp:positionV relativeFrom="paragraph">
              <wp:posOffset>635</wp:posOffset>
            </wp:positionV>
            <wp:extent cx="3088640" cy="2922905"/>
            <wp:effectExtent l="0" t="0" r="0" b="0"/>
            <wp:wrapTopAndBottom/>
            <wp:docPr id="5" name="Image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11"/>
                    <pic:cNvPicPr>
                      <a:picLocks noChangeAspect="1" noChangeArrowheads="1"/>
                    </pic:cNvPicPr>
                  </pic:nvPicPr>
                  <pic:blipFill>
                    <a:blip r:embed="rId10"/>
                    <a:stretch>
                      <a:fillRect/>
                    </a:stretch>
                  </pic:blipFill>
                  <pic:spPr bwMode="auto">
                    <a:xfrm>
                      <a:off x="0" y="0"/>
                      <a:ext cx="3088640" cy="2922905"/>
                    </a:xfrm>
                    <a:prstGeom prst="rect">
                      <a:avLst/>
                    </a:prstGeom>
                    <a:noFill/>
                  </pic:spPr>
                </pic:pic>
              </a:graphicData>
            </a:graphic>
          </wp:anchor>
        </w:drawing>
      </w:r>
      <w:r>
        <w:rPr>
          <w:sz w:val="20"/>
          <w:szCs w:val="20"/>
        </w:rPr>
        <w:t xml:space="preserve">(Source: </w:t>
      </w:r>
      <w:hyperlink r:id="rId11">
        <w:r>
          <w:rPr>
            <w:rStyle w:val="Hyperlink"/>
            <w:sz w:val="20"/>
            <w:szCs w:val="20"/>
          </w:rPr>
          <w:t>https://medium.com/techno-preneurship/pestle-analysis-the-ceos-guide-to-future-proofing-a-business-877e6c4e20ea</w:t>
        </w:r>
      </w:hyperlink>
      <w:r>
        <w:rPr>
          <w:sz w:val="20"/>
          <w:szCs w:val="20"/>
        </w:rPr>
        <w:t>)</w:t>
      </w:r>
    </w:p>
    <w:p>
      <w:pPr>
        <w:pStyle w:val="Normal"/>
        <w:spacing w:lineRule="auto" w:line="360" w:before="0" w:after="200"/>
        <w:jc w:val="center"/>
        <w:rPr>
          <w:sz w:val="20"/>
          <w:szCs w:val="20"/>
        </w:rPr>
      </w:pPr>
      <w:r>
        <w:rPr>
          <w:sz w:val="20"/>
          <w:szCs w:val="20"/>
        </w:rPr>
      </w:r>
    </w:p>
    <w:p>
      <w:pPr>
        <w:pStyle w:val="Normal"/>
        <w:spacing w:lineRule="auto" w:line="360" w:before="0" w:after="200"/>
        <w:jc w:val="both"/>
        <w:rPr>
          <w:rFonts w:ascii="Arial" w:hAnsi="Arial"/>
          <w:sz w:val="24"/>
          <w:szCs w:val="24"/>
        </w:rPr>
      </w:pPr>
      <w:r>
        <w:rPr>
          <w:b/>
          <w:bCs/>
          <w:sz w:val="24"/>
          <w:szCs w:val="24"/>
        </w:rPr>
        <w:t>Political Factors:</w:t>
      </w:r>
      <w:r>
        <w:rPr>
          <w:sz w:val="24"/>
          <w:szCs w:val="24"/>
        </w:rPr>
        <w:t xml:space="preserve"> Unilever operates in 190+ countries, this vast global footprint heavily exposes the organization to geopolitical fragmentation and trade policy shifts such as protectionist trade policies and tariffs that can significantly effect supplychain and distribution strategies; particularly between Western markets and the emerging economies in recent times  (The Strategy Story, 2024). </w:t>
      </w:r>
      <w:r>
        <w:rPr>
          <w:sz w:val="24"/>
          <w:szCs w:val="24"/>
        </w:rPr>
        <w:t>Unilever is forced to have localized sourcing strategies to maintain political compliance as well as maintain its operational continuity. This will provide much needed agility during supply chain disruptions.</w:t>
      </w:r>
    </w:p>
    <w:tbl>
      <w:tblPr>
        <w:tblW w:w="5000" w:type="pct"/>
        <w:jc w:val="start"/>
        <w:tblInd w:w="-5" w:type="dxa"/>
        <w:tblLayout w:type="fixed"/>
        <w:tblCellMar>
          <w:top w:w="55" w:type="dxa"/>
          <w:start w:w="55" w:type="dxa"/>
          <w:bottom w:w="55" w:type="dxa"/>
          <w:end w:w="55" w:type="dxa"/>
        </w:tblCellMar>
      </w:tblPr>
      <w:tblGrid>
        <w:gridCol w:w="2842"/>
        <w:gridCol w:w="6184"/>
      </w:tblGrid>
      <w:tr>
        <w:trPr>
          <w:trHeight w:val="947" w:hRule="atLeast"/>
        </w:trPr>
        <w:tc>
          <w:tcPr>
            <w:tcW w:w="2842" w:type="dxa"/>
            <w:tcBorders>
              <w:top w:val="single" w:sz="4" w:space="0" w:color="000000"/>
              <w:start w:val="single" w:sz="4" w:space="0" w:color="000000"/>
              <w:bottom w:val="single" w:sz="4" w:space="0" w:color="000000"/>
            </w:tcBorders>
          </w:tcPr>
          <w:p>
            <w:pPr>
              <w:pStyle w:val="TableContents"/>
              <w:rPr/>
            </w:pPr>
            <w:r>
              <w:rPr/>
              <w:t>Government Policies</w:t>
            </w:r>
          </w:p>
        </w:tc>
        <w:tc>
          <w:tcPr>
            <w:tcW w:w="6184" w:type="dxa"/>
            <w:tcBorders>
              <w:top w:val="single" w:sz="4" w:space="0" w:color="000000"/>
              <w:start w:val="single" w:sz="4" w:space="0" w:color="000000"/>
              <w:bottom w:val="single" w:sz="4" w:space="0" w:color="000000"/>
              <w:end w:val="single" w:sz="4" w:space="0" w:color="000000"/>
            </w:tcBorders>
          </w:tcPr>
          <w:p>
            <w:pPr>
              <w:pStyle w:val="TableContents"/>
              <w:rPr/>
            </w:pPr>
            <w:r>
              <w:rPr/>
              <w:t>Governmental policies related to health, safety, and quality standards can impact Unilever’s product formulations</w:t>
            </w:r>
          </w:p>
        </w:tc>
      </w:tr>
      <w:tr>
        <w:trPr>
          <w:trHeight w:val="959" w:hRule="atLeast"/>
        </w:trPr>
        <w:tc>
          <w:tcPr>
            <w:tcW w:w="2842" w:type="dxa"/>
            <w:tcBorders>
              <w:start w:val="single" w:sz="4" w:space="0" w:color="000000"/>
              <w:bottom w:val="single" w:sz="4" w:space="0" w:color="000000"/>
            </w:tcBorders>
          </w:tcPr>
          <w:p>
            <w:pPr>
              <w:pStyle w:val="TableContents"/>
              <w:rPr/>
            </w:pPr>
            <w:r>
              <w:rPr/>
              <w:t>Geopolitical Issues</w:t>
            </w:r>
          </w:p>
        </w:tc>
        <w:tc>
          <w:tcPr>
            <w:tcW w:w="6184" w:type="dxa"/>
            <w:tcBorders>
              <w:start w:val="single" w:sz="4" w:space="0" w:color="000000"/>
              <w:bottom w:val="single" w:sz="4" w:space="0" w:color="000000"/>
              <w:end w:val="single" w:sz="4" w:space="0" w:color="000000"/>
            </w:tcBorders>
          </w:tcPr>
          <w:p>
            <w:pPr>
              <w:pStyle w:val="TableContents"/>
              <w:rPr/>
            </w:pPr>
            <w:r>
              <w:rPr/>
              <w:t>Political relationships between countries can affect Unilever’s operations and even force complex exits from the markets</w:t>
            </w:r>
          </w:p>
        </w:tc>
      </w:tr>
      <w:tr>
        <w:trPr>
          <w:trHeight w:val="706" w:hRule="atLeast"/>
        </w:trPr>
        <w:tc>
          <w:tcPr>
            <w:tcW w:w="2842" w:type="dxa"/>
            <w:tcBorders>
              <w:start w:val="single" w:sz="4" w:space="0" w:color="000000"/>
              <w:bottom w:val="single" w:sz="4" w:space="0" w:color="000000"/>
            </w:tcBorders>
          </w:tcPr>
          <w:p>
            <w:pPr>
              <w:pStyle w:val="TableContents"/>
              <w:rPr/>
            </w:pPr>
            <w:r>
              <w:rPr/>
              <w:t>Regulations on International Investment</w:t>
            </w:r>
          </w:p>
        </w:tc>
        <w:tc>
          <w:tcPr>
            <w:tcW w:w="6184" w:type="dxa"/>
            <w:tcBorders>
              <w:start w:val="single" w:sz="4" w:space="0" w:color="000000"/>
              <w:bottom w:val="single" w:sz="4" w:space="0" w:color="000000"/>
              <w:end w:val="single" w:sz="4" w:space="0" w:color="000000"/>
            </w:tcBorders>
          </w:tcPr>
          <w:p>
            <w:pPr>
              <w:pStyle w:val="TableContents"/>
              <w:rPr/>
            </w:pPr>
            <w:r>
              <w:rPr/>
              <w:t>Influence critical decisions to set up factories and distribution networks</w:t>
            </w:r>
          </w:p>
        </w:tc>
      </w:tr>
    </w:tbl>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b/>
          <w:bCs/>
          <w:sz w:val="24"/>
          <w:szCs w:val="24"/>
        </w:rPr>
        <w:t>Economic Factors:</w:t>
      </w:r>
      <w:r>
        <w:rPr>
          <w:sz w:val="24"/>
          <w:szCs w:val="24"/>
        </w:rPr>
        <w:t xml:space="preserve"> The most severe external factor for Unilever is macroeconomic volatility. The global cost-of-living crisis and persistent inflation have severely impacted consumer purchasing power, as a result market has shifted towards cheaper ‘private label brands often owned by supermarket chains (Technavio, 2026). During such economic downturns, FMCG giants face immense pressure on their premium branded products, requiring them to aggressively leverage their scale to defend gross margins without resorting to destructive price wars (The Strategy Story, 2024).</w:t>
      </w:r>
    </w:p>
    <w:tbl>
      <w:tblPr>
        <w:tblW w:w="5000" w:type="pct"/>
        <w:jc w:val="start"/>
        <w:tblInd w:w="-5" w:type="dxa"/>
        <w:tblLayout w:type="fixed"/>
        <w:tblCellMar>
          <w:top w:w="55" w:type="dxa"/>
          <w:start w:w="55" w:type="dxa"/>
          <w:bottom w:w="55" w:type="dxa"/>
          <w:end w:w="55" w:type="dxa"/>
        </w:tblCellMar>
      </w:tblPr>
      <w:tblGrid>
        <w:gridCol w:w="2658"/>
        <w:gridCol w:w="6368"/>
      </w:tblGrid>
      <w:tr>
        <w:trPr>
          <w:trHeight w:val="947" w:hRule="atLeast"/>
        </w:trPr>
        <w:tc>
          <w:tcPr>
            <w:tcW w:w="2658" w:type="dxa"/>
            <w:tcBorders>
              <w:top w:val="single" w:sz="4" w:space="0" w:color="000000"/>
              <w:start w:val="single" w:sz="4" w:space="0" w:color="000000"/>
              <w:bottom w:val="single" w:sz="4" w:space="0" w:color="000000"/>
            </w:tcBorders>
          </w:tcPr>
          <w:p>
            <w:pPr>
              <w:pStyle w:val="TableContents"/>
              <w:rPr/>
            </w:pPr>
            <w:r>
              <w:rPr/>
              <w:t>Currency Exchange Rates</w:t>
            </w:r>
          </w:p>
        </w:tc>
        <w:tc>
          <w:tcPr>
            <w:tcW w:w="6368" w:type="dxa"/>
            <w:tcBorders>
              <w:top w:val="single" w:sz="4" w:space="0" w:color="000000"/>
              <w:start w:val="single" w:sz="4" w:space="0" w:color="000000"/>
              <w:bottom w:val="single" w:sz="4" w:space="0" w:color="000000"/>
              <w:end w:val="single" w:sz="4" w:space="0" w:color="000000"/>
            </w:tcBorders>
          </w:tcPr>
          <w:p>
            <w:pPr>
              <w:pStyle w:val="TableContents"/>
              <w:rPr/>
            </w:pPr>
            <w:r>
              <w:rPr/>
              <w:t>Governmental policies related to health, safety, and quality standards can impact Unilever’s product formulations</w:t>
            </w:r>
          </w:p>
        </w:tc>
      </w:tr>
      <w:tr>
        <w:trPr>
          <w:trHeight w:val="959" w:hRule="atLeast"/>
        </w:trPr>
        <w:tc>
          <w:tcPr>
            <w:tcW w:w="2658" w:type="dxa"/>
            <w:tcBorders>
              <w:start w:val="single" w:sz="4" w:space="0" w:color="000000"/>
              <w:bottom w:val="single" w:sz="4" w:space="0" w:color="000000"/>
            </w:tcBorders>
          </w:tcPr>
          <w:p>
            <w:pPr>
              <w:pStyle w:val="TableContents"/>
              <w:rPr/>
            </w:pPr>
            <w:r>
              <w:rPr/>
              <w:t>Inflation Rates &amp; Employment Rates</w:t>
            </w:r>
          </w:p>
        </w:tc>
        <w:tc>
          <w:tcPr>
            <w:tcW w:w="6368" w:type="dxa"/>
            <w:tcBorders>
              <w:start w:val="single" w:sz="4" w:space="0" w:color="000000"/>
              <w:bottom w:val="single" w:sz="4" w:space="0" w:color="000000"/>
              <w:end w:val="single" w:sz="4" w:space="0" w:color="000000"/>
            </w:tcBorders>
          </w:tcPr>
          <w:p>
            <w:pPr>
              <w:pStyle w:val="TableContents"/>
              <w:rPr/>
            </w:pPr>
            <w:r>
              <w:rPr/>
              <w:t xml:space="preserve">Inflation effects raw materials, production and labor costs. </w:t>
            </w:r>
          </w:p>
          <w:p>
            <w:pPr>
              <w:pStyle w:val="TableContents"/>
              <w:rPr/>
            </w:pPr>
            <w:r>
              <w:rPr/>
              <w:t>Both also affects consumer purchasing power and ultimately sales.</w:t>
            </w:r>
          </w:p>
        </w:tc>
      </w:tr>
      <w:tr>
        <w:trPr>
          <w:trHeight w:val="706" w:hRule="atLeast"/>
        </w:trPr>
        <w:tc>
          <w:tcPr>
            <w:tcW w:w="2658" w:type="dxa"/>
            <w:tcBorders>
              <w:start w:val="single" w:sz="4" w:space="0" w:color="000000"/>
              <w:bottom w:val="single" w:sz="4" w:space="0" w:color="000000"/>
            </w:tcBorders>
          </w:tcPr>
          <w:p>
            <w:pPr>
              <w:pStyle w:val="TableContents"/>
              <w:rPr/>
            </w:pPr>
            <w:r>
              <w:rPr/>
              <w:t>Competitive Landscape &amp; Markets Dynamics</w:t>
            </w:r>
          </w:p>
        </w:tc>
        <w:tc>
          <w:tcPr>
            <w:tcW w:w="6368" w:type="dxa"/>
            <w:tcBorders>
              <w:start w:val="single" w:sz="4" w:space="0" w:color="000000"/>
              <w:bottom w:val="single" w:sz="4" w:space="0" w:color="000000"/>
              <w:end w:val="single" w:sz="4" w:space="0" w:color="000000"/>
            </w:tcBorders>
          </w:tcPr>
          <w:p>
            <w:pPr>
              <w:pStyle w:val="TableContents"/>
              <w:rPr/>
            </w:pPr>
            <w:r>
              <w:rPr/>
              <w:t>Challenging times can introduce price wars, affect market share</w:t>
            </w:r>
          </w:p>
          <w:p>
            <w:pPr>
              <w:pStyle w:val="TableContents"/>
              <w:rPr/>
            </w:pPr>
            <w:r>
              <w:rPr/>
              <w:t>and market dynamics provide opportunities for expansion</w:t>
            </w:r>
          </w:p>
        </w:tc>
      </w:tr>
    </w:tbl>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b/>
          <w:bCs/>
          <w:sz w:val="24"/>
          <w:szCs w:val="24"/>
        </w:rPr>
        <w:t>Sociocultural Factors:</w:t>
      </w:r>
      <w:r>
        <w:rPr>
          <w:sz w:val="24"/>
          <w:szCs w:val="24"/>
        </w:rPr>
        <w:t xml:space="preserve"> Consumer values are rapidly evolving along with consumer demographics. There is a rising demand for health, wellness and ethically sourced products globally (Panmore Institute, 2024).  </w:t>
      </w:r>
      <w:r>
        <w:rPr>
          <w:sz w:val="24"/>
          <w:szCs w:val="24"/>
        </w:rPr>
        <w:t>T</w:t>
      </w:r>
      <w:r>
        <w:rPr>
          <w:sz w:val="24"/>
          <w:szCs w:val="24"/>
        </w:rPr>
        <w:t xml:space="preserve">his opportunity presents a strategic paradox: </w:t>
      </w:r>
      <w:r>
        <w:rPr>
          <w:sz w:val="24"/>
          <w:szCs w:val="24"/>
        </w:rPr>
        <w:t xml:space="preserve">while the </w:t>
      </w:r>
      <w:r>
        <w:rPr>
          <w:sz w:val="24"/>
          <w:szCs w:val="24"/>
        </w:rPr>
        <w:t xml:space="preserve">consumers desire sustainable products, they are not willing to pay a premium for them due to economic </w:t>
      </w:r>
      <w:r>
        <w:rPr>
          <w:sz w:val="24"/>
          <w:szCs w:val="24"/>
        </w:rPr>
        <w:t>reasons like cost of living crisis and unemployment</w:t>
      </w:r>
      <w:r>
        <w:rPr>
          <w:sz w:val="24"/>
          <w:szCs w:val="24"/>
        </w:rPr>
        <w:t>. Unilever must balance these sociocultural expectations by integrating purpose into its core brands while maintaining strict cost accessibility.</w:t>
      </w:r>
    </w:p>
    <w:tbl>
      <w:tblPr>
        <w:tblW w:w="5000" w:type="pct"/>
        <w:jc w:val="start"/>
        <w:tblInd w:w="-5" w:type="dxa"/>
        <w:tblLayout w:type="fixed"/>
        <w:tblCellMar>
          <w:top w:w="55" w:type="dxa"/>
          <w:start w:w="55" w:type="dxa"/>
          <w:bottom w:w="55" w:type="dxa"/>
          <w:end w:w="55" w:type="dxa"/>
        </w:tblCellMar>
      </w:tblPr>
      <w:tblGrid>
        <w:gridCol w:w="2658"/>
        <w:gridCol w:w="6368"/>
      </w:tblGrid>
      <w:tr>
        <w:trPr>
          <w:trHeight w:val="947" w:hRule="atLeast"/>
        </w:trPr>
        <w:tc>
          <w:tcPr>
            <w:tcW w:w="2658" w:type="dxa"/>
            <w:tcBorders>
              <w:top w:val="single" w:sz="4" w:space="0" w:color="000000"/>
              <w:start w:val="single" w:sz="4" w:space="0" w:color="000000"/>
              <w:bottom w:val="single" w:sz="4" w:space="0" w:color="000000"/>
            </w:tcBorders>
          </w:tcPr>
          <w:p>
            <w:pPr>
              <w:pStyle w:val="TableContents"/>
              <w:rPr/>
            </w:pPr>
            <w:r>
              <w:rPr/>
              <w:t>Changing Consumer Preferences &amp; Trends</w:t>
            </w:r>
          </w:p>
        </w:tc>
        <w:tc>
          <w:tcPr>
            <w:tcW w:w="6368" w:type="dxa"/>
            <w:tcBorders>
              <w:top w:val="single" w:sz="4" w:space="0" w:color="000000"/>
              <w:start w:val="single" w:sz="4" w:space="0" w:color="000000"/>
              <w:bottom w:val="single" w:sz="4" w:space="0" w:color="000000"/>
              <w:end w:val="single" w:sz="4" w:space="0" w:color="000000"/>
            </w:tcBorders>
          </w:tcPr>
          <w:p>
            <w:pPr>
              <w:pStyle w:val="TableContents"/>
              <w:rPr/>
            </w:pPr>
            <w:r>
              <w:rPr/>
              <w:t>Unilever might loose market share if it doesn’t adapt to these preferences.</w:t>
            </w:r>
          </w:p>
          <w:p>
            <w:pPr>
              <w:pStyle w:val="TableContents"/>
              <w:rPr/>
            </w:pPr>
            <w:r>
              <w:rPr/>
            </w:r>
          </w:p>
        </w:tc>
      </w:tr>
      <w:tr>
        <w:trPr>
          <w:trHeight w:val="959" w:hRule="atLeast"/>
        </w:trPr>
        <w:tc>
          <w:tcPr>
            <w:tcW w:w="2658" w:type="dxa"/>
            <w:tcBorders>
              <w:start w:val="single" w:sz="4" w:space="0" w:color="000000"/>
              <w:bottom w:val="single" w:sz="4" w:space="0" w:color="000000"/>
            </w:tcBorders>
          </w:tcPr>
          <w:p>
            <w:pPr>
              <w:pStyle w:val="TableContents"/>
              <w:rPr/>
            </w:pPr>
            <w:r>
              <w:rPr/>
              <w:t>Cultural Nuances &amp; Education</w:t>
            </w:r>
          </w:p>
        </w:tc>
        <w:tc>
          <w:tcPr>
            <w:tcW w:w="6368" w:type="dxa"/>
            <w:tcBorders>
              <w:start w:val="single" w:sz="4" w:space="0" w:color="000000"/>
              <w:bottom w:val="single" w:sz="4" w:space="0" w:color="000000"/>
              <w:end w:val="single" w:sz="4" w:space="0" w:color="000000"/>
            </w:tcBorders>
          </w:tcPr>
          <w:p>
            <w:pPr>
              <w:pStyle w:val="TableContents"/>
              <w:rPr/>
            </w:pPr>
            <w:r>
              <w:rPr/>
              <w:t>Education often increases demand of quality products</w:t>
            </w:r>
          </w:p>
          <w:p>
            <w:pPr>
              <w:pStyle w:val="TableContents"/>
              <w:rPr/>
            </w:pPr>
            <w:r>
              <w:rPr/>
              <w:t>While cultural nuances dictate the acceptebility of products</w:t>
            </w:r>
          </w:p>
        </w:tc>
      </w:tr>
      <w:tr>
        <w:trPr>
          <w:trHeight w:val="706" w:hRule="atLeast"/>
        </w:trPr>
        <w:tc>
          <w:tcPr>
            <w:tcW w:w="2658" w:type="dxa"/>
            <w:tcBorders>
              <w:start w:val="single" w:sz="4" w:space="0" w:color="000000"/>
              <w:bottom w:val="single" w:sz="4" w:space="0" w:color="000000"/>
            </w:tcBorders>
          </w:tcPr>
          <w:p>
            <w:pPr>
              <w:pStyle w:val="TableContents"/>
              <w:rPr/>
            </w:pPr>
            <w:r>
              <w:rPr/>
              <w:t>Demographics &amp; Lifestyle</w:t>
            </w:r>
          </w:p>
        </w:tc>
        <w:tc>
          <w:tcPr>
            <w:tcW w:w="6368" w:type="dxa"/>
            <w:tcBorders>
              <w:start w:val="single" w:sz="4" w:space="0" w:color="000000"/>
              <w:bottom w:val="single" w:sz="4" w:space="0" w:color="000000"/>
              <w:end w:val="single" w:sz="4" w:space="0" w:color="000000"/>
            </w:tcBorders>
          </w:tcPr>
          <w:p>
            <w:pPr>
              <w:pStyle w:val="TableContents"/>
              <w:rPr/>
            </w:pPr>
            <w:r>
              <w:rPr/>
              <w:t>Often decides what type/category of product could sell well</w:t>
            </w:r>
          </w:p>
        </w:tc>
      </w:tr>
    </w:tbl>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b/>
          <w:bCs/>
          <w:sz w:val="24"/>
          <w:szCs w:val="24"/>
        </w:rPr>
        <w:t>Technological Factors:</w:t>
      </w:r>
      <w:r>
        <w:rPr>
          <w:sz w:val="24"/>
          <w:szCs w:val="24"/>
        </w:rPr>
        <w:t xml:space="preserve"> </w:t>
      </w:r>
      <w:r>
        <w:rPr>
          <w:sz w:val="24"/>
          <w:szCs w:val="24"/>
        </w:rPr>
        <w:t>Ditial transformation and E-commerce platforms are rapidly transforming the FMCG markets. While these t</w:t>
      </w:r>
      <w:r>
        <w:rPr>
          <w:sz w:val="24"/>
          <w:szCs w:val="24"/>
        </w:rPr>
        <w:t xml:space="preserve">echnological advancements </w:t>
      </w:r>
      <w:r>
        <w:rPr>
          <w:sz w:val="24"/>
          <w:szCs w:val="24"/>
        </w:rPr>
        <w:t xml:space="preserve">can persent some challenges for the established players, </w:t>
      </w:r>
      <w:r>
        <w:rPr>
          <w:sz w:val="24"/>
          <w:szCs w:val="24"/>
        </w:rPr>
        <w:t xml:space="preserve">integration of Artificial Intelligence (AI) </w:t>
      </w:r>
      <w:r>
        <w:rPr>
          <w:sz w:val="24"/>
          <w:szCs w:val="24"/>
        </w:rPr>
        <w:t>and other technologies</w:t>
      </w:r>
      <w:r>
        <w:rPr>
          <w:sz w:val="24"/>
          <w:szCs w:val="24"/>
        </w:rPr>
        <w:t xml:space="preserve"> offer massive strategic opportunities to offset operational costs </w:t>
      </w:r>
      <w:r>
        <w:rPr>
          <w:sz w:val="24"/>
          <w:szCs w:val="24"/>
        </w:rPr>
        <w:t>and improve overall efficiency</w:t>
      </w:r>
      <w:r>
        <w:rPr>
          <w:sz w:val="24"/>
          <w:szCs w:val="24"/>
        </w:rPr>
        <w:t xml:space="preserve">. Unilever is leveraging AI and data analytics for </w:t>
      </w:r>
      <w:r>
        <w:rPr>
          <w:sz w:val="24"/>
          <w:szCs w:val="24"/>
        </w:rPr>
        <w:t>its</w:t>
      </w:r>
      <w:r>
        <w:rPr>
          <w:sz w:val="24"/>
          <w:szCs w:val="24"/>
        </w:rPr>
        <w:t xml:space="preserve"> dynamic pricing, </w:t>
      </w:r>
      <w:r>
        <w:rPr>
          <w:sz w:val="24"/>
          <w:szCs w:val="24"/>
        </w:rPr>
        <w:t xml:space="preserve">and supply chain optimizations by </w:t>
      </w:r>
      <w:r>
        <w:rPr>
          <w:sz w:val="24"/>
          <w:szCs w:val="24"/>
        </w:rPr>
        <w:t xml:space="preserve"> predicting consumer </w:t>
      </w:r>
      <w:r>
        <w:rPr>
          <w:sz w:val="24"/>
          <w:szCs w:val="24"/>
        </w:rPr>
        <w:t xml:space="preserve">behaviour and </w:t>
      </w:r>
      <w:r>
        <w:rPr>
          <w:sz w:val="24"/>
          <w:szCs w:val="24"/>
        </w:rPr>
        <w:t xml:space="preserve">purchasing patterns </w:t>
      </w:r>
      <w:r>
        <w:rPr>
          <w:sz w:val="24"/>
          <w:szCs w:val="24"/>
        </w:rPr>
        <w:t>in advance</w:t>
      </w:r>
      <w:r>
        <w:rPr>
          <w:sz w:val="24"/>
          <w:szCs w:val="24"/>
        </w:rPr>
        <w:t xml:space="preserve">. These changes are </w:t>
      </w:r>
      <w:r>
        <w:rPr>
          <w:sz w:val="24"/>
          <w:szCs w:val="24"/>
        </w:rPr>
        <w:t>reflecting in its balance sheet as</w:t>
      </w:r>
      <w:r>
        <w:rPr>
          <w:sz w:val="24"/>
          <w:szCs w:val="24"/>
        </w:rPr>
        <w:t xml:space="preserve"> improve</w:t>
      </w:r>
      <w:r>
        <w:rPr>
          <w:sz w:val="24"/>
          <w:szCs w:val="24"/>
        </w:rPr>
        <w:t>d</w:t>
      </w:r>
      <w:r>
        <w:rPr>
          <w:sz w:val="24"/>
          <w:szCs w:val="24"/>
        </w:rPr>
        <w:t xml:space="preserve"> marketing Return on Investment (ROI) and service levels (Scribd, 2024).</w:t>
      </w:r>
    </w:p>
    <w:p>
      <w:pPr>
        <w:pStyle w:val="Normal"/>
        <w:spacing w:lineRule="auto" w:line="360" w:before="0" w:after="200"/>
        <w:jc w:val="both"/>
        <w:rPr>
          <w:rFonts w:ascii="Arial" w:hAnsi="Arial"/>
          <w:sz w:val="24"/>
          <w:szCs w:val="24"/>
        </w:rPr>
      </w:pPr>
      <w:r>
        <w:rPr>
          <w:b/>
          <w:bCs/>
          <w:sz w:val="24"/>
          <w:szCs w:val="24"/>
        </w:rPr>
        <w:t>Environmental Factors:</w:t>
      </w:r>
      <w:r>
        <w:rPr>
          <w:sz w:val="24"/>
          <w:szCs w:val="24"/>
        </w:rPr>
        <w:t xml:space="preserve"> </w:t>
      </w:r>
      <w:r>
        <w:rPr>
          <w:sz w:val="24"/>
          <w:szCs w:val="24"/>
        </w:rPr>
        <w:t xml:space="preserve">Unilever is a massive consumer of agricultural commodities like palm oil, tea, cocoa for its raw material needs. Climate change and global weather is creating supply chain shortages of these raw materials and increasing the input cost. This makes Unilever highly vulnerable to environmental shifts </w:t>
      </w:r>
      <w:r>
        <w:rPr>
          <w:sz w:val="24"/>
          <w:szCs w:val="24"/>
        </w:rPr>
        <w:t xml:space="preserve">(The Strategy Story, 2024). </w:t>
      </w:r>
      <w:r>
        <w:rPr>
          <w:sz w:val="24"/>
          <w:szCs w:val="24"/>
        </w:rPr>
        <w:t xml:space="preserve">Apart from </w:t>
      </w:r>
      <w:r>
        <w:rPr>
          <w:sz w:val="24"/>
          <w:szCs w:val="24"/>
        </w:rPr>
        <w:t>nature</w:t>
      </w:r>
      <w:r>
        <w:rPr>
          <w:sz w:val="24"/>
          <w:szCs w:val="24"/>
        </w:rPr>
        <w:t xml:space="preserve">, environmental regulations ( </w:t>
      </w:r>
      <w:r>
        <w:rPr>
          <w:sz w:val="24"/>
          <w:szCs w:val="24"/>
        </w:rPr>
        <w:t xml:space="preserve">on </w:t>
      </w:r>
      <w:r>
        <w:rPr>
          <w:sz w:val="24"/>
          <w:szCs w:val="24"/>
        </w:rPr>
        <w:t xml:space="preserve">packaging, sustainability initiatives, carbon footprint) also directly or indirectly affects Unilever’s strategic decisions. </w:t>
      </w:r>
      <w:r>
        <w:rPr>
          <w:sz w:val="24"/>
          <w:szCs w:val="24"/>
        </w:rPr>
        <w:t>These growing concerns signal that</w:t>
      </w:r>
      <w:r>
        <w:rPr>
          <w:sz w:val="24"/>
          <w:szCs w:val="24"/>
        </w:rPr>
        <w:t xml:space="preserve"> Unilever must </w:t>
      </w:r>
      <w:r>
        <w:rPr>
          <w:sz w:val="24"/>
          <w:szCs w:val="24"/>
        </w:rPr>
        <w:t xml:space="preserve">take decisive steps to </w:t>
      </w:r>
      <w:r>
        <w:rPr>
          <w:sz w:val="24"/>
          <w:szCs w:val="24"/>
        </w:rPr>
        <w:t>mitigate these risks and build strategic resilience. Unilever is making efforts to achieve a 100% deforestation-free supply chain and investing in satellite monitoring to track ecological impacts at the farm level (Unilever, 2024).</w:t>
      </w:r>
    </w:p>
    <w:p>
      <w:pPr>
        <w:pStyle w:val="Normal"/>
        <w:spacing w:lineRule="auto" w:line="360" w:before="0" w:after="200"/>
        <w:jc w:val="both"/>
        <w:rPr>
          <w:rFonts w:ascii="Arial" w:hAnsi="Arial"/>
          <w:sz w:val="24"/>
          <w:szCs w:val="24"/>
        </w:rPr>
      </w:pPr>
      <w:r>
        <w:rPr>
          <w:b/>
          <w:bCs/>
          <w:sz w:val="24"/>
          <w:szCs w:val="24"/>
        </w:rPr>
        <w:t>Legal Factors:</w:t>
      </w:r>
      <w:r>
        <w:rPr>
          <w:sz w:val="24"/>
          <w:szCs w:val="24"/>
        </w:rPr>
        <w:t xml:space="preserve"> </w:t>
      </w:r>
      <w:r>
        <w:rPr>
          <w:sz w:val="24"/>
          <w:szCs w:val="24"/>
        </w:rPr>
        <w:t xml:space="preserve">Legal and complex </w:t>
      </w:r>
      <w:r>
        <w:rPr>
          <w:sz w:val="24"/>
          <w:szCs w:val="24"/>
        </w:rPr>
        <w:t xml:space="preserve">regulatory </w:t>
      </w:r>
      <w:r>
        <w:rPr>
          <w:sz w:val="24"/>
          <w:szCs w:val="24"/>
        </w:rPr>
        <w:t xml:space="preserve">compliance is always a concern for </w:t>
      </w:r>
      <w:r>
        <w:rPr>
          <w:sz w:val="24"/>
          <w:szCs w:val="24"/>
        </w:rPr>
        <w:t xml:space="preserve">FMCG sector.  </w:t>
      </w:r>
      <w:r>
        <w:rPr>
          <w:sz w:val="24"/>
          <w:szCs w:val="24"/>
        </w:rPr>
        <w:t>C</w:t>
      </w:r>
      <w:r>
        <w:rPr>
          <w:sz w:val="24"/>
          <w:szCs w:val="24"/>
        </w:rPr>
        <w:t xml:space="preserve">onsumer protection agencies are </w:t>
      </w:r>
      <w:r>
        <w:rPr>
          <w:sz w:val="24"/>
          <w:szCs w:val="24"/>
        </w:rPr>
        <w:t>increasingly</w:t>
      </w:r>
      <w:r>
        <w:rPr>
          <w:sz w:val="24"/>
          <w:szCs w:val="24"/>
        </w:rPr>
        <w:t xml:space="preserve"> enforcing stringent greenwashing regulations. </w:t>
      </w:r>
      <w:r>
        <w:rPr>
          <w:sz w:val="24"/>
          <w:szCs w:val="24"/>
        </w:rPr>
        <w:t xml:space="preserve">For instance, companies are legally required to provide traceability data and </w:t>
      </w:r>
      <w:r>
        <w:rPr>
          <w:sz w:val="24"/>
          <w:szCs w:val="24"/>
        </w:rPr>
        <w:t xml:space="preserve">prove that their commodities do not contribute to the deforestation or even forest degradatio; under </w:t>
      </w:r>
      <w:r>
        <w:rPr>
          <w:sz w:val="24"/>
          <w:szCs w:val="24"/>
        </w:rPr>
        <w:t xml:space="preserve">new EU Regulation on Deforestation-free Products (EUDR). </w:t>
      </w:r>
      <w:r>
        <w:rPr>
          <w:sz w:val="24"/>
          <w:szCs w:val="24"/>
        </w:rPr>
        <w:t>These regulations anc compliance requirements</w:t>
      </w:r>
      <w:r>
        <w:rPr>
          <w:sz w:val="24"/>
          <w:szCs w:val="24"/>
        </w:rPr>
        <w:t xml:space="preserve"> add significant costs (European Commission, 2024).</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b/>
          <w:bCs/>
        </w:rPr>
      </w:pPr>
      <w:r>
        <w:rPr>
          <w:b/>
          <w:bCs/>
          <w:sz w:val="24"/>
          <w:szCs w:val="24"/>
        </w:rPr>
        <w:t>Critical Success Factors and Strategic Challenges</w:t>
      </w:r>
    </w:p>
    <w:p>
      <w:pPr>
        <w:pStyle w:val="Normal"/>
        <w:spacing w:lineRule="auto" w:line="360" w:before="0" w:after="200"/>
        <w:jc w:val="both"/>
        <w:rPr>
          <w:rFonts w:ascii="Arial" w:hAnsi="Arial"/>
          <w:sz w:val="24"/>
          <w:szCs w:val="24"/>
        </w:rPr>
      </w:pPr>
      <w:r>
        <w:rPr>
          <w:sz w:val="24"/>
          <w:szCs w:val="24"/>
        </w:rPr>
        <w:t xml:space="preserve">Derived from the external analysis : Supply chain resilience, brand superiority and structural agility are the critical success factors of Unilever. </w:t>
      </w:r>
      <w:r>
        <w:rPr>
          <w:sz w:val="24"/>
          <w:szCs w:val="24"/>
        </w:rPr>
        <w:t>Company’s management is juggling between two challenges at the same time. While it has to</w:t>
      </w:r>
      <w:r>
        <w:rPr>
          <w:sz w:val="24"/>
          <w:szCs w:val="24"/>
        </w:rPr>
        <w:t xml:space="preserve"> managing input-cost volatility </w:t>
      </w:r>
      <w:r>
        <w:rPr>
          <w:sz w:val="24"/>
          <w:szCs w:val="24"/>
        </w:rPr>
        <w:t>dure to</w:t>
      </w:r>
      <w:r>
        <w:rPr>
          <w:sz w:val="24"/>
          <w:szCs w:val="24"/>
        </w:rPr>
        <w:t xml:space="preserve"> fluctuating prices for edible oils and petrochemicals, </w:t>
      </w:r>
      <w:r>
        <w:rPr>
          <w:sz w:val="24"/>
          <w:szCs w:val="24"/>
        </w:rPr>
        <w:t>they are</w:t>
      </w:r>
      <w:r>
        <w:rPr>
          <w:sz w:val="24"/>
          <w:szCs w:val="24"/>
        </w:rPr>
        <w:t xml:space="preserve"> simultaneously </w:t>
      </w:r>
      <w:r>
        <w:rPr>
          <w:sz w:val="24"/>
          <w:szCs w:val="24"/>
        </w:rPr>
        <w:t>reshaping the entire product</w:t>
      </w:r>
      <w:r>
        <w:rPr>
          <w:sz w:val="24"/>
          <w:szCs w:val="24"/>
        </w:rPr>
        <w:t xml:space="preserve"> portfolio (PortersFiveForce, 2026). Unilever </w:t>
      </w:r>
      <w:r>
        <w:rPr>
          <w:sz w:val="24"/>
          <w:szCs w:val="24"/>
        </w:rPr>
        <w:t>has recently expanded its gross margins to 45% through stringent pricing and productivity gains. Now it</w:t>
      </w:r>
      <w:r>
        <w:rPr>
          <w:sz w:val="24"/>
          <w:szCs w:val="24"/>
        </w:rPr>
        <w:t xml:space="preserve"> must defend its volume </w:t>
      </w:r>
      <w:r>
        <w:rPr>
          <w:sz w:val="24"/>
          <w:szCs w:val="24"/>
        </w:rPr>
        <w:t xml:space="preserve">and </w:t>
      </w:r>
      <w:r>
        <w:rPr>
          <w:sz w:val="24"/>
          <w:szCs w:val="24"/>
        </w:rPr>
        <w:t xml:space="preserve">market share against aggressive private labels; </w:t>
      </w:r>
      <w:r>
        <w:rPr>
          <w:sz w:val="24"/>
          <w:szCs w:val="24"/>
        </w:rPr>
        <w:t xml:space="preserve">that too </w:t>
      </w:r>
      <w:r>
        <w:rPr>
          <w:sz w:val="24"/>
          <w:szCs w:val="24"/>
        </w:rPr>
        <w:t xml:space="preserve">without destructive price wars </w:t>
      </w:r>
      <w:r>
        <w:rPr>
          <w:sz w:val="24"/>
          <w:szCs w:val="24"/>
        </w:rPr>
        <w:t>because</w:t>
      </w:r>
      <w:r>
        <w:rPr>
          <w:sz w:val="24"/>
          <w:szCs w:val="24"/>
        </w:rPr>
        <w:t xml:space="preserve"> that would erode its </w:t>
      </w:r>
      <w:r>
        <w:rPr>
          <w:sz w:val="24"/>
          <w:szCs w:val="24"/>
        </w:rPr>
        <w:t xml:space="preserve">recently </w:t>
      </w:r>
      <w:r>
        <w:rPr>
          <w:sz w:val="24"/>
          <w:szCs w:val="24"/>
        </w:rPr>
        <w:t>recover</w:t>
      </w:r>
      <w:r>
        <w:rPr>
          <w:sz w:val="24"/>
          <w:szCs w:val="24"/>
        </w:rPr>
        <w:t>ed</w:t>
      </w:r>
      <w:r>
        <w:rPr>
          <w:sz w:val="24"/>
          <w:szCs w:val="24"/>
        </w:rPr>
        <w:t xml:space="preserve"> gross margins (James Sharp &amp; Co., 2025).</w:t>
      </w:r>
    </w:p>
    <w:p>
      <w:pPr>
        <w:pStyle w:val="Normal"/>
        <w:spacing w:lineRule="auto" w:line="360" w:before="0" w:after="200"/>
        <w:jc w:val="both"/>
        <w:rPr>
          <w:b/>
          <w:bCs/>
        </w:rPr>
      </w:pPr>
      <w:r>
        <w:rPr>
          <w:b/>
          <w:bCs/>
          <w:sz w:val="24"/>
          <w:szCs w:val="24"/>
        </w:rPr>
        <w:t>Internal Environment: Resources and Capabilities</w:t>
      </w:r>
    </w:p>
    <w:p>
      <w:pPr>
        <w:pStyle w:val="Normal"/>
        <w:spacing w:lineRule="auto" w:line="360" w:before="0" w:after="200"/>
        <w:jc w:val="both"/>
        <w:rPr>
          <w:rFonts w:ascii="Arial" w:hAnsi="Arial"/>
          <w:sz w:val="24"/>
          <w:szCs w:val="24"/>
        </w:rPr>
      </w:pPr>
      <w:r>
        <w:rPr>
          <w:sz w:val="24"/>
          <w:szCs w:val="24"/>
        </w:rPr>
        <w:t>An organisation’s capacity to utilize external opportunities and mitigate threats  is dictated by its internal environment. As per the Resource-Based View of strategy, any organization’s sustained competitive advantage is derived from its internal resources and it’s dynamic capabilities (Barney, 1991). Unilever’s core competencies include :  its global distribution scale, deep research and development (R&amp;D) integration and formidable brand equity.</w:t>
      </w:r>
    </w:p>
    <w:p>
      <w:pPr>
        <w:pStyle w:val="Normal"/>
        <w:spacing w:lineRule="auto" w:line="360" w:before="0" w:after="200"/>
        <w:jc w:val="both"/>
        <w:rPr>
          <w:rFonts w:ascii="Arial" w:hAnsi="Arial"/>
          <w:sz w:val="24"/>
          <w:szCs w:val="24"/>
        </w:rPr>
      </w:pPr>
      <w:r>
        <w:rPr>
          <w:sz w:val="24"/>
          <w:szCs w:val="24"/>
        </w:rPr>
        <w:t xml:space="preserve">The company allocates approximately 2% of its turnover to R&amp;D, </w:t>
      </w:r>
      <w:r>
        <w:rPr>
          <w:sz w:val="24"/>
          <w:szCs w:val="24"/>
        </w:rPr>
        <w:t>primarily</w:t>
      </w:r>
      <w:r>
        <w:rPr>
          <w:sz w:val="24"/>
          <w:szCs w:val="24"/>
        </w:rPr>
        <w:t xml:space="preserve"> in categories like Home Care and Personal Care. </w:t>
      </w:r>
      <w:r>
        <w:rPr>
          <w:sz w:val="24"/>
          <w:szCs w:val="24"/>
        </w:rPr>
        <w:t>This significant investment results in product formulations that are</w:t>
      </w:r>
      <w:r>
        <w:rPr>
          <w:sz w:val="24"/>
          <w:szCs w:val="24"/>
        </w:rPr>
        <w:t xml:space="preserve"> patent-protected (MatrixBCG, 2026; PortersFiveForce, 2026). Unilever derives nearly 60% of its sales from high growth emerging markets, </w:t>
      </w:r>
      <w:r>
        <w:rPr>
          <w:sz w:val="24"/>
          <w:szCs w:val="24"/>
        </w:rPr>
        <w:t>This shows</w:t>
      </w:r>
      <w:r>
        <w:rPr>
          <w:sz w:val="24"/>
          <w:szCs w:val="24"/>
        </w:rPr>
        <w:t xml:space="preserve"> </w:t>
      </w:r>
      <w:r>
        <w:rPr>
          <w:sz w:val="24"/>
          <w:szCs w:val="24"/>
        </w:rPr>
        <w:t>unilever’s</w:t>
      </w:r>
      <w:r>
        <w:rPr>
          <w:sz w:val="24"/>
          <w:szCs w:val="24"/>
        </w:rPr>
        <w:t xml:space="preserve"> extensive distribution capability </w:t>
      </w:r>
      <w:r>
        <w:rPr>
          <w:sz w:val="24"/>
          <w:szCs w:val="24"/>
        </w:rPr>
        <w:t xml:space="preserve">to the </w:t>
      </w:r>
      <w:r>
        <w:rPr>
          <w:sz w:val="24"/>
          <w:szCs w:val="24"/>
        </w:rPr>
        <w:t xml:space="preserve">last-mile. </w:t>
      </w:r>
      <w:r>
        <w:rPr>
          <w:sz w:val="24"/>
          <w:szCs w:val="24"/>
        </w:rPr>
        <w:t xml:space="preserve">As a result, Unilever has </w:t>
      </w:r>
      <w:r>
        <w:rPr>
          <w:sz w:val="24"/>
          <w:szCs w:val="24"/>
        </w:rPr>
        <w:t>a dominant presence in regions like India, Brazil, and Indonesia (MatrixBCG, 2026; PortersFiveForce, 2026).</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b/>
          <w:bCs/>
          <w:sz w:val="24"/>
          <w:szCs w:val="24"/>
        </w:rPr>
      </w:pPr>
      <w:r>
        <w:rPr>
          <w:b/>
          <w:bCs/>
          <w:sz w:val="24"/>
          <w:szCs w:val="24"/>
        </w:rPr>
        <w:t>VRIO Analysis and Competitive Advantage</w:t>
      </w:r>
    </w:p>
    <w:p>
      <w:pPr>
        <w:pStyle w:val="Normal"/>
        <w:spacing w:lineRule="auto" w:line="360" w:before="0" w:after="200"/>
        <w:jc w:val="both"/>
        <w:rPr>
          <w:rFonts w:ascii="Arial" w:hAnsi="Arial"/>
          <w:sz w:val="24"/>
          <w:szCs w:val="24"/>
        </w:rPr>
      </w:pPr>
      <w:r>
        <w:rPr>
          <w:sz w:val="24"/>
          <w:szCs w:val="24"/>
        </w:rPr>
        <w:t>The VRIO framework will help us critically evaluate whether these internal resources provide a temporary or sustained competitive advantage by assessing them through varios parameters. These include whether resources are Valuable, Rare, Inimitable, and Organised (Barney, 1991).</w:t>
      </w:r>
    </w:p>
    <w:p>
      <w:pPr>
        <w:pStyle w:val="Normal"/>
        <w:spacing w:lineRule="auto" w:line="360" w:before="0" w:after="200"/>
        <w:jc w:val="center"/>
        <w:rPr>
          <w:rFonts w:ascii="Arial" w:hAnsi="Arial"/>
          <w:sz w:val="20"/>
          <w:szCs w:val="20"/>
        </w:rPr>
      </w:pPr>
      <w:r>
        <w:drawing>
          <wp:anchor distT="0" distB="0" distL="0" distR="0" simplePos="0" relativeHeight="40" behindDoc="0" locked="0" layoutInCell="0" allowOverlap="1">
            <wp:simplePos x="0" y="0"/>
            <wp:positionH relativeFrom="column">
              <wp:align>center</wp:align>
            </wp:positionH>
            <wp:positionV relativeFrom="paragraph">
              <wp:posOffset>635</wp:posOffset>
            </wp:positionV>
            <wp:extent cx="4817110" cy="2432685"/>
            <wp:effectExtent l="0" t="0" r="0" b="0"/>
            <wp:wrapTopAndBottom/>
            <wp:docPr id="6" name="Imag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0"/>
                    <pic:cNvPicPr>
                      <a:picLocks noChangeAspect="1" noChangeArrowheads="1"/>
                    </pic:cNvPicPr>
                  </pic:nvPicPr>
                  <pic:blipFill>
                    <a:blip r:embed="rId12"/>
                    <a:stretch>
                      <a:fillRect/>
                    </a:stretch>
                  </pic:blipFill>
                  <pic:spPr bwMode="auto">
                    <a:xfrm>
                      <a:off x="0" y="0"/>
                      <a:ext cx="4817110" cy="2432685"/>
                    </a:xfrm>
                    <a:prstGeom prst="rect">
                      <a:avLst/>
                    </a:prstGeom>
                    <a:noFill/>
                  </pic:spPr>
                </pic:pic>
              </a:graphicData>
            </a:graphic>
          </wp:anchor>
        </w:drawing>
      </w:r>
      <w:r>
        <w:rPr>
          <w:sz w:val="20"/>
          <w:szCs w:val="20"/>
        </w:rPr>
        <w:t xml:space="preserve">(Source: </w:t>
      </w:r>
      <w:hyperlink r:id="rId13">
        <w:r>
          <w:rPr>
            <w:rStyle w:val="Hyperlink"/>
            <w:sz w:val="20"/>
            <w:szCs w:val="20"/>
          </w:rPr>
          <w:t>https://www.thestrategyinstitute.org/insights/vrio-framework-unlocking-competitive-edge-for-your-business</w:t>
        </w:r>
      </w:hyperlink>
      <w:r>
        <w:rPr>
          <w:sz w:val="20"/>
          <w:szCs w:val="20"/>
        </w:rPr>
        <w:t xml:space="preserve"> )</w:t>
      </w:r>
    </w:p>
    <w:p>
      <w:pPr>
        <w:pStyle w:val="Normal"/>
        <w:spacing w:lineRule="auto" w:line="360" w:before="0" w:after="200"/>
        <w:jc w:val="center"/>
        <w:rPr>
          <w:rFonts w:ascii="Arial" w:hAnsi="Arial"/>
          <w:sz w:val="20"/>
          <w:szCs w:val="20"/>
        </w:rPr>
      </w:pPr>
      <w:r>
        <w:rPr>
          <w:sz w:val="20"/>
          <w:szCs w:val="20"/>
        </w:rPr>
      </w:r>
    </w:p>
    <w:p>
      <w:pPr>
        <w:pStyle w:val="Normal"/>
        <w:spacing w:lineRule="auto" w:line="360" w:before="0" w:after="200"/>
        <w:jc w:val="both"/>
        <w:rPr>
          <w:rFonts w:ascii="Arial" w:hAnsi="Arial"/>
          <w:sz w:val="24"/>
          <w:szCs w:val="24"/>
        </w:rPr>
      </w:pPr>
      <w:r>
        <w:rPr>
          <w:b/>
          <w:bCs/>
          <w:sz w:val="24"/>
          <w:szCs w:val="24"/>
        </w:rPr>
        <w:t>Valuable:</w:t>
      </w:r>
      <w:r>
        <w:rPr>
          <w:sz w:val="24"/>
          <w:szCs w:val="24"/>
        </w:rPr>
        <w:t xml:space="preserve"> Unilever’s scale and centralized procurement are highly valuable. By leveraging its €60 billion turnover size, the Unilever can negotiate favourable terms with suppliers to lower its unit costs and protect its margins during tuff times like inflationary periods or pricewars (MatrixBCG, 2026). However, its primary competitors like Nestlé and P&amp;G also have this advantage. So, scale alone is not rare, meaning this resource primarily provides competitive parity.</w:t>
      </w:r>
    </w:p>
    <w:p>
      <w:pPr>
        <w:pStyle w:val="Normal"/>
        <w:spacing w:lineRule="auto" w:line="360" w:before="0" w:after="200"/>
        <w:jc w:val="both"/>
        <w:rPr>
          <w:rFonts w:ascii="Arial" w:hAnsi="Arial"/>
          <w:sz w:val="24"/>
          <w:szCs w:val="24"/>
        </w:rPr>
      </w:pPr>
      <w:r>
        <w:rPr>
          <w:b/>
          <w:bCs/>
          <w:sz w:val="24"/>
          <w:szCs w:val="24"/>
        </w:rPr>
        <w:t>Rare:</w:t>
      </w:r>
      <w:r>
        <w:rPr>
          <w:sz w:val="24"/>
          <w:szCs w:val="24"/>
        </w:rPr>
        <w:t xml:space="preserve"> Unilever has established a deeply integrated local distribution networks and supply chains across the globe. Unilever’s deep penetration into emerging market supply chains is a rare capability. Unilever’s historic footprint and deeply integrated networks</w:t>
      </w:r>
      <w:r>
        <w:rPr>
          <w:sz w:val="24"/>
          <w:szCs w:val="24"/>
        </w:rPr>
        <w:t>(in regions like South Asia)</w:t>
      </w:r>
      <w:r>
        <w:rPr>
          <w:sz w:val="24"/>
          <w:szCs w:val="24"/>
        </w:rPr>
        <w:t xml:space="preserve"> are incredibly difficult to establish </w:t>
      </w:r>
      <w:r>
        <w:rPr>
          <w:sz w:val="24"/>
          <w:szCs w:val="24"/>
        </w:rPr>
        <w:t xml:space="preserve">for its competitors </w:t>
      </w:r>
      <w:r>
        <w:rPr>
          <w:sz w:val="24"/>
          <w:szCs w:val="24"/>
        </w:rPr>
        <w:t>(MatrixBCG, 2026; PortersFiveForce, 2026).</w:t>
      </w:r>
    </w:p>
    <w:p>
      <w:pPr>
        <w:pStyle w:val="Normal"/>
        <w:spacing w:lineRule="auto" w:line="360" w:before="0" w:after="200"/>
        <w:jc w:val="both"/>
        <w:rPr>
          <w:rFonts w:ascii="Arial" w:hAnsi="Arial"/>
          <w:sz w:val="24"/>
          <w:szCs w:val="24"/>
        </w:rPr>
      </w:pPr>
      <w:r>
        <w:rPr>
          <w:b/>
          <w:bCs/>
          <w:sz w:val="24"/>
          <w:szCs w:val="24"/>
        </w:rPr>
        <w:t>Inimitable (Costly to Imitate):</w:t>
      </w:r>
      <w:r>
        <w:rPr>
          <w:sz w:val="24"/>
          <w:szCs w:val="24"/>
        </w:rPr>
        <w:t xml:space="preserve"> </w:t>
      </w:r>
      <w:r>
        <w:rPr>
          <w:sz w:val="24"/>
          <w:szCs w:val="24"/>
        </w:rPr>
        <w:t xml:space="preserve">Brand equity is </w:t>
      </w:r>
      <w:r>
        <w:rPr>
          <w:sz w:val="24"/>
          <w:szCs w:val="24"/>
        </w:rPr>
        <w:t xml:space="preserve">Unilever’s </w:t>
      </w:r>
      <w:r>
        <w:rPr>
          <w:sz w:val="24"/>
          <w:szCs w:val="24"/>
        </w:rPr>
        <w:t xml:space="preserve">most robust </w:t>
      </w:r>
      <w:r>
        <w:rPr>
          <w:sz w:val="24"/>
          <w:szCs w:val="24"/>
        </w:rPr>
        <w:t>competitive advantage. The company monetises 30 Power Brands (including Dove, Vaseline, and Rexona) which generate roughly 75% of its total turnover (MatrixBCG, 2026). Unilever has built this trust with consumers and loyalty for these heritage brands over decades.  While a competitor can easily replicate the chemical formulation of a bar of soap, they cannot easily or cheaply imitate the psychological equity of the Dove brand.</w:t>
      </w:r>
    </w:p>
    <w:p>
      <w:pPr>
        <w:pStyle w:val="Normal"/>
        <w:spacing w:lineRule="auto" w:line="360" w:before="0" w:after="200"/>
        <w:jc w:val="center"/>
        <w:rPr>
          <w:rFonts w:ascii="Arial" w:hAnsi="Arial"/>
          <w:sz w:val="20"/>
          <w:szCs w:val="20"/>
        </w:rPr>
      </w:pPr>
      <w:r>
        <w:drawing>
          <wp:anchor distT="0" distB="0" distL="0" distR="0" simplePos="0" relativeHeight="44" behindDoc="0" locked="0" layoutInCell="0" allowOverlap="1">
            <wp:simplePos x="0" y="0"/>
            <wp:positionH relativeFrom="column">
              <wp:align>center</wp:align>
            </wp:positionH>
            <wp:positionV relativeFrom="paragraph">
              <wp:posOffset>635</wp:posOffset>
            </wp:positionV>
            <wp:extent cx="3966845" cy="2783205"/>
            <wp:effectExtent l="0" t="0" r="0" b="0"/>
            <wp:wrapTopAndBottom/>
            <wp:docPr id="7" name="Image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14"/>
                    <pic:cNvPicPr>
                      <a:picLocks noChangeAspect="1" noChangeArrowheads="1"/>
                    </pic:cNvPicPr>
                  </pic:nvPicPr>
                  <pic:blipFill>
                    <a:blip r:embed="rId14"/>
                    <a:stretch>
                      <a:fillRect/>
                    </a:stretch>
                  </pic:blipFill>
                  <pic:spPr bwMode="auto">
                    <a:xfrm>
                      <a:off x="0" y="0"/>
                      <a:ext cx="3966845" cy="2783205"/>
                    </a:xfrm>
                    <a:prstGeom prst="rect">
                      <a:avLst/>
                    </a:prstGeom>
                    <a:noFill/>
                  </pic:spPr>
                </pic:pic>
              </a:graphicData>
            </a:graphic>
          </wp:anchor>
        </w:drawing>
      </w:r>
      <w:r>
        <w:rPr>
          <w:sz w:val="20"/>
          <w:szCs w:val="20"/>
        </w:rPr>
        <w:t xml:space="preserve">(Source: </w:t>
      </w:r>
      <w:hyperlink r:id="rId15">
        <w:r>
          <w:rPr>
            <w:rStyle w:val="Hyperlink"/>
            <w:sz w:val="20"/>
            <w:szCs w:val="20"/>
          </w:rPr>
          <w:t>https://www.unilever.com/files/unilever-annual-report-and-accounts-2025.pdf</w:t>
        </w:r>
      </w:hyperlink>
      <w:r>
        <w:rPr>
          <w:sz w:val="20"/>
          <w:szCs w:val="20"/>
        </w:rPr>
        <w:t xml:space="preserve"> )</w:t>
      </w:r>
    </w:p>
    <w:p>
      <w:pPr>
        <w:pStyle w:val="Normal"/>
        <w:spacing w:lineRule="auto" w:line="360" w:before="0" w:after="200"/>
        <w:jc w:val="center"/>
        <w:rPr>
          <w:rFonts w:ascii="Arial" w:hAnsi="Arial"/>
          <w:sz w:val="20"/>
          <w:szCs w:val="20"/>
        </w:rPr>
      </w:pPr>
      <w:r>
        <w:rPr>
          <w:sz w:val="20"/>
          <w:szCs w:val="20"/>
        </w:rPr>
      </w:r>
    </w:p>
    <w:p>
      <w:pPr>
        <w:pStyle w:val="Normal"/>
        <w:spacing w:lineRule="auto" w:line="360" w:before="0" w:after="200"/>
        <w:jc w:val="both"/>
        <w:rPr>
          <w:rFonts w:ascii="Arial" w:hAnsi="Arial"/>
          <w:sz w:val="24"/>
          <w:szCs w:val="24"/>
        </w:rPr>
      </w:pPr>
      <w:r>
        <w:rPr>
          <w:b/>
          <w:bCs/>
          <w:sz w:val="24"/>
          <w:szCs w:val="24"/>
        </w:rPr>
        <w:t>Organised to Capture Value:</w:t>
      </w:r>
      <w:r>
        <w:rPr>
          <w:sz w:val="24"/>
          <w:szCs w:val="24"/>
        </w:rPr>
        <w:t xml:space="preserve"> A brand has to be structurally organised to translate available resources into a competitive advantage (Barney, 1991). Historically, Unilever struggled here because of its bloated matrix structure. Which has changed under its "Growth Action Plan 2024/2025", the company has radically reorganised. It is executing an €800 million productivity programme, creating a leaner and more accountable operation by cutting 7,500 primarily office-based roles and dividing into five highly focused Business Groups (James Sharp &amp; Co., 2025). The firm is focusing on reallocating its capital to high-growth, high-margin categories like Prestige Beauty and Health &amp; Wellbeing through the strategic divestment of its capital-intensive Ice Cream division (MatrixBCG, 2026).</w:t>
      </w:r>
    </w:p>
    <w:p>
      <w:pPr>
        <w:pStyle w:val="Normal"/>
        <w:spacing w:lineRule="auto" w:line="360" w:before="0" w:after="200"/>
        <w:jc w:val="center"/>
        <w:rPr>
          <w:rFonts w:ascii="Arial" w:hAnsi="Arial"/>
          <w:sz w:val="24"/>
          <w:szCs w:val="24"/>
        </w:rPr>
      </w:pPr>
      <w:r>
        <w:drawing>
          <wp:anchor distT="0" distB="0" distL="0" distR="0" simplePos="0" relativeHeight="43" behindDoc="0" locked="0" layoutInCell="0" allowOverlap="1">
            <wp:simplePos x="0" y="0"/>
            <wp:positionH relativeFrom="column">
              <wp:align>center</wp:align>
            </wp:positionH>
            <wp:positionV relativeFrom="paragraph">
              <wp:posOffset>635</wp:posOffset>
            </wp:positionV>
            <wp:extent cx="4274185" cy="2469515"/>
            <wp:effectExtent l="0" t="0" r="0" b="0"/>
            <wp:wrapTopAndBottom/>
            <wp:docPr id="8" name="Image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3"/>
                    <pic:cNvPicPr>
                      <a:picLocks noChangeAspect="1" noChangeArrowheads="1"/>
                    </pic:cNvPicPr>
                  </pic:nvPicPr>
                  <pic:blipFill>
                    <a:blip r:embed="rId16"/>
                    <a:stretch>
                      <a:fillRect/>
                    </a:stretch>
                  </pic:blipFill>
                  <pic:spPr bwMode="auto">
                    <a:xfrm>
                      <a:off x="0" y="0"/>
                      <a:ext cx="4274185" cy="2469515"/>
                    </a:xfrm>
                    <a:prstGeom prst="rect">
                      <a:avLst/>
                    </a:prstGeom>
                    <a:noFill/>
                  </pic:spPr>
                </pic:pic>
              </a:graphicData>
            </a:graphic>
          </wp:anchor>
        </w:drawing>
      </w:r>
      <w:r>
        <w:rPr>
          <w:sz w:val="20"/>
          <w:szCs w:val="20"/>
        </w:rPr>
        <w:t xml:space="preserve">(Source: </w:t>
      </w:r>
      <w:hyperlink r:id="rId17">
        <w:r>
          <w:rPr>
            <w:rStyle w:val="Hyperlink"/>
            <w:sz w:val="20"/>
            <w:szCs w:val="20"/>
          </w:rPr>
          <w:t>https://www.unilever.com/files/unilever-annual-report-and-accounts-2025.pdf</w:t>
        </w:r>
      </w:hyperlink>
      <w:r>
        <w:rPr>
          <w:sz w:val="20"/>
          <w:szCs w:val="20"/>
        </w:rPr>
        <w:t xml:space="preserve"> )</w:t>
      </w:r>
    </w:p>
    <w:p>
      <w:pPr>
        <w:pStyle w:val="Normal"/>
        <w:spacing w:lineRule="auto" w:line="360" w:before="0" w:after="200"/>
        <w:jc w:val="both"/>
        <w:rPr>
          <w:rFonts w:ascii="Arial" w:hAnsi="Arial"/>
          <w:b/>
          <w:bCs/>
          <w:sz w:val="24"/>
          <w:szCs w:val="24"/>
        </w:rPr>
      </w:pPr>
      <w:r>
        <w:rPr>
          <w:b/>
          <w:bCs/>
          <w:sz w:val="24"/>
          <w:szCs w:val="24"/>
        </w:rPr>
      </w:r>
    </w:p>
    <w:p>
      <w:pPr>
        <w:pStyle w:val="Normal"/>
        <w:spacing w:lineRule="auto" w:line="360" w:before="0" w:after="200"/>
        <w:jc w:val="both"/>
        <w:rPr>
          <w:rFonts w:ascii="Arial" w:hAnsi="Arial"/>
          <w:b/>
          <w:bCs/>
          <w:sz w:val="24"/>
          <w:szCs w:val="24"/>
        </w:rPr>
      </w:pPr>
      <w:r>
        <w:rPr>
          <w:b/>
          <w:bCs/>
          <w:sz w:val="24"/>
          <w:szCs w:val="24"/>
        </w:rPr>
        <w:t>3. CSR and Sustainability Objectives</w:t>
      </w:r>
    </w:p>
    <w:p>
      <w:pPr>
        <w:pStyle w:val="Normal"/>
        <w:spacing w:lineRule="auto" w:line="360" w:before="0" w:after="200"/>
        <w:jc w:val="both"/>
        <w:rPr>
          <w:rFonts w:ascii="Arial" w:hAnsi="Arial"/>
          <w:b/>
          <w:bCs/>
          <w:sz w:val="24"/>
          <w:szCs w:val="24"/>
        </w:rPr>
      </w:pPr>
      <w:r>
        <w:rPr>
          <w:b/>
          <w:bCs/>
          <w:sz w:val="24"/>
          <w:szCs w:val="24"/>
        </w:rPr>
        <w:t>Critical Evaluation of CSR Strategy and Business Alignment</w:t>
      </w:r>
    </w:p>
    <w:p>
      <w:pPr>
        <w:pStyle w:val="Normal"/>
        <w:spacing w:lineRule="auto" w:line="360" w:before="0" w:after="200"/>
        <w:jc w:val="both"/>
        <w:rPr>
          <w:rFonts w:ascii="Arial" w:hAnsi="Arial"/>
          <w:sz w:val="24"/>
          <w:szCs w:val="24"/>
        </w:rPr>
      </w:pPr>
      <w:r>
        <w:rPr>
          <w:sz w:val="24"/>
          <w:szCs w:val="24"/>
        </w:rPr>
        <w:t>Corporate Social Responsibility (CSR) is no longer just a philanthropic activity;  and aligning CSR with core business objectives requires acute strategic balance. Unilever has historically believed in creating shared value. According to Porter and Kramer’s (2011), sustainable competitive advantage is achieved when a firm generates economic value in a way that simultaneously produces value for society. Historically, Unilever pioneered this approach, deeply embedding environmental and social metrics into its corporate DNA through its renowned 'Sustainable Living Plan' (Unilever, 2024).</w:t>
      </w:r>
    </w:p>
    <w:p>
      <w:pPr>
        <w:pStyle w:val="Normal"/>
        <w:spacing w:lineRule="auto" w:line="360" w:before="0" w:after="200"/>
        <w:jc w:val="center"/>
        <w:rPr>
          <w:sz w:val="24"/>
          <w:szCs w:val="24"/>
        </w:rPr>
      </w:pPr>
      <w:r>
        <w:drawing>
          <wp:anchor distT="0" distB="0" distL="0" distR="0" simplePos="0" relativeHeight="39" behindDoc="0" locked="0" layoutInCell="0" allowOverlap="1">
            <wp:simplePos x="0" y="0"/>
            <wp:positionH relativeFrom="column">
              <wp:align>center</wp:align>
            </wp:positionH>
            <wp:positionV relativeFrom="paragraph">
              <wp:posOffset>635</wp:posOffset>
            </wp:positionV>
            <wp:extent cx="5731510" cy="3212465"/>
            <wp:effectExtent l="0" t="0" r="0" b="0"/>
            <wp:wrapTopAndBottom/>
            <wp:docPr id="9" name="Imag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9"/>
                    <pic:cNvPicPr>
                      <a:picLocks noChangeAspect="1" noChangeArrowheads="1"/>
                    </pic:cNvPicPr>
                  </pic:nvPicPr>
                  <pic:blipFill>
                    <a:blip r:embed="rId18"/>
                    <a:stretch>
                      <a:fillRect/>
                    </a:stretch>
                  </pic:blipFill>
                  <pic:spPr bwMode="auto">
                    <a:xfrm>
                      <a:off x="0" y="0"/>
                      <a:ext cx="5731510" cy="3212465"/>
                    </a:xfrm>
                    <a:prstGeom prst="rect">
                      <a:avLst/>
                    </a:prstGeom>
                    <a:noFill/>
                  </pic:spPr>
                </pic:pic>
              </a:graphicData>
            </a:graphic>
          </wp:anchor>
        </w:drawing>
      </w:r>
      <w:r>
        <w:rPr>
          <w:sz w:val="20"/>
          <w:szCs w:val="20"/>
        </w:rPr>
        <w:t xml:space="preserve">(Source: </w:t>
      </w:r>
      <w:hyperlink r:id="rId19">
        <w:r>
          <w:rPr>
            <w:rStyle w:val="Hyperlink"/>
            <w:sz w:val="20"/>
            <w:szCs w:val="20"/>
          </w:rPr>
          <w:t>https://socialnomics.net/2023/02/07/csr-meaning-all-you-need-to-know/</w:t>
        </w:r>
      </w:hyperlink>
      <w:r>
        <w:rPr>
          <w:sz w:val="20"/>
          <w:szCs w:val="20"/>
        </w:rPr>
        <w:t>)</w:t>
      </w:r>
    </w:p>
    <w:p>
      <w:pPr>
        <w:pStyle w:val="Normal"/>
        <w:spacing w:lineRule="auto" w:line="360" w:before="0" w:after="200"/>
        <w:jc w:val="both"/>
        <w:rPr>
          <w:rFonts w:ascii="Arial" w:hAnsi="Arial"/>
          <w:sz w:val="24"/>
          <w:szCs w:val="24"/>
        </w:rPr>
      </w:pPr>
      <w:r>
        <w:rPr>
          <w:sz w:val="24"/>
          <w:szCs w:val="24"/>
        </w:rPr>
        <w:t>Unilever recently faced a critical inflection point when Prior leadership attempted to enforce an abstract "brand purpose" upon every single product within the portfolio. This provoked severe backlash from institutional investors, who argued that manufacturing a social purpose for utilitarian products obscured fundamental financial performance and operational execution (Financial Times, 2022). Analysed through the lens of Stakeholder Theory (Freeman, 1984), this illustrated a critical strategic misalignment: prioritising abstract social narratives temporarily alienated primary financial stakeholders during a period of severe inflationary pressure.</w:t>
      </w:r>
    </w:p>
    <w:p>
      <w:pPr>
        <w:pStyle w:val="Normal"/>
        <w:spacing w:lineRule="auto" w:line="360" w:before="0" w:after="200"/>
        <w:jc w:val="both"/>
        <w:rPr>
          <w:rFonts w:ascii="Arial" w:hAnsi="Arial"/>
          <w:sz w:val="24"/>
          <w:szCs w:val="24"/>
        </w:rPr>
      </w:pPr>
      <w:r>
        <w:rPr>
          <w:sz w:val="24"/>
          <w:szCs w:val="24"/>
        </w:rPr>
        <w:t>Consequently, under its 2024 strategic reset, Unilever has radically realigned its CSR strategy to be highly functional and synergistic with bottom-line business objectives. The organisation has pivoted away from broad marketing purposes and narrowed its sustainability focus to pragmatic, measurable pillars: climate, nature, plastics, and livelihoods (Unilever, 2024; Reuters, 2024). By investing capital strictly into supply chain decarbonisation, agricultural resilience, and plastic reduction, Unilever is not merely engaging in ethical CSR; it is actively mitigating future regulatory taxation and raw material scarcity. This strategic correction successfully reunites CSR with core commercial objectives, ensuring that sustainability initiatives directly contribute to long-term margin resilience and risk mitigation, rather than distracting from financial execution.</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b/>
          <w:bCs/>
          <w:sz w:val="24"/>
          <w:szCs w:val="24"/>
        </w:rPr>
      </w:pPr>
      <w:r>
        <w:rPr>
          <w:b/>
          <w:bCs/>
          <w:sz w:val="24"/>
          <w:szCs w:val="24"/>
        </w:rPr>
        <w:t>4. Comprehensive View via Balanced Scorecard</w:t>
      </w:r>
    </w:p>
    <w:p>
      <w:pPr>
        <w:pStyle w:val="Normal"/>
        <w:spacing w:lineRule="auto" w:line="360" w:before="0" w:after="200"/>
        <w:jc w:val="both"/>
        <w:rPr>
          <w:rFonts w:ascii="Arial" w:hAnsi="Arial"/>
          <w:b/>
          <w:bCs/>
          <w:sz w:val="24"/>
          <w:szCs w:val="24"/>
        </w:rPr>
      </w:pPr>
      <w:r>
        <w:rPr>
          <w:b/>
          <w:bCs/>
          <w:sz w:val="24"/>
          <w:szCs w:val="24"/>
        </w:rPr>
        <w:t>Strategic Alignment through the Balanced Scorecard</w:t>
      </w:r>
    </w:p>
    <w:p>
      <w:pPr>
        <w:pStyle w:val="Normal"/>
        <w:spacing w:lineRule="auto" w:line="360" w:before="0" w:after="200"/>
        <w:jc w:val="both"/>
        <w:rPr>
          <w:rFonts w:ascii="Arial" w:hAnsi="Arial"/>
          <w:sz w:val="24"/>
          <w:szCs w:val="24"/>
        </w:rPr>
      </w:pPr>
      <w:r>
        <w:rPr>
          <w:sz w:val="24"/>
          <w:szCs w:val="24"/>
        </w:rPr>
        <w:t>To execute a complex turnaround strategy, an organisation must translate its high-level vision into actionable, measurable operational metrics. The Balanced Scorecard (BSC) developed by Kaplan and Norton (1992), provides a comprehensive framework that prevents executives from over-indexing on lagging financial indicators by balancing them with leading operational drivers. For Unilever, successfully implementing its 2024–2025 "Growth Action Plan" (GAP) requires a rigorous application of the BSC across its four core perspectives: Financial, Customer, Internal Business Processes, and Learning and Growth (Unilever, 2024).</w:t>
      </w:r>
    </w:p>
    <w:p>
      <w:pPr>
        <w:pStyle w:val="Normal"/>
        <w:spacing w:lineRule="auto" w:line="360" w:before="0" w:after="200"/>
        <w:jc w:val="center"/>
        <w:rPr>
          <w:sz w:val="20"/>
          <w:szCs w:val="20"/>
        </w:rPr>
      </w:pPr>
      <w:r>
        <w:drawing>
          <wp:anchor distT="0" distB="0" distL="0" distR="0" simplePos="0" relativeHeight="38" behindDoc="0" locked="0" layoutInCell="0" allowOverlap="1">
            <wp:simplePos x="0" y="0"/>
            <wp:positionH relativeFrom="column">
              <wp:align>center</wp:align>
            </wp:positionH>
            <wp:positionV relativeFrom="paragraph">
              <wp:posOffset>635</wp:posOffset>
            </wp:positionV>
            <wp:extent cx="5151755" cy="3363595"/>
            <wp:effectExtent l="0" t="0" r="0" b="0"/>
            <wp:wrapTopAndBottom/>
            <wp:docPr id="10" name="Imag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8"/>
                    <pic:cNvPicPr>
                      <a:picLocks noChangeAspect="1" noChangeArrowheads="1"/>
                    </pic:cNvPicPr>
                  </pic:nvPicPr>
                  <pic:blipFill>
                    <a:blip r:embed="rId20"/>
                    <a:stretch>
                      <a:fillRect/>
                    </a:stretch>
                  </pic:blipFill>
                  <pic:spPr bwMode="auto">
                    <a:xfrm>
                      <a:off x="0" y="0"/>
                      <a:ext cx="5151755" cy="3363595"/>
                    </a:xfrm>
                    <a:prstGeom prst="rect">
                      <a:avLst/>
                    </a:prstGeom>
                    <a:noFill/>
                  </pic:spPr>
                </pic:pic>
              </a:graphicData>
            </a:graphic>
          </wp:anchor>
        </w:drawing>
      </w:r>
      <w:r>
        <w:rPr>
          <w:sz w:val="20"/>
          <w:szCs w:val="20"/>
        </w:rPr>
        <w:t xml:space="preserve">(Source: </w:t>
      </w:r>
      <w:r>
        <w:rPr>
          <w:rStyle w:val="Hyperlink"/>
          <w:sz w:val="20"/>
          <w:szCs w:val="20"/>
        </w:rPr>
        <w:t>https://www.researchgate.net/figure/Balanced-Scorecard-Theoretical-Model-Source-Adapted-from-Kaplan-and-Norton-1992-71_fig1_325481090</w:t>
      </w:r>
      <w:r>
        <w:rPr>
          <w:sz w:val="20"/>
          <w:szCs w:val="20"/>
        </w:rPr>
        <w:t>)</w:t>
      </w:r>
    </w:p>
    <w:p>
      <w:pPr>
        <w:pStyle w:val="Normal"/>
        <w:spacing w:lineRule="auto" w:line="360" w:before="0" w:after="200"/>
        <w:jc w:val="both"/>
        <w:rPr>
          <w:rFonts w:ascii="Arial" w:hAnsi="Arial"/>
          <w:b/>
          <w:bCs/>
          <w:sz w:val="24"/>
          <w:szCs w:val="24"/>
        </w:rPr>
      </w:pPr>
      <w:r>
        <w:rPr>
          <w:b/>
          <w:bCs/>
          <w:sz w:val="24"/>
          <w:szCs w:val="24"/>
        </w:rPr>
      </w:r>
    </w:p>
    <w:p>
      <w:pPr>
        <w:pStyle w:val="Normal"/>
        <w:spacing w:lineRule="auto" w:line="360" w:before="0" w:after="200"/>
        <w:jc w:val="both"/>
        <w:rPr>
          <w:rFonts w:ascii="Arial" w:hAnsi="Arial"/>
          <w:b/>
          <w:bCs/>
          <w:sz w:val="24"/>
          <w:szCs w:val="24"/>
        </w:rPr>
      </w:pPr>
      <w:r>
        <w:rPr>
          <w:b/>
          <w:bCs/>
          <w:sz w:val="24"/>
          <w:szCs w:val="24"/>
        </w:rPr>
        <w:t>1. Financial Perspective</w:t>
      </w:r>
    </w:p>
    <w:p>
      <w:pPr>
        <w:pStyle w:val="Normal"/>
        <w:spacing w:lineRule="auto" w:line="360" w:before="0" w:after="200"/>
        <w:jc w:val="both"/>
        <w:rPr>
          <w:rFonts w:ascii="Arial" w:hAnsi="Arial"/>
          <w:sz w:val="24"/>
          <w:szCs w:val="24"/>
        </w:rPr>
      </w:pPr>
      <w:r>
        <w:rPr>
          <w:sz w:val="24"/>
          <w:szCs w:val="24"/>
        </w:rPr>
        <w:t>The financial perspective dictates the ultimate economic outcomes required by shareholders. Financially, Unilever under its current leadership aims to reverse recent volume declines and achieve aggressive margin expansion (James Sharp &amp; Co., 2025). The critical Key Performance Indicators (KPIs) are Underlying Sales Growth (USG) of 3–5% and expanding Underlying Operating Margin (UOM) to a sustained 16–17% (Reuters, 2024). The most significant initiative driving this change is the corporate divestment of the €7.9 billion from its Ice Cream division (MatrixBCG, 2026). This is because the frozen supply chain is highly capital-intensive and this move immediately reduces if not eliminates a structural drag on the group's overall operating margin and relieves immense capital to fund higher-return divisions.</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b/>
          <w:bCs/>
          <w:sz w:val="24"/>
          <w:szCs w:val="24"/>
        </w:rPr>
      </w:pPr>
      <w:r>
        <w:rPr>
          <w:b/>
          <w:bCs/>
          <w:sz w:val="24"/>
          <w:szCs w:val="24"/>
        </w:rPr>
        <w:t>2. Customer Perspective</w:t>
      </w:r>
    </w:p>
    <w:p>
      <w:pPr>
        <w:pStyle w:val="Normal"/>
        <w:spacing w:lineRule="auto" w:line="360" w:before="0" w:after="200"/>
        <w:jc w:val="both"/>
        <w:rPr>
          <w:rFonts w:ascii="Arial" w:hAnsi="Arial"/>
          <w:sz w:val="24"/>
          <w:szCs w:val="24"/>
        </w:rPr>
      </w:pPr>
      <w:r>
        <w:rPr>
          <w:sz w:val="24"/>
          <w:szCs w:val="24"/>
        </w:rPr>
        <w:t>Financial success is impossible without delivering superior customer value. Unilever is loosing customer base to cheaper private labels of supermarket brands, this is because of macroeconomic factors like cost of living crisis and unemployment. Unilever’s primary customer objective is to combat this threat by re-establishing ‘unmissable brand superiority’ (Unilever, 2024). Unilever management is targeting 12-month rolling KPI of Business Winning Market Share (BWMS) consistently above 50% (James Sharp &amp; Co., 2025). The core idea is to reallocate the disinvestment capital saved from icecream into targeted advertising and promotional investments for their top 30 power brands. This will ensure that perceiveed value of those brands justify a premium price point, which is higher than cheaper private labels (Marketing Week, 2024).</w:t>
      </w:r>
    </w:p>
    <w:p>
      <w:pPr>
        <w:pStyle w:val="Normal"/>
        <w:spacing w:lineRule="auto" w:line="360" w:before="0" w:after="200"/>
        <w:jc w:val="center"/>
        <w:rPr>
          <w:rFonts w:ascii="Arial" w:hAnsi="Arial"/>
          <w:sz w:val="24"/>
          <w:szCs w:val="24"/>
        </w:rPr>
      </w:pPr>
      <w:r>
        <w:drawing>
          <wp:anchor distT="0" distB="0" distL="0" distR="0" simplePos="0" relativeHeight="42" behindDoc="0" locked="0" layoutInCell="0" allowOverlap="1">
            <wp:simplePos x="0" y="0"/>
            <wp:positionH relativeFrom="column">
              <wp:align>center</wp:align>
            </wp:positionH>
            <wp:positionV relativeFrom="paragraph">
              <wp:posOffset>635</wp:posOffset>
            </wp:positionV>
            <wp:extent cx="4232275" cy="2676525"/>
            <wp:effectExtent l="0" t="0" r="0" b="0"/>
            <wp:wrapTopAndBottom/>
            <wp:docPr id="11" nam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6"/>
                    <pic:cNvPicPr>
                      <a:picLocks noChangeAspect="1" noChangeArrowheads="1"/>
                    </pic:cNvPicPr>
                  </pic:nvPicPr>
                  <pic:blipFill>
                    <a:blip r:embed="rId21"/>
                    <a:stretch>
                      <a:fillRect/>
                    </a:stretch>
                  </pic:blipFill>
                  <pic:spPr bwMode="auto">
                    <a:xfrm>
                      <a:off x="0" y="0"/>
                      <a:ext cx="4232275" cy="2676525"/>
                    </a:xfrm>
                    <a:prstGeom prst="rect">
                      <a:avLst/>
                    </a:prstGeom>
                    <a:noFill/>
                  </pic:spPr>
                </pic:pic>
              </a:graphicData>
            </a:graphic>
          </wp:anchor>
        </w:drawing>
      </w:r>
      <w:r>
        <w:rPr>
          <w:sz w:val="20"/>
          <w:szCs w:val="20"/>
        </w:rPr>
        <w:t xml:space="preserve">(Source: </w:t>
      </w:r>
      <w:hyperlink r:id="rId22">
        <w:r>
          <w:rPr>
            <w:rStyle w:val="Hyperlink"/>
            <w:sz w:val="20"/>
            <w:szCs w:val="20"/>
          </w:rPr>
          <w:t>https://portersfiveforce.com/blogs/how-it-works/unilever</w:t>
        </w:r>
      </w:hyperlink>
      <w:r>
        <w:rPr>
          <w:sz w:val="20"/>
          <w:szCs w:val="20"/>
        </w:rPr>
        <w:t>)</w:t>
      </w:r>
    </w:p>
    <w:p>
      <w:pPr>
        <w:pStyle w:val="Normal"/>
        <w:spacing w:lineRule="auto" w:line="360" w:before="0" w:after="200"/>
        <w:jc w:val="both"/>
        <w:rPr>
          <w:rFonts w:ascii="Arial" w:hAnsi="Arial"/>
          <w:b/>
          <w:bCs/>
          <w:sz w:val="24"/>
          <w:szCs w:val="24"/>
        </w:rPr>
      </w:pPr>
      <w:r>
        <w:rPr>
          <w:b/>
          <w:bCs/>
          <w:sz w:val="24"/>
          <w:szCs w:val="24"/>
        </w:rPr>
        <w:t>3. Internal Business Processes Perspective</w:t>
      </w:r>
    </w:p>
    <w:p>
      <w:pPr>
        <w:pStyle w:val="Normal"/>
        <w:spacing w:lineRule="auto" w:line="360" w:before="0" w:after="200"/>
        <w:jc w:val="both"/>
        <w:rPr>
          <w:rFonts w:ascii="Arial" w:hAnsi="Arial"/>
          <w:sz w:val="24"/>
          <w:szCs w:val="24"/>
        </w:rPr>
      </w:pPr>
      <w:r>
        <w:rPr>
          <w:sz w:val="24"/>
          <w:szCs w:val="24"/>
        </w:rPr>
        <w:t>Unilever’s iternal processes must be exceptionally agile to deliver this customer value. Unilever is radically simplifying its portfolio to eliminate bureaucratic complexity and accelerate speed to market. The core KPIs are the reduction in total Stock Keeping Units (SKUs) and the measurement of gross productivity savings. The company has set an aggressive target to deliver €800 million in gross productivity savings by 2025 and to achieve this, it will actively cull 20% of underperforming, localised SKUs (Reuters, 2024). To achieve these abitious goals, the organization is transitioning from a complex global matrix to a five distinct and highly accountable business groups, supported by the AI driven supply chain and forecasting optimizations to reduce manufacturing waste and optimise the inventory (MatrixBCG, 2026).</w:t>
      </w:r>
    </w:p>
    <w:p>
      <w:pPr>
        <w:pStyle w:val="Normal"/>
        <w:spacing w:lineRule="auto" w:line="360" w:before="0" w:after="200"/>
        <w:jc w:val="both"/>
        <w:rPr>
          <w:rFonts w:ascii="Arial" w:hAnsi="Arial"/>
          <w:b/>
          <w:bCs/>
          <w:sz w:val="24"/>
          <w:szCs w:val="24"/>
        </w:rPr>
      </w:pPr>
      <w:r>
        <w:rPr>
          <w:b/>
          <w:bCs/>
          <w:sz w:val="24"/>
          <w:szCs w:val="24"/>
        </w:rPr>
        <w:t>4. Learning and Growth Perspective</w:t>
      </w:r>
    </w:p>
    <w:p>
      <w:pPr>
        <w:pStyle w:val="Normal"/>
        <w:spacing w:lineRule="auto" w:line="360" w:before="0" w:after="200"/>
        <w:jc w:val="both"/>
        <w:rPr>
          <w:rFonts w:ascii="Arial" w:hAnsi="Arial"/>
          <w:sz w:val="24"/>
          <w:szCs w:val="24"/>
        </w:rPr>
      </w:pPr>
      <w:r>
        <w:rPr>
          <w:sz w:val="24"/>
          <w:szCs w:val="24"/>
        </w:rPr>
        <w:t>Human capital is the foundation of the entire organisation. Unilever’s learning and growth objective is to remove the complacent culture responsible for recent stagnation and embed a highly accountable, performance-driven culture (The Guardian, 2024). The primary KPIs are the successful transition metrics of the GAP restructuring and link compensation (particularly long-term incentives) for executives to company performance and shareholder value creation. Crucially, The difficult target is to reduce 7,500 largely middle-management roles globally without triggering severe operational disruption or loss of critical digital talent. The driving initiative is a fundamental overhaul of incentive structures. Management bonuses, which were previously tied heavily to broad ESG (Environmental, Social, and Governance) metrics, have been strictly realigned to financial delivery and market share growth, ensuring the workforce's objectives are entirely synchronised with the financial turnaround (Unilever, 2024)</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b/>
          <w:bCs/>
          <w:sz w:val="24"/>
          <w:szCs w:val="24"/>
        </w:rPr>
      </w:pPr>
      <w:r>
        <w:rPr>
          <w:b/>
          <w:bCs/>
          <w:sz w:val="24"/>
          <w:szCs w:val="24"/>
        </w:rPr>
        <w:t>5. Strategic Choices and Implementation</w:t>
      </w:r>
    </w:p>
    <w:p>
      <w:pPr>
        <w:pStyle w:val="Normal"/>
        <w:spacing w:lineRule="auto" w:line="360" w:before="0" w:after="200"/>
        <w:jc w:val="both"/>
        <w:rPr>
          <w:rFonts w:ascii="Arial" w:hAnsi="Arial"/>
          <w:b/>
          <w:bCs/>
          <w:sz w:val="24"/>
          <w:szCs w:val="24"/>
        </w:rPr>
      </w:pPr>
      <w:r>
        <w:rPr>
          <w:b/>
          <w:bCs/>
          <w:sz w:val="24"/>
          <w:szCs w:val="24"/>
        </w:rPr>
        <w:t>Evaluating Business and Corporate-Level Strategic Choices</w:t>
      </w:r>
    </w:p>
    <w:p>
      <w:pPr>
        <w:pStyle w:val="Normal"/>
        <w:spacing w:lineRule="auto" w:line="360" w:before="0" w:after="200"/>
        <w:jc w:val="both"/>
        <w:rPr>
          <w:rFonts w:ascii="Arial" w:hAnsi="Arial"/>
          <w:sz w:val="24"/>
          <w:szCs w:val="24"/>
        </w:rPr>
      </w:pPr>
      <w:r>
        <w:rPr>
          <w:sz w:val="24"/>
          <w:szCs w:val="24"/>
        </w:rPr>
        <w:t>An organisation’s strategic direction is defined by the choices it makes regarding how to compete and where to compete (Whittington et al., 2020). It’s business level strategy decided how to compete and corporate level strategy decided where to compete.</w:t>
      </w:r>
    </w:p>
    <w:p>
      <w:pPr>
        <w:pStyle w:val="Normal"/>
        <w:spacing w:lineRule="auto" w:line="360" w:before="0" w:after="200"/>
        <w:jc w:val="center"/>
        <w:rPr>
          <w:rFonts w:ascii="Arial" w:hAnsi="Arial"/>
          <w:sz w:val="24"/>
          <w:szCs w:val="24"/>
        </w:rPr>
      </w:pPr>
      <w:r>
        <w:drawing>
          <wp:anchor distT="0" distB="0" distL="0" distR="0" simplePos="0" relativeHeight="45" behindDoc="0" locked="0" layoutInCell="0" allowOverlap="1">
            <wp:simplePos x="0" y="0"/>
            <wp:positionH relativeFrom="column">
              <wp:align>center</wp:align>
            </wp:positionH>
            <wp:positionV relativeFrom="paragraph">
              <wp:posOffset>635</wp:posOffset>
            </wp:positionV>
            <wp:extent cx="4641850" cy="3340735"/>
            <wp:effectExtent l="0" t="0" r="0" b="0"/>
            <wp:wrapTopAndBottom/>
            <wp:docPr id="12" name="Image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15"/>
                    <pic:cNvPicPr>
                      <a:picLocks noChangeAspect="1" noChangeArrowheads="1"/>
                    </pic:cNvPicPr>
                  </pic:nvPicPr>
                  <pic:blipFill>
                    <a:blip r:embed="rId23"/>
                    <a:stretch>
                      <a:fillRect/>
                    </a:stretch>
                  </pic:blipFill>
                  <pic:spPr bwMode="auto">
                    <a:xfrm>
                      <a:off x="0" y="0"/>
                      <a:ext cx="4641850" cy="3340735"/>
                    </a:xfrm>
                    <a:prstGeom prst="rect">
                      <a:avLst/>
                    </a:prstGeom>
                    <a:noFill/>
                  </pic:spPr>
                </pic:pic>
              </a:graphicData>
            </a:graphic>
          </wp:anchor>
        </w:drawing>
      </w:r>
      <w:r>
        <w:rPr>
          <w:sz w:val="20"/>
          <w:szCs w:val="20"/>
        </w:rPr>
        <w:t xml:space="preserve">(Source: </w:t>
      </w:r>
      <w:hyperlink r:id="rId24">
        <w:r>
          <w:rPr>
            <w:rStyle w:val="Hyperlink"/>
            <w:sz w:val="20"/>
            <w:szCs w:val="20"/>
          </w:rPr>
          <w:t>https://www.unilever.com/files/unilever-annual-report-and-accounts-2025.pdf</w:t>
        </w:r>
      </w:hyperlink>
      <w:r>
        <w:rPr>
          <w:sz w:val="20"/>
          <w:szCs w:val="20"/>
        </w:rPr>
        <w:t xml:space="preserve"> )</w:t>
      </w:r>
    </w:p>
    <w:p>
      <w:pPr>
        <w:pStyle w:val="Normal"/>
        <w:spacing w:lineRule="auto" w:line="360" w:before="0" w:after="200"/>
        <w:jc w:val="both"/>
        <w:rPr>
          <w:rFonts w:ascii="Arial" w:hAnsi="Arial"/>
          <w:sz w:val="24"/>
          <w:szCs w:val="24"/>
        </w:rPr>
      </w:pPr>
      <w:r>
        <w:rPr>
          <w:sz w:val="24"/>
          <w:szCs w:val="24"/>
        </w:rPr>
        <w:t>At the business level, Unilever faces a critical juncture. According to Porter’s Generic Strategies (1980), Unilever must choose between cost leadership and differentiation to avoid being stuck in the middle. Unilever’s low cost competitors (super market private label brands) are very agile, so during severe macroeconomic inflation, Unilever cannot sustainably compete on pure cost leadership against them (e.g., Aldi and Lidl). Therefore, Unilever is focusing on differenciation by strategically pivoting its portfolio towards 'premiumisation' (Unilever, 2025). Unilever is engineering products that combine mass-market accessibility with prestige and science-backed formulations (such as advanced Dove skincare). For that, it is heavily investing R&amp;D and marketing capital into its Beauty &amp; Wellbeing division.  This differentiation justifies a premium price point, thereby protecting gross margins from inflationary pressure.</w:t>
      </w:r>
    </w:p>
    <w:p>
      <w:pPr>
        <w:pStyle w:val="Normal"/>
        <w:spacing w:lineRule="auto" w:line="360" w:before="0" w:after="200"/>
        <w:jc w:val="both"/>
        <w:rPr>
          <w:rFonts w:ascii="Arial" w:hAnsi="Arial"/>
          <w:sz w:val="24"/>
          <w:szCs w:val="24"/>
        </w:rPr>
      </w:pPr>
      <w:r>
        <w:rPr>
          <w:sz w:val="24"/>
          <w:szCs w:val="24"/>
        </w:rPr>
        <w:t>At the corporate level, strategy dictates the scope of the organisation. Historically, Unilever pursued the strategy of broad horizontal diversification, which resulted in a bloated portfolio that was hard-to-manage. Currently, the company is strategically divesting. In early 2024, the board announced the separation of its massive Ice Cream division into a standalone entity. This division includes brands like Magnum and Wall's and it is valued at €7.9 billion (Reuters, 2024). accoring to the "Corporate Parenting Advantage" theory (Goold, Campbell and Alexander, 1994), a parent company should only retain business units where it adds distinct value. The Ice Cream business operates on a fundamentally different and highly capital-intensive frozen supply chain. It is not in synergy with Unilever's core personal care and home care manufacturing capabilities.</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b/>
          <w:bCs/>
          <w:sz w:val="24"/>
          <w:szCs w:val="24"/>
        </w:rPr>
      </w:pPr>
      <w:r>
        <w:rPr>
          <w:b/>
          <w:bCs/>
          <w:sz w:val="24"/>
          <w:szCs w:val="24"/>
        </w:rPr>
        <w:t>6. Strategic Evaluation and Recommendations</w:t>
      </w:r>
    </w:p>
    <w:p>
      <w:pPr>
        <w:pStyle w:val="Normal"/>
        <w:spacing w:lineRule="auto" w:line="360" w:before="0" w:after="200"/>
        <w:jc w:val="both"/>
        <w:rPr>
          <w:rFonts w:ascii="Arial" w:hAnsi="Arial"/>
          <w:b/>
          <w:bCs/>
          <w:sz w:val="24"/>
          <w:szCs w:val="24"/>
        </w:rPr>
      </w:pPr>
      <w:r>
        <w:rPr>
          <w:b/>
          <w:bCs/>
          <w:sz w:val="24"/>
          <w:szCs w:val="24"/>
        </w:rPr>
        <w:t>Evaluating Current Strategy: Ansoff’s Matrix and the BCG Matrix</w:t>
      </w:r>
    </w:p>
    <w:p>
      <w:pPr>
        <w:pStyle w:val="Normal"/>
        <w:spacing w:lineRule="auto" w:line="360" w:before="0" w:after="200"/>
        <w:jc w:val="both"/>
        <w:rPr>
          <w:rFonts w:ascii="Arial" w:hAnsi="Arial"/>
          <w:sz w:val="24"/>
          <w:szCs w:val="24"/>
        </w:rPr>
      </w:pPr>
      <w:r>
        <w:rPr>
          <w:sz w:val="24"/>
          <w:szCs w:val="24"/>
        </w:rPr>
        <w:t>Ansoff’s Matrix (Ansoff, 1957) provides a robust framework for assessing corporate growth directions; which can be used to critically evaluate Unilever’s current trajectory.</w:t>
      </w:r>
    </w:p>
    <w:p>
      <w:pPr>
        <w:pStyle w:val="Normal"/>
        <w:spacing w:lineRule="auto" w:line="360" w:before="0" w:after="200"/>
        <w:jc w:val="center"/>
        <w:rPr>
          <w:sz w:val="20"/>
          <w:szCs w:val="20"/>
        </w:rPr>
      </w:pPr>
      <w:r>
        <w:drawing>
          <wp:anchor distT="0" distB="0" distL="0" distR="0" simplePos="0" relativeHeight="37" behindDoc="0" locked="0" layoutInCell="0" allowOverlap="1">
            <wp:simplePos x="0" y="0"/>
            <wp:positionH relativeFrom="column">
              <wp:align>center</wp:align>
            </wp:positionH>
            <wp:positionV relativeFrom="paragraph">
              <wp:posOffset>635</wp:posOffset>
            </wp:positionV>
            <wp:extent cx="5311140" cy="3337560"/>
            <wp:effectExtent l="0" t="0" r="0" b="0"/>
            <wp:wrapTopAndBottom/>
            <wp:docPr id="13" nam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7"/>
                    <pic:cNvPicPr>
                      <a:picLocks noChangeAspect="1" noChangeArrowheads="1"/>
                    </pic:cNvPicPr>
                  </pic:nvPicPr>
                  <pic:blipFill>
                    <a:blip r:embed="rId25"/>
                    <a:stretch>
                      <a:fillRect/>
                    </a:stretch>
                  </pic:blipFill>
                  <pic:spPr bwMode="auto">
                    <a:xfrm>
                      <a:off x="0" y="0"/>
                      <a:ext cx="5311140" cy="3337560"/>
                    </a:xfrm>
                    <a:prstGeom prst="rect">
                      <a:avLst/>
                    </a:prstGeom>
                    <a:noFill/>
                  </pic:spPr>
                </pic:pic>
              </a:graphicData>
            </a:graphic>
          </wp:anchor>
        </w:drawing>
      </w:r>
      <w:r>
        <w:rPr>
          <w:sz w:val="20"/>
          <w:szCs w:val="20"/>
        </w:rPr>
        <w:t xml:space="preserve">(Source: </w:t>
      </w:r>
      <w:hyperlink r:id="rId26">
        <w:r>
          <w:rPr>
            <w:rStyle w:val="Hyperlink"/>
            <w:sz w:val="20"/>
            <w:szCs w:val="20"/>
          </w:rPr>
          <w:t>https://boolkah.com/ansoff-matrix/</w:t>
        </w:r>
      </w:hyperlink>
      <w:r>
        <w:rPr>
          <w:sz w:val="20"/>
          <w:szCs w:val="20"/>
        </w:rPr>
        <w:t>)</w:t>
      </w:r>
    </w:p>
    <w:p>
      <w:pPr>
        <w:pStyle w:val="Normal"/>
        <w:spacing w:lineRule="auto" w:line="360" w:before="0" w:after="200"/>
        <w:jc w:val="both"/>
        <w:rPr>
          <w:rFonts w:ascii="Arial" w:hAnsi="Arial"/>
          <w:sz w:val="24"/>
          <w:szCs w:val="24"/>
        </w:rPr>
      </w:pPr>
      <w:r>
        <w:rPr>
          <w:sz w:val="24"/>
          <w:szCs w:val="24"/>
        </w:rPr>
        <w:t>Historically, Unilever pursued the strategy of overly broad Diversification by acquiring and managing hundreds of different brands across various supply chains. This strategy has created strategic problems at multiple levels in the organization. Consiquencely, the company’s strategy has aggressively pivoted towards Market Penetration and Product Development rather than diversification (Unilever, 2024). Under the 2024–2025 'Growth Action Plan', By concentrating marketing capital exclusively on its top 30 "Power Brands," Unilever is executing a textbook market penetration strategy: defending and expanding the market share of existing products in existing markets against the threat of cheaper supermarket private labels (Marketing Week, 2024).</w:t>
      </w:r>
    </w:p>
    <w:p>
      <w:pPr>
        <w:pStyle w:val="Normal"/>
        <w:spacing w:lineRule="auto" w:line="360" w:before="0" w:after="200"/>
        <w:jc w:val="both"/>
        <w:rPr>
          <w:rFonts w:ascii="Arial" w:hAnsi="Arial"/>
          <w:sz w:val="24"/>
          <w:szCs w:val="24"/>
        </w:rPr>
      </w:pPr>
      <w:r>
        <w:rPr>
          <w:sz w:val="24"/>
          <w:szCs w:val="24"/>
        </w:rPr>
        <w:t>Simultaneously, we can evaluate Unilever’s strategic disinvestment from the €7.9 billion Ice Cream division using the Boston Consulting Group Matrix (BCG) (Henderson, 1970). Ice Cream segment generates high revenue for Unilever's portfolio, but this revenue has characteristics of a low-margin cash cow and it requires a highly capital-intensive frozen supply chain and its vulnerability to inflation is increasing because of rising input-costs (e.g., dairy and sugar) (AJ Bell, 2026). By divesting this unit, Unilever drastically improves its overall operating margins and balance sheets. This highly strategic move will realign its corporate portfolio to focus solely on high-growth products with better margins, such as its Prestige Beauty and Health &amp; Wellbeing divisions.</w:t>
      </w:r>
    </w:p>
    <w:p>
      <w:pPr>
        <w:pStyle w:val="Normal"/>
        <w:spacing w:lineRule="auto" w:line="360" w:before="0" w:after="200"/>
        <w:jc w:val="both"/>
        <w:rPr>
          <w:rFonts w:ascii="Arial" w:hAnsi="Arial"/>
          <w:b/>
          <w:bCs/>
          <w:sz w:val="24"/>
          <w:szCs w:val="24"/>
        </w:rPr>
      </w:pPr>
      <w:r>
        <w:rPr>
          <w:b/>
          <w:bCs/>
          <w:sz w:val="24"/>
          <w:szCs w:val="24"/>
        </w:rPr>
        <w:t>Strategic Recommendations</w:t>
      </w:r>
    </w:p>
    <w:p>
      <w:pPr>
        <w:pStyle w:val="Normal"/>
        <w:spacing w:lineRule="auto" w:line="360" w:before="0" w:after="200"/>
        <w:jc w:val="both"/>
        <w:rPr>
          <w:rFonts w:ascii="Arial" w:hAnsi="Arial"/>
          <w:sz w:val="24"/>
          <w:szCs w:val="24"/>
        </w:rPr>
      </w:pPr>
      <w:r>
        <w:rPr>
          <w:sz w:val="24"/>
          <w:szCs w:val="24"/>
        </w:rPr>
        <w:t>After critical evaluation of Unilever’s business model and current performance, the report suggests following strategic recommendations to ensure Unilever maintains and improves its competitive advantage in a volatile, rapidly chaning consumer goods market. Proposed recommendations are also justified by theoretical frameworks and empirical data:</w:t>
      </w:r>
    </w:p>
    <w:p>
      <w:pPr>
        <w:pStyle w:val="Normal"/>
        <w:numPr>
          <w:ilvl w:val="0"/>
          <w:numId w:val="1"/>
        </w:numPr>
        <w:spacing w:lineRule="auto" w:line="360" w:before="0" w:after="200"/>
        <w:jc w:val="both"/>
        <w:rPr>
          <w:rFonts w:ascii="Arial" w:hAnsi="Arial"/>
          <w:sz w:val="24"/>
          <w:szCs w:val="24"/>
        </w:rPr>
      </w:pPr>
      <w:r>
        <w:rPr>
          <w:sz w:val="24"/>
          <w:szCs w:val="24"/>
        </w:rPr>
        <w:t>Unilever must aggressively invest the capital into engineering and product development for ‘masstige categories’. The capital from icecream disinvestment can be reallocated into this initiative. These are the products that combine mass market accessibility and prestige with science backed formulations. According to a well known consumer psychology phenomenon ‘ The Lipstick Effect’ -  consumers restrain their spending on basic goods during longer cost of living crisis but often treat themselves with affordable luxuries (Unilever, 2025).  Unilever will be deploying a clear differentiation strategy  by elevating its heritage brands through premium product development (e.g. advanced Dove serum body care lines). Unilever can insulates the firm from costly price wars of private labels and command higher gross margins this way.</w:t>
      </w:r>
    </w:p>
    <w:p>
      <w:pPr>
        <w:pStyle w:val="Normal"/>
        <w:numPr>
          <w:ilvl w:val="0"/>
          <w:numId w:val="1"/>
        </w:numPr>
        <w:spacing w:lineRule="auto" w:line="360" w:before="0" w:after="200"/>
        <w:jc w:val="both"/>
        <w:rPr>
          <w:rFonts w:ascii="Arial" w:hAnsi="Arial"/>
          <w:sz w:val="24"/>
          <w:szCs w:val="24"/>
        </w:rPr>
      </w:pPr>
      <w:r>
        <w:rPr>
          <w:sz w:val="24"/>
          <w:szCs w:val="24"/>
        </w:rPr>
        <w:t>While Unilever’s massive scale provides a VRIO competitive advantage in global distribution, it lacks the agility required for rapid organic R&amp;D. Hence, Unilever should use targeted ‘Bolt On Acquisitions’ strategy to overcome this innovation lag. It can  acquire high-growth ‘indie" beauty and wellness brands’ present primarily on the digital space, plug their innovative and established products directly into its global supply chain to leverage Unilever’s core competency (Distribution). This conclusion can be drawn through previous Resource based view analysis. Unilever can achieve rapid market development without bearing the initial, high-risk R&amp;D costs associated with creating new brands from scratch (MatrixBCG, 2026).</w:t>
      </w:r>
    </w:p>
    <w:p>
      <w:pPr>
        <w:pStyle w:val="Normal"/>
        <w:numPr>
          <w:ilvl w:val="0"/>
          <w:numId w:val="1"/>
        </w:numPr>
        <w:spacing w:lineRule="auto" w:line="360" w:before="0" w:after="200"/>
        <w:jc w:val="both"/>
        <w:rPr>
          <w:rFonts w:ascii="Arial" w:hAnsi="Arial"/>
          <w:sz w:val="24"/>
          <w:szCs w:val="24"/>
        </w:rPr>
      </w:pPr>
      <w:r>
        <w:rPr>
          <w:sz w:val="24"/>
          <w:szCs w:val="24"/>
        </w:rPr>
        <w:t>Finally, Unilever must permanently detach its CSR strategy from pure consumer marketing and embed it within Green Supply Chain Management (GSCM) theory (Srivastava, 2007). This formal institutionalization of GSCM will setisfy its financial stakeholders and grant a competitive advantage. Unilever should treat sustainability as an operational efficiency and risk-mitigation tool by investing in AI-driven traceability to ensure compliance with the strict EU Deforestation Regulation. Unilever can directly reduce waste, lower energy consumption, avoid regulatory taxation, and align itself to a highly regulated future.</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b/>
          <w:bCs/>
          <w:sz w:val="24"/>
          <w:szCs w:val="24"/>
        </w:rPr>
      </w:pPr>
      <w:r>
        <w:rPr>
          <w:b/>
          <w:bCs/>
          <w:sz w:val="24"/>
          <w:szCs w:val="24"/>
        </w:rPr>
        <w:t>Section 2 : Reflective Account</w:t>
      </w:r>
    </w:p>
    <w:p>
      <w:pPr>
        <w:pStyle w:val="Normal"/>
        <w:spacing w:lineRule="auto" w:line="360" w:before="0" w:after="200"/>
        <w:jc w:val="both"/>
        <w:rPr>
          <w:rFonts w:ascii="Arial" w:hAnsi="Arial"/>
          <w:sz w:val="24"/>
          <w:szCs w:val="24"/>
        </w:rPr>
      </w:pPr>
      <w:r>
        <w:rPr>
          <w:sz w:val="24"/>
          <w:szCs w:val="24"/>
        </w:rPr>
        <w:t>Strategic evaluation of Unilever required regirious process of preparation, reseaching, Analyzing and writing the report in academic manner. Thoughout this process, I experienced multiple difficulties and enhanced my skills. I am using Gibbs’ Reflective Cycle (1988) to critically reflect upon personal and academic aspects of this process.</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center"/>
        <w:rPr>
          <w:rFonts w:ascii="Arial" w:hAnsi="Arial"/>
          <w:sz w:val="24"/>
          <w:szCs w:val="24"/>
        </w:rPr>
      </w:pPr>
      <w:r>
        <w:drawing>
          <wp:anchor distT="0" distB="0" distL="0" distR="0" simplePos="0" relativeHeight="36" behindDoc="0" locked="0" layoutInCell="0" allowOverlap="1">
            <wp:simplePos x="0" y="0"/>
            <wp:positionH relativeFrom="column">
              <wp:align>center</wp:align>
            </wp:positionH>
            <wp:positionV relativeFrom="paragraph">
              <wp:posOffset>635</wp:posOffset>
            </wp:positionV>
            <wp:extent cx="5084445" cy="3813175"/>
            <wp:effectExtent l="0" t="0" r="0" b="0"/>
            <wp:wrapTopAndBottom/>
            <wp:docPr id="14"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2"/>
                    <pic:cNvPicPr>
                      <a:picLocks noChangeAspect="1" noChangeArrowheads="1"/>
                    </pic:cNvPicPr>
                  </pic:nvPicPr>
                  <pic:blipFill>
                    <a:blip r:embed="rId27"/>
                    <a:stretch>
                      <a:fillRect/>
                    </a:stretch>
                  </pic:blipFill>
                  <pic:spPr bwMode="auto">
                    <a:xfrm>
                      <a:off x="0" y="0"/>
                      <a:ext cx="5084445" cy="3813175"/>
                    </a:xfrm>
                    <a:prstGeom prst="rect">
                      <a:avLst/>
                    </a:prstGeom>
                    <a:noFill/>
                  </pic:spPr>
                </pic:pic>
              </a:graphicData>
            </a:graphic>
          </wp:anchor>
        </w:drawing>
      </w:r>
      <w:r>
        <w:rPr>
          <w:sz w:val="20"/>
          <w:szCs w:val="20"/>
        </w:rPr>
        <w:t xml:space="preserve">(Source: </w:t>
      </w:r>
      <w:hyperlink r:id="rId28">
        <w:r>
          <w:rPr>
            <w:rStyle w:val="Hyperlink"/>
            <w:sz w:val="20"/>
            <w:szCs w:val="20"/>
          </w:rPr>
          <w:t>https://www.simplypsychology.org/gibbs-reflective-cycle.html</w:t>
        </w:r>
      </w:hyperlink>
      <w:r>
        <w:rPr>
          <w:sz w:val="20"/>
          <w:szCs w:val="20"/>
        </w:rPr>
        <w:t xml:space="preserve"> )</w:t>
      </w:r>
    </w:p>
    <w:p>
      <w:pPr>
        <w:pStyle w:val="Normal"/>
        <w:spacing w:lineRule="auto" w:line="360" w:before="0" w:after="200"/>
        <w:jc w:val="both"/>
        <w:rPr>
          <w:rFonts w:ascii="Arial" w:hAnsi="Arial"/>
          <w:b/>
          <w:bCs/>
          <w:sz w:val="24"/>
          <w:szCs w:val="24"/>
        </w:rPr>
      </w:pPr>
      <w:r>
        <w:rPr>
          <w:b/>
          <w:bCs/>
          <w:sz w:val="24"/>
          <w:szCs w:val="24"/>
        </w:rPr>
      </w:r>
    </w:p>
    <w:p>
      <w:pPr>
        <w:pStyle w:val="Normal"/>
        <w:spacing w:lineRule="auto" w:line="360" w:before="0" w:after="200"/>
        <w:jc w:val="both"/>
        <w:rPr>
          <w:rFonts w:ascii="Arial" w:hAnsi="Arial"/>
          <w:b/>
          <w:bCs/>
          <w:sz w:val="24"/>
          <w:szCs w:val="24"/>
        </w:rPr>
      </w:pPr>
      <w:r>
        <w:rPr>
          <w:b/>
          <w:bCs/>
          <w:sz w:val="24"/>
          <w:szCs w:val="24"/>
        </w:rPr>
        <w:t>1. Description</w:t>
      </w:r>
    </w:p>
    <w:p>
      <w:pPr>
        <w:pStyle w:val="Normal"/>
        <w:spacing w:lineRule="auto" w:line="360" w:before="0" w:after="200"/>
        <w:jc w:val="both"/>
        <w:rPr>
          <w:rFonts w:ascii="Arial" w:hAnsi="Arial"/>
          <w:sz w:val="24"/>
          <w:szCs w:val="24"/>
        </w:rPr>
      </w:pPr>
      <w:r>
        <w:rPr>
          <w:sz w:val="24"/>
          <w:szCs w:val="24"/>
        </w:rPr>
        <w:t>The objective of this assignment was to produce a comprehensive, Level 7 strategic management report with complete evaluation of the internal and external environments, company’s CSR alignments and strategic choices of Unillever (My chosen Organisation in FMCG sector). I was required to provide my assessment with a deep, critical synthesis of strategic management issues under a strict 5,000-word limit and support it with 15 to 20 credible academic and industry sources.</w:t>
      </w:r>
    </w:p>
    <w:p>
      <w:pPr>
        <w:pStyle w:val="Normal"/>
        <w:spacing w:lineRule="auto" w:line="360" w:before="0" w:after="200"/>
        <w:jc w:val="both"/>
        <w:rPr>
          <w:rFonts w:ascii="Arial" w:hAnsi="Arial"/>
          <w:sz w:val="24"/>
          <w:szCs w:val="24"/>
        </w:rPr>
      </w:pPr>
      <w:r>
        <w:rPr>
          <w:sz w:val="24"/>
          <w:szCs w:val="24"/>
        </w:rPr>
        <w:t>As per the publicly available information from first party sources, Unilever is currently undergoing a radical structural transformation under its 2024–2025 "Growth Action Plan". This transformation includes huge divestments, elimination of jobs and much more. My first hurdle was understanding this corporate restructuring from holistic point of view and then mapping it against multiple well established theoretical frameworks (including PESTEL, the VRIO framework, the Balanced Scorecard, Porter’s Generic Strategies, and Ansoff’s Matrix). Moreover, I had to critically understand the ‘why’ behind each move, justify why these strategic choices and actions were made and evaluate their consequences, instead of merely discribing this transition in real-time.</w:t>
      </w:r>
    </w:p>
    <w:p>
      <w:pPr>
        <w:pStyle w:val="Normal"/>
        <w:spacing w:lineRule="auto" w:line="360" w:before="0" w:after="200"/>
        <w:jc w:val="both"/>
        <w:rPr>
          <w:rFonts w:ascii="Arial" w:hAnsi="Arial"/>
          <w:b/>
          <w:bCs/>
          <w:sz w:val="24"/>
          <w:szCs w:val="24"/>
        </w:rPr>
      </w:pPr>
      <w:r>
        <w:rPr>
          <w:b/>
          <w:bCs/>
          <w:sz w:val="24"/>
          <w:szCs w:val="24"/>
        </w:rPr>
        <w:t>2. Feelings</w:t>
      </w:r>
    </w:p>
    <w:p>
      <w:pPr>
        <w:pStyle w:val="Normal"/>
        <w:spacing w:lineRule="auto" w:line="360" w:before="0" w:after="200"/>
        <w:jc w:val="both"/>
        <w:rPr>
          <w:rFonts w:ascii="Arial" w:hAnsi="Arial"/>
          <w:sz w:val="24"/>
          <w:szCs w:val="24"/>
        </w:rPr>
      </w:pPr>
      <w:r>
        <w:rPr>
          <w:sz w:val="24"/>
          <w:szCs w:val="24"/>
        </w:rPr>
        <w:t>Unilever is a €60 billion FMCG conglomerate, so the sheer volume of data (financial, operational, and marketing) was staggering and the data itself looked complex. Initially, I felt overwhelmed and anxious about synthesising this decades of complex corporate history and current market volatility into a strictly capped word limit; that too without losing the critical depth. Another concern I had was particularly about the external and Internal environment analysis; I feared my writing would seem like a descriptive list of macroeconomic trends rather than a sharp, analytical synthesis.</w:t>
      </w:r>
    </w:p>
    <w:p>
      <w:pPr>
        <w:pStyle w:val="Normal"/>
        <w:spacing w:lineRule="auto" w:line="360" w:before="0" w:after="200"/>
        <w:jc w:val="both"/>
        <w:rPr>
          <w:rFonts w:ascii="Arial" w:hAnsi="Arial"/>
          <w:sz w:val="24"/>
          <w:szCs w:val="24"/>
        </w:rPr>
      </w:pPr>
      <w:r>
        <w:rPr>
          <w:sz w:val="24"/>
          <w:szCs w:val="24"/>
        </w:rPr>
        <w:t>However, I went through this chaotic data and started corelating it with  specific academic frameworks. This was the moment when my anxiety turned into excitement. Everythign became even more clear when I discovered(using those frameworks) that Unilever was historically enforcing a social purpose on everybrand, which was highly criticised CSR aproach; then it transitioned to a new financially disciplined strategy. I felt like high level corporate consultant while structuring this newly discoveredturnaround strategy in the balanced scorecard section.</w:t>
      </w:r>
    </w:p>
    <w:p>
      <w:pPr>
        <w:pStyle w:val="Normal"/>
        <w:spacing w:lineRule="auto" w:line="360" w:before="0" w:after="200"/>
        <w:jc w:val="both"/>
        <w:rPr>
          <w:rFonts w:ascii="Arial" w:hAnsi="Arial"/>
          <w:b/>
          <w:bCs/>
          <w:sz w:val="24"/>
          <w:szCs w:val="24"/>
        </w:rPr>
      </w:pPr>
      <w:r>
        <w:rPr>
          <w:b/>
          <w:bCs/>
          <w:sz w:val="24"/>
          <w:szCs w:val="24"/>
        </w:rPr>
        <w:t>3. Evaluation</w:t>
      </w:r>
    </w:p>
    <w:p>
      <w:pPr>
        <w:pStyle w:val="Normal"/>
        <w:spacing w:lineRule="auto" w:line="360" w:before="0" w:after="200"/>
        <w:jc w:val="both"/>
        <w:rPr>
          <w:rFonts w:ascii="Arial" w:hAnsi="Arial"/>
          <w:sz w:val="24"/>
          <w:szCs w:val="24"/>
        </w:rPr>
      </w:pPr>
      <w:r>
        <w:rPr>
          <w:sz w:val="24"/>
          <w:szCs w:val="24"/>
        </w:rPr>
        <w:t xml:space="preserve">The most positive aspect of this research process was currently relevance of the subject matter and chosen company, specifically in the current volatile market. Because Unilever is currently executing a massive structural overhaul in real time, finding high-quality, peer-reviewed literature and elite financial reports was easy. This </w:t>
      </w:r>
      <w:r>
        <w:rPr>
          <w:sz w:val="24"/>
          <w:szCs w:val="24"/>
        </w:rPr>
        <w:t>abundance of widely available and up to date</w:t>
      </w:r>
      <w:r>
        <w:rPr>
          <w:sz w:val="24"/>
          <w:szCs w:val="24"/>
        </w:rPr>
        <w:t xml:space="preserve"> data allowed me to construct highly relevant arguments </w:t>
      </w:r>
      <w:r>
        <w:rPr>
          <w:sz w:val="24"/>
          <w:szCs w:val="24"/>
        </w:rPr>
        <w:t xml:space="preserve">back them with hard </w:t>
      </w:r>
      <w:r>
        <w:rPr>
          <w:sz w:val="24"/>
          <w:szCs w:val="24"/>
        </w:rPr>
        <w:t xml:space="preserve">evidence. </w:t>
      </w:r>
      <w:r>
        <w:rPr>
          <w:sz w:val="24"/>
          <w:szCs w:val="24"/>
        </w:rPr>
        <w:t>This was</w:t>
      </w:r>
      <w:r>
        <w:rPr>
          <w:sz w:val="24"/>
          <w:szCs w:val="24"/>
        </w:rPr>
        <w:t xml:space="preserve"> particularly </w:t>
      </w:r>
      <w:r>
        <w:rPr>
          <w:sz w:val="24"/>
          <w:szCs w:val="24"/>
        </w:rPr>
        <w:t>useful in the</w:t>
      </w:r>
      <w:r>
        <w:rPr>
          <w:sz w:val="24"/>
          <w:szCs w:val="24"/>
        </w:rPr>
        <w:t xml:space="preserve"> management </w:t>
      </w:r>
      <w:r>
        <w:rPr>
          <w:sz w:val="24"/>
          <w:szCs w:val="24"/>
        </w:rPr>
        <w:t>changes</w:t>
      </w:r>
      <w:r>
        <w:rPr>
          <w:sz w:val="24"/>
          <w:szCs w:val="24"/>
        </w:rPr>
        <w:t xml:space="preserve"> and corporate divestment </w:t>
      </w:r>
      <w:r>
        <w:rPr>
          <w:sz w:val="24"/>
          <w:szCs w:val="24"/>
        </w:rPr>
        <w:t>sections</w:t>
      </w:r>
      <w:r>
        <w:rPr>
          <w:sz w:val="24"/>
          <w:szCs w:val="24"/>
        </w:rPr>
        <w:t>.</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t xml:space="preserve">The </w:t>
      </w:r>
      <w:r>
        <w:rPr>
          <w:sz w:val="24"/>
          <w:szCs w:val="24"/>
        </w:rPr>
        <w:t>5000</w:t>
      </w:r>
      <w:r>
        <w:rPr>
          <w:sz w:val="24"/>
          <w:szCs w:val="24"/>
        </w:rPr>
        <w:t xml:space="preserve"> word limit forced me to discard some fascinating data points and insights I discovered. As a result, It was incredibly difficult to demonstrate my comprehensive understanding. I spent </w:t>
      </w:r>
      <w:r>
        <w:rPr>
          <w:sz w:val="24"/>
          <w:szCs w:val="24"/>
        </w:rPr>
        <w:t>significantly more</w:t>
      </w:r>
      <w:r>
        <w:rPr>
          <w:sz w:val="24"/>
          <w:szCs w:val="24"/>
        </w:rPr>
        <w:t xml:space="preserve"> time editing, refining, and </w:t>
      </w:r>
      <w:r>
        <w:rPr>
          <w:sz w:val="24"/>
          <w:szCs w:val="24"/>
        </w:rPr>
        <w:t>sometimes deleting entire arguments</w:t>
      </w:r>
      <w:r>
        <w:rPr>
          <w:sz w:val="24"/>
          <w:szCs w:val="24"/>
        </w:rPr>
        <w:t xml:space="preserve"> to ensure every single sentence is packed with theoretical value. This was very frustrating but ultimately it made me ralize the refinement needed for my academic writing skills.</w:t>
      </w:r>
    </w:p>
    <w:p>
      <w:pPr>
        <w:pStyle w:val="Normal"/>
        <w:spacing w:lineRule="auto" w:line="360" w:before="0" w:after="200"/>
        <w:jc w:val="both"/>
        <w:rPr>
          <w:rFonts w:ascii="Arial" w:hAnsi="Arial"/>
          <w:b/>
          <w:bCs/>
          <w:sz w:val="24"/>
          <w:szCs w:val="24"/>
        </w:rPr>
      </w:pPr>
      <w:r>
        <w:rPr>
          <w:b/>
          <w:bCs/>
          <w:sz w:val="24"/>
          <w:szCs w:val="24"/>
        </w:rPr>
        <w:t>4. Analysis</w:t>
      </w:r>
    </w:p>
    <w:p>
      <w:pPr>
        <w:pStyle w:val="Normal"/>
        <w:spacing w:lineRule="auto" w:line="360" w:before="0" w:after="200"/>
        <w:jc w:val="both"/>
        <w:rPr>
          <w:rFonts w:ascii="Arial" w:hAnsi="Arial"/>
          <w:sz w:val="24"/>
          <w:szCs w:val="24"/>
        </w:rPr>
      </w:pPr>
      <w:r>
        <w:rPr>
          <w:sz w:val="24"/>
          <w:szCs w:val="24"/>
        </w:rPr>
        <w:t>I realised that strategic management frameworks are not merely academic checklists; they are provide critica lens to look through the pubilc noice and evaluate the conditions in structured manner.</w:t>
      </w:r>
    </w:p>
    <w:p>
      <w:pPr>
        <w:pStyle w:val="Normal"/>
        <w:spacing w:lineRule="auto" w:line="360" w:before="0" w:after="200"/>
        <w:jc w:val="both"/>
        <w:rPr>
          <w:rFonts w:ascii="Arial" w:hAnsi="Arial"/>
          <w:sz w:val="24"/>
          <w:szCs w:val="24"/>
        </w:rPr>
      </w:pPr>
      <w:r>
        <w:rPr>
          <w:sz w:val="24"/>
          <w:szCs w:val="24"/>
        </w:rPr>
        <w:t>For example, intentionally loosing a world famous icrecream brand is highly  counterintuitive, but when looked through BCG matrix and  theories of corporate parenting, many revelations emerge. Like frozen supply chain friction, immense capital required to maintain those supply chain logistics when compared to standard personal care products; these are key drivers behind much needed strategic pruning for margin improvments.</w:t>
      </w:r>
    </w:p>
    <w:p>
      <w:pPr>
        <w:pStyle w:val="Normal"/>
        <w:spacing w:lineRule="auto" w:line="360" w:before="0" w:after="200"/>
        <w:jc w:val="both"/>
        <w:rPr>
          <w:rFonts w:ascii="Arial" w:hAnsi="Arial"/>
          <w:sz w:val="24"/>
          <w:szCs w:val="24"/>
        </w:rPr>
      </w:pPr>
      <w:r>
        <w:rPr>
          <w:sz w:val="24"/>
          <w:szCs w:val="24"/>
        </w:rPr>
        <w:t>Unilever is moving towards a rigorous Green Supply Chain Management. By critically evaluating Unilever’s CSR correction at an executive level, I learned that strategy is rarely about choosing between good and bad. Instead, management has to carefully navigate highly complex trade-offs between ethical purpose, shareholder profit, and operational agility.</w:t>
      </w:r>
    </w:p>
    <w:p>
      <w:pPr>
        <w:pStyle w:val="Normal"/>
        <w:spacing w:lineRule="auto" w:line="360" w:before="0" w:after="200"/>
        <w:jc w:val="both"/>
        <w:rPr>
          <w:rFonts w:ascii="Arial" w:hAnsi="Arial"/>
          <w:b/>
          <w:bCs/>
          <w:sz w:val="24"/>
          <w:szCs w:val="24"/>
        </w:rPr>
      </w:pPr>
      <w:r>
        <w:rPr>
          <w:b/>
          <w:bCs/>
          <w:sz w:val="24"/>
          <w:szCs w:val="24"/>
        </w:rPr>
        <w:t>5. Conclusion</w:t>
      </w:r>
    </w:p>
    <w:p>
      <w:pPr>
        <w:pStyle w:val="Normal"/>
        <w:spacing w:lineRule="auto" w:line="360" w:before="0" w:after="200"/>
        <w:jc w:val="both"/>
        <w:rPr>
          <w:rFonts w:ascii="Arial" w:hAnsi="Arial"/>
          <w:sz w:val="24"/>
          <w:szCs w:val="24"/>
        </w:rPr>
      </w:pPr>
      <w:r>
        <w:rPr>
          <w:sz w:val="24"/>
          <w:szCs w:val="24"/>
        </w:rPr>
        <w:t xml:space="preserve">When I reflect on the entier process, my project scope and gathered literature were inefficient in the initial phase. I spent too much time </w:t>
      </w:r>
      <w:r>
        <w:rPr>
          <w:sz w:val="24"/>
          <w:szCs w:val="24"/>
        </w:rPr>
        <w:t>going through</w:t>
      </w:r>
      <w:r>
        <w:rPr>
          <w:sz w:val="24"/>
          <w:szCs w:val="24"/>
        </w:rPr>
        <w:t xml:space="preserve"> Unilever’s historical </w:t>
      </w:r>
      <w:r>
        <w:rPr>
          <w:sz w:val="24"/>
          <w:szCs w:val="24"/>
        </w:rPr>
        <w:t>data about</w:t>
      </w:r>
      <w:r>
        <w:rPr>
          <w:sz w:val="24"/>
          <w:szCs w:val="24"/>
        </w:rPr>
        <w:t xml:space="preserve"> acquisitions and marketing campaigns without paying much attention on their current divestments and structural reorganisations. </w:t>
      </w:r>
      <w:r>
        <w:rPr>
          <w:sz w:val="24"/>
          <w:szCs w:val="24"/>
        </w:rPr>
        <w:t>Instead, I should have</w:t>
      </w:r>
      <w:r>
        <w:rPr>
          <w:sz w:val="24"/>
          <w:szCs w:val="24"/>
        </w:rPr>
        <w:t xml:space="preserve"> applied the Balanced Scorecard framework </w:t>
      </w:r>
      <w:r>
        <w:rPr>
          <w:sz w:val="24"/>
          <w:szCs w:val="24"/>
        </w:rPr>
        <w:t>during</w:t>
      </w:r>
      <w:r>
        <w:rPr>
          <w:sz w:val="24"/>
          <w:szCs w:val="24"/>
        </w:rPr>
        <w:t xml:space="preserve"> the initial research phase </w:t>
      </w:r>
      <w:r>
        <w:rPr>
          <w:sz w:val="24"/>
          <w:szCs w:val="24"/>
        </w:rPr>
        <w:t>itself. This would have helped me with</w:t>
      </w:r>
      <w:r>
        <w:rPr>
          <w:sz w:val="24"/>
          <w:szCs w:val="24"/>
        </w:rPr>
        <w:t xml:space="preserve"> targe</w:t>
      </w:r>
      <w:r>
        <w:rPr>
          <w:sz w:val="24"/>
          <w:szCs w:val="24"/>
        </w:rPr>
        <w:t>ting the</w:t>
      </w:r>
      <w:r>
        <w:rPr>
          <w:sz w:val="24"/>
          <w:szCs w:val="24"/>
        </w:rPr>
        <w:t xml:space="preserve"> specific financial and operational KPIs and focus my reading much more effectively to save my valuable time.</w:t>
      </w:r>
    </w:p>
    <w:p>
      <w:pPr>
        <w:pStyle w:val="Normal"/>
        <w:spacing w:lineRule="auto" w:line="360" w:before="0" w:after="200"/>
        <w:jc w:val="both"/>
        <w:rPr>
          <w:rFonts w:ascii="Arial" w:hAnsi="Arial"/>
          <w:sz w:val="24"/>
          <w:szCs w:val="24"/>
        </w:rPr>
      </w:pPr>
      <w:r>
        <w:rPr>
          <w:sz w:val="24"/>
          <w:szCs w:val="24"/>
        </w:rPr>
        <w:t>I could have engaged more deeply with Kolb's Experiential Learning Cycle during the actual research phase. I could have treated each draft as a concrete experience and iteratively test my hypotheses about Unilever's strategy against their 2024 financial reports; This way i would have created much sharper drafts in the initial phases.</w:t>
      </w:r>
    </w:p>
    <w:p>
      <w:pPr>
        <w:pStyle w:val="Normal"/>
        <w:spacing w:lineRule="auto" w:line="360" w:before="0" w:after="200"/>
        <w:jc w:val="both"/>
        <w:rPr>
          <w:rFonts w:ascii="Arial" w:hAnsi="Arial"/>
          <w:b/>
          <w:bCs/>
          <w:sz w:val="24"/>
          <w:szCs w:val="24"/>
        </w:rPr>
      </w:pPr>
      <w:r>
        <w:rPr>
          <w:b/>
          <w:bCs/>
          <w:sz w:val="24"/>
          <w:szCs w:val="24"/>
        </w:rPr>
        <w:t>6. Action Plan</w:t>
      </w:r>
    </w:p>
    <w:p>
      <w:pPr>
        <w:pStyle w:val="Normal"/>
        <w:spacing w:lineRule="auto" w:line="360" w:before="0" w:after="200"/>
        <w:jc w:val="both"/>
        <w:rPr>
          <w:rFonts w:ascii="Arial" w:hAnsi="Arial"/>
          <w:sz w:val="24"/>
          <w:szCs w:val="24"/>
        </w:rPr>
      </w:pPr>
      <w:r>
        <w:rPr>
          <w:sz w:val="24"/>
          <w:szCs w:val="24"/>
        </w:rPr>
        <w:t>In future, I would make following changes in my master's programme and into my wider professional career. I will implement a much stricter framwork first methodology when approaching complex business problems. Rather than drowning in unstructured research data, I will immediately deploy tools like the VRIO framework or Ansoff's Matrix to categorise information as I read it, creating an immediate analytical hierarchy.</w:t>
      </w:r>
    </w:p>
    <w:p>
      <w:pPr>
        <w:pStyle w:val="Normal"/>
        <w:spacing w:lineRule="auto" w:line="360" w:before="0" w:after="200"/>
        <w:jc w:val="both"/>
        <w:rPr>
          <w:rFonts w:ascii="Arial" w:hAnsi="Arial"/>
          <w:sz w:val="24"/>
          <w:szCs w:val="24"/>
        </w:rPr>
      </w:pPr>
      <w:r>
        <w:rPr>
          <w:sz w:val="24"/>
          <w:szCs w:val="24"/>
        </w:rPr>
        <w:t>To improve my writing in future professional reports, I will adopt a more rigorous outlining process. I would explicitly defining the thesis statement at the top and overarching argument for each section before writing the actual report. This will also resolve my concerns about descriptive writing, and ensure that my work consistently maintains the critical depth, and strategic rigor expected at a postgraduate and executive level.</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r>
        <w:br w:type="page"/>
      </w:r>
    </w:p>
    <w:p>
      <w:pPr>
        <w:pStyle w:val="Heading1"/>
        <w:spacing w:lineRule="auto" w:line="360" w:before="0" w:after="200"/>
        <w:jc w:val="both"/>
        <w:rPr>
          <w:rFonts w:ascii="Arial" w:hAnsi="Arial"/>
          <w:sz w:val="24"/>
          <w:szCs w:val="24"/>
        </w:rPr>
      </w:pPr>
      <w:bookmarkStart w:id="0" w:name="_pemnsk9klfvc"/>
      <w:bookmarkEnd w:id="0"/>
      <w:r>
        <w:rPr>
          <w:rFonts w:ascii="Arial" w:hAnsi="Arial"/>
          <w:sz w:val="24"/>
          <w:szCs w:val="24"/>
        </w:rPr>
        <w:t>References</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 IE University (2026) Top FMCG companies in 2026: Industry leaders in food, beauty, home. </w:t>
      </w:r>
      <w:hyperlink r:id="rId29">
        <w:r>
          <w:rPr>
            <w:rStyle w:val="Hyperlink"/>
            <w:rFonts w:eastAsia="Times New Roman" w:cs="Times New Roman"/>
            <w:sz w:val="24"/>
            <w:szCs w:val="24"/>
          </w:rPr>
          <w:t>https://www.ie.edu/uncover-ie/careers-outcomes-top-companies-fmcg/</w:t>
        </w:r>
      </w:hyperlink>
      <w:r>
        <w:rPr>
          <w:rFonts w:eastAsia="Times New Roman" w:cs="Times New Roman"/>
          <w:sz w:val="24"/>
          <w:szCs w:val="24"/>
        </w:rPr>
        <w:t xml:space="preserve"> (Accessed on : 30th March,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 MatrixBCG (2026) How Does Unilever Company Work?. </w:t>
      </w:r>
      <w:hyperlink r:id="rId30">
        <w:r>
          <w:rPr>
            <w:rStyle w:val="Hyperlink"/>
            <w:rFonts w:eastAsia="Times New Roman" w:cs="Times New Roman"/>
            <w:sz w:val="24"/>
            <w:szCs w:val="24"/>
          </w:rPr>
          <w:t>https://matrixbcg.com/blogs/how-it-works/unilever</w:t>
        </w:r>
      </w:hyperlink>
      <w:r>
        <w:rPr>
          <w:rFonts w:eastAsia="Times New Roman" w:cs="Times New Roman"/>
          <w:sz w:val="24"/>
          <w:szCs w:val="24"/>
        </w:rPr>
        <w:t xml:space="preserve">  (Accessed: 28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3. Teece, D.J., Pisano, G. and Shuen, A. (1997) 'Dynamic capabilities and strategic management', Strategic Management Journal, 18(7), pp. 509-533. </w:t>
      </w:r>
      <w:hyperlink r:id="rId31">
        <w:r>
          <w:rPr>
            <w:rStyle w:val="Hyperlink"/>
            <w:rFonts w:eastAsia="Times New Roman" w:cs="Times New Roman"/>
            <w:sz w:val="24"/>
            <w:szCs w:val="24"/>
          </w:rPr>
          <w:t>https://www.jstor.org/stable/3088148</w:t>
        </w:r>
      </w:hyperlink>
      <w:r>
        <w:rPr>
          <w:rFonts w:eastAsia="Times New Roman" w:cs="Times New Roman"/>
          <w:sz w:val="24"/>
          <w:szCs w:val="24"/>
        </w:rPr>
        <w:t xml:space="preserve">  (Accessed: 28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4. Unilever (2024) Unilever Annual Report and Accounts 2024. </w:t>
      </w:r>
      <w:hyperlink r:id="rId32">
        <w:r>
          <w:rPr>
            <w:rStyle w:val="Hyperlink"/>
            <w:rFonts w:eastAsia="Times New Roman" w:cs="Times New Roman"/>
            <w:sz w:val="24"/>
            <w:szCs w:val="24"/>
          </w:rPr>
          <w:t>https://www.unilever.com/files/unilever-annual-report-and-accounts-2024.pdf</w:t>
        </w:r>
      </w:hyperlink>
      <w:r>
        <w:rPr>
          <w:rFonts w:eastAsia="Times New Roman" w:cs="Times New Roman"/>
          <w:sz w:val="24"/>
          <w:szCs w:val="24"/>
        </w:rPr>
        <w:t xml:space="preserve">  (Accessed: 28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5. Unilever (2025) Unilever Annual Report and Accounts 2025. </w:t>
      </w:r>
      <w:hyperlink r:id="rId33">
        <w:r>
          <w:rPr>
            <w:rStyle w:val="Hyperlink"/>
            <w:rFonts w:eastAsia="Times New Roman" w:cs="Times New Roman"/>
            <w:sz w:val="24"/>
            <w:szCs w:val="24"/>
          </w:rPr>
          <w:t>https://www.unilever.com/files/unilever-annual-report-and-accounts-2025.pdf</w:t>
        </w:r>
      </w:hyperlink>
      <w:r>
        <w:rPr>
          <w:rFonts w:eastAsia="Times New Roman" w:cs="Times New Roman"/>
          <w:sz w:val="24"/>
          <w:szCs w:val="24"/>
        </w:rPr>
        <w:t xml:space="preserve">  (Accessed: 28 April 2026)</w:t>
      </w:r>
    </w:p>
    <w:p>
      <w:pPr>
        <w:pStyle w:val="BodyText"/>
        <w:bidi w:val="0"/>
        <w:spacing w:before="0" w:after="140"/>
        <w:ind w:hanging="0" w:start="0" w:end="0"/>
        <w:jc w:val="start"/>
        <w:rPr>
          <w:rFonts w:ascii="Arial" w:hAnsi="Arial" w:eastAsia="Times New Roman" w:cs="Times New Roman"/>
          <w:sz w:val="24"/>
          <w:szCs w:val="24"/>
          <w:u w:val="none"/>
        </w:rPr>
      </w:pPr>
      <w:r>
        <w:rPr>
          <w:rFonts w:eastAsia="Times New Roman" w:cs="Times New Roman"/>
          <w:sz w:val="24"/>
          <w:szCs w:val="24"/>
        </w:rPr>
        <w:t xml:space="preserve">6. </w:t>
      </w:r>
      <w:r>
        <w:rPr>
          <w:rFonts w:eastAsia="Times New Roman" w:cs="Times New Roman"/>
          <w:sz w:val="24"/>
          <w:szCs w:val="24"/>
          <w:u w:val="none"/>
        </w:rPr>
        <w:t xml:space="preserve">Barney, J. (1991) 'Firm Resources and Sustained Competitive Advantage', Journal of Management, 17(1), pp. 99–120. </w:t>
      </w:r>
      <w:hyperlink r:id="rId34">
        <w:r>
          <w:rPr>
            <w:rStyle w:val="Hyperlink"/>
            <w:rFonts w:eastAsia="Times New Roman" w:cs="Times New Roman"/>
            <w:sz w:val="24"/>
            <w:szCs w:val="24"/>
            <w:u w:val="none"/>
          </w:rPr>
          <w:t>https://doi.org/10.1177/014920639101700108</w:t>
        </w:r>
      </w:hyperlink>
      <w:r>
        <w:rPr>
          <w:rFonts w:eastAsia="Times New Roman" w:cs="Times New Roman"/>
          <w:sz w:val="24"/>
          <w:szCs w:val="24"/>
          <w:u w:val="none"/>
        </w:rPr>
        <w:t xml:space="preserve"> (Accessed: 29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7. </w:t>
      </w:r>
      <w:r>
        <w:rPr>
          <w:rFonts w:eastAsia="Times New Roman" w:cs="Times New Roman"/>
          <w:sz w:val="24"/>
          <w:szCs w:val="24"/>
          <w:u w:val="none"/>
        </w:rPr>
        <w:t xml:space="preserve">James Sharp &amp; Co. (2025) Unilever plc 2024 Final Results February 13, 2025. Available at: </w:t>
      </w:r>
      <w:hyperlink r:id="rId35">
        <w:r>
          <w:rPr>
            <w:rStyle w:val="Hyperlink"/>
            <w:rFonts w:eastAsia="Times New Roman" w:cs="Times New Roman"/>
            <w:sz w:val="24"/>
            <w:szCs w:val="24"/>
            <w:u w:val="none"/>
          </w:rPr>
          <w:t>https://www.jamessharp.co.uk/market-news/unilever-plc-2024-final-results/</w:t>
        </w:r>
      </w:hyperlink>
      <w:r>
        <w:rPr>
          <w:rFonts w:eastAsia="Times New Roman" w:cs="Times New Roman"/>
          <w:sz w:val="24"/>
          <w:szCs w:val="24"/>
          <w:u w:val="none"/>
        </w:rPr>
        <w:t xml:space="preserve"> (Accessed: 29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8. </w:t>
      </w:r>
      <w:r>
        <w:rPr>
          <w:rFonts w:eastAsia="Times New Roman" w:cs="Times New Roman"/>
          <w:sz w:val="24"/>
          <w:szCs w:val="24"/>
          <w:u w:val="none"/>
        </w:rPr>
        <w:t xml:space="preserve">MatrixBCG (2026) How Does Unilever Company Work?. Available at: </w:t>
      </w:r>
      <w:hyperlink r:id="rId36">
        <w:r>
          <w:rPr>
            <w:rStyle w:val="Hyperlink"/>
            <w:rFonts w:eastAsia="Times New Roman" w:cs="Times New Roman"/>
            <w:sz w:val="24"/>
            <w:szCs w:val="24"/>
            <w:u w:val="none"/>
          </w:rPr>
          <w:t>https://matrixbcg.com/blogs/how-it-works/unilever</w:t>
        </w:r>
      </w:hyperlink>
      <w:r>
        <w:rPr>
          <w:rFonts w:eastAsia="Times New Roman" w:cs="Times New Roman"/>
          <w:sz w:val="24"/>
          <w:szCs w:val="24"/>
          <w:u w:val="none"/>
        </w:rPr>
        <w:t xml:space="preserve">  (Accessed: 29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9. </w:t>
      </w:r>
      <w:r>
        <w:rPr>
          <w:rFonts w:eastAsia="Times New Roman" w:cs="Times New Roman"/>
          <w:sz w:val="24"/>
          <w:szCs w:val="24"/>
          <w:u w:val="none"/>
        </w:rPr>
        <w:t xml:space="preserve">MatrixBCG (2026) What is Growth Strategy and Future Prospects of Unilever Company?. Available at: </w:t>
      </w:r>
      <w:hyperlink r:id="rId37">
        <w:r>
          <w:rPr>
            <w:rStyle w:val="Hyperlink"/>
            <w:rFonts w:eastAsia="Times New Roman" w:cs="Times New Roman"/>
            <w:sz w:val="24"/>
            <w:szCs w:val="24"/>
            <w:u w:val="none"/>
          </w:rPr>
          <w:t>https://matrixbcg.com/blogs/growth-strategy/unilever</w:t>
        </w:r>
      </w:hyperlink>
      <w:r>
        <w:rPr>
          <w:rFonts w:eastAsia="Times New Roman" w:cs="Times New Roman"/>
          <w:sz w:val="24"/>
          <w:szCs w:val="24"/>
          <w:u w:val="none"/>
        </w:rPr>
        <w:t xml:space="preserve">  (Accessed: 29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10. </w:t>
      </w:r>
      <w:r>
        <w:rPr>
          <w:rFonts w:eastAsia="Times New Roman" w:cs="Times New Roman"/>
          <w:sz w:val="24"/>
          <w:szCs w:val="24"/>
          <w:u w:val="none"/>
        </w:rPr>
        <w:t xml:space="preserve">PortersFiveForce (2026) How Does Unilever Company Work?. Available at: </w:t>
      </w:r>
      <w:hyperlink r:id="rId38">
        <w:r>
          <w:rPr>
            <w:rStyle w:val="Hyperlink"/>
            <w:rFonts w:eastAsia="Times New Roman" w:cs="Times New Roman"/>
            <w:sz w:val="24"/>
            <w:szCs w:val="24"/>
            <w:u w:val="none"/>
          </w:rPr>
          <w:t>https://portersfiveforce.com/blogs/how-it-works/unilever</w:t>
        </w:r>
      </w:hyperlink>
      <w:r>
        <w:rPr>
          <w:rFonts w:eastAsia="Times New Roman" w:cs="Times New Roman"/>
          <w:sz w:val="24"/>
          <w:szCs w:val="24"/>
          <w:u w:val="none"/>
        </w:rPr>
        <w:t xml:space="preserve">  (Accessed: 29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11. </w:t>
      </w:r>
      <w:r>
        <w:rPr>
          <w:rFonts w:eastAsia="Times New Roman" w:cs="Times New Roman"/>
          <w:sz w:val="24"/>
          <w:szCs w:val="24"/>
          <w:u w:val="none"/>
        </w:rPr>
        <w:t xml:space="preserve">PortersFiveForce (2026) What is Growth Strategy and Future Prospects of Unilever Company?. Available at: </w:t>
      </w:r>
      <w:hyperlink r:id="rId39">
        <w:r>
          <w:rPr>
            <w:rStyle w:val="Hyperlink"/>
            <w:rFonts w:eastAsia="Times New Roman" w:cs="Times New Roman"/>
            <w:sz w:val="24"/>
            <w:szCs w:val="24"/>
            <w:u w:val="none"/>
          </w:rPr>
          <w:t>https://portersfiveforce.com/blogs/growth-strategy/unilever</w:t>
        </w:r>
      </w:hyperlink>
      <w:r>
        <w:rPr>
          <w:rFonts w:eastAsia="Times New Roman" w:cs="Times New Roman"/>
          <w:sz w:val="24"/>
          <w:szCs w:val="24"/>
          <w:u w:val="none"/>
        </w:rPr>
        <w:t xml:space="preserve"> (Accessed: 29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12. </w:t>
      </w:r>
      <w:r>
        <w:rPr>
          <w:rFonts w:eastAsia="Times New Roman" w:cs="Times New Roman"/>
          <w:sz w:val="24"/>
          <w:szCs w:val="24"/>
          <w:u w:val="none"/>
        </w:rPr>
        <w:t xml:space="preserve">Technavio (2026) FMCG Market Growth Analysis - Size and Forecast 2026-2030. Available at: </w:t>
      </w:r>
      <w:hyperlink r:id="rId40">
        <w:r>
          <w:rPr>
            <w:rStyle w:val="Hyperlink"/>
            <w:rFonts w:eastAsia="Times New Roman" w:cs="Times New Roman"/>
            <w:sz w:val="24"/>
            <w:szCs w:val="24"/>
            <w:u w:val="none"/>
          </w:rPr>
          <w:t>https://www.technavio.com/report/fmcg-market-industry-analysis</w:t>
        </w:r>
      </w:hyperlink>
      <w:r>
        <w:rPr>
          <w:rFonts w:eastAsia="Times New Roman" w:cs="Times New Roman"/>
          <w:sz w:val="24"/>
          <w:szCs w:val="24"/>
          <w:u w:val="none"/>
        </w:rPr>
        <w:t xml:space="preserve">  (Accessed: 29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13. </w:t>
      </w:r>
      <w:r>
        <w:rPr>
          <w:rFonts w:eastAsia="Times New Roman" w:cs="Times New Roman"/>
          <w:sz w:val="24"/>
          <w:szCs w:val="24"/>
          <w:u w:val="none"/>
        </w:rPr>
        <w:t>Whittington, R., Regnér, P., Angwin, D., Johnson, G. and Scholes, K. (2020) Exploring Strategy: Text and Cases. 12th edn. Harlow: Pearson Education Limited</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14. </w:t>
      </w:r>
      <w:r>
        <w:rPr>
          <w:rFonts w:eastAsia="Times New Roman" w:cs="Times New Roman"/>
          <w:sz w:val="24"/>
          <w:szCs w:val="24"/>
          <w:u w:val="none"/>
        </w:rPr>
        <w:t xml:space="preserve">Financial Times (2022) 'Fundsmith’s Terry Smith attacks Unilever’s ‘ludicrous’ focus on sustainability', Financial Times, 11 January. Available at: </w:t>
      </w:r>
      <w:hyperlink r:id="rId41">
        <w:r>
          <w:rPr>
            <w:rStyle w:val="Hyperlink"/>
            <w:rFonts w:eastAsia="Times New Roman" w:cs="Times New Roman"/>
            <w:sz w:val="24"/>
            <w:szCs w:val="24"/>
            <w:u w:val="none"/>
          </w:rPr>
          <w:t>https://www.ft.com/content/448d7be0-811c-4384-91b7-a359dc0fbf9b</w:t>
        </w:r>
      </w:hyperlink>
      <w:r>
        <w:rPr>
          <w:rFonts w:eastAsia="Times New Roman" w:cs="Times New Roman"/>
          <w:sz w:val="24"/>
          <w:szCs w:val="24"/>
          <w:u w:val="none"/>
        </w:rPr>
        <w:t xml:space="preserve">  (Accessed: 30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15. </w:t>
      </w:r>
      <w:r>
        <w:rPr>
          <w:rFonts w:eastAsia="Times New Roman" w:cs="Times New Roman"/>
          <w:sz w:val="24"/>
          <w:szCs w:val="24"/>
          <w:u w:val="none"/>
        </w:rPr>
        <w:t xml:space="preserve">Freeman, R.E. (1984) Strategic Management: A Stakeholder Approach. Boston: Pitman. Available at: </w:t>
      </w:r>
      <w:hyperlink r:id="rId42">
        <w:r>
          <w:rPr>
            <w:rStyle w:val="Hyperlink"/>
            <w:rFonts w:eastAsia="Times New Roman" w:cs="Times New Roman"/>
            <w:sz w:val="24"/>
            <w:szCs w:val="24"/>
            <w:u w:val="none"/>
          </w:rPr>
          <w:t>https://doi.org/10.1017/CBO9781139192675</w:t>
        </w:r>
      </w:hyperlink>
      <w:r>
        <w:rPr>
          <w:rFonts w:eastAsia="Times New Roman" w:cs="Times New Roman"/>
          <w:sz w:val="24"/>
          <w:szCs w:val="24"/>
          <w:u w:val="none"/>
        </w:rPr>
        <w:t xml:space="preserve">  (Accessed: 30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16. </w:t>
      </w:r>
      <w:r>
        <w:rPr>
          <w:rFonts w:eastAsia="Times New Roman" w:cs="Times New Roman"/>
          <w:sz w:val="24"/>
          <w:szCs w:val="24"/>
          <w:u w:val="none"/>
        </w:rPr>
        <w:t xml:space="preserve">Porter, M.E. and Kramer, M.R. (2011) 'Creating Shared Value', Harvard Business Review, 89(1/2), pp. 62–77. Available at: </w:t>
      </w:r>
      <w:hyperlink r:id="rId43">
        <w:r>
          <w:rPr>
            <w:rStyle w:val="Hyperlink"/>
            <w:rFonts w:eastAsia="Times New Roman" w:cs="Times New Roman"/>
            <w:sz w:val="24"/>
            <w:szCs w:val="24"/>
            <w:u w:val="none"/>
          </w:rPr>
          <w:t>https://hbr.org/2011/01/the-big-idea-creating-shared-value</w:t>
        </w:r>
      </w:hyperlink>
      <w:r>
        <w:rPr>
          <w:rFonts w:eastAsia="Times New Roman" w:cs="Times New Roman"/>
          <w:sz w:val="24"/>
          <w:szCs w:val="24"/>
          <w:u w:val="none"/>
        </w:rPr>
        <w:t xml:space="preserve">  (Accessed: 30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17. </w:t>
      </w:r>
      <w:r>
        <w:rPr>
          <w:rFonts w:eastAsia="Times New Roman" w:cs="Times New Roman"/>
          <w:sz w:val="24"/>
          <w:szCs w:val="24"/>
          <w:u w:val="none"/>
        </w:rPr>
        <w:t xml:space="preserve">Reuters (2024) 'Unilever scales back some environmental pledges to focus on execution', Reuters, 19 April. Available at: </w:t>
      </w:r>
      <w:hyperlink r:id="rId44">
        <w:r>
          <w:rPr>
            <w:rStyle w:val="Hyperlink"/>
            <w:rFonts w:eastAsia="Times New Roman" w:cs="Times New Roman"/>
            <w:sz w:val="24"/>
            <w:szCs w:val="24"/>
            <w:u w:val="none"/>
          </w:rPr>
          <w:t>https://www.reuters.com/sustainability/unilever-scales-back-some-environmental-pledges-2024-04-19/</w:t>
        </w:r>
      </w:hyperlink>
      <w:r>
        <w:rPr>
          <w:rFonts w:eastAsia="Times New Roman" w:cs="Times New Roman"/>
          <w:sz w:val="24"/>
          <w:szCs w:val="24"/>
          <w:u w:val="none"/>
        </w:rPr>
        <w:t xml:space="preserve">  (Accessed: 30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18. </w:t>
      </w:r>
      <w:r>
        <w:rPr>
          <w:rFonts w:eastAsia="Times New Roman" w:cs="Times New Roman"/>
          <w:sz w:val="24"/>
          <w:szCs w:val="24"/>
          <w:u w:val="none"/>
        </w:rPr>
        <w:t xml:space="preserve">Unilever (2024) Our sustainability strategy. Available at: </w:t>
      </w:r>
      <w:hyperlink r:id="rId45">
        <w:r>
          <w:rPr>
            <w:rStyle w:val="Hyperlink"/>
            <w:rFonts w:eastAsia="Times New Roman" w:cs="Times New Roman"/>
            <w:sz w:val="24"/>
            <w:szCs w:val="24"/>
            <w:u w:val="none"/>
          </w:rPr>
          <w:t>https://www.unilever.com/sustainability/</w:t>
        </w:r>
      </w:hyperlink>
      <w:r>
        <w:rPr>
          <w:rFonts w:eastAsia="Times New Roman" w:cs="Times New Roman"/>
          <w:sz w:val="24"/>
          <w:szCs w:val="24"/>
          <w:u w:val="none"/>
        </w:rPr>
        <w:t xml:space="preserve">  (Accessed: 30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19. Unilever PLC (“Unilever”) – New Directors’ Remuneration Policy for approval at 2024 AGM. </w:t>
      </w:r>
      <w:hyperlink r:id="rId46">
        <w:r>
          <w:rPr>
            <w:rStyle w:val="Hyperlink"/>
            <w:rFonts w:eastAsia="Times New Roman" w:cs="Times New Roman"/>
            <w:sz w:val="24"/>
            <w:szCs w:val="24"/>
          </w:rPr>
          <w:t>https://www.unilever.com/files/7bc471e6-94dc-48f6-b592-1435ed71bb75/2024-renewal-of-remuneration-policy.pdf</w:t>
        </w:r>
      </w:hyperlink>
      <w:r>
        <w:rPr>
          <w:rFonts w:eastAsia="Times New Roman" w:cs="Times New Roman"/>
          <w:sz w:val="24"/>
          <w:szCs w:val="24"/>
        </w:rPr>
        <w:t xml:space="preserve"> (Accessed on: 30th april)</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20. </w:t>
      </w:r>
      <w:r>
        <w:rPr>
          <w:rFonts w:eastAsia="Times New Roman" w:cs="Times New Roman"/>
          <w:sz w:val="24"/>
          <w:szCs w:val="24"/>
          <w:u w:val="none"/>
        </w:rPr>
        <w:t xml:space="preserve">Kaplan, R.S. and Norton, D.P. (1992) 'The Balanced Scorecard—Measures that Drive Performance', Harvard Business Review, 70(1), pp. 71–79. Available at: </w:t>
      </w:r>
      <w:hyperlink r:id="rId47">
        <w:r>
          <w:rPr>
            <w:rStyle w:val="Hyperlink"/>
            <w:rFonts w:eastAsia="Times New Roman" w:cs="Times New Roman"/>
            <w:sz w:val="24"/>
            <w:szCs w:val="24"/>
            <w:u w:val="none"/>
          </w:rPr>
          <w:t>https://hbr.org/1992/01/the-balanced-scorecard-measures-that-drive-performance-2</w:t>
        </w:r>
      </w:hyperlink>
      <w:r>
        <w:rPr>
          <w:rFonts w:eastAsia="Times New Roman" w:cs="Times New Roman"/>
          <w:sz w:val="24"/>
          <w:szCs w:val="24"/>
          <w:u w:val="none"/>
        </w:rPr>
        <w:t xml:space="preserve"> (Accessed on: 30th april)</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21. </w:t>
      </w:r>
      <w:r>
        <w:rPr>
          <w:rFonts w:eastAsia="Times New Roman" w:cs="Times New Roman"/>
          <w:sz w:val="24"/>
          <w:szCs w:val="24"/>
          <w:u w:val="none"/>
        </w:rPr>
        <w:t xml:space="preserve">Marketing Week (2024) Unilever ups marketing spend to back ‘power brands’. </w:t>
      </w:r>
      <w:hyperlink r:id="rId48">
        <w:r>
          <w:rPr>
            <w:rStyle w:val="Hyperlink"/>
            <w:rFonts w:eastAsia="Times New Roman" w:cs="Times New Roman"/>
            <w:sz w:val="24"/>
            <w:szCs w:val="24"/>
            <w:u w:val="none"/>
          </w:rPr>
          <w:t>https://www.marketingweek.com/unilever-boosts-brand-marketing-spend/</w:t>
        </w:r>
      </w:hyperlink>
      <w:r>
        <w:rPr>
          <w:rFonts w:eastAsia="Times New Roman" w:cs="Times New Roman"/>
          <w:sz w:val="24"/>
          <w:szCs w:val="24"/>
          <w:u w:val="none"/>
        </w:rPr>
        <w:t xml:space="preserve">  (Accessed: 30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22. </w:t>
      </w:r>
      <w:r>
        <w:rPr>
          <w:rFonts w:eastAsia="Times New Roman" w:cs="Times New Roman"/>
          <w:sz w:val="24"/>
          <w:szCs w:val="24"/>
          <w:u w:val="none"/>
        </w:rPr>
        <w:t xml:space="preserve">Reuters (2024) Unilever to spin off ice cream, cut 7,500 jobs in strategic overhaul. Available at: </w:t>
      </w:r>
      <w:hyperlink r:id="rId49">
        <w:r>
          <w:rPr>
            <w:rStyle w:val="Hyperlink"/>
            <w:rFonts w:eastAsia="Times New Roman" w:cs="Times New Roman"/>
            <w:sz w:val="24"/>
            <w:szCs w:val="24"/>
            <w:u w:val="none"/>
          </w:rPr>
          <w:t>https://www.reuters.com/business/retail-consumer/unilever-spin-off-ice-cream-launches-cost-savings-plan-2024-03-19/</w:t>
        </w:r>
      </w:hyperlink>
      <w:r>
        <w:rPr>
          <w:rFonts w:eastAsia="Times New Roman" w:cs="Times New Roman"/>
          <w:sz w:val="24"/>
          <w:szCs w:val="24"/>
          <w:u w:val="none"/>
        </w:rPr>
        <w:t xml:space="preserve">  (Accessed: 30 April 2026).</w:t>
      </w:r>
    </w:p>
    <w:p>
      <w:pPr>
        <w:pStyle w:val="BodyText"/>
        <w:bidi w:val="0"/>
        <w:spacing w:before="0" w:after="140"/>
        <w:ind w:hanging="0" w:start="0" w:end="0"/>
        <w:jc w:val="start"/>
        <w:rPr>
          <w:rFonts w:ascii="Arial" w:hAnsi="Arial" w:eastAsia="Times New Roman" w:cs="Times New Roman"/>
          <w:sz w:val="24"/>
          <w:szCs w:val="24"/>
          <w:u w:val="none"/>
        </w:rPr>
      </w:pPr>
      <w:r>
        <w:rPr>
          <w:rFonts w:eastAsia="Times New Roman" w:cs="Times New Roman"/>
          <w:sz w:val="24"/>
          <w:szCs w:val="24"/>
        </w:rPr>
        <w:t xml:space="preserve">23. </w:t>
      </w:r>
      <w:r>
        <w:rPr>
          <w:rFonts w:eastAsia="Times New Roman" w:cs="Times New Roman"/>
          <w:sz w:val="24"/>
          <w:szCs w:val="24"/>
          <w:u w:val="none"/>
        </w:rPr>
        <w:t xml:space="preserve">The Guardian (2024) Unilever to cut 7,500 jobs and spin off ice-cream business. Available at: </w:t>
      </w:r>
      <w:hyperlink r:id="rId50">
        <w:r>
          <w:rPr>
            <w:rStyle w:val="Hyperlink"/>
            <w:rFonts w:eastAsia="Times New Roman" w:cs="Times New Roman"/>
            <w:sz w:val="24"/>
            <w:szCs w:val="24"/>
            <w:u w:val="none"/>
          </w:rPr>
          <w:t>https://www.theguardian.com/business/2024/mar/19/unilever-to-cut-7500-jobs-and-spin-off-ice-cream-business</w:t>
        </w:r>
      </w:hyperlink>
      <w:r>
        <w:rPr>
          <w:rFonts w:eastAsia="Times New Roman" w:cs="Times New Roman"/>
          <w:sz w:val="24"/>
          <w:szCs w:val="24"/>
          <w:u w:val="none"/>
        </w:rPr>
        <w:t xml:space="preserve">  (Accessed: 30 April 2026).</w:t>
      </w:r>
    </w:p>
    <w:p>
      <w:pPr>
        <w:pStyle w:val="BodyText"/>
        <w:bidi w:val="0"/>
        <w:spacing w:before="0" w:after="140"/>
        <w:ind w:hanging="0" w:start="0" w:end="0"/>
        <w:jc w:val="start"/>
        <w:rPr>
          <w:rFonts w:ascii="Arial" w:hAnsi="Arial" w:eastAsia="Times New Roman" w:cs="Times New Roman"/>
          <w:sz w:val="24"/>
          <w:szCs w:val="24"/>
          <w:u w:val="none"/>
        </w:rPr>
      </w:pPr>
      <w:r>
        <w:rPr>
          <w:rFonts w:eastAsia="Times New Roman" w:cs="Times New Roman"/>
          <w:sz w:val="24"/>
          <w:szCs w:val="24"/>
        </w:rPr>
        <w:t xml:space="preserve">24. </w:t>
      </w:r>
      <w:r>
        <w:rPr>
          <w:rFonts w:eastAsia="Times New Roman" w:cs="Times New Roman"/>
          <w:sz w:val="24"/>
          <w:szCs w:val="24"/>
          <w:u w:val="none"/>
        </w:rPr>
        <w:t>Goold, M., Campbell, A. and Alexander, M. (1994) Corporate-Level Strategy: Creating Value in the Multibusiness Company. New York: John Wiley &amp; Sons.</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25. </w:t>
      </w:r>
      <w:r>
        <w:rPr>
          <w:rFonts w:eastAsia="Times New Roman" w:cs="Times New Roman"/>
          <w:sz w:val="24"/>
          <w:szCs w:val="24"/>
          <w:u w:val="none"/>
        </w:rPr>
        <w:t xml:space="preserve">People Matters (2024) Unilever unveils major layoff plan: 7,500 jobs axed to fuel growth strategy. Available at: </w:t>
      </w:r>
      <w:hyperlink r:id="rId51">
        <w:r>
          <w:rPr>
            <w:rStyle w:val="Hyperlink"/>
            <w:rFonts w:eastAsia="Times New Roman" w:cs="Times New Roman"/>
            <w:sz w:val="24"/>
            <w:szCs w:val="24"/>
            <w:u w:val="none"/>
          </w:rPr>
          <w:t>https://www.peoplematters.in/news/performance-management/unilever-unveils-major-layoff-plan-7500-jobs-axed-to-fuel-growth-strategy-40667</w:t>
        </w:r>
      </w:hyperlink>
      <w:r>
        <w:rPr>
          <w:rFonts w:eastAsia="Times New Roman" w:cs="Times New Roman"/>
          <w:sz w:val="24"/>
          <w:szCs w:val="24"/>
          <w:u w:val="none"/>
        </w:rPr>
        <w:t xml:space="preserve">  (Accessed: 30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u w:val="none"/>
        </w:rPr>
        <w:t>26. Porter, M.E. (1980) Competitive Strategy: Techniques for Analyzing Industries and Competitors. New York: Free Press.</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u w:val="none"/>
        </w:rPr>
        <w:t xml:space="preserve">27. Unilever (2025) Premiumisation powering growth for Unilever's beauty brands. Available at: </w:t>
      </w:r>
      <w:hyperlink r:id="rId52">
        <w:r>
          <w:rPr>
            <w:rStyle w:val="Hyperlink"/>
            <w:rFonts w:eastAsia="Times New Roman" w:cs="Times New Roman"/>
            <w:sz w:val="24"/>
            <w:szCs w:val="24"/>
            <w:u w:val="none"/>
          </w:rPr>
          <w:t>https://www.unilever.com/news/news-search/2025/how-premiumisation-is-powering-growth-for-unilevers-beauty-brands/</w:t>
        </w:r>
      </w:hyperlink>
      <w:r>
        <w:rPr>
          <w:rFonts w:eastAsia="Times New Roman" w:cs="Times New Roman"/>
          <w:sz w:val="24"/>
          <w:szCs w:val="24"/>
          <w:u w:val="none"/>
        </w:rPr>
        <w:t xml:space="preserve">  (Accessed: 30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u w:val="none"/>
        </w:rPr>
        <w:t xml:space="preserve">28. Srivastava, S. K. (2007) 'Green supply‐chain management: a state‐of‐the‐art literature review', International Journal of Management Reviews, 9(1), pp. 53-80. Available at: </w:t>
      </w:r>
      <w:hyperlink r:id="rId53">
        <w:r>
          <w:rPr>
            <w:rStyle w:val="Hyperlink"/>
            <w:rFonts w:eastAsia="Times New Roman" w:cs="Times New Roman"/>
            <w:sz w:val="24"/>
            <w:szCs w:val="24"/>
            <w:u w:val="none"/>
          </w:rPr>
          <w:t>https://doi.org/10.1111/j.1468-2370.2007.00202.x</w:t>
        </w:r>
      </w:hyperlink>
      <w:r>
        <w:rPr>
          <w:rFonts w:eastAsia="Times New Roman" w:cs="Times New Roman"/>
          <w:sz w:val="24"/>
          <w:szCs w:val="24"/>
          <w:u w:val="none"/>
        </w:rPr>
        <w:t xml:space="preserve">  (Accessed: 1 May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r>
    </w:p>
    <w:sectPr>
      <w:headerReference w:type="even" r:id="rId54"/>
      <w:headerReference w:type="default" r:id="rId55"/>
      <w:headerReference w:type="first" r:id="rId56"/>
      <w:footerReference w:type="even" r:id="rId57"/>
      <w:footerReference w:type="default" r:id="rId58"/>
      <w:footerReference w:type="first" r:id="rId59"/>
      <w:type w:val="nextPage"/>
      <w:pgSz w:w="11906" w:h="16838"/>
      <w:pgMar w:left="1440" w:right="1440" w:gutter="0" w:header="720" w:top="1440" w:footer="720" w:bottom="1440"/>
      <w:pgNumType w:start="1"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1" w:characterSet="utf-8"/>
    <w:family w:val="roman"/>
    <w:pitch w:val="variable"/>
  </w:font>
  <w:font w:name="Times New Roman">
    <w:charset w:val="01" w:characterSet="utf-8"/>
    <w:family w:val="roman"/>
    <w:pitch w:val="variable"/>
  </w:font>
  <w:font w:name="Arial">
    <w:charset w:val="01" w:characterSet="utf-8"/>
    <w:family w:val="swiss"/>
    <w:pitch w:val="variable"/>
  </w:font>
  <w:font w:name="OpenSymbol">
    <w:altName w:val="Arial Unicode MS"/>
    <w:charset w:val="01" w:characterSet="utf-8"/>
    <w:family w:val="roman"/>
    <w:pitch w:val="variable"/>
  </w:font>
  <w:font w:name="Liberation Sans">
    <w:altName w:val="Arial"/>
    <w:charset w:val="01" w:characterSet="utf-8"/>
    <w:family w:val="swiss"/>
    <w:pitch w:val="variable"/>
  </w:font>
  <w:font w:name="Symbol">
    <w:charset w:val="02"/>
    <w:family w:val="auto"/>
    <w:pitch w:val="default"/>
  </w:font>
  <w:font w:name="OpenSymbol">
    <w:altName w:val="Arial Unicode MS"/>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rFonts w:ascii="Times New Roman" w:hAnsi="Times New Roman" w:eastAsia="Times New Roman" w:cs="Times New Roman"/>
        <w:sz w:val="24"/>
        <w:szCs w:val="24"/>
      </w:rPr>
    </w:pPr>
    <w:r>
      <w:rPr/>
      <w:fldChar w:fldCharType="begin"/>
    </w:r>
    <w:r>
      <w:rPr/>
      <w:instrText xml:space="preserve"> PAGE </w:instrText>
    </w:r>
    <w:r>
      <w:rPr/>
      <w:fldChar w:fldCharType="separate"/>
    </w:r>
    <w:r>
      <w:rPr/>
      <w:t>30</w:t>
    </w:r>
    <w:r>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rFonts w:ascii="Times New Roman" w:hAnsi="Times New Roman" w:eastAsia="Times New Roman" w:cs="Times New Roman"/>
        <w:sz w:val="24"/>
        <w:szCs w:val="24"/>
      </w:rPr>
    </w:pPr>
    <w:r>
      <w:rPr/>
      <w:fldChar w:fldCharType="begin"/>
    </w:r>
    <w:r>
      <w:rPr/>
      <w:instrText xml:space="preserve"> PAGE </w:instrText>
    </w:r>
    <w:r>
      <w:rPr/>
      <w:fldChar w:fldCharType="separate"/>
    </w:r>
    <w:r>
      <w:rPr/>
      <w:t>30</w:t>
    </w:r>
    <w:r>
      <w:rPr/>
      <w:fldChar w:fldCharType="end"/>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pPr>
    <w:bookmarkStart w:id="1" w:name="_GoBack"/>
    <w:bookmarkEnd w:id="1"/>
    <w:r>
      <w:rPr/>
      <w:drawing>
        <wp:inline distT="0" distB="0" distL="0" distR="0">
          <wp:extent cx="1783715" cy="951865"/>
          <wp:effectExtent l="0" t="0" r="0" b="0"/>
          <wp:docPr id="15"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pPr>
    <w:bookmarkStart w:id="2" w:name="_GoBack"/>
    <w:bookmarkEnd w:id="2"/>
    <w:r>
      <w:rPr/>
      <w:drawing>
        <wp:inline distT="0" distB="0" distL="0" distR="0">
          <wp:extent cx="1783715" cy="951865"/>
          <wp:effectExtent l="0" t="0" r="0" b="0"/>
          <wp:docPr id="16"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2">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 w:numId="2">
    <w:abstractNumId w:val="2"/>
  </w:num>
</w:numbering>
</file>

<file path=word/settings.xml><?xml version="1.0" encoding="utf-8"?>
<w:settings xmlns:w="http://schemas.openxmlformats.org/wordprocessingml/2006/main">
  <w:zoom w:percent="114"/>
  <w:defaultTabStop w:val="720"/>
  <w:autoHyphenation w:val="true"/>
  <w:hyphenationZone w:val="0"/>
  <w:compat>
    <w:doNotExpandShiftReturn/>
    <w:compatSetting w:name="compatibilityMode" w:uri="http://schemas.microsoft.com/office/word" w:val="15"/>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SimSun" w:cs="Times New Roman"/>
        <w:lang w:val="en-US" w:eastAsia="zh-CN" w:bidi="hi-IN"/>
      </w:rPr>
    </w:rPrDefault>
    <w:pPrDefault>
      <w:pPr>
        <w:suppressAutoHyphens w:val="true"/>
      </w:pPr>
    </w:pPrDefault>
  </w:docDefaults>
  <w:latentStyles w:defLockedState="0" w:defUIPriority="99" w:defSemiHidden="1" w:defUnhideWhenUsed="1" w:defQFormat="0" w:count="260">
    <w:lsdException w:name="Normal" w:uiPriority="0" w:semiHidden="0" w:unhideWhenUsed="0"/>
    <w:lsdException w:name="heading 1" w:uiPriority="0" w:semiHidden="0" w:unhideWhenUsed="0" w:qFormat="1"/>
    <w:lsdException w:name="heading 2" w:uiPriority="0" w:semiHidden="0" w:unhideWhenUsed="0" w:qFormat="1"/>
    <w:lsdException w:name="heading 3" w:uiPriority="0" w:semiHidden="0" w:unhideWhenUsed="0"/>
    <w:lsdException w:name="heading 4" w:uiPriority="0" w:semiHidden="0" w:unhideWhenUsed="0"/>
    <w:lsdException w:name="heading 5" w:uiPriority="0" w:semiHidden="0" w:unhideWhenUsed="0" w:qFormat="1"/>
    <w:lsdException w:name="heading 6" w:uiPriority="0" w:semiHidden="0" w:unhideWhenUsed="0" w:qFormat="1"/>
    <w:lsdException w:name="heading 7" w:uiPriority="0" w:qFormat="1"/>
    <w:lsdException w:name="heading 8" w:uiPriority="0" w:qFormat="1"/>
    <w:lsdException w:name="heading 9" w:uiPriority="0" w:qFormat="1"/>
    <w:lsdException w:name="index 1" w:uiPriority="0" w:semiHidden="0" w:unhideWhenUsed="0"/>
    <w:lsdException w:name="index 2" w:uiPriority="0" w:semiHidden="0" w:unhideWhenUsed="0"/>
    <w:lsdException w:name="index 3" w:uiPriority="0" w:semiHidden="0" w:unhideWhenUsed="0"/>
    <w:lsdException w:name="index 4" w:uiPriority="0" w:semiHidden="0" w:unhideWhenUsed="0"/>
    <w:lsdException w:name="index 5" w:uiPriority="0" w:semiHidden="0" w:unhideWhenUsed="0"/>
    <w:lsdException w:name="index 6" w:uiPriority="0" w:semiHidden="0" w:unhideWhenUsed="0"/>
    <w:lsdException w:name="index 7" w:uiPriority="0" w:semiHidden="0" w:unhideWhenUsed="0"/>
    <w:lsdException w:name="index 8" w:uiPriority="0" w:semiHidden="0" w:unhideWhenUsed="0"/>
    <w:lsdException w:name="index 9" w:uiPriority="0" w:semiHidden="0" w:unhideWhenUsed="0"/>
    <w:lsdException w:name="toc 1" w:uiPriority="0" w:semiHidden="0" w:unhideWhenUsed="0"/>
    <w:lsdException w:name="toc 2" w:uiPriority="0" w:semiHidden="0" w:unhideWhenUsed="0"/>
    <w:lsdException w:name="toc 3" w:uiPriority="0" w:semiHidden="0" w:unhideWhenUsed="0"/>
    <w:lsdException w:name="toc 4" w:uiPriority="0" w:semiHidden="0" w:unhideWhenUsed="0"/>
    <w:lsdException w:name="toc 5" w:uiPriority="0" w:semiHidden="0" w:unhideWhenUsed="0"/>
    <w:lsdException w:name="toc 6" w:uiPriority="0" w:semiHidden="0" w:unhideWhenUsed="0"/>
    <w:lsdException w:name="toc 7" w:uiPriority="0" w:semiHidden="0" w:unhideWhenUsed="0"/>
    <w:lsdException w:name="toc 8" w:uiPriority="0" w:semiHidden="0" w:unhideWhenUsed="0"/>
    <w:lsdException w:name="toc 9" w:uiPriority="0" w:semiHidden="0" w:unhideWhenUsed="0"/>
    <w:lsdException w:name="Normal Indent" w:uiPriority="0" w:semiHidden="0" w:unhideWhenUsed="0"/>
    <w:lsdException w:name="footnote text" w:uiPriority="0" w:semiHidden="0" w:unhideWhenUsed="0"/>
    <w:lsdException w:name="annotation text" w:uiPriority="0" w:semiHidden="0" w:unhideWhenUsed="0"/>
    <w:lsdException w:name="header" w:uiPriority="0" w:semiHidden="0" w:unhideWhenUsed="0"/>
    <w:lsdException w:name="footer" w:uiPriority="0" w:semiHidden="0" w:unhideWhenUsed="0"/>
    <w:lsdException w:name="index heading" w:uiPriority="0" w:semiHidden="0" w:unhideWhenUsed="0"/>
    <w:lsdException w:name="caption" w:uiPriority="0" w:qFormat="1"/>
    <w:lsdException w:name="table of figures" w:uiPriority="0" w:semiHidden="0" w:unhideWhenUsed="0"/>
    <w:lsdException w:name="envelope address" w:uiPriority="0" w:semiHidden="0" w:unhideWhenUsed="0"/>
    <w:lsdException w:name="envelope return" w:uiPriority="0" w:semiHidden="0" w:unhideWhenUsed="0"/>
    <w:lsdException w:name="footnote reference" w:uiPriority="0" w:semiHidden="0" w:unhideWhenUsed="0"/>
    <w:lsdException w:name="annotation reference" w:uiPriority="0" w:semiHidden="0" w:unhideWhenUsed="0"/>
    <w:lsdException w:name="line number" w:uiPriority="0" w:semiHidden="0" w:unhideWhenUsed="0"/>
    <w:lsdException w:name="page number" w:uiPriority="0" w:semiHidden="0" w:unhideWhenUsed="0"/>
    <w:lsdException w:name="endnote reference" w:uiPriority="0" w:semiHidden="0" w:unhideWhenUsed="0"/>
    <w:lsdException w:name="endnote text" w:uiPriority="0" w:semiHidden="0" w:unhideWhenUsed="0"/>
    <w:lsdException w:name="table of authorities" w:uiPriority="0" w:semiHidden="0" w:unhideWhenUsed="0"/>
    <w:lsdException w:name="macro" w:uiPriority="0" w:semiHidden="0" w:unhideWhenUsed="0"/>
    <w:lsdException w:name="toa heading" w:uiPriority="0" w:semiHidden="0" w:unhideWhenUsed="0"/>
    <w:lsdException w:name="List" w:uiPriority="0" w:semiHidden="0" w:unhideWhenUsed="0"/>
    <w:lsdException w:name="List Bullet" w:uiPriority="0" w:semiHidden="0" w:unhideWhenUsed="0"/>
    <w:lsdException w:name="List Number" w:uiPriority="0" w:semiHidden="0" w:unhideWhenUsed="0"/>
    <w:lsdException w:name="List 2" w:uiPriority="0" w:semiHidden="0" w:unhideWhenUsed="0"/>
    <w:lsdException w:name="List 3" w:uiPriority="0" w:semiHidden="0" w:unhideWhenUsed="0"/>
    <w:lsdException w:name="List 4" w:uiPriority="0" w:semiHidden="0" w:unhideWhenUsed="0"/>
    <w:lsdException w:name="List 5" w:uiPriority="0" w:semiHidden="0" w:unhideWhenUsed="0"/>
    <w:lsdException w:name="List Bullet 2" w:uiPriority="0" w:semiHidden="0" w:unhideWhenUsed="0"/>
    <w:lsdException w:name="List Bullet 3" w:uiPriority="0" w:semiHidden="0" w:unhideWhenUsed="0"/>
    <w:lsdException w:name="List Bullet 4" w:uiPriority="0" w:semiHidden="0" w:unhideWhenUsed="0"/>
    <w:lsdException w:name="List Bullet 5" w:uiPriority="0" w:semiHidden="0" w:unhideWhenUsed="0"/>
    <w:lsdException w:name="List Number 2" w:uiPriority="0" w:semiHidden="0" w:unhideWhenUsed="0"/>
    <w:lsdException w:name="List Number 3" w:uiPriority="0" w:semiHidden="0" w:unhideWhenUsed="0"/>
    <w:lsdException w:name="List Number 4" w:uiPriority="0" w:semiHidden="0" w:unhideWhenUsed="0"/>
    <w:lsdException w:name="List Number 5" w:uiPriority="0" w:semiHidden="0" w:unhideWhenUsed="0"/>
    <w:lsdException w:name="Title" w:uiPriority="0" w:semiHidden="0" w:unhideWhenUsed="0"/>
    <w:lsdException w:name="Closing" w:uiPriority="0" w:semiHidden="0" w:unhideWhenUsed="0"/>
    <w:lsdException w:name="Signature" w:uiPriority="0" w:semiHidden="0" w:unhideWhenUsed="0"/>
    <w:lsdException w:name="Default Paragraph Font" w:uiPriority="0" w:unhideWhenUsed="0"/>
    <w:lsdException w:name="Body Text" w:uiPriority="0" w:semiHidden="0" w:unhideWhenUsed="0"/>
    <w:lsdException w:name="Body Text Indent" w:uiPriority="0" w:semiHidden="0" w:unhideWhenUsed="0"/>
    <w:lsdException w:name="List Continue" w:uiPriority="0" w:semiHidden="0" w:unhideWhenUsed="0"/>
    <w:lsdException w:name="List Continue 2" w:uiPriority="0" w:semiHidden="0" w:unhideWhenUsed="0"/>
    <w:lsdException w:name="List Continue 3" w:uiPriority="0" w:semiHidden="0" w:unhideWhenUsed="0"/>
    <w:lsdException w:name="List Continue 4" w:uiPriority="0" w:semiHidden="0" w:unhideWhenUsed="0"/>
    <w:lsdException w:name="List Continue 5" w:uiPriority="0" w:semiHidden="0" w:unhideWhenUsed="0"/>
    <w:lsdException w:name="Message Header" w:uiPriority="0" w:semiHidden="0" w:unhideWhenUsed="0"/>
    <w:lsdException w:name="Subtitle" w:uiPriority="0" w:semiHidden="0" w:unhideWhenUsed="0" w:qFormat="1"/>
    <w:lsdException w:name="Salutation" w:uiPriority="0" w:semiHidden="0" w:unhideWhenUsed="0"/>
    <w:lsdException w:name="Date" w:uiPriority="0" w:semiHidden="0" w:unhideWhenUsed="0"/>
    <w:lsdException w:name="Body Text First Indent" w:uiPriority="0" w:semiHidden="0" w:unhideWhenUsed="0"/>
    <w:lsdException w:name="Body Text First Indent 2" w:uiPriority="0" w:semiHidden="0" w:unhideWhenUsed="0"/>
    <w:lsdException w:name="Note Heading" w:uiPriority="0" w:semiHidden="0" w:unhideWhenUsed="0"/>
    <w:lsdException w:name="Body Text 2" w:uiPriority="0" w:semiHidden="0" w:unhideWhenUsed="0"/>
    <w:lsdException w:name="Body Text 3" w:uiPriority="0" w:semiHidden="0" w:unhideWhenUsed="0"/>
    <w:lsdException w:name="Body Text Indent 2" w:uiPriority="0" w:semiHidden="0" w:unhideWhenUsed="0"/>
    <w:lsdException w:name="Body Text Indent 3" w:uiPriority="0" w:semiHidden="0" w:unhideWhenUsed="0"/>
    <w:lsdException w:name="Block Text" w:uiPriority="0" w:semiHidden="0" w:unhideWhenUsed="0"/>
    <w:lsdException w:name="Hyperlink" w:uiPriority="0" w:semiHidden="0" w:unhideWhenUsed="0"/>
    <w:lsdException w:name="FollowedHyperlink" w:uiPriority="0" w:semiHidden="0" w:unhideWhenUsed="0"/>
    <w:lsdException w:name="Strong" w:uiPriority="0" w:semiHidden="0" w:unhideWhenUsed="0" w:qFormat="1"/>
    <w:lsdException w:name="Emphasis" w:uiPriority="0" w:semiHidden="0" w:unhideWhenUsed="0" w:qFormat="1"/>
    <w:lsdException w:name="Document Map" w:uiPriority="0" w:semiHidden="0" w:unhideWhenUsed="0"/>
    <w:lsdException w:name="Plain Text" w:uiPriority="0" w:semiHidden="0" w:unhideWhenUsed="0"/>
    <w:lsdException w:name="E-mail Signature" w:uiPriority="0" w:semiHidden="0" w:unhideWhenUsed="0"/>
    <w:lsdException w:name="Normal (Web)" w:uiPriority="0" w:semiHidden="0" w:unhideWhenUsed="0"/>
    <w:lsdException w:name="HTML Acronym" w:uiPriority="0" w:semiHidden="0" w:unhideWhenUsed="0"/>
    <w:lsdException w:name="HTML Address" w:uiPriority="0" w:semiHidden="0" w:unhideWhenUsed="0"/>
    <w:lsdException w:name="HTML Cite" w:uiPriority="0" w:semiHidden="0" w:unhideWhenUsed="0"/>
    <w:lsdException w:name="HTML Code" w:uiPriority="0" w:semiHidden="0" w:unhideWhenUsed="0"/>
    <w:lsdException w:name="HTML Definition" w:uiPriority="0" w:semiHidden="0" w:unhideWhenUsed="0"/>
    <w:lsdException w:name="HTML Keyboard" w:uiPriority="0" w:semiHidden="0" w:unhideWhenUsed="0"/>
    <w:lsdException w:name="HTML Preformatted" w:uiPriority="0" w:semiHidden="0" w:unhideWhenUsed="0"/>
    <w:lsdException w:name="HTML Sample" w:uiPriority="0" w:semiHidden="0" w:unhideWhenUsed="0"/>
    <w:lsdException w:name="HTML Typewriter" w:uiPriority="0" w:semiHidden="0" w:unhideWhenUsed="0"/>
    <w:lsdException w:name="HTML Variable" w:uiPriority="0" w:semiHidden="0" w:unhideWhenUsed="0"/>
    <w:lsdException w:name="Normal Table" w:uiPriority="0" w:unhideWhenUsed="0"/>
    <w:lsdException w:name="annotation subject" w:uiPriority="0" w:semiHidden="0" w:unhideWhenUsed="0"/>
    <w:lsdException w:name="Table Simple 1" w:uiPriority="0" w:semiHidden="0" w:unhideWhenUsed="0"/>
    <w:lsdException w:name="Table Simple 2" w:uiPriority="0" w:semiHidden="0" w:unhideWhenUsed="0"/>
    <w:lsdException w:name="Table Simple 3" w:uiPriority="0" w:semiHidden="0" w:unhideWhenUsed="0"/>
    <w:lsdException w:name="Table Classic 1" w:uiPriority="0" w:semiHidden="0" w:unhideWhenUsed="0"/>
    <w:lsdException w:name="Table Classic 2" w:uiPriority="0" w:semiHidden="0" w:unhideWhenUsed="0"/>
    <w:lsdException w:name="Table Classic 3" w:uiPriority="0" w:semiHidden="0" w:unhideWhenUsed="0"/>
    <w:lsdException w:name="Table Classic 4" w:uiPriority="0" w:semiHidden="0" w:unhideWhenUsed="0"/>
    <w:lsdException w:name="Table Colorful 1" w:uiPriority="0" w:semiHidden="0" w:unhideWhenUsed="0"/>
    <w:lsdException w:name="Table Colorful 2" w:uiPriority="0" w:semiHidden="0" w:unhideWhenUsed="0"/>
    <w:lsdException w:name="Table Colorful 3" w:uiPriority="0" w:semiHidden="0" w:unhideWhenUsed="0"/>
    <w:lsdException w:name="Table Columns 1" w:uiPriority="0" w:semiHidden="0" w:unhideWhenUsed="0"/>
    <w:lsdException w:name="Table Columns 2" w:uiPriority="0" w:semiHidden="0" w:unhideWhenUsed="0"/>
    <w:lsdException w:name="Table Columns 3" w:uiPriority="0" w:semiHidden="0" w:unhideWhenUsed="0"/>
    <w:lsdException w:name="Table Columns 4" w:uiPriority="0" w:semiHidden="0" w:unhideWhenUsed="0"/>
    <w:lsdException w:name="Table Columns 5" w:uiPriority="0" w:semiHidden="0" w:unhideWhenUsed="0"/>
    <w:lsdException w:name="Table Grid 1" w:uiPriority="0" w:semiHidden="0" w:unhideWhenUsed="0"/>
    <w:lsdException w:name="Table Grid 2" w:uiPriority="0" w:semiHidden="0" w:unhideWhenUsed="0"/>
    <w:lsdException w:name="Table Grid 3" w:uiPriority="0" w:semiHidden="0" w:unhideWhenUsed="0"/>
    <w:lsdException w:name="Table Grid 4" w:uiPriority="0" w:semiHidden="0" w:unhideWhenUsed="0"/>
    <w:lsdException w:name="Table Grid 5" w:uiPriority="0" w:semiHidden="0" w:unhideWhenUsed="0"/>
    <w:lsdException w:name="Table Grid 6" w:uiPriority="0" w:semiHidden="0" w:unhideWhenUsed="0"/>
    <w:lsdException w:name="Table Grid 7" w:uiPriority="0" w:semiHidden="0" w:unhideWhenUsed="0"/>
    <w:lsdException w:name="Table Grid 8" w:uiPriority="0" w:semiHidden="0" w:unhideWhenUsed="0"/>
    <w:lsdException w:name="Table List 1" w:uiPriority="0" w:semiHidden="0" w:unhideWhenUsed="0"/>
    <w:lsdException w:name="Table List 2" w:uiPriority="0" w:semiHidden="0" w:unhideWhenUsed="0"/>
    <w:lsdException w:name="Table List 3" w:uiPriority="0" w:semiHidden="0" w:unhideWhenUsed="0"/>
    <w:lsdException w:name="Table List 4" w:uiPriority="0" w:semiHidden="0" w:unhideWhenUsed="0"/>
    <w:lsdException w:name="Table List 5" w:uiPriority="0" w:semiHidden="0" w:unhideWhenUsed="0"/>
    <w:lsdException w:name="Table List 6" w:uiPriority="0" w:semiHidden="0" w:unhideWhenUsed="0"/>
    <w:lsdException w:name="Table List 7" w:uiPriority="0" w:semiHidden="0" w:unhideWhenUsed="0"/>
    <w:lsdException w:name="Table List 8" w:uiPriority="0" w:semiHidden="0" w:unhideWhenUsed="0"/>
    <w:lsdException w:name="Table 3D effects 1" w:uiPriority="0" w:semiHidden="0" w:unhideWhenUsed="0"/>
    <w:lsdException w:name="Table 3D effects 2" w:uiPriority="0" w:semiHidden="0" w:unhideWhenUsed="0"/>
    <w:lsdException w:name="Table 3D effects 3" w:uiPriority="0" w:semiHidden="0" w:unhideWhenUsed="0"/>
    <w:lsdException w:name="Table Contemporary" w:uiPriority="0" w:semiHidden="0" w:unhideWhenUsed="0"/>
    <w:lsdException w:name="Table Elegant" w:uiPriority="0" w:semiHidden="0" w:unhideWhenUsed="0"/>
    <w:lsdException w:name="Table Professional" w:uiPriority="0" w:semiHidden="0" w:unhideWhenUsed="0"/>
    <w:lsdException w:name="Table Subtle 1" w:uiPriority="0" w:semiHidden="0" w:unhideWhenUsed="0"/>
    <w:lsdException w:name="Table Subtle 2" w:uiPriority="0" w:semiHidden="0" w:unhideWhenUsed="0"/>
    <w:lsdException w:name="Table Web 1" w:uiPriority="0" w:semiHidden="0" w:unhideWhenUsed="0"/>
    <w:lsdException w:name="Table Web 2" w:uiPriority="0" w:semiHidden="0" w:unhideWhenUsed="0"/>
    <w:lsdException w:name="Table Web 3" w:uiPriority="0" w:semiHidden="0" w:unhideWhenUsed="0"/>
    <w:lsdException w:name="Balloon Text" w:uiPriority="0" w:semiHidden="0" w:unhideWhenUsed="0"/>
    <w:lsdException w:name="Table Grid" w:uiPriority="0" w:semiHidden="0" w:unhideWhenUsed="0"/>
    <w:lsdException w:name="Table Theme" w:uiPriority="0" w:semiHidden="0" w:unhideWhenUsed="0"/>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Normal" w:default="1">
    <w:name w:val="Normal"/>
    <w:uiPriority w:val="0"/>
    <w:qFormat/>
    <w:pPr>
      <w:widowControl/>
      <w:suppressAutoHyphens w:val="true"/>
      <w:bidi w:val="0"/>
      <w:spacing w:lineRule="auto" w:line="276" w:before="0" w:after="0"/>
      <w:jc w:val="start"/>
    </w:pPr>
    <w:rPr>
      <w:rFonts w:ascii="Arial" w:hAnsi="Arial" w:eastAsia="Arial" w:cs="Arial"/>
      <w:color w:val="auto"/>
      <w:kern w:val="0"/>
      <w:sz w:val="22"/>
      <w:szCs w:val="22"/>
      <w:lang w:val="zh-CN" w:eastAsia="zh-CN" w:bidi="hi-IN"/>
    </w:rPr>
  </w:style>
  <w:style w:type="paragraph" w:styleId="Heading1">
    <w:name w:val="heading 1"/>
    <w:basedOn w:val="Normal"/>
    <w:next w:val="Normal"/>
    <w:uiPriority w:val="0"/>
    <w:qFormat/>
    <w:pPr>
      <w:keepNext w:val="true"/>
      <w:keepLines/>
      <w:spacing w:lineRule="auto" w:line="360" w:before="0" w:after="200"/>
      <w:jc w:val="both"/>
    </w:pPr>
    <w:rPr>
      <w:rFonts w:ascii="Times New Roman" w:hAnsi="Times New Roman" w:eastAsia="Times New Roman" w:cs="Times New Roman"/>
      <w:b/>
      <w:sz w:val="24"/>
      <w:szCs w:val="24"/>
    </w:rPr>
  </w:style>
  <w:style w:type="paragraph" w:styleId="Heading2">
    <w:name w:val="heading 2"/>
    <w:basedOn w:val="Normal"/>
    <w:next w:val="Normal"/>
    <w:uiPriority w:val="0"/>
    <w:qFormat/>
    <w:pPr>
      <w:keepNext w:val="true"/>
      <w:keepLines/>
      <w:spacing w:lineRule="auto" w:line="360" w:before="0" w:after="200"/>
      <w:jc w:val="both"/>
    </w:pPr>
    <w:rPr>
      <w:rFonts w:ascii="Times New Roman" w:hAnsi="Times New Roman" w:eastAsia="Times New Roman" w:cs="Times New Roman"/>
      <w:b/>
      <w:sz w:val="24"/>
      <w:szCs w:val="24"/>
    </w:rPr>
  </w:style>
  <w:style w:type="paragraph" w:styleId="Heading3">
    <w:name w:val="heading 3"/>
    <w:basedOn w:val="Normal"/>
    <w:next w:val="Normal"/>
    <w:uiPriority w:val="0"/>
    <w:qFormat/>
    <w:pPr>
      <w:keepNext w:val="true"/>
      <w:keepLines/>
      <w:pageBreakBefore w:val="false"/>
      <w:spacing w:before="320" w:after="80"/>
    </w:pPr>
    <w:rPr>
      <w:color w:val="434343"/>
      <w:sz w:val="28"/>
      <w:szCs w:val="28"/>
    </w:rPr>
  </w:style>
  <w:style w:type="paragraph" w:styleId="Heading4">
    <w:name w:val="heading 4"/>
    <w:basedOn w:val="Normal"/>
    <w:next w:val="Normal"/>
    <w:uiPriority w:val="0"/>
    <w:qFormat/>
    <w:pPr>
      <w:keepNext w:val="true"/>
      <w:keepLines/>
      <w:pageBreakBefore w:val="false"/>
      <w:spacing w:before="280" w:after="80"/>
    </w:pPr>
    <w:rPr>
      <w:color w:val="666666"/>
      <w:sz w:val="24"/>
      <w:szCs w:val="24"/>
    </w:rPr>
  </w:style>
  <w:style w:type="paragraph" w:styleId="Heading5">
    <w:name w:val="heading 5"/>
    <w:basedOn w:val="Normal"/>
    <w:next w:val="Normal"/>
    <w:uiPriority w:val="0"/>
    <w:qFormat/>
    <w:pPr>
      <w:keepNext w:val="true"/>
      <w:keepLines/>
      <w:pageBreakBefore w:val="false"/>
      <w:spacing w:before="240" w:after="80"/>
    </w:pPr>
    <w:rPr>
      <w:color w:val="666666"/>
      <w:sz w:val="22"/>
      <w:szCs w:val="22"/>
    </w:rPr>
  </w:style>
  <w:style w:type="paragraph" w:styleId="Heading6">
    <w:name w:val="heading 6"/>
    <w:basedOn w:val="Normal"/>
    <w:next w:val="Normal"/>
    <w:uiPriority w:val="0"/>
    <w:qFormat/>
    <w:pPr>
      <w:keepNext w:val="true"/>
      <w:keepLines/>
      <w:pageBreakBefore w:val="false"/>
      <w:spacing w:before="240" w:after="80"/>
    </w:pPr>
    <w:rPr>
      <w:i/>
      <w:color w:val="666666"/>
      <w:sz w:val="22"/>
      <w:szCs w:val="22"/>
    </w:rPr>
  </w:style>
  <w:style w:type="character" w:styleId="DefaultParagraphFont" w:default="1">
    <w:name w:val="Default Paragraph Font"/>
    <w:uiPriority w:val="0"/>
    <w:semiHidden/>
    <w:qFormat/>
    <w:rPr/>
  </w:style>
  <w:style w:type="character" w:styleId="Hyperlink">
    <w:name w:val="Hyperlink"/>
    <w:rPr>
      <w:color w:val="000080"/>
      <w:u w:val="single"/>
    </w:rPr>
  </w:style>
  <w:style w:type="character" w:styleId="IndexLink">
    <w:name w:val="Index Link"/>
    <w:qFormat/>
    <w:rPr/>
  </w:style>
  <w:style w:type="character" w:styleId="FootnoteCharacters">
    <w:name w:val="Footnote Characters"/>
    <w:qFormat/>
    <w:rPr/>
  </w:style>
  <w:style w:type="character" w:styleId="EndnoteCharacters">
    <w:name w:val="Endnote Characters"/>
    <w:qFormat/>
    <w:rPr/>
  </w:style>
  <w:style w:type="character" w:styleId="FollowedHyperlink">
    <w:name w:val="FollowedHyperlink"/>
    <w:rPr>
      <w:color w:val="800000"/>
      <w:u w:val="single"/>
    </w:rPr>
  </w:style>
  <w:style w:type="character" w:styleId="Emphasis">
    <w:name w:val="Emphasis"/>
    <w:qFormat/>
    <w:rPr>
      <w:i/>
      <w:iCs/>
    </w:rPr>
  </w:style>
  <w:style w:type="character" w:styleId="Bulletsuser">
    <w:name w:val="Bullets (user)"/>
    <w:qFormat/>
    <w:rPr>
      <w:rFonts w:ascii="OpenSymbol" w:hAnsi="OpenSymbol" w:eastAsia="OpenSymbol" w:cs="OpenSymbol"/>
    </w:rPr>
  </w:style>
  <w:style w:type="character" w:styleId="Bullets">
    <w:name w:val="Bullets"/>
    <w:qFormat/>
    <w:rPr>
      <w:rFonts w:ascii="OpenSymbol" w:hAnsi="OpenSymbol" w:eastAsia="OpenSymbol" w:cs="OpenSymbol"/>
    </w:rPr>
  </w:style>
  <w:style w:type="character" w:styleId="Strong">
    <w:name w:val="Strong"/>
    <w:qFormat/>
    <w:rPr>
      <w:b/>
      <w:bCs/>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Subtitle">
    <w:name w:val="Subtitle"/>
    <w:basedOn w:val="Normal"/>
    <w:next w:val="Normal"/>
    <w:uiPriority w:val="0"/>
    <w:qFormat/>
    <w:pPr>
      <w:keepNext w:val="true"/>
      <w:keepLines/>
      <w:pageBreakBefore w:val="false"/>
      <w:spacing w:before="0" w:after="320"/>
    </w:pPr>
    <w:rPr>
      <w:rFonts w:ascii="Arial" w:hAnsi="Arial" w:eastAsia="Arial" w:cs="Arial"/>
      <w:color w:val="666666"/>
      <w:sz w:val="30"/>
      <w:szCs w:val="30"/>
    </w:rPr>
  </w:style>
  <w:style w:type="paragraph" w:styleId="Title">
    <w:name w:val="Title"/>
    <w:basedOn w:val="Normal"/>
    <w:next w:val="Normal"/>
    <w:uiPriority w:val="0"/>
    <w:qFormat/>
    <w:pPr>
      <w:keepNext w:val="true"/>
      <w:keepLines/>
      <w:pageBreakBefore w:val="false"/>
      <w:spacing w:before="0" w:after="60"/>
    </w:pPr>
    <w:rPr>
      <w:sz w:val="52"/>
      <w:szCs w:val="52"/>
    </w:rPr>
  </w:style>
  <w:style w:type="paragraph" w:styleId="HeaderandFooter">
    <w:name w:val="Header and Footer"/>
    <w:basedOn w:val="Normal"/>
    <w:qFormat/>
    <w:pPr/>
    <w:rPr/>
  </w:style>
  <w:style w:type="paragraph" w:styleId="Header">
    <w:name w:val="header"/>
    <w:basedOn w:val="HeaderandFooter"/>
    <w:pPr/>
    <w:rPr/>
  </w:style>
  <w:style w:type="paragraph" w:styleId="Footer">
    <w:name w:val="footer"/>
    <w:basedOn w:val="HeaderandFooter"/>
    <w:pPr/>
    <w:rPr/>
  </w:style>
  <w:style w:type="paragraph" w:styleId="ListContents">
    <w:name w:val="List Contents"/>
    <w:basedOn w:val="Normal"/>
    <w:qFormat/>
    <w:pPr>
      <w:ind w:start="567"/>
    </w:pPr>
    <w:rPr/>
  </w:style>
  <w:style w:type="paragraph" w:styleId="normal1">
    <w:name w:val="normal1"/>
    <w:qFormat/>
    <w:pPr>
      <w:widowControl/>
      <w:suppressAutoHyphens w:val="true"/>
      <w:bidi w:val="0"/>
      <w:spacing w:lineRule="auto" w:line="259" w:before="0" w:after="160"/>
      <w:jc w:val="start"/>
    </w:pPr>
    <w:rPr>
      <w:rFonts w:ascii="Times New Roman" w:hAnsi="Times New Roman" w:eastAsia="SimSun" w:cs="Times New Roman"/>
      <w:color w:val="auto"/>
      <w:kern w:val="0"/>
      <w:sz w:val="20"/>
      <w:szCs w:val="20"/>
      <w:lang w:val="en-US" w:eastAsia="zh-CN" w:bidi="hi-IN"/>
    </w:rPr>
  </w:style>
  <w:style w:type="paragraph" w:styleId="normal2">
    <w:name w:val="normal2"/>
    <w:qFormat/>
    <w:pPr>
      <w:widowControl/>
      <w:suppressAutoHyphens w:val="true"/>
      <w:bidi w:val="0"/>
      <w:spacing w:lineRule="auto" w:line="276" w:before="0" w:after="0"/>
      <w:jc w:val="start"/>
    </w:pPr>
    <w:rPr>
      <w:rFonts w:ascii="Times New Roman" w:hAnsi="Times New Roman" w:eastAsia="SimSun" w:cs="Times New Roman"/>
      <w:color w:val="auto"/>
      <w:kern w:val="0"/>
      <w:sz w:val="20"/>
      <w:szCs w:val="20"/>
      <w:lang w:val="en-US" w:eastAsia="zh-CN" w:bidi="hi-IN"/>
    </w:rPr>
  </w:style>
  <w:style w:type="paragraph" w:styleId="TableContents">
    <w:name w:val="Table Contents"/>
    <w:basedOn w:val="Normal"/>
    <w:qFormat/>
    <w:pPr>
      <w:widowControl w:val="false"/>
      <w:suppressLineNumbers/>
    </w:pPr>
    <w:rPr/>
  </w:style>
  <w:style w:type="paragraph" w:styleId="TableHeading">
    <w:name w:val="Table Heading"/>
    <w:basedOn w:val="TableContents"/>
    <w:qFormat/>
    <w:pPr>
      <w:suppressLineNumbers/>
      <w:jc w:val="center"/>
    </w:pPr>
    <w:rPr>
      <w:b/>
      <w:bCs/>
    </w:rPr>
  </w:style>
  <w:style w:type="paragraph" w:styleId="Normal11">
    <w:name w:val="Normal11"/>
    <w:qFormat/>
    <w:pPr>
      <w:widowControl/>
      <w:suppressAutoHyphens w:val="true"/>
      <w:bidi w:val="0"/>
      <w:spacing w:lineRule="auto" w:line="276" w:before="0" w:after="0"/>
      <w:jc w:val="start"/>
    </w:pPr>
    <w:rPr>
      <w:rFonts w:ascii="Times New Roman" w:hAnsi="Times New Roman" w:eastAsia="SimSun" w:cs="Times New Roman"/>
      <w:color w:val="auto"/>
      <w:kern w:val="0"/>
      <w:sz w:val="20"/>
      <w:szCs w:val="20"/>
      <w:lang w:val="en-US" w:eastAsia="zh-CN" w:bidi="hi-IN"/>
    </w:rPr>
  </w:style>
  <w:style w:type="table" w:default="1" w:styleId="9">
    <w:name w:val="Normal Table"/>
    <w:uiPriority w:val="0"/>
    <w:semiHidden/>
    <w:tblPr>
      <w:tblCellMar>
        <w:top w:w="0" w:type="dxa"/>
        <w:left w:w="108" w:type="dxa"/>
        <w:bottom w:w="0" w:type="dxa"/>
        <w:right w:w="108" w:type="dxa"/>
      </w:tblCellMar>
    </w:tblPr>
  </w:style>
  <w:style w:type="table" w:customStyle="1" w:styleId="12">
    <w:name w:val="TableNormal"/>
    <w:uiPriority w:val="0"/>
    <w:qFormat/>
  </w:style>
  <w:style w:type="table" w:customStyle="1" w:styleId="13">
    <w:name w:val="_Style 10"/>
    <w:basedOn w:val="12"/>
    <w:uiPriority w:val="0"/>
    <w:qFormat/>
    <w:pPr>
      <w:spacing w:after="0" w:line="240" w:lineRule="auto"/>
    </w:pPr>
    <w:tblPr>
      <w:tblCellMar>
        <w:top w:w="0" w:type="dxa"/>
        <w:left w:w="108" w:type="dxa"/>
        <w:bottom w:w="0" w:type="dxa"/>
        <w:right w:w="108" w:type="dxa"/>
      </w:tblCellMar>
    </w:tblPr>
  </w:style>
  <w:style w:type="table" w:customStyle="1" w:styleId="14">
    <w:name w:val="_Style 11"/>
    <w:basedOn w:val="12"/>
    <w:uiPriority w:val="0"/>
    <w:qFormat/>
    <w:tblPr>
      <w:tblCellMar>
        <w:top w:w="100" w:type="dxa"/>
        <w:left w:w="100" w:type="dxa"/>
        <w:bottom w:w="100" w:type="dxa"/>
        <w:right w:w="100" w:type="dxa"/>
      </w:tblCellMar>
    </w:tblPr>
  </w:style>
  <w:style w:type="table" w:customStyle="1" w:styleId="15">
    <w:name w:val="_Style 12"/>
    <w:basedOn w:val="12"/>
    <w:uiPriority w:val="0"/>
    <w:qFormat/>
    <w:tblPr>
      <w:tblCellMar>
        <w:top w:w="100" w:type="dxa"/>
        <w:left w:w="100" w:type="dxa"/>
        <w:bottom w:w="100" w:type="dxa"/>
        <w:right w:w="100" w:type="dxa"/>
      </w:tblCellMar>
    </w:tblPr>
  </w:style>
  <w:style w:type="table" w:customStyle="1" w:styleId="16">
    <w:name w:val="_Style 13"/>
    <w:basedOn w:val="12"/>
    <w:uiPriority w:val="0"/>
    <w:qFormat/>
    <w:tblPr>
      <w:tblCellMar>
        <w:top w:w="100" w:type="dxa"/>
        <w:left w:w="100" w:type="dxa"/>
        <w:bottom w:w="100" w:type="dxa"/>
        <w:right w:w="10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matrixbcg.com/blogs/how-it-works/unilever" TargetMode="External"/><Relationship Id="rId4" Type="http://schemas.openxmlformats.org/officeDocument/2006/relationships/image" Target="media/image2.png"/><Relationship Id="rId5" Type="http://schemas.openxmlformats.org/officeDocument/2006/relationships/hyperlink" Target="https://www.unilever.com/files/unilever-annual-report-and-accounts-2024.pdf" TargetMode="External"/><Relationship Id="rId6" Type="http://schemas.openxmlformats.org/officeDocument/2006/relationships/image" Target="media/image3.png"/><Relationship Id="rId7" Type="http://schemas.openxmlformats.org/officeDocument/2006/relationships/hyperlink" Target="https://www.unilever.com/files/unilever-annual-report-and-accounts-2024.pdf" TargetMode="External"/><Relationship Id="rId8" Type="http://schemas.openxmlformats.org/officeDocument/2006/relationships/image" Target="media/image4.png"/><Relationship Id="rId9" Type="http://schemas.openxmlformats.org/officeDocument/2006/relationships/hyperlink" Target="https://www.unilever.com/files/unilever-annual-report-and-accounts-2024.pdf" TargetMode="External"/><Relationship Id="rId10" Type="http://schemas.openxmlformats.org/officeDocument/2006/relationships/image" Target="media/image5.png"/><Relationship Id="rId11" Type="http://schemas.openxmlformats.org/officeDocument/2006/relationships/hyperlink" Target="https://medium.com/techno-preneurship/pestle-analysis-the-ceos-guide-to-future-proofing-a-business-877e6c4e20ea" TargetMode="External"/><Relationship Id="rId12" Type="http://schemas.openxmlformats.org/officeDocument/2006/relationships/image" Target="media/image6.png"/><Relationship Id="rId13" Type="http://schemas.openxmlformats.org/officeDocument/2006/relationships/hyperlink" Target="https://www.thestrategyinstitute.org/insights/vrio-framework-unlocking-competitive-edge-for-your-business" TargetMode="External"/><Relationship Id="rId14" Type="http://schemas.openxmlformats.org/officeDocument/2006/relationships/image" Target="media/image7.png"/><Relationship Id="rId15" Type="http://schemas.openxmlformats.org/officeDocument/2006/relationships/hyperlink" Target="https://www.unilever.com/files/unilever-annual-report-and-accounts-2025.pdf" TargetMode="External"/><Relationship Id="rId16" Type="http://schemas.openxmlformats.org/officeDocument/2006/relationships/image" Target="media/image8.png"/><Relationship Id="rId17" Type="http://schemas.openxmlformats.org/officeDocument/2006/relationships/hyperlink" Target="https://www.unilever.com/files/unilever-annual-report-and-accounts-2025.pdf" TargetMode="External"/><Relationship Id="rId18" Type="http://schemas.openxmlformats.org/officeDocument/2006/relationships/image" Target="media/image9.png"/><Relationship Id="rId19" Type="http://schemas.openxmlformats.org/officeDocument/2006/relationships/hyperlink" Target="https://socialnomics.net/2023/02/07/csr-meaning-all-you-need-to-know/" TargetMode="External"/><Relationship Id="rId20" Type="http://schemas.openxmlformats.org/officeDocument/2006/relationships/image" Target="media/image10.png"/><Relationship Id="rId21" Type="http://schemas.openxmlformats.org/officeDocument/2006/relationships/image" Target="media/image11.png"/><Relationship Id="rId22" Type="http://schemas.openxmlformats.org/officeDocument/2006/relationships/hyperlink" Target="https://portersfiveforce.com/blogs/how-it-works/unilever" TargetMode="External"/><Relationship Id="rId23" Type="http://schemas.openxmlformats.org/officeDocument/2006/relationships/image" Target="media/image12.png"/><Relationship Id="rId24" Type="http://schemas.openxmlformats.org/officeDocument/2006/relationships/hyperlink" Target="https://www.unilever.com/files/unilever-annual-report-and-accounts-2025.pdf" TargetMode="External"/><Relationship Id="rId25" Type="http://schemas.openxmlformats.org/officeDocument/2006/relationships/image" Target="media/image13.png"/><Relationship Id="rId26" Type="http://schemas.openxmlformats.org/officeDocument/2006/relationships/hyperlink" Target="https://boolkah.com/ansoff-matrix/" TargetMode="External"/><Relationship Id="rId27" Type="http://schemas.openxmlformats.org/officeDocument/2006/relationships/image" Target="media/image14.png"/><Relationship Id="rId28" Type="http://schemas.openxmlformats.org/officeDocument/2006/relationships/hyperlink" Target="https://www.simplypsychology.org/gibbs-reflective-cycle.html" TargetMode="External"/><Relationship Id="rId29" Type="http://schemas.openxmlformats.org/officeDocument/2006/relationships/hyperlink" Target="https://www.ie.edu/uncover-ie/careers-outcomes-top-companies-fmcg/" TargetMode="External"/><Relationship Id="rId30" Type="http://schemas.openxmlformats.org/officeDocument/2006/relationships/hyperlink" Target="https://matrixbcg.com/blogs/how-it-works/unilever" TargetMode="External"/><Relationship Id="rId31" Type="http://schemas.openxmlformats.org/officeDocument/2006/relationships/hyperlink" Target="https://www.jstor.org/stable/3088148" TargetMode="External"/><Relationship Id="rId32" Type="http://schemas.openxmlformats.org/officeDocument/2006/relationships/hyperlink" Target="https://www.unilever.com/files/unilever-annual-report-and-accounts-2024.pdf" TargetMode="External"/><Relationship Id="rId33" Type="http://schemas.openxmlformats.org/officeDocument/2006/relationships/hyperlink" Target="https://www.unilever.com/files/unilever-annual-report-and-accounts-2025.pdf" TargetMode="External"/><Relationship Id="rId34" Type="http://schemas.openxmlformats.org/officeDocument/2006/relationships/hyperlink" Target="https://doi.org/10.1177/014920639101700108" TargetMode="External"/><Relationship Id="rId35" Type="http://schemas.openxmlformats.org/officeDocument/2006/relationships/hyperlink" Target="https://www.jamessharp.co.uk/market-news/unilever-plc-2024-final-results/" TargetMode="External"/><Relationship Id="rId36" Type="http://schemas.openxmlformats.org/officeDocument/2006/relationships/hyperlink" Target="https://matrixbcg.com/blogs/how-it-works/unilever" TargetMode="External"/><Relationship Id="rId37" Type="http://schemas.openxmlformats.org/officeDocument/2006/relationships/hyperlink" Target="https://matrixbcg.com/blogs/growth-strategy/unilever" TargetMode="External"/><Relationship Id="rId38" Type="http://schemas.openxmlformats.org/officeDocument/2006/relationships/hyperlink" Target="https://portersfiveforce.com/blogs/how-it-works/unilever" TargetMode="External"/><Relationship Id="rId39" Type="http://schemas.openxmlformats.org/officeDocument/2006/relationships/hyperlink" Target="https://portersfiveforce.com/blogs/growth-strategy/unilever" TargetMode="External"/><Relationship Id="rId40" Type="http://schemas.openxmlformats.org/officeDocument/2006/relationships/hyperlink" Target="https://www.technavio.com/report/fmcg-market-industry-analysis" TargetMode="External"/><Relationship Id="rId41" Type="http://schemas.openxmlformats.org/officeDocument/2006/relationships/hyperlink" Target="https://www.ft.com/content/448d7be0-811c-4384-91b7-a359dc0fbf9b" TargetMode="External"/><Relationship Id="rId42" Type="http://schemas.openxmlformats.org/officeDocument/2006/relationships/hyperlink" Target="https://doi.org/10.1017/CBO9781139192675" TargetMode="External"/><Relationship Id="rId43" Type="http://schemas.openxmlformats.org/officeDocument/2006/relationships/hyperlink" Target="https://hbr.org/2011/01/the-big-idea-creating-shared-value" TargetMode="External"/><Relationship Id="rId44" Type="http://schemas.openxmlformats.org/officeDocument/2006/relationships/hyperlink" Target="https://www.reuters.com/sustainability/unilever-scales-back-some-environmental-pledges-2024-04-19/" TargetMode="External"/><Relationship Id="rId45" Type="http://schemas.openxmlformats.org/officeDocument/2006/relationships/hyperlink" Target="https://www.unilever.com/sustainability/" TargetMode="External"/><Relationship Id="rId46" Type="http://schemas.openxmlformats.org/officeDocument/2006/relationships/hyperlink" Target="https://www.unilever.com/files/7bc471e6-94dc-48f6-b592-1435ed71bb75/2024-renewal-of-remuneration-policy.pdf" TargetMode="External"/><Relationship Id="rId47" Type="http://schemas.openxmlformats.org/officeDocument/2006/relationships/hyperlink" Target="https://hbr.org/1992/01/the-balanced-scorecard-measures-that-drive-performance-2" TargetMode="External"/><Relationship Id="rId48" Type="http://schemas.openxmlformats.org/officeDocument/2006/relationships/hyperlink" Target="https://www.marketingweek.com/unilever-boosts-brand-marketing-spend/" TargetMode="External"/><Relationship Id="rId49" Type="http://schemas.openxmlformats.org/officeDocument/2006/relationships/hyperlink" Target="https://www.reuters.com/business/retail-consumer/unilever-spin-off-ice-cream-launches-cost-savings-plan-2024-03-19/" TargetMode="External"/><Relationship Id="rId50" Type="http://schemas.openxmlformats.org/officeDocument/2006/relationships/hyperlink" Target="https://www.theguardian.com/business/2024/mar/19/unilever-to-cut-7500-jobs-and-spin-off-ice-cream-business" TargetMode="External"/><Relationship Id="rId51" Type="http://schemas.openxmlformats.org/officeDocument/2006/relationships/hyperlink" Target="https://www.peoplematters.in/news/performance-management/unilever-unveils-major-layoff-plan-7500-jobs-axed-to-fuel-growth-strategy-40667" TargetMode="External"/><Relationship Id="rId52" Type="http://schemas.openxmlformats.org/officeDocument/2006/relationships/hyperlink" Target="https://www.unilever.com/news/news-search/2025/how-premiumisation-is-powering-growth-for-unilevers-beauty-brands/" TargetMode="External"/><Relationship Id="rId53" Type="http://schemas.openxmlformats.org/officeDocument/2006/relationships/hyperlink" Target="https://doi.org/10.1111/j.1468-2370.2007.00202.x" TargetMode="External"/><Relationship Id="rId54" Type="http://schemas.openxmlformats.org/officeDocument/2006/relationships/header" Target="header1.xml"/><Relationship Id="rId55" Type="http://schemas.openxmlformats.org/officeDocument/2006/relationships/header" Target="header2.xml"/><Relationship Id="rId56" Type="http://schemas.openxmlformats.org/officeDocument/2006/relationships/header" Target="header3.xml"/><Relationship Id="rId57" Type="http://schemas.openxmlformats.org/officeDocument/2006/relationships/footer" Target="footer1.xml"/><Relationship Id="rId58" Type="http://schemas.openxmlformats.org/officeDocument/2006/relationships/footer" Target="footer2.xml"/><Relationship Id="rId59" Type="http://schemas.openxmlformats.org/officeDocument/2006/relationships/footer" Target="footer3.xml"/><Relationship Id="rId60" Type="http://schemas.openxmlformats.org/officeDocument/2006/relationships/numbering" Target="numbering.xml"/><Relationship Id="rId61" Type="http://schemas.openxmlformats.org/officeDocument/2006/relationships/fontTable" Target="fontTable.xml"/><Relationship Id="rId62" Type="http://schemas.openxmlformats.org/officeDocument/2006/relationships/settings" Target="settings.xml"/><Relationship Id="rId63" Type="http://schemas.openxmlformats.org/officeDocument/2006/relationships/theme" Target="theme/theme1.xml"/>
</Relationships>
</file>

<file path=word/_rels/header2.xml.rels><?xml version="1.0" encoding="UTF-8"?>
<Relationships xmlns="http://schemas.openxmlformats.org/package/2006/relationships"><Relationship Id="rId1" Type="http://schemas.openxmlformats.org/officeDocument/2006/relationships/image" Target="media/image15.jpeg"/>
</Relationships>
</file>

<file path=word/_rels/header3.xml.rels><?xml version="1.0" encoding="UTF-8"?>
<Relationships xmlns="http://schemas.openxmlformats.org/package/2006/relationships"><Relationship Id="rId1" Type="http://schemas.openxmlformats.org/officeDocument/2006/relationships/image" Target="media/image15.jpeg"/>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
  <TotalTime>5583</TotalTime>
  <Application>LibreOffice/25.8.6.2$Linux_X86_64 LibreOffice_project/a46b460d1686bb49c718d2ef5f88b83ff2dc4981</Application>
  <AppVersion>15.0000</AppVersion>
  <Pages>30</Pages>
  <Words>5390</Words>
  <Characters>36200</Characters>
  <CharactersWithSpaces>41479</CharactersWithSpaces>
  <Paragraphs>170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2025-11-04T08:13:42Z</dcterms:created>
  <dc:creator>dasdi</dc:creator>
  <dc:description/>
  <dc:language>en-US</dc:language>
  <cp:lastModifiedBy/>
  <dcterms:modified xsi:type="dcterms:W3CDTF">2026-05-01T16:44:57Z</dcterms:modified>
  <cp:revision>1097</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C9116E688BD948F5861709C88BB315E9_13</vt:lpwstr>
  </property>
  <property fmtid="{D5CDD505-2E9C-101B-9397-08002B2CF9AE}" pid="3" name="KSOProductBuildVer">
    <vt:lpwstr>1033-12.2.0.23155</vt:lpwstr>
  </property>
</Properties>
</file>