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D07A2" w14:textId="77777777" w:rsidR="00E33185" w:rsidRDefault="00000000">
      <w:pPr>
        <w:rPr>
          <w:rFonts w:cs="Calibri"/>
          <w:sz w:val="22"/>
          <w:szCs w:val="22"/>
        </w:rPr>
      </w:pPr>
      <w:r>
        <w:rPr>
          <w:rFonts w:cs="Calibri"/>
          <w:sz w:val="22"/>
          <w:szCs w:val="22"/>
        </w:rPr>
        <w:t xml:space="preserve">1.1 - I understand that you are frustrated about the amount of time you spend dealing with changing legislation. “Employment law is one of the fastest changing areas of law in the UK” (Daniels, 2022). Your job role provides the company with our responsibilities with the changing legislation and keeps us legally compliant with the law which helps us regulate our relationships with the employees balancing the power between us both (CIPD, </w:t>
      </w:r>
      <w:proofErr w:type="spellStart"/>
      <w:r>
        <w:rPr>
          <w:rFonts w:cs="Calibri"/>
          <w:sz w:val="22"/>
          <w:szCs w:val="22"/>
        </w:rPr>
        <w:t>nd</w:t>
      </w:r>
      <w:proofErr w:type="spellEnd"/>
      <w:r>
        <w:rPr>
          <w:rFonts w:cs="Calibri"/>
          <w:sz w:val="22"/>
          <w:szCs w:val="22"/>
        </w:rPr>
        <w:t xml:space="preserve">). </w:t>
      </w:r>
    </w:p>
    <w:p w14:paraId="00BACE76" w14:textId="77777777" w:rsidR="00E33185" w:rsidRDefault="00000000">
      <w:pPr>
        <w:rPr>
          <w:rFonts w:cs="Calibri"/>
          <w:sz w:val="22"/>
          <w:szCs w:val="22"/>
        </w:rPr>
      </w:pPr>
      <w:r>
        <w:rPr>
          <w:rFonts w:cs="Calibri"/>
          <w:sz w:val="22"/>
          <w:szCs w:val="22"/>
        </w:rPr>
        <w:t xml:space="preserve">The aim of employment regulation is to protect the rights of employees by offering them fair pay, working time rights, prevents discrimination, unfair dismissal and sets out a standard to follow for health and safety (Mann and Williams 2025). By following these guidelines set out by the legislation it helps ensure that all employees are treated fairly and lawfully and reduces risks of discrimination and unsafe working conditions. In employment law a contract of employment is drawn up between the employer and employee, both parties will agree to several obligations (Daniels, 2022).  If one of these obligations are breached there can be a dispute brought to an employment tribunal. By ensuring that standards are followed set out in employment law, compliance in the company reduces the risk of potential employment tribunal claims. </w:t>
      </w:r>
    </w:p>
    <w:p w14:paraId="198F3B0B" w14:textId="77777777" w:rsidR="00E33185" w:rsidRDefault="00000000">
      <w:pPr>
        <w:rPr>
          <w:rFonts w:cs="Calibri"/>
          <w:sz w:val="22"/>
          <w:szCs w:val="22"/>
        </w:rPr>
      </w:pPr>
      <w:r>
        <w:rPr>
          <w:rFonts w:cs="Calibri"/>
          <w:sz w:val="22"/>
          <w:szCs w:val="22"/>
        </w:rPr>
        <w:t xml:space="preserve">Following the employment law and regulations can be time consuming for an employer and may increase extra costs by having a HR professional in the back-round to ensure that they are legally compliant, however employees benefit massively by having a secure and safe working environment and can create a sense of being valued and trust that processes are legally compliant in the company that they are working in. Which would promote the company to new staff if they had any further vacancies. Regulations are not always positive for employers and organisations are constantly dealing with rising costs of statutory payments and NI contributions (PM Editorial,2025) which adds pressure which could lead to having less employees and raising unemployment which slows economic growth. By having less employees this could also increase workload on an individual and can impact their personal well-being in the workplace. </w:t>
      </w:r>
    </w:p>
    <w:p w14:paraId="26D8D4FD" w14:textId="77777777" w:rsidR="00E33185" w:rsidRDefault="00000000">
      <w:pPr>
        <w:rPr>
          <w:rFonts w:cs="Calibri"/>
          <w:sz w:val="22"/>
          <w:szCs w:val="22"/>
        </w:rPr>
      </w:pPr>
      <w:r>
        <w:rPr>
          <w:rFonts w:cs="Calibri"/>
          <w:sz w:val="22"/>
          <w:szCs w:val="22"/>
        </w:rPr>
        <w:t>Spending time on employment legislation offers the company insights to help us navigate plans and helps us prepare for more changes that are ahead (PM Editorial, 2025). By dealing with legislation, you are still improving the employment relationship as you are ensuring that the company are compliant with the law and by doing this you are providing a safe and secure working environment.</w:t>
      </w:r>
    </w:p>
    <w:p w14:paraId="676FB188" w14:textId="77777777" w:rsidR="00E33185" w:rsidRDefault="00E33185">
      <w:pPr>
        <w:rPr>
          <w:rFonts w:cs="Calibri"/>
          <w:sz w:val="22"/>
          <w:szCs w:val="22"/>
        </w:rPr>
      </w:pPr>
    </w:p>
    <w:p w14:paraId="42FA98C4" w14:textId="77777777" w:rsidR="00E33185" w:rsidRDefault="00000000">
      <w:pPr>
        <w:rPr>
          <w:rFonts w:cs="Calibri"/>
          <w:sz w:val="22"/>
          <w:szCs w:val="22"/>
        </w:rPr>
      </w:pPr>
      <w:r>
        <w:rPr>
          <w:rFonts w:cs="Calibri"/>
          <w:sz w:val="22"/>
          <w:szCs w:val="22"/>
        </w:rPr>
        <w:t>1.2 I have been asked to give you an update prior to the Uks departure from the European union in 2020, the judgements made by the ECJ were agreed by both parties that the employment standards in place would be retained in the future (CIPD, 2025).  The UK government are free to amend or adjust the way in which the law operates however there is a policy intention not to reduce standards. Any judgements previously made by the ECJ cannot be disregarded and they remain binding as these decisions were made before the UK left the European union, unless parliament or higher courts appeal it (Daniels, 2022</w:t>
      </w:r>
      <w:proofErr w:type="gramStart"/>
      <w:r>
        <w:rPr>
          <w:rFonts w:cs="Calibri"/>
          <w:sz w:val="22"/>
          <w:szCs w:val="22"/>
        </w:rPr>
        <w:t>) .</w:t>
      </w:r>
      <w:proofErr w:type="gramEnd"/>
      <w:r>
        <w:rPr>
          <w:rFonts w:cs="Calibri"/>
          <w:sz w:val="22"/>
          <w:szCs w:val="22"/>
        </w:rPr>
        <w:t xml:space="preserve"> Throughout the period before 2020 UK court tribunals applied and interpreted both UK and EU law. If the UK was unsure about an EU </w:t>
      </w:r>
      <w:proofErr w:type="gramStart"/>
      <w:r>
        <w:rPr>
          <w:rFonts w:cs="Calibri"/>
          <w:sz w:val="22"/>
          <w:szCs w:val="22"/>
        </w:rPr>
        <w:t>rule</w:t>
      </w:r>
      <w:proofErr w:type="gramEnd"/>
      <w:r>
        <w:rPr>
          <w:rFonts w:cs="Calibri"/>
          <w:sz w:val="22"/>
          <w:szCs w:val="22"/>
        </w:rPr>
        <w:t xml:space="preserve"> they could ask these specific questions to the ECJ for clarification. The laws retained are good as it is yet to be appealed or amended. </w:t>
      </w:r>
    </w:p>
    <w:p w14:paraId="22C37E02" w14:textId="77777777" w:rsidR="00E33185" w:rsidRDefault="00000000">
      <w:r>
        <w:rPr>
          <w:rFonts w:cs="Calibri"/>
          <w:sz w:val="22"/>
          <w:szCs w:val="22"/>
        </w:rPr>
        <w:t xml:space="preserve">An example here is the working time calculations in the case of </w:t>
      </w:r>
      <w:r>
        <w:rPr>
          <w:rFonts w:cs="Calibri"/>
          <w:i/>
          <w:iCs/>
          <w:sz w:val="22"/>
          <w:szCs w:val="22"/>
        </w:rPr>
        <w:t>British gas v Lock</w:t>
      </w:r>
      <w:r>
        <w:rPr>
          <w:rFonts w:cs="Calibri"/>
          <w:sz w:val="22"/>
          <w:szCs w:val="22"/>
        </w:rPr>
        <w:t xml:space="preserve">. Lock’s basic salary package included his commission, however when he would go on </w:t>
      </w:r>
      <w:proofErr w:type="gramStart"/>
      <w:r>
        <w:rPr>
          <w:rFonts w:cs="Calibri"/>
          <w:sz w:val="22"/>
          <w:szCs w:val="22"/>
        </w:rPr>
        <w:t>holiday</w:t>
      </w:r>
      <w:proofErr w:type="gramEnd"/>
      <w:r>
        <w:rPr>
          <w:rFonts w:cs="Calibri"/>
          <w:sz w:val="22"/>
          <w:szCs w:val="22"/>
        </w:rPr>
        <w:t xml:space="preserve"> he would only be paid his basic pay which was significantly less (Denton, 2016).  Lock then took his case to an employment </w:t>
      </w:r>
      <w:r>
        <w:rPr>
          <w:rFonts w:cs="Calibri"/>
          <w:sz w:val="22"/>
          <w:szCs w:val="22"/>
        </w:rPr>
        <w:lastRenderedPageBreak/>
        <w:t xml:space="preserve">tribunal. </w:t>
      </w:r>
      <w:r>
        <w:rPr>
          <w:rFonts w:cs="Calibri"/>
          <w:strike/>
          <w:sz w:val="22"/>
          <w:szCs w:val="22"/>
        </w:rPr>
        <w:t>Although this case around commission is a bit unresolved</w:t>
      </w:r>
      <w:r>
        <w:rPr>
          <w:rFonts w:cs="Calibri"/>
          <w:sz w:val="22"/>
          <w:szCs w:val="22"/>
        </w:rPr>
        <w:t xml:space="preserve"> What became significant was working time calculations, which would benefit the allowance of holiday entitlement for those that work irregular hours. employers now need to keep detailed records for the purpose of working time calculations; holiday pay would then reflect what an employee has accrued for their holiday pay rather than their basic salary. </w:t>
      </w:r>
    </w:p>
    <w:p w14:paraId="40C5CE4B" w14:textId="77777777" w:rsidR="00E33185" w:rsidRDefault="00000000">
      <w:r>
        <w:rPr>
          <w:rFonts w:cs="Calibri"/>
          <w:color w:val="EE0000"/>
          <w:sz w:val="22"/>
          <w:szCs w:val="22"/>
        </w:rPr>
        <w:t xml:space="preserve">Post Brexit in 2023 the government published a paper on retained EU law outlining changes (Jones 2023). In the case of </w:t>
      </w:r>
      <w:r>
        <w:rPr>
          <w:rFonts w:cs="Calibri"/>
          <w:i/>
          <w:iCs/>
          <w:color w:val="EE0000"/>
          <w:sz w:val="22"/>
          <w:szCs w:val="22"/>
        </w:rPr>
        <w:t>CCOO v Deutsche Bank</w:t>
      </w:r>
      <w:r>
        <w:rPr>
          <w:rFonts w:cs="Calibri"/>
          <w:color w:val="EE0000"/>
          <w:sz w:val="22"/>
          <w:szCs w:val="22"/>
        </w:rPr>
        <w:t xml:space="preserve"> (2019) The ECJ judgement required employers to actually record hours worked including rest breaks. The UK amended this to adequate records to demonstrate compliance with obligations including the forty-eight-hour working week in 2024 (Hamor, 2024).  </w:t>
      </w:r>
    </w:p>
    <w:p w14:paraId="7F87FC97" w14:textId="77777777" w:rsidR="00E33185" w:rsidRDefault="00000000">
      <w:r>
        <w:rPr>
          <w:rFonts w:cs="Calibri"/>
          <w:color w:val="EE0000"/>
          <w:sz w:val="22"/>
          <w:szCs w:val="22"/>
        </w:rPr>
        <w:t xml:space="preserve">Employment tribunals deal with claims that are brought against employers from their employees this could be in relation to their current employment or their termination. (Ayling and </w:t>
      </w:r>
      <w:proofErr w:type="spellStart"/>
      <w:r>
        <w:rPr>
          <w:rFonts w:cs="Calibri"/>
          <w:color w:val="EE0000"/>
          <w:sz w:val="22"/>
          <w:szCs w:val="22"/>
        </w:rPr>
        <w:t>Suff</w:t>
      </w:r>
      <w:proofErr w:type="spellEnd"/>
      <w:r>
        <w:rPr>
          <w:rFonts w:cs="Calibri"/>
          <w:color w:val="EE0000"/>
          <w:sz w:val="22"/>
          <w:szCs w:val="22"/>
        </w:rPr>
        <w:t xml:space="preserve"> 2026a) Employment tribunals make decisions after reviewing the evidence settling disputes, if either wants to </w:t>
      </w:r>
      <w:proofErr w:type="gramStart"/>
      <w:r>
        <w:rPr>
          <w:rFonts w:cs="Calibri"/>
          <w:color w:val="EE0000"/>
          <w:sz w:val="22"/>
          <w:szCs w:val="22"/>
        </w:rPr>
        <w:t>appeal</w:t>
      </w:r>
      <w:proofErr w:type="gramEnd"/>
      <w:r>
        <w:rPr>
          <w:rFonts w:cs="Calibri"/>
          <w:color w:val="EE0000"/>
          <w:sz w:val="22"/>
          <w:szCs w:val="22"/>
        </w:rPr>
        <w:t xml:space="preserve"> they can do this to the EAT, then this could progress further to court of appeal and finally the UK supreme court. </w:t>
      </w:r>
      <w:r>
        <w:rPr>
          <w:rFonts w:cs="Calibri"/>
          <w:sz w:val="22"/>
          <w:szCs w:val="22"/>
        </w:rPr>
        <w:t>Pre Brexit the highest court was the ECJ and now it is the UK supreme court. Ultimately the tribunal and court systems uphold employment law.</w:t>
      </w:r>
    </w:p>
    <w:p w14:paraId="1EF23BE5" w14:textId="77777777" w:rsidR="00E33185" w:rsidRDefault="00000000">
      <w:r>
        <w:rPr>
          <w:rFonts w:cs="Calibri"/>
          <w:strike/>
          <w:sz w:val="22"/>
          <w:szCs w:val="22"/>
        </w:rPr>
        <w:t xml:space="preserve">Employment tribunals system was created in 1964 initially to deal with appeals, and they were named then industrial tribunals (Daniels, 2022). The tribunal system is open to everyone the process to register a claim starts by completing an ET1 form online of the employment tribunal website (Daniels, 2022). The correspondent is also then sent a ET3 with a timeline of 28 days to respond. Once all evidence has been presented and witnesses cross examined, the employment tribunal will reach a verdict. The decision by the tribunal will not only be who won the case, but also what remedies are to be made. Both parties can appeal to the EAT if on a point of law or claim the findings of the tribunal are “perverse” (Daniels, 2022).  An EAT can correct legal errors which may have been made by tribunals. On appeal both parties are given a preliminary hearing. Appeals may progress to the court of appeal and the supreme </w:t>
      </w:r>
      <w:proofErr w:type="gramStart"/>
      <w:r>
        <w:rPr>
          <w:rFonts w:cs="Calibri"/>
          <w:strike/>
          <w:sz w:val="22"/>
          <w:szCs w:val="22"/>
        </w:rPr>
        <w:t>court.</w:t>
      </w:r>
      <w:r>
        <w:rPr>
          <w:rFonts w:cs="Calibri"/>
          <w:sz w:val="22"/>
          <w:szCs w:val="22"/>
        </w:rPr>
        <w:t>.</w:t>
      </w:r>
      <w:proofErr w:type="gramEnd"/>
    </w:p>
    <w:p w14:paraId="4DF09097" w14:textId="77777777" w:rsidR="00E33185" w:rsidRDefault="00E33185">
      <w:pPr>
        <w:rPr>
          <w:rFonts w:cs="Calibri"/>
          <w:sz w:val="22"/>
          <w:szCs w:val="22"/>
        </w:rPr>
      </w:pPr>
    </w:p>
    <w:p w14:paraId="20E7C6E0" w14:textId="77777777" w:rsidR="00E33185" w:rsidRDefault="00000000">
      <w:r>
        <w:rPr>
          <w:rFonts w:cs="Calibri"/>
          <w:sz w:val="22"/>
          <w:szCs w:val="22"/>
        </w:rPr>
        <w:t xml:space="preserve">2.1 Under the Equality act 2010, there are nine protected characteristics. Employers can’t treat someone less favourably on the grounds of a protected characteristic, under the main principles of discrimination law this would be classed as direct discrimination (Daniels, 2022). Regarding your email to occupational requirements, there can be some limited situations where a certain protected characteristic is needed because of the job role. A job like caring for someone may require the same sex to protect someone’s dignity or a job requiring commitment to a certain religion to a church (Daniels, 2022). Both are known as occupational requirements. Employers can’t seek that a job needs to be carried out by a man or a woman unless it is a genuine occupational requirement. </w:t>
      </w:r>
      <w:r>
        <w:rPr>
          <w:rFonts w:cs="Calibri"/>
          <w:color w:val="EE0000"/>
          <w:sz w:val="22"/>
          <w:szCs w:val="22"/>
        </w:rPr>
        <w:t xml:space="preserve">Specifying gender specific roles is only lawful in exceptional circumstances and it needs to be clearly justified. </w:t>
      </w:r>
    </w:p>
    <w:p w14:paraId="76C546EE" w14:textId="77777777" w:rsidR="00E33185" w:rsidRDefault="00000000">
      <w:r>
        <w:rPr>
          <w:rFonts w:cs="Calibri"/>
          <w:color w:val="EE0000"/>
          <w:sz w:val="22"/>
          <w:szCs w:val="22"/>
        </w:rPr>
        <w:t xml:space="preserve">If specifically, you are needing a male or female for direct personal care in the NHS Trust to protect someone’s dignity, this could be lawful if the requirement is directly linked to the job specifications and you can justify this reason because of the nature of the job role. If you can’t justify recruiting a specific gender for the job vacancy this becomes unlawful and discriminates against a protected characteristic (Daniels, 2022). </w:t>
      </w:r>
    </w:p>
    <w:p w14:paraId="093F0436" w14:textId="77777777" w:rsidR="00E33185" w:rsidRDefault="00000000">
      <w:pPr>
        <w:rPr>
          <w:rFonts w:cs="Calibri"/>
          <w:strike/>
          <w:sz w:val="22"/>
          <w:szCs w:val="22"/>
        </w:rPr>
      </w:pPr>
      <w:r>
        <w:rPr>
          <w:rFonts w:cs="Calibri"/>
          <w:strike/>
          <w:sz w:val="22"/>
          <w:szCs w:val="22"/>
        </w:rPr>
        <w:lastRenderedPageBreak/>
        <w:t xml:space="preserve">Reasonable adjustments in the recruitment process also needs to be taken into consideration so the job advert is accessible for all to apply (PCP). Some individuals might not be able to apply online so employers should ensure application forms are available, this prevents indirect discrimination (CIPD, 2025a). The recruitment process should be fair for all so it is not a disadvantage to an individual if they can’t comply (Daniels, 2022). </w:t>
      </w:r>
    </w:p>
    <w:p w14:paraId="519146E2" w14:textId="77777777" w:rsidR="00E33185" w:rsidRDefault="00000000">
      <w:r>
        <w:rPr>
          <w:rFonts w:cs="Calibri"/>
          <w:sz w:val="22"/>
          <w:szCs w:val="22"/>
        </w:rPr>
        <w:t xml:space="preserve">During the selection process employers must ensure that they are fair and objective to </w:t>
      </w:r>
      <w:r>
        <w:rPr>
          <w:rFonts w:cs="Calibri"/>
          <w:color w:val="EE0000"/>
          <w:sz w:val="22"/>
          <w:szCs w:val="22"/>
        </w:rPr>
        <w:t xml:space="preserve">both males and females equally </w:t>
      </w:r>
      <w:r>
        <w:rPr>
          <w:rFonts w:cs="Calibri"/>
          <w:sz w:val="22"/>
          <w:szCs w:val="22"/>
        </w:rPr>
        <w:t>and only select based on merit not personal preference</w:t>
      </w:r>
      <w:r>
        <w:rPr>
          <w:rFonts w:cs="Calibri"/>
          <w:color w:val="EE0000"/>
          <w:sz w:val="22"/>
          <w:szCs w:val="22"/>
        </w:rPr>
        <w:t xml:space="preserve">. </w:t>
      </w:r>
      <w:r>
        <w:rPr>
          <w:rFonts w:cs="Calibri"/>
          <w:sz w:val="22"/>
          <w:szCs w:val="22"/>
        </w:rPr>
        <w:t xml:space="preserve">Managers should be trained in diversity and discrimination and preferred candidates for the role should be checked for any unfair discriminatory impact. Advisably it is recommended to use a point scoring system against a </w:t>
      </w:r>
      <w:proofErr w:type="gramStart"/>
      <w:r>
        <w:rPr>
          <w:rFonts w:cs="Calibri"/>
          <w:sz w:val="22"/>
          <w:szCs w:val="22"/>
        </w:rPr>
        <w:t>set criteria</w:t>
      </w:r>
      <w:proofErr w:type="gramEnd"/>
      <w:r>
        <w:rPr>
          <w:rFonts w:cs="Calibri"/>
          <w:sz w:val="22"/>
          <w:szCs w:val="22"/>
        </w:rPr>
        <w:t xml:space="preserve"> to the job role itself. </w:t>
      </w:r>
      <w:r>
        <w:rPr>
          <w:rFonts w:cs="Calibri"/>
          <w:strike/>
          <w:sz w:val="22"/>
          <w:szCs w:val="22"/>
        </w:rPr>
        <w:t>If someone with a disability is successful for short listing, employers can ask about disabilities where necessary to make reasonable adjustments to accommodate a health condition or a disability, failure to adjust in the workplace is a separate form of discrimination under the Equality Act (CIPD, 2025a).</w:t>
      </w:r>
    </w:p>
    <w:p w14:paraId="4D593FF1" w14:textId="77777777" w:rsidR="00E33185" w:rsidRDefault="00000000">
      <w:r>
        <w:rPr>
          <w:rFonts w:cs="Calibri"/>
          <w:strike/>
          <w:sz w:val="22"/>
          <w:szCs w:val="22"/>
        </w:rPr>
        <w:t>Another main principle of discrimination law whist in employment, is an individual with protected characteristic can become harassed by other employees which can violate their dignity (Daniels, 2022). Employers need to ensure that they stop this nature in the workplace and promote an inclusive culture amongst their employees. Unwanted conduct like harassing someone of a certain religion can make an individual feel like they are treated less favourably (Daniels, 2022). Victimisation is another principle of discrimination this can also occur during or after employment, it is a term used when an employee maybe penalised in some way for defending their or someone else’s rights</w:t>
      </w:r>
      <w:r>
        <w:rPr>
          <w:rFonts w:cs="Calibri"/>
          <w:sz w:val="22"/>
          <w:szCs w:val="22"/>
        </w:rPr>
        <w:t xml:space="preserve">. </w:t>
      </w:r>
    </w:p>
    <w:p w14:paraId="73F6D358" w14:textId="77777777" w:rsidR="00E33185" w:rsidRDefault="00000000">
      <w:r>
        <w:rPr>
          <w:rFonts w:cs="Calibri"/>
          <w:sz w:val="22"/>
          <w:szCs w:val="22"/>
        </w:rPr>
        <w:t xml:space="preserve">During the </w:t>
      </w:r>
      <w:r>
        <w:rPr>
          <w:rFonts w:cs="Calibri"/>
          <w:color w:val="EE0000"/>
          <w:sz w:val="22"/>
          <w:szCs w:val="22"/>
        </w:rPr>
        <w:t xml:space="preserve">recruitment process when advertising job roles, the employer </w:t>
      </w:r>
      <w:proofErr w:type="gramStart"/>
      <w:r>
        <w:rPr>
          <w:rFonts w:cs="Calibri"/>
          <w:color w:val="EE0000"/>
          <w:sz w:val="22"/>
          <w:szCs w:val="22"/>
        </w:rPr>
        <w:t xml:space="preserve">should  </w:t>
      </w:r>
      <w:r>
        <w:rPr>
          <w:rFonts w:cs="Calibri"/>
          <w:strike/>
          <w:sz w:val="22"/>
          <w:szCs w:val="22"/>
        </w:rPr>
        <w:t>employee</w:t>
      </w:r>
      <w:proofErr w:type="gramEnd"/>
      <w:r>
        <w:rPr>
          <w:rFonts w:cs="Calibri"/>
          <w:strike/>
          <w:sz w:val="22"/>
          <w:szCs w:val="22"/>
        </w:rPr>
        <w:t xml:space="preserve"> life cycle the employer should remain fair</w:t>
      </w:r>
      <w:r>
        <w:rPr>
          <w:rFonts w:cs="Calibri"/>
          <w:sz w:val="22"/>
          <w:szCs w:val="22"/>
        </w:rPr>
        <w:t xml:space="preserve">, </w:t>
      </w:r>
      <w:r>
        <w:rPr>
          <w:rFonts w:cs="Calibri"/>
          <w:strike/>
          <w:sz w:val="22"/>
          <w:szCs w:val="22"/>
        </w:rPr>
        <w:t>unbiased whilst fostering an inclusive culture</w:t>
      </w:r>
      <w:r>
        <w:rPr>
          <w:rFonts w:cs="Calibri"/>
          <w:sz w:val="22"/>
          <w:szCs w:val="22"/>
        </w:rPr>
        <w:t xml:space="preserve">, </w:t>
      </w:r>
      <w:r>
        <w:rPr>
          <w:rFonts w:cs="Calibri"/>
          <w:color w:val="EE0000"/>
          <w:sz w:val="22"/>
          <w:szCs w:val="22"/>
        </w:rPr>
        <w:t xml:space="preserve">ensure that if jobs are advertised specifying </w:t>
      </w:r>
      <w:proofErr w:type="gramStart"/>
      <w:r>
        <w:rPr>
          <w:rFonts w:cs="Calibri"/>
          <w:color w:val="EE0000"/>
          <w:sz w:val="22"/>
          <w:szCs w:val="22"/>
        </w:rPr>
        <w:t>genders</w:t>
      </w:r>
      <w:proofErr w:type="gramEnd"/>
      <w:r>
        <w:rPr>
          <w:rFonts w:cs="Calibri"/>
          <w:color w:val="EE0000"/>
          <w:sz w:val="22"/>
          <w:szCs w:val="22"/>
        </w:rPr>
        <w:t xml:space="preserve"> there is justification. New vacancies should be open for all candidates to remain fair and roles should be given based on skill set and experience not preferred gender,</w:t>
      </w:r>
      <w:r>
        <w:rPr>
          <w:rFonts w:cs="Calibri"/>
          <w:sz w:val="22"/>
          <w:szCs w:val="22"/>
        </w:rPr>
        <w:t xml:space="preserve"> </w:t>
      </w:r>
      <w:r>
        <w:rPr>
          <w:rFonts w:cs="Calibri"/>
          <w:strike/>
          <w:sz w:val="22"/>
          <w:szCs w:val="22"/>
        </w:rPr>
        <w:t>in their workplace</w:t>
      </w:r>
      <w:r>
        <w:rPr>
          <w:rFonts w:cs="Calibri"/>
          <w:sz w:val="22"/>
          <w:szCs w:val="22"/>
        </w:rPr>
        <w:t xml:space="preserve"> this will prevent costly tribunals and prevent a negative company reputation</w:t>
      </w:r>
      <w:r>
        <w:rPr>
          <w:rFonts w:cs="Calibri"/>
          <w:color w:val="EE0000"/>
          <w:sz w:val="22"/>
          <w:szCs w:val="22"/>
        </w:rPr>
        <w:t xml:space="preserve"> whilst maintaining compliance with discrimination law</w:t>
      </w:r>
      <w:r>
        <w:rPr>
          <w:rFonts w:cs="Calibri"/>
          <w:sz w:val="22"/>
          <w:szCs w:val="22"/>
        </w:rPr>
        <w:t xml:space="preserve">.  </w:t>
      </w:r>
    </w:p>
    <w:p w14:paraId="5F16CC28" w14:textId="77777777" w:rsidR="00E33185" w:rsidRDefault="00E33185">
      <w:pPr>
        <w:rPr>
          <w:rFonts w:cs="Calibri"/>
          <w:sz w:val="22"/>
          <w:szCs w:val="22"/>
        </w:rPr>
      </w:pPr>
    </w:p>
    <w:p w14:paraId="08A2F7AC" w14:textId="77777777" w:rsidR="00E33185" w:rsidRDefault="00000000">
      <w:pPr>
        <w:rPr>
          <w:rFonts w:cs="Calibri"/>
          <w:sz w:val="22"/>
          <w:szCs w:val="22"/>
        </w:rPr>
      </w:pPr>
      <w:r>
        <w:rPr>
          <w:rFonts w:cs="Calibri"/>
          <w:sz w:val="22"/>
          <w:szCs w:val="22"/>
        </w:rPr>
        <w:t xml:space="preserve">2.2 Thank you for the request to upgrade two of your health care professionals. Under the equal pay law, which is covered by the Equality Act 2010, men and women must get equal pay for doing equal work (ACAS, 2024).  This refers to the right for both genders in the same employment to have the same terms and conditions in a workplace and to receive equal pay (CIPD, 2025b). Referring to your workforce predominantly it is made up of 80% of women. The two individuals you want to increase to a higher band are both men. By law if they are now doing equal work to the rest of the employees, their conducted work is equivalent, they have the same skillset and they complete work of equal value their job roles can still be classed as equal work. Increasing their pay by not considering the rest of the workforce could give rise to creating legal risks to the company and potentially could open claims of equal pay against a specific gender because the terms and conditions of employment are less favourable to a woman if the work is at equal value (Daniels, 2022). Any pay differences would need to be genuine, fair and non-discriminating.  Direct discrimination and equal pay claims are both different forms of legal claims but they both still sit under the Equality Act 2010. </w:t>
      </w:r>
    </w:p>
    <w:p w14:paraId="6F042C7E" w14:textId="77777777" w:rsidR="00E33185" w:rsidRDefault="00000000">
      <w:pPr>
        <w:rPr>
          <w:rFonts w:cs="Calibri"/>
          <w:sz w:val="22"/>
          <w:szCs w:val="22"/>
        </w:rPr>
      </w:pPr>
      <w:r>
        <w:rPr>
          <w:rFonts w:cs="Calibri"/>
          <w:sz w:val="22"/>
          <w:szCs w:val="22"/>
        </w:rPr>
        <w:t xml:space="preserve">There is still a significant pay gap between men and woman in the UK. It has been widely accepted that this is still an ongoing problem as of such the government has introduced gender pay gap </w:t>
      </w:r>
      <w:r>
        <w:rPr>
          <w:rFonts w:cs="Calibri"/>
          <w:sz w:val="22"/>
          <w:szCs w:val="22"/>
        </w:rPr>
        <w:lastRenderedPageBreak/>
        <w:t xml:space="preserve">reporting. Differences in pay might be allowed if the men in question are better qualified than the rest of the workforce, where they are located (if the cost of living is higher) or they carry out different shifts and there is good reason to pay one shift higher than the other (ACAS, 2024).  </w:t>
      </w:r>
    </w:p>
    <w:p w14:paraId="0E2BC1A8" w14:textId="77777777" w:rsidR="00E33185" w:rsidRDefault="00000000">
      <w:pPr>
        <w:rPr>
          <w:rFonts w:cs="Calibri"/>
          <w:sz w:val="22"/>
          <w:szCs w:val="22"/>
        </w:rPr>
      </w:pPr>
      <w:r>
        <w:rPr>
          <w:rFonts w:cs="Calibri"/>
          <w:sz w:val="22"/>
          <w:szCs w:val="22"/>
        </w:rPr>
        <w:t xml:space="preserve">I can’t approve the request just because there is extra money, as the legal requirement of equal pay aims to ensure fairness and eliminate gender-based pay discrimination. For this to be done fairly I can suggest that you give all the employees an opportunity to apply for a higher banding and carry out effective job evaluations to justify a higher wage. </w:t>
      </w:r>
    </w:p>
    <w:p w14:paraId="3FB10274" w14:textId="77777777" w:rsidR="00E33185" w:rsidRDefault="00E33185">
      <w:pPr>
        <w:rPr>
          <w:rFonts w:cs="Calibri"/>
          <w:sz w:val="22"/>
          <w:szCs w:val="22"/>
        </w:rPr>
      </w:pPr>
    </w:p>
    <w:p w14:paraId="04B7ED5E" w14:textId="77777777" w:rsidR="00E33185" w:rsidRDefault="00000000">
      <w:r>
        <w:rPr>
          <w:rFonts w:cs="Calibri"/>
          <w:sz w:val="22"/>
          <w:szCs w:val="22"/>
        </w:rPr>
        <w:t xml:space="preserve">3.1 I understand you are concerned with the recent resignation from a radiographer, in </w:t>
      </w:r>
      <w:r>
        <w:rPr>
          <w:rFonts w:cs="Calibri"/>
          <w:strike/>
          <w:sz w:val="22"/>
          <w:szCs w:val="22"/>
        </w:rPr>
        <w:t>any business</w:t>
      </w:r>
      <w:r>
        <w:rPr>
          <w:rFonts w:cs="Calibri"/>
          <w:sz w:val="22"/>
          <w:szCs w:val="22"/>
        </w:rPr>
        <w:t xml:space="preserve"> </w:t>
      </w:r>
      <w:r>
        <w:rPr>
          <w:rFonts w:cs="Calibri"/>
          <w:color w:val="EE0000"/>
          <w:sz w:val="22"/>
          <w:szCs w:val="22"/>
        </w:rPr>
        <w:t xml:space="preserve">the NHS Trust </w:t>
      </w:r>
      <w:r>
        <w:rPr>
          <w:rFonts w:cs="Calibri"/>
          <w:sz w:val="22"/>
          <w:szCs w:val="22"/>
        </w:rPr>
        <w:t xml:space="preserve">at some point the employer may want to make a change to their contracts. This could be relating to hours of work to suit the </w:t>
      </w:r>
      <w:r>
        <w:rPr>
          <w:rFonts w:cs="Calibri"/>
          <w:strike/>
          <w:sz w:val="22"/>
          <w:szCs w:val="22"/>
        </w:rPr>
        <w:t>business</w:t>
      </w:r>
      <w:r>
        <w:rPr>
          <w:rFonts w:cs="Calibri"/>
          <w:sz w:val="22"/>
          <w:szCs w:val="22"/>
        </w:rPr>
        <w:t xml:space="preserve"> </w:t>
      </w:r>
      <w:r>
        <w:rPr>
          <w:rFonts w:cs="Calibri"/>
          <w:color w:val="EE0000"/>
          <w:sz w:val="22"/>
          <w:szCs w:val="22"/>
        </w:rPr>
        <w:t xml:space="preserve">NHS Trust </w:t>
      </w:r>
      <w:r>
        <w:rPr>
          <w:rFonts w:cs="Calibri"/>
          <w:sz w:val="22"/>
          <w:szCs w:val="22"/>
        </w:rPr>
        <w:t xml:space="preserve">needs more or due to a restructuring (Daniels, 2022). A contract of employment is a legal agreement between both parties, an employer can’t change the contract legally without following the correct process by consulting employees as it could cause implications of constructive dismissal claims or an employee seeking damages for any loss that they have personally suffered (Daniels, 2022). Constructive dismissal occurs </w:t>
      </w:r>
      <w:r>
        <w:rPr>
          <w:rFonts w:cs="Calibri"/>
          <w:strike/>
          <w:sz w:val="22"/>
          <w:szCs w:val="22"/>
        </w:rPr>
        <w:t>in a business</w:t>
      </w:r>
      <w:r>
        <w:rPr>
          <w:rFonts w:cs="Calibri"/>
          <w:sz w:val="22"/>
          <w:szCs w:val="22"/>
        </w:rPr>
        <w:t xml:space="preserve"> </w:t>
      </w:r>
      <w:r>
        <w:rPr>
          <w:rFonts w:cs="Calibri"/>
          <w:strike/>
          <w:sz w:val="22"/>
          <w:szCs w:val="22"/>
        </w:rPr>
        <w:t>when the employee</w:t>
      </w:r>
      <w:r>
        <w:rPr>
          <w:rFonts w:cs="Calibri"/>
          <w:sz w:val="22"/>
          <w:szCs w:val="22"/>
        </w:rPr>
        <w:t xml:space="preserve"> </w:t>
      </w:r>
      <w:r>
        <w:rPr>
          <w:rFonts w:cs="Calibri"/>
          <w:color w:val="EE0000"/>
          <w:sz w:val="22"/>
          <w:szCs w:val="22"/>
        </w:rPr>
        <w:t>if the correct process has not been followed with the radiographer</w:t>
      </w:r>
      <w:r>
        <w:rPr>
          <w:rFonts w:cs="Calibri"/>
          <w:sz w:val="22"/>
          <w:szCs w:val="22"/>
        </w:rPr>
        <w:t xml:space="preserve"> and they resign because of the employer’s actions which must amount to a fundamental breach of the employment contract (Ayling and </w:t>
      </w:r>
      <w:proofErr w:type="spellStart"/>
      <w:r>
        <w:rPr>
          <w:rFonts w:cs="Calibri"/>
          <w:sz w:val="22"/>
          <w:szCs w:val="22"/>
        </w:rPr>
        <w:t>Suff</w:t>
      </w:r>
      <w:proofErr w:type="spellEnd"/>
      <w:r>
        <w:rPr>
          <w:rFonts w:cs="Calibri"/>
          <w:sz w:val="22"/>
          <w:szCs w:val="22"/>
        </w:rPr>
        <w:t xml:space="preserve"> 2026). </w:t>
      </w:r>
    </w:p>
    <w:p w14:paraId="1F19DEBB" w14:textId="77777777" w:rsidR="00E33185" w:rsidRDefault="00000000">
      <w:r>
        <w:rPr>
          <w:rFonts w:cs="Calibri"/>
          <w:strike/>
          <w:sz w:val="22"/>
          <w:szCs w:val="22"/>
        </w:rPr>
        <w:t xml:space="preserve"> To ensure that the process is smooth when varying contracts the employer must always start by consulting their employees. Hopefully there will be a legal agreement between both parties on the new contractual terms, however if no agreement has been made and an employee continues to work for a period with the new changes it can be interpretated as they have accepted these by their actions (Daniels, 2022</w:t>
      </w:r>
      <w:r>
        <w:rPr>
          <w:rFonts w:cs="Calibri"/>
          <w:sz w:val="22"/>
          <w:szCs w:val="22"/>
        </w:rPr>
        <w:t xml:space="preserve">).   An employer can also reserve the right to make contract changes by including a mobility or flexible clause in an employee’s contract. This does not mean an employer can make any changes that they want, and they still must act reasonably and in good faith (Daniels, 2022). With the case of </w:t>
      </w:r>
      <w:r>
        <w:rPr>
          <w:rFonts w:cs="Calibri"/>
          <w:i/>
          <w:iCs/>
          <w:sz w:val="22"/>
          <w:szCs w:val="22"/>
        </w:rPr>
        <w:t>United Bank V Akhtar (1989)</w:t>
      </w:r>
      <w:r>
        <w:rPr>
          <w:rFonts w:cs="Calibri"/>
          <w:sz w:val="22"/>
          <w:szCs w:val="22"/>
        </w:rPr>
        <w:t xml:space="preserve"> the employer asked Akhtar to relocate within six days from Birmingham to Leeds. He resigned and claimed constructive dismissal; he won this case as the tribunal deemed that there was a breach in the mutual trust and confidence over the short amount of notice that was given. Constructive dismissal is a form of unfair dismissal under the Employments Rights Act 1996.</w:t>
      </w:r>
    </w:p>
    <w:p w14:paraId="3E826C86" w14:textId="77777777" w:rsidR="00E33185" w:rsidRDefault="00000000">
      <w:r>
        <w:rPr>
          <w:rFonts w:cs="Calibri"/>
          <w:color w:val="EE0000"/>
          <w:sz w:val="22"/>
          <w:szCs w:val="22"/>
        </w:rPr>
        <w:t>I understand your concerns for a constructive dismissal claim</w:t>
      </w:r>
      <w:r>
        <w:rPr>
          <w:rFonts w:cs="Calibri"/>
          <w:sz w:val="22"/>
          <w:szCs w:val="22"/>
        </w:rPr>
        <w:t xml:space="preserve">. </w:t>
      </w:r>
      <w:r>
        <w:rPr>
          <w:rFonts w:cs="Calibri"/>
          <w:strike/>
          <w:sz w:val="22"/>
          <w:szCs w:val="22"/>
        </w:rPr>
        <w:t>The steps leading to a constructive dismissal claim are,</w:t>
      </w:r>
      <w:r>
        <w:rPr>
          <w:rFonts w:cs="Calibri"/>
          <w:sz w:val="22"/>
          <w:szCs w:val="22"/>
        </w:rPr>
        <w:t xml:space="preserve"> </w:t>
      </w:r>
      <w:r>
        <w:rPr>
          <w:rFonts w:cs="Calibri"/>
          <w:strike/>
          <w:sz w:val="22"/>
          <w:szCs w:val="22"/>
        </w:rPr>
        <w:t>the employer commits a breach of contract</w:t>
      </w:r>
      <w:r>
        <w:rPr>
          <w:rFonts w:cs="Calibri"/>
          <w:sz w:val="22"/>
          <w:szCs w:val="22"/>
        </w:rPr>
        <w:t xml:space="preserve">; </w:t>
      </w:r>
      <w:r>
        <w:rPr>
          <w:rFonts w:cs="Calibri"/>
          <w:strike/>
          <w:sz w:val="22"/>
          <w:szCs w:val="22"/>
        </w:rPr>
        <w:t>Employee resigns in response to this breach and does not delay in resigning.</w:t>
      </w:r>
      <w:r>
        <w:rPr>
          <w:rFonts w:cs="Calibri"/>
          <w:sz w:val="22"/>
          <w:szCs w:val="22"/>
        </w:rPr>
        <w:t xml:space="preserve"> </w:t>
      </w:r>
      <w:r>
        <w:rPr>
          <w:rFonts w:cs="Calibri"/>
          <w:color w:val="EE0000"/>
          <w:sz w:val="22"/>
          <w:szCs w:val="22"/>
        </w:rPr>
        <w:t xml:space="preserve">The steps leading to a valid claim is if a breach of contract has been committed without consultation to the change of working hours and the radiographer responded to this by resigning without delay. </w:t>
      </w:r>
      <w:r>
        <w:rPr>
          <w:rFonts w:cs="Calibri"/>
          <w:sz w:val="22"/>
          <w:szCs w:val="22"/>
        </w:rPr>
        <w:t xml:space="preserve">If the radiographer did work after the changes, it could be argued that they have affirmed the breach therefore can’t claim constructive dismissal (Landy, 2017). The radiographer can only claim constructive dismissal if he has a qualifying period of service of two years continuous employment (Landy, 2017). </w:t>
      </w:r>
      <w:r>
        <w:rPr>
          <w:rFonts w:cs="Calibri"/>
          <w:strike/>
          <w:sz w:val="22"/>
          <w:szCs w:val="22"/>
        </w:rPr>
        <w:t xml:space="preserve">Wrongful dismissal claims currently have a time limit of three months, less than a day from the date of termination at an employment tribunal and can have up to six years if presented to civil courts. Time limits can be extended once the claim is logged with the mandatory ACAS early conciliation procedure (Ayling and </w:t>
      </w:r>
      <w:proofErr w:type="spellStart"/>
      <w:r>
        <w:rPr>
          <w:rFonts w:cs="Calibri"/>
          <w:strike/>
          <w:sz w:val="22"/>
          <w:szCs w:val="22"/>
        </w:rPr>
        <w:t>Suff</w:t>
      </w:r>
      <w:proofErr w:type="spellEnd"/>
      <w:r>
        <w:rPr>
          <w:rFonts w:cs="Calibri"/>
          <w:strike/>
          <w:sz w:val="22"/>
          <w:szCs w:val="22"/>
        </w:rPr>
        <w:t xml:space="preserve"> 2026)</w:t>
      </w:r>
      <w:r>
        <w:rPr>
          <w:rFonts w:cs="Calibri"/>
          <w:sz w:val="22"/>
          <w:szCs w:val="22"/>
        </w:rPr>
        <w:t xml:space="preserve">. </w:t>
      </w:r>
      <w:r>
        <w:rPr>
          <w:rFonts w:cs="Calibri"/>
          <w:color w:val="EE0000"/>
          <w:sz w:val="22"/>
          <w:szCs w:val="22"/>
        </w:rPr>
        <w:t xml:space="preserve">There are strict time limits for the radiographer to make a claim to an employment tribunal. This is three months </w:t>
      </w:r>
      <w:r>
        <w:rPr>
          <w:rFonts w:cs="Calibri"/>
          <w:color w:val="EE0000"/>
          <w:sz w:val="22"/>
          <w:szCs w:val="22"/>
        </w:rPr>
        <w:lastRenderedPageBreak/>
        <w:t xml:space="preserve">minus one day of the last day of their notice period or from the day that the radiographer resigned. After three months and one day the radiographer will be considered to be out of time by the employment tribunal service (ACAS, 2026). </w:t>
      </w:r>
    </w:p>
    <w:p w14:paraId="2C8A1A30" w14:textId="77777777" w:rsidR="00E33185" w:rsidRDefault="00000000">
      <w:pPr>
        <w:rPr>
          <w:rFonts w:cs="Calibri"/>
          <w:strike/>
          <w:sz w:val="22"/>
          <w:szCs w:val="22"/>
        </w:rPr>
      </w:pPr>
      <w:r>
        <w:rPr>
          <w:rFonts w:cs="Calibri"/>
          <w:strike/>
          <w:sz w:val="22"/>
          <w:szCs w:val="22"/>
        </w:rPr>
        <w:t xml:space="preserve">Employers need to ensure that contractual changes are done properly, and the implied term of trust and confidence is usually breached through poor treatment, discrimination or failure of employers listening to complaints. Employers that have proper processes in place will prevent claims of constructive dismissal (Landy, 2017). </w:t>
      </w:r>
    </w:p>
    <w:p w14:paraId="491B5E2E" w14:textId="77777777" w:rsidR="00E33185" w:rsidRDefault="00E33185">
      <w:pPr>
        <w:rPr>
          <w:rFonts w:cs="Calibri"/>
          <w:sz w:val="22"/>
          <w:szCs w:val="22"/>
        </w:rPr>
      </w:pPr>
    </w:p>
    <w:p w14:paraId="39F8F423" w14:textId="77777777" w:rsidR="00E33185" w:rsidRDefault="00000000">
      <w:pPr>
        <w:rPr>
          <w:rFonts w:cs="Calibri"/>
          <w:sz w:val="22"/>
          <w:szCs w:val="22"/>
        </w:rPr>
      </w:pPr>
      <w:r>
        <w:rPr>
          <w:rFonts w:cs="Calibri"/>
          <w:sz w:val="22"/>
          <w:szCs w:val="22"/>
        </w:rPr>
        <w:t xml:space="preserve">3.2 A redundancy is a dismissal that can occur in an organisation when a role is no longer needed and has become redundant in the business (CIPD, 2026). Whilst from your email I understand that a quick process must be made, as the proposed effects over 20 employees but less than 100 therefore the consultation must take place over a minimum of 30 days before the first dismissal and a HR1 form must be filled out for the government (Daniels, 2022).  Time is not really specified for consultation it can take as long as necessary for it to be considered reasonable and meaningful even if it passes the minimum time frame. Avoiding consultation for speed would be unlawful. </w:t>
      </w:r>
    </w:p>
    <w:p w14:paraId="1EBAABFF" w14:textId="77777777" w:rsidR="00E33185" w:rsidRDefault="00000000">
      <w:pPr>
        <w:rPr>
          <w:rFonts w:cs="Calibri"/>
          <w:sz w:val="22"/>
          <w:szCs w:val="22"/>
        </w:rPr>
      </w:pPr>
      <w:r>
        <w:rPr>
          <w:rFonts w:cs="Calibri"/>
          <w:sz w:val="22"/>
          <w:szCs w:val="22"/>
        </w:rPr>
        <w:t>In this instance collective consultation is a needed addition due to the number of people you are proposing for redundancies and will take place prior to individual consultation, the employer must also consult with an independent trade union before any dismissals can be properly issued.  If no trade union is recognised elected representatives must be selected with the effected employees (CIPD, 2026). Failure to consult with employees could lead to a penalty of 90 days’ pay per employee.</w:t>
      </w:r>
    </w:p>
    <w:p w14:paraId="7A6521D6" w14:textId="77777777" w:rsidR="00E33185" w:rsidRDefault="00000000">
      <w:pPr>
        <w:rPr>
          <w:rFonts w:cs="Calibri"/>
          <w:sz w:val="22"/>
          <w:szCs w:val="22"/>
        </w:rPr>
      </w:pPr>
      <w:r>
        <w:rPr>
          <w:rFonts w:cs="Calibri"/>
          <w:sz w:val="22"/>
          <w:szCs w:val="22"/>
        </w:rPr>
        <w:t xml:space="preserve">During the process employees will need to be provided with the current proposals, reason for redundancy, number and description of each type, total number of redundancies expected, selection method, procedure and their redundancy pay calculation. </w:t>
      </w:r>
    </w:p>
    <w:p w14:paraId="14D00488" w14:textId="77777777" w:rsidR="00E33185" w:rsidRDefault="00000000">
      <w:pPr>
        <w:rPr>
          <w:rFonts w:cs="Calibri"/>
          <w:sz w:val="22"/>
          <w:szCs w:val="22"/>
        </w:rPr>
      </w:pPr>
      <w:r>
        <w:rPr>
          <w:rFonts w:cs="Calibri"/>
          <w:sz w:val="22"/>
          <w:szCs w:val="22"/>
        </w:rPr>
        <w:t xml:space="preserve">Whilst it is always easy to assume this is a process to make poor performers in the business redundant and make some roles compulsory for redundancy, employers should be careful when determining the selection pool for redundancies. Pools are ultimately determined by the employer and there is some flexibility in this, but the employer should consider a similar type of work in the departments, those that perform similar work, interchangeable roles and subordinate roles across the business. There must be consistency in the selection process, and the employer should aim to be as fair and objective as possible (Daniels, 2022). An employer should also consider alternative employment in the organisation if this is an option available. If the redundancy process is handled incorrectly and fairness to all is not applied, employees may be able to claim that they were unfairly dismissed (CIPD, 2026). </w:t>
      </w:r>
    </w:p>
    <w:p w14:paraId="0B4A9D91" w14:textId="77777777" w:rsidR="00E33185" w:rsidRDefault="00000000">
      <w:pPr>
        <w:rPr>
          <w:rFonts w:cs="Calibri"/>
          <w:sz w:val="22"/>
          <w:szCs w:val="22"/>
        </w:rPr>
      </w:pPr>
      <w:r>
        <w:rPr>
          <w:rFonts w:cs="Calibri"/>
          <w:sz w:val="22"/>
          <w:szCs w:val="22"/>
        </w:rPr>
        <w:t xml:space="preserve">Once collective consultation has taken place, individual employees will then be identified at being at risk of dismissal due to redundancy. If it is decided that dismissal is taking place the employee has the right to appeal against the decision. An employee is entitled to a statutory redundancy payment if they have been with the organisation for more than two years at the time of dismissal. The employer must provide the employee a written statement on how it was calculated and pay the notice period with any outstanding annual leave (CIPD, 2026).   </w:t>
      </w:r>
    </w:p>
    <w:p w14:paraId="488B7414" w14:textId="77777777" w:rsidR="00E33185" w:rsidRDefault="00E33185">
      <w:pPr>
        <w:rPr>
          <w:rFonts w:cs="Calibri"/>
          <w:sz w:val="22"/>
          <w:szCs w:val="22"/>
        </w:rPr>
      </w:pPr>
    </w:p>
    <w:p w14:paraId="28F10A25" w14:textId="77777777" w:rsidR="00E33185" w:rsidRDefault="00000000">
      <w:pPr>
        <w:rPr>
          <w:rFonts w:cs="Calibri"/>
          <w:sz w:val="22"/>
          <w:szCs w:val="22"/>
        </w:rPr>
      </w:pPr>
      <w:r>
        <w:rPr>
          <w:rFonts w:cs="Calibri"/>
          <w:sz w:val="22"/>
          <w:szCs w:val="22"/>
        </w:rPr>
        <w:lastRenderedPageBreak/>
        <w:t xml:space="preserve">3.3 In regard to your email regarding the potential of the hospital trust merging the two pharmacy operations in an existing neighbourhood to expand your operations. This would come under TUPE, Transfer for Undertakings (Protection of Employment) Regulations 2006. A transfer can be two kinds this applies to a relevant business transfer or service provision change. (CIPD, 2024). These regulations give protection to employees of the pharmacy being transferred to new ownership. When TUPE takes place, all the contractual rights of an employee are transferred from the exiting business to the new owner (Daniels, 2022). This includes continuous service, contracts, trade union recognition and all rights and obligations contained in their previous contract. If any dismissal occurs because of a transfer of undertakings this becomes automatically unfair.  </w:t>
      </w:r>
    </w:p>
    <w:p w14:paraId="421EEFFA" w14:textId="77777777" w:rsidR="00E33185" w:rsidRDefault="00000000">
      <w:pPr>
        <w:rPr>
          <w:rFonts w:cs="Calibri"/>
          <w:sz w:val="22"/>
          <w:szCs w:val="22"/>
        </w:rPr>
      </w:pPr>
      <w:r>
        <w:rPr>
          <w:rFonts w:cs="Calibri"/>
          <w:sz w:val="22"/>
          <w:szCs w:val="22"/>
        </w:rPr>
        <w:t xml:space="preserve">There can be some exceptions to vary terms and conditions of a contract if it is linked with a genuine ETO reason and it entails changes in the workforce for a change of job role or redundancies. If there is a genuine reason, consultation can start before the transfer and negotiate costs of the redundancy payment (CIPD, 2024). </w:t>
      </w:r>
    </w:p>
    <w:p w14:paraId="37E92F0D" w14:textId="77777777" w:rsidR="00E33185" w:rsidRDefault="00000000">
      <w:pPr>
        <w:rPr>
          <w:rFonts w:cs="Calibri"/>
          <w:sz w:val="22"/>
          <w:szCs w:val="22"/>
        </w:rPr>
      </w:pPr>
      <w:r>
        <w:rPr>
          <w:rFonts w:cs="Calibri"/>
          <w:sz w:val="22"/>
          <w:szCs w:val="22"/>
        </w:rPr>
        <w:t>Regulations also specify that consultation should take place with employee representatives either trade union or elected and consultation with all individual employees. Failure to consult with employees could lead to a claim for up to 13 weeks per effected employee. The liability with this sits jointly between the old and new business owners (Daniels, 2022).  There is no requirement to consult with representatives for businesses with fewer than 50 people or if it effects less than 10 employees however consultation is still required.</w:t>
      </w:r>
    </w:p>
    <w:p w14:paraId="07BEC86A" w14:textId="77777777" w:rsidR="00E33185" w:rsidRDefault="00000000">
      <w:pPr>
        <w:rPr>
          <w:rFonts w:cs="Calibri"/>
          <w:sz w:val="22"/>
          <w:szCs w:val="22"/>
        </w:rPr>
      </w:pPr>
      <w:r>
        <w:rPr>
          <w:rFonts w:cs="Calibri"/>
          <w:sz w:val="22"/>
          <w:szCs w:val="22"/>
        </w:rPr>
        <w:t xml:space="preserve">The exiting business owner of the pharmacy is legally required to provide information about the employees that are transferring and must be provided 28 days before the transfer. The information that must be included; Employee names, details of the employees’ statement of employment, applicable collective agreements, two years of any disciplinary action, grievances raised in the past two years, any legal action against the exiting owner by any of the employees in the last two years. If this information is not provided the employment tribunal can award up to £500 to the transferee per individual that was affected by the information. </w:t>
      </w:r>
    </w:p>
    <w:p w14:paraId="3D1B30F2" w14:textId="77777777" w:rsidR="00E33185" w:rsidRDefault="00E33185">
      <w:pPr>
        <w:rPr>
          <w:rFonts w:cs="Calibri"/>
          <w:sz w:val="22"/>
          <w:szCs w:val="22"/>
        </w:rPr>
      </w:pPr>
    </w:p>
    <w:p w14:paraId="573194B8" w14:textId="77777777" w:rsidR="00E33185" w:rsidRDefault="00000000">
      <w:r>
        <w:rPr>
          <w:rFonts w:cs="Calibri"/>
          <w:sz w:val="22"/>
          <w:szCs w:val="22"/>
        </w:rPr>
        <w:t>4.1 The working time regulations 1998 basis relates to health and safety and refers to holidays, rest periods and reasonable working hours so employees are healthier and less likely to have accidents if they have a minimum level of acceptable time off work (Daniels, 2022). A worker is entitled to 5.6 weeks annual leave per year which is inclusive of bank holidays. As you have nurse bank staff their entitlement is calculated based on being an irregular worker. Rolling holiday accrual has been legalised for part-year and irregular hours. It is unlawful for people outside of these categories. (ACAS,2025). Your nurse bank staff accrue holiday at 12.07% of the pay earnt in a pay period. They accrue this on the last working day of their pay period. This is calculated against the percentage of the nurses pay and is paid in addition to their regular working hours and is itemised separately on their pay statement. If the percentage of leave goes above 5.6 weeks this is capped at the entitlement at the statutory maximum. When using rolled up holiday the employee is not entitled to any money when on annual leave. (Daniels, 2022). It is appropriate to use this method for your team due to the uncertainty in hours and they receive their annual holiday allowance fairly. If the nurse bank team is working continuously, we might want to consider that they are regular workers, and their entitlement would be worked out differently.</w:t>
      </w:r>
    </w:p>
    <w:p w14:paraId="24234AC3" w14:textId="77777777" w:rsidR="00E33185" w:rsidRDefault="00000000">
      <w:pPr>
        <w:rPr>
          <w:rFonts w:cs="Calibri"/>
          <w:sz w:val="22"/>
          <w:szCs w:val="22"/>
        </w:rPr>
      </w:pPr>
      <w:r>
        <w:rPr>
          <w:rFonts w:cs="Calibri"/>
          <w:sz w:val="22"/>
          <w:szCs w:val="22"/>
        </w:rPr>
        <w:lastRenderedPageBreak/>
        <w:t xml:space="preserve">For employees on fixed hours their holiday pay will be calculated using their normal pay rate. For employees who have irregular hours or part-year workers it will be calculated on their average pay over the last fifty-two weeks (ACAS, 2025a). By law their holiday pay must include payment that they have regularly been paid, payment for tasks required in their contract like commission, payments relating to a professional or personal status and inclusive of any regular overtime. </w:t>
      </w:r>
    </w:p>
    <w:p w14:paraId="78F7CE3D" w14:textId="77777777" w:rsidR="00E33185" w:rsidRDefault="00E33185">
      <w:pPr>
        <w:rPr>
          <w:rFonts w:cs="Calibri"/>
          <w:sz w:val="22"/>
          <w:szCs w:val="22"/>
        </w:rPr>
      </w:pPr>
    </w:p>
    <w:p w14:paraId="55AFEB3A" w14:textId="77777777" w:rsidR="00E33185" w:rsidRDefault="00000000">
      <w:pPr>
        <w:rPr>
          <w:rFonts w:cs="Calibri"/>
          <w:sz w:val="22"/>
          <w:szCs w:val="22"/>
        </w:rPr>
      </w:pPr>
      <w:r>
        <w:rPr>
          <w:rFonts w:cs="Calibri"/>
          <w:sz w:val="22"/>
          <w:szCs w:val="22"/>
        </w:rPr>
        <w:t xml:space="preserve">4.2 All mothers, fathers and partners have statutory rights to maternity, paternity, adoption and shared parental leave. Whilst taking maternity leave you have the right to take up to 52 weeks off work and remain legally classed as an employee, anyone on maternity leave is also entitled to all contractual terms and paid holiday entitlement accrues during leave (Daniels, 2022). From the time a woman becomes pregnant she is automatically protected against discrimination (CIPD, 2025c). Whilst off on maternity leave an employee is entitled to statutory maternity pay if they have a continuous service of 26 weeks which is payable by employers for the period of 39 weeks. The first six weeks is paid at 90% of the average weekly earnings and the remainder at £184.03 or 90% of the individual salary if it is lower. Many organisations do have more generous terms for pay during maternity leave. During the maternity leave the employee is allowed up to 10 keep in touch days without losing any entitlement to maternity pay. Once maternity has finished an employee has the rights to return to the same job or a suitable alternative job that are appropriate to her current circumstances. Statutory adoption leave and pay are broadly in line with maternity with up to 52 weeks of adoption leave available (CIPD,2025c) however the trigger points for eligibility relate to a child’s placement rather than an expected due date. </w:t>
      </w:r>
    </w:p>
    <w:p w14:paraId="58DFEDA8" w14:textId="77777777" w:rsidR="00E33185" w:rsidRDefault="00000000">
      <w:pPr>
        <w:rPr>
          <w:rFonts w:cs="Calibri"/>
          <w:sz w:val="22"/>
          <w:szCs w:val="22"/>
        </w:rPr>
      </w:pPr>
      <w:r>
        <w:rPr>
          <w:rFonts w:cs="Calibri"/>
          <w:sz w:val="22"/>
          <w:szCs w:val="22"/>
        </w:rPr>
        <w:t xml:space="preserve">Whilst I understand you are considering shared parental leave this will enable you to switch part of your standard maternity leave and take shared parental leave instead. This is quite simply sharing leave with your partner (Daniels, 2022). The key difference to maternity leave is that it is an area of employment law that protects the health and well-being of the mother before and after childbirth and this is only for the mother, whilst shared parental leave promotes childcare responsibilities. Maternity leave can offer enhanced maternity allowance through your employer whereas shared parental leave is paid on a flat rate so could potentially be worse off financially, but this does offer you the flexibility to share up to 50 weeks of leave and pay in more flexible ways during the child’s first year allowing you to both be off work together.  </w:t>
      </w:r>
    </w:p>
    <w:p w14:paraId="21AD1ADA" w14:textId="77777777" w:rsidR="00E33185" w:rsidRDefault="00000000">
      <w:pPr>
        <w:rPr>
          <w:rFonts w:cs="Calibri"/>
          <w:sz w:val="22"/>
          <w:szCs w:val="22"/>
        </w:rPr>
      </w:pPr>
      <w:r>
        <w:rPr>
          <w:rFonts w:cs="Calibri"/>
          <w:sz w:val="22"/>
          <w:szCs w:val="22"/>
        </w:rPr>
        <w:t>Paternity leave is a period of two weeks which can be taken by the father of the child or adopters’ husband or partner. To qualify for paternity, you must expect to have reasonable responsibility for the upbringing of the child (Daniels, 2022) or be the biological father. An employee who qualifies for paternity leave is entitled to return to the same job with the same terms and conditions and can’t be disadvantaged to unfair treatment or dismissal.</w:t>
      </w:r>
    </w:p>
    <w:p w14:paraId="08EBE85A" w14:textId="77777777" w:rsidR="00E33185" w:rsidRDefault="00E33185">
      <w:pPr>
        <w:rPr>
          <w:rFonts w:cs="Calibri"/>
          <w:sz w:val="22"/>
          <w:szCs w:val="22"/>
        </w:rPr>
      </w:pPr>
    </w:p>
    <w:p w14:paraId="5D3D7F4A" w14:textId="77777777" w:rsidR="00E33185" w:rsidRDefault="00000000">
      <w:pPr>
        <w:rPr>
          <w:rFonts w:cs="Calibri"/>
          <w:sz w:val="22"/>
          <w:szCs w:val="22"/>
        </w:rPr>
      </w:pPr>
      <w:r>
        <w:rPr>
          <w:rFonts w:cs="Calibri"/>
          <w:sz w:val="22"/>
          <w:szCs w:val="22"/>
        </w:rPr>
        <w:t xml:space="preserve">4.3 – In regard to your recent email, an employee has the statutory right to request flexible working, and it applies to all employees regardless of their responsibilities from the start of their employment with the business (CIPD, 2025d). The flexible working legislation allows an employee to request changes to their hours of work, times they work and the place they are required to work (Daniels, 2022). When flexible working requests are received you must consult and meet with the employee, during this meeting, the employee does not need to be accompanied to the meeting, but it is good </w:t>
      </w:r>
      <w:r>
        <w:rPr>
          <w:rFonts w:cs="Calibri"/>
          <w:sz w:val="22"/>
          <w:szCs w:val="22"/>
        </w:rPr>
        <w:lastRenderedPageBreak/>
        <w:t xml:space="preserve">practise to offer this option (Daniels, 2022).  You can’t accede to this request simply because it may encourage others to work from home as this is not a lawful reason, all flexible working requests need to be considered on an individual bases and it is important as the employer you consider requests in a reasonable manner. You have mentioned that this request will reduce the quality of service that your team currently provides, under the legislation for grounds for refusal as an employer you can turn down the requests if it; burdens extra costs, a detrimental effect on ability to meet customer demand, inability to reorganise work amongst existing staff, inability to recruit additional staff, impact on quality or performance , planned structural changes, insufficient of work during the employees proposed working pattern (Daniels, 2022).  As the employer you can’t refuse the request without consulting the employee first, you could however consider doing a trial for the flexible working request to see if reduces the quality of service and if this request can be achieved. ACAS has guidance for employers to access to ensure that requests are handled in a reasonable manner. As the employee has given you a formal request you have to respond to this within a two-month period from the letter you received unless a longer time is agreed between both parties (CIPD, 2025d). All employees have the right to make two flexible working requests within a 12-month period. If the request is refused the employee can refer this to an employment tribunal however they do play a limited role and it is simply to consider whether the employer has given the request consideration and the refusal reason was permitted by the legislation. If the Employment tribunal deems that the employer has been incorrect in handling the request, they can award the employee up to eight weeks of pay or make a request for it to be reconsidered. It is also possible for an employee to bring other claims associated with how their request has been handled. These may include discrimination on grounds of sex or disability. It is important as an employer you handle all requests carefully and have a consistent approach.  </w:t>
      </w:r>
    </w:p>
    <w:p w14:paraId="1B49155F" w14:textId="77777777" w:rsidR="00E33185" w:rsidRDefault="00E33185">
      <w:pPr>
        <w:rPr>
          <w:rFonts w:cs="Calibri"/>
          <w:sz w:val="22"/>
          <w:szCs w:val="22"/>
        </w:rPr>
      </w:pPr>
    </w:p>
    <w:p w14:paraId="5DC5AF08" w14:textId="77777777" w:rsidR="00E33185" w:rsidRDefault="00E33185">
      <w:pPr>
        <w:rPr>
          <w:rFonts w:cs="Calibri"/>
          <w:sz w:val="22"/>
          <w:szCs w:val="22"/>
        </w:rPr>
      </w:pPr>
    </w:p>
    <w:p w14:paraId="03D8B7BA" w14:textId="77777777" w:rsidR="00E33185" w:rsidRDefault="00E33185">
      <w:pPr>
        <w:rPr>
          <w:rFonts w:cs="Calibri"/>
          <w:sz w:val="22"/>
          <w:szCs w:val="22"/>
        </w:rPr>
      </w:pPr>
    </w:p>
    <w:p w14:paraId="2C0D0AAD" w14:textId="77777777" w:rsidR="00E33185" w:rsidRDefault="00E33185">
      <w:pPr>
        <w:rPr>
          <w:rFonts w:cs="Calibri"/>
          <w:sz w:val="22"/>
          <w:szCs w:val="22"/>
        </w:rPr>
      </w:pPr>
    </w:p>
    <w:p w14:paraId="0B5F59DB" w14:textId="77777777" w:rsidR="00E33185" w:rsidRDefault="00E33185">
      <w:pPr>
        <w:rPr>
          <w:rFonts w:cs="Calibri"/>
          <w:sz w:val="22"/>
          <w:szCs w:val="22"/>
        </w:rPr>
      </w:pPr>
    </w:p>
    <w:p w14:paraId="6406D337" w14:textId="77777777" w:rsidR="00E33185" w:rsidRDefault="00E33185">
      <w:pPr>
        <w:rPr>
          <w:rFonts w:cs="Calibri"/>
          <w:sz w:val="22"/>
          <w:szCs w:val="22"/>
        </w:rPr>
      </w:pPr>
    </w:p>
    <w:p w14:paraId="74E1C8B5" w14:textId="77777777" w:rsidR="00E33185" w:rsidRDefault="00E33185">
      <w:pPr>
        <w:rPr>
          <w:rFonts w:cs="Calibri"/>
          <w:sz w:val="22"/>
          <w:szCs w:val="22"/>
        </w:rPr>
      </w:pPr>
    </w:p>
    <w:p w14:paraId="14DDBEE5" w14:textId="77777777" w:rsidR="00E33185" w:rsidRDefault="00E33185">
      <w:pPr>
        <w:rPr>
          <w:rFonts w:cs="Calibri"/>
          <w:sz w:val="22"/>
          <w:szCs w:val="22"/>
        </w:rPr>
      </w:pPr>
    </w:p>
    <w:p w14:paraId="19F1037A" w14:textId="77777777" w:rsidR="00E33185" w:rsidRDefault="00E33185">
      <w:pPr>
        <w:rPr>
          <w:rFonts w:cs="Calibri"/>
          <w:sz w:val="22"/>
          <w:szCs w:val="22"/>
        </w:rPr>
      </w:pPr>
    </w:p>
    <w:p w14:paraId="4E1F2035" w14:textId="77777777" w:rsidR="00E33185" w:rsidRDefault="00E33185">
      <w:pPr>
        <w:rPr>
          <w:rFonts w:cs="Calibri"/>
          <w:sz w:val="22"/>
          <w:szCs w:val="22"/>
        </w:rPr>
      </w:pPr>
    </w:p>
    <w:p w14:paraId="1B2376A2" w14:textId="77777777" w:rsidR="00E33185" w:rsidRDefault="00E33185">
      <w:pPr>
        <w:rPr>
          <w:rFonts w:cs="Calibri"/>
          <w:sz w:val="22"/>
          <w:szCs w:val="22"/>
        </w:rPr>
      </w:pPr>
    </w:p>
    <w:p w14:paraId="3A8AF57A" w14:textId="77777777" w:rsidR="00E33185" w:rsidRDefault="00E33185">
      <w:pPr>
        <w:rPr>
          <w:rFonts w:cs="Calibri"/>
          <w:sz w:val="22"/>
          <w:szCs w:val="22"/>
        </w:rPr>
      </w:pPr>
    </w:p>
    <w:p w14:paraId="7FF80DE0" w14:textId="77777777" w:rsidR="00E33185" w:rsidRDefault="00E33185">
      <w:pPr>
        <w:rPr>
          <w:rFonts w:cs="Calibri"/>
          <w:sz w:val="22"/>
          <w:szCs w:val="22"/>
        </w:rPr>
      </w:pPr>
    </w:p>
    <w:p w14:paraId="6A39524B" w14:textId="77777777" w:rsidR="00E33185" w:rsidRDefault="00E33185">
      <w:pPr>
        <w:rPr>
          <w:rFonts w:cs="Calibri"/>
          <w:sz w:val="22"/>
          <w:szCs w:val="22"/>
        </w:rPr>
      </w:pPr>
    </w:p>
    <w:p w14:paraId="3416F445" w14:textId="77777777" w:rsidR="00E33185" w:rsidRDefault="00000000">
      <w:pPr>
        <w:rPr>
          <w:rFonts w:cs="Calibri"/>
          <w:sz w:val="22"/>
          <w:szCs w:val="22"/>
        </w:rPr>
      </w:pPr>
      <w:r>
        <w:rPr>
          <w:rFonts w:cs="Calibri"/>
          <w:sz w:val="22"/>
          <w:szCs w:val="22"/>
        </w:rPr>
        <w:lastRenderedPageBreak/>
        <w:t xml:space="preserve">Bibliography </w:t>
      </w:r>
    </w:p>
    <w:p w14:paraId="6FA5B98E" w14:textId="77777777" w:rsidR="00E33185" w:rsidRDefault="00000000">
      <w:r>
        <w:rPr>
          <w:rFonts w:cs="Calibri"/>
          <w:sz w:val="22"/>
          <w:szCs w:val="22"/>
        </w:rPr>
        <w:t>ACAS (2024</w:t>
      </w:r>
      <w:proofErr w:type="gramStart"/>
      <w:r>
        <w:rPr>
          <w:rFonts w:cs="Calibri"/>
          <w:sz w:val="22"/>
          <w:szCs w:val="22"/>
        </w:rPr>
        <w:t>)  -</w:t>
      </w:r>
      <w:proofErr w:type="gramEnd"/>
      <w:r>
        <w:rPr>
          <w:rFonts w:cs="Calibri"/>
          <w:sz w:val="22"/>
          <w:szCs w:val="22"/>
        </w:rPr>
        <w:t xml:space="preserve"> </w:t>
      </w:r>
      <w:r>
        <w:rPr>
          <w:rFonts w:cs="Calibri"/>
          <w:i/>
          <w:iCs/>
          <w:sz w:val="22"/>
          <w:szCs w:val="22"/>
        </w:rPr>
        <w:t>Equal pay and the law</w:t>
      </w:r>
      <w:r>
        <w:rPr>
          <w:rFonts w:cs="Calibri"/>
          <w:b/>
          <w:bCs/>
          <w:sz w:val="22"/>
          <w:szCs w:val="22"/>
        </w:rPr>
        <w:t xml:space="preserve">, </w:t>
      </w:r>
      <w:r>
        <w:rPr>
          <w:rFonts w:cs="Calibri"/>
          <w:sz w:val="22"/>
          <w:szCs w:val="22"/>
        </w:rPr>
        <w:t xml:space="preserve">Available at -  </w:t>
      </w:r>
      <w:hyperlink r:id="rId6" w:history="1">
        <w:r>
          <w:rPr>
            <w:rStyle w:val="Hyperlink"/>
            <w:rFonts w:cs="Calibri"/>
            <w:color w:val="auto"/>
            <w:sz w:val="22"/>
            <w:szCs w:val="22"/>
            <w:u w:val="none"/>
          </w:rPr>
          <w:t>https://www.acas.org.uk/equal-pay/equal-pay-law</w:t>
        </w:r>
      </w:hyperlink>
      <w:r>
        <w:rPr>
          <w:rFonts w:cs="Calibri"/>
          <w:sz w:val="22"/>
          <w:szCs w:val="22"/>
        </w:rPr>
        <w:t xml:space="preserve"> (Accessed January 2026)</w:t>
      </w:r>
    </w:p>
    <w:p w14:paraId="43CC6928" w14:textId="77777777" w:rsidR="00E33185" w:rsidRDefault="00000000">
      <w:r>
        <w:rPr>
          <w:rFonts w:cs="Calibri"/>
          <w:sz w:val="22"/>
          <w:szCs w:val="22"/>
        </w:rPr>
        <w:t xml:space="preserve">ACAS (2025) </w:t>
      </w:r>
      <w:r>
        <w:rPr>
          <w:rFonts w:cs="Calibri"/>
          <w:i/>
          <w:iCs/>
          <w:sz w:val="22"/>
          <w:szCs w:val="22"/>
        </w:rPr>
        <w:t>– Irregular hours and part-year workers building up holiday</w:t>
      </w:r>
      <w:r>
        <w:rPr>
          <w:rFonts w:cs="Calibri"/>
          <w:sz w:val="22"/>
          <w:szCs w:val="22"/>
        </w:rPr>
        <w:t xml:space="preserve">, Available at </w:t>
      </w:r>
      <w:r>
        <w:rPr>
          <w:rFonts w:cs="Calibri"/>
          <w:color w:val="000000"/>
          <w:sz w:val="22"/>
          <w:szCs w:val="22"/>
        </w:rPr>
        <w:t>https://www.acas.org.uk/irregular-hours-and-part-year-workers</w:t>
      </w:r>
      <w:r>
        <w:rPr>
          <w:rFonts w:cs="Calibri"/>
          <w:sz w:val="22"/>
          <w:szCs w:val="22"/>
        </w:rPr>
        <w:t xml:space="preserve"> (Accessed February 2026)</w:t>
      </w:r>
    </w:p>
    <w:p w14:paraId="13EB0504" w14:textId="77777777" w:rsidR="00E33185" w:rsidRDefault="00000000">
      <w:r>
        <w:rPr>
          <w:rFonts w:cs="Calibri"/>
          <w:sz w:val="22"/>
          <w:szCs w:val="22"/>
        </w:rPr>
        <w:t xml:space="preserve">ACAS (2025a) – </w:t>
      </w:r>
      <w:r>
        <w:rPr>
          <w:rFonts w:cs="Calibri"/>
          <w:i/>
          <w:iCs/>
          <w:sz w:val="22"/>
          <w:szCs w:val="22"/>
        </w:rPr>
        <w:t>Irregular hours and part-year workers Rolled-up holiday pay</w:t>
      </w:r>
      <w:r>
        <w:rPr>
          <w:rFonts w:cs="Calibri"/>
          <w:sz w:val="22"/>
          <w:szCs w:val="22"/>
        </w:rPr>
        <w:t xml:space="preserve">, Available at </w:t>
      </w:r>
      <w:hyperlink r:id="rId7" w:history="1">
        <w:r>
          <w:rPr>
            <w:rStyle w:val="Hyperlink"/>
            <w:rFonts w:cs="Calibri"/>
            <w:color w:val="000000"/>
            <w:sz w:val="22"/>
            <w:szCs w:val="22"/>
            <w:u w:val="none"/>
          </w:rPr>
          <w:t>https://www.acas.org.uk/irregular-hours-and-part-year-workers/rolled-up-holiday-pay</w:t>
        </w:r>
      </w:hyperlink>
      <w:r>
        <w:rPr>
          <w:rFonts w:cs="Calibri"/>
          <w:sz w:val="22"/>
          <w:szCs w:val="22"/>
        </w:rPr>
        <w:t xml:space="preserve"> (Accessed February 2026)</w:t>
      </w:r>
    </w:p>
    <w:p w14:paraId="3A2C29FE" w14:textId="77777777" w:rsidR="00E33185" w:rsidRDefault="00000000">
      <w:r>
        <w:rPr>
          <w:rFonts w:cs="Calibri"/>
          <w:color w:val="EE0000"/>
          <w:sz w:val="22"/>
          <w:szCs w:val="22"/>
        </w:rPr>
        <w:t xml:space="preserve">ACAS (2026) – </w:t>
      </w:r>
      <w:r>
        <w:rPr>
          <w:rFonts w:cs="Calibri"/>
          <w:i/>
          <w:iCs/>
          <w:color w:val="EE0000"/>
          <w:sz w:val="22"/>
          <w:szCs w:val="22"/>
        </w:rPr>
        <w:t xml:space="preserve">Constructive </w:t>
      </w:r>
      <w:proofErr w:type="gramStart"/>
      <w:r>
        <w:rPr>
          <w:rFonts w:cs="Calibri"/>
          <w:i/>
          <w:iCs/>
          <w:color w:val="EE0000"/>
          <w:sz w:val="22"/>
          <w:szCs w:val="22"/>
        </w:rPr>
        <w:t>dismissal</w:t>
      </w:r>
      <w:r>
        <w:rPr>
          <w:rFonts w:cs="Calibri"/>
          <w:color w:val="EE0000"/>
          <w:sz w:val="22"/>
          <w:szCs w:val="22"/>
        </w:rPr>
        <w:t xml:space="preserve"> ,</w:t>
      </w:r>
      <w:proofErr w:type="gramEnd"/>
      <w:r>
        <w:rPr>
          <w:rFonts w:cs="Calibri"/>
          <w:color w:val="EE0000"/>
          <w:sz w:val="22"/>
          <w:szCs w:val="22"/>
        </w:rPr>
        <w:t xml:space="preserve"> Available at </w:t>
      </w:r>
      <w:hyperlink r:id="rId8" w:history="1">
        <w:r>
          <w:rPr>
            <w:rStyle w:val="Hyperlink"/>
            <w:rFonts w:cs="Calibri"/>
            <w:color w:val="EE0000"/>
            <w:sz w:val="22"/>
            <w:szCs w:val="22"/>
            <w:u w:val="none"/>
          </w:rPr>
          <w:t>https://www.acas.org.uk/dismissals/constructive-dismissal</w:t>
        </w:r>
      </w:hyperlink>
      <w:r>
        <w:rPr>
          <w:rFonts w:cs="Calibri"/>
          <w:color w:val="EE0000"/>
          <w:sz w:val="22"/>
          <w:szCs w:val="22"/>
        </w:rPr>
        <w:t xml:space="preserve"> (Accessed 22nd April 2026)</w:t>
      </w:r>
    </w:p>
    <w:p w14:paraId="4B53D050" w14:textId="77777777" w:rsidR="00E33185" w:rsidRDefault="00000000">
      <w:proofErr w:type="spellStart"/>
      <w:r>
        <w:rPr>
          <w:rFonts w:cs="Calibri"/>
          <w:sz w:val="22"/>
          <w:szCs w:val="22"/>
        </w:rPr>
        <w:t>Ayling,L</w:t>
      </w:r>
      <w:proofErr w:type="spellEnd"/>
      <w:r>
        <w:rPr>
          <w:rFonts w:cs="Calibri"/>
          <w:sz w:val="22"/>
          <w:szCs w:val="22"/>
        </w:rPr>
        <w:t xml:space="preserve">. &amp; </w:t>
      </w:r>
      <w:proofErr w:type="spellStart"/>
      <w:r>
        <w:rPr>
          <w:rFonts w:cs="Calibri"/>
          <w:sz w:val="22"/>
          <w:szCs w:val="22"/>
        </w:rPr>
        <w:t>Suff,R</w:t>
      </w:r>
      <w:proofErr w:type="spellEnd"/>
      <w:r>
        <w:rPr>
          <w:rFonts w:cs="Calibri"/>
          <w:sz w:val="22"/>
          <w:szCs w:val="22"/>
        </w:rPr>
        <w:t xml:space="preserve">. (2026) </w:t>
      </w:r>
      <w:r>
        <w:rPr>
          <w:rFonts w:cs="Calibri"/>
          <w:i/>
          <w:iCs/>
          <w:sz w:val="22"/>
          <w:szCs w:val="22"/>
        </w:rPr>
        <w:t>Dismissal procedures</w:t>
      </w:r>
      <w:r>
        <w:rPr>
          <w:rFonts w:cs="Calibri"/>
          <w:sz w:val="22"/>
          <w:szCs w:val="22"/>
        </w:rPr>
        <w:t xml:space="preserve">, Available at </w:t>
      </w:r>
      <w:hyperlink r:id="rId9" w:history="1">
        <w:r>
          <w:rPr>
            <w:rStyle w:val="Hyperlink"/>
            <w:rFonts w:cs="Calibri"/>
            <w:color w:val="auto"/>
            <w:sz w:val="22"/>
            <w:szCs w:val="22"/>
            <w:u w:val="none"/>
          </w:rPr>
          <w:t>https://www.cipd.org/uk/knowledge/factsheets/dismissal-factsheet/</w:t>
        </w:r>
      </w:hyperlink>
      <w:r>
        <w:rPr>
          <w:rFonts w:cs="Calibri"/>
          <w:sz w:val="22"/>
          <w:szCs w:val="22"/>
        </w:rPr>
        <w:t xml:space="preserve"> (Accessed 22</w:t>
      </w:r>
      <w:r>
        <w:rPr>
          <w:rFonts w:cs="Calibri"/>
          <w:sz w:val="22"/>
          <w:szCs w:val="22"/>
          <w:vertAlign w:val="superscript"/>
        </w:rPr>
        <w:t>nd</w:t>
      </w:r>
      <w:r>
        <w:rPr>
          <w:rFonts w:cs="Calibri"/>
          <w:sz w:val="22"/>
          <w:szCs w:val="22"/>
        </w:rPr>
        <w:t xml:space="preserve"> April 2026)</w:t>
      </w:r>
    </w:p>
    <w:p w14:paraId="696B5B23" w14:textId="77777777" w:rsidR="00E33185" w:rsidRDefault="00000000">
      <w:proofErr w:type="spellStart"/>
      <w:r>
        <w:rPr>
          <w:rFonts w:cs="Calibri"/>
          <w:color w:val="EE0000"/>
          <w:sz w:val="22"/>
          <w:szCs w:val="22"/>
        </w:rPr>
        <w:t>Ayling,L</w:t>
      </w:r>
      <w:proofErr w:type="spellEnd"/>
      <w:r>
        <w:rPr>
          <w:rFonts w:cs="Calibri"/>
          <w:color w:val="EE0000"/>
          <w:sz w:val="22"/>
          <w:szCs w:val="22"/>
        </w:rPr>
        <w:t xml:space="preserve">. &amp; </w:t>
      </w:r>
      <w:proofErr w:type="spellStart"/>
      <w:r>
        <w:rPr>
          <w:rFonts w:cs="Calibri"/>
          <w:color w:val="EE0000"/>
          <w:sz w:val="22"/>
          <w:szCs w:val="22"/>
        </w:rPr>
        <w:t>Suff</w:t>
      </w:r>
      <w:proofErr w:type="spellEnd"/>
      <w:r>
        <w:rPr>
          <w:rFonts w:cs="Calibri"/>
          <w:color w:val="EE0000"/>
          <w:sz w:val="22"/>
          <w:szCs w:val="22"/>
        </w:rPr>
        <w:t xml:space="preserve">, R. (2026a) Employment tribunals, Available at - </w:t>
      </w:r>
      <w:hyperlink r:id="rId10" w:history="1">
        <w:r>
          <w:rPr>
            <w:rStyle w:val="Hyperlink"/>
            <w:rFonts w:cs="Calibri"/>
            <w:color w:val="EE0000"/>
            <w:sz w:val="22"/>
            <w:szCs w:val="22"/>
            <w:u w:val="none"/>
          </w:rPr>
          <w:t>https://www.cipd.org/uk/knowledge/factsheets/tribunals-factsheet/</w:t>
        </w:r>
      </w:hyperlink>
      <w:r>
        <w:rPr>
          <w:rFonts w:cs="Calibri"/>
          <w:color w:val="EE0000"/>
          <w:sz w:val="22"/>
          <w:szCs w:val="22"/>
        </w:rPr>
        <w:t xml:space="preserve"> (Accessed 22</w:t>
      </w:r>
      <w:r>
        <w:rPr>
          <w:rFonts w:cs="Calibri"/>
          <w:color w:val="EE0000"/>
          <w:sz w:val="22"/>
          <w:szCs w:val="22"/>
          <w:vertAlign w:val="superscript"/>
        </w:rPr>
        <w:t>nd</w:t>
      </w:r>
      <w:r>
        <w:rPr>
          <w:rFonts w:cs="Calibri"/>
          <w:color w:val="EE0000"/>
          <w:sz w:val="22"/>
          <w:szCs w:val="22"/>
        </w:rPr>
        <w:t xml:space="preserve"> April 2026)</w:t>
      </w:r>
    </w:p>
    <w:p w14:paraId="569431E5" w14:textId="77777777" w:rsidR="00E33185" w:rsidRDefault="00000000">
      <w:r>
        <w:rPr>
          <w:rFonts w:cs="Calibri"/>
          <w:sz w:val="22"/>
          <w:szCs w:val="22"/>
        </w:rPr>
        <w:t>CIPD (</w:t>
      </w:r>
      <w:proofErr w:type="spellStart"/>
      <w:r>
        <w:rPr>
          <w:rFonts w:cs="Calibri"/>
          <w:sz w:val="22"/>
          <w:szCs w:val="22"/>
        </w:rPr>
        <w:t>nd</w:t>
      </w:r>
      <w:proofErr w:type="spellEnd"/>
      <w:r>
        <w:rPr>
          <w:rFonts w:cs="Calibri"/>
          <w:sz w:val="22"/>
          <w:szCs w:val="22"/>
        </w:rPr>
        <w:t xml:space="preserve">) – </w:t>
      </w:r>
      <w:r>
        <w:rPr>
          <w:rFonts w:cs="Calibri"/>
          <w:i/>
          <w:iCs/>
          <w:sz w:val="22"/>
          <w:szCs w:val="22"/>
        </w:rPr>
        <w:t>Employment law</w:t>
      </w:r>
      <w:r>
        <w:rPr>
          <w:rFonts w:cs="Calibri"/>
          <w:sz w:val="22"/>
          <w:szCs w:val="22"/>
        </w:rPr>
        <w:t xml:space="preserve">, Available at - </w:t>
      </w:r>
      <w:hyperlink r:id="rId11" w:history="1">
        <w:r>
          <w:rPr>
            <w:rStyle w:val="Hyperlink"/>
            <w:rFonts w:cs="Calibri"/>
            <w:color w:val="000000"/>
            <w:sz w:val="22"/>
            <w:szCs w:val="22"/>
            <w:u w:val="none"/>
          </w:rPr>
          <w:t>https://www.cipd.org/uk/knowledge/employment-law/</w:t>
        </w:r>
      </w:hyperlink>
      <w:r>
        <w:rPr>
          <w:rFonts w:cs="Calibri"/>
          <w:color w:val="000000"/>
          <w:sz w:val="22"/>
          <w:szCs w:val="22"/>
        </w:rPr>
        <w:t xml:space="preserve"> </w:t>
      </w:r>
      <w:r>
        <w:rPr>
          <w:rFonts w:cs="Calibri"/>
          <w:sz w:val="22"/>
          <w:szCs w:val="22"/>
        </w:rPr>
        <w:t>(Accessed 28</w:t>
      </w:r>
      <w:r>
        <w:rPr>
          <w:rFonts w:cs="Calibri"/>
          <w:sz w:val="22"/>
          <w:szCs w:val="22"/>
          <w:vertAlign w:val="superscript"/>
        </w:rPr>
        <w:t>th</w:t>
      </w:r>
      <w:r>
        <w:rPr>
          <w:rFonts w:cs="Calibri"/>
          <w:sz w:val="22"/>
          <w:szCs w:val="22"/>
        </w:rPr>
        <w:t xml:space="preserve"> January 2026)</w:t>
      </w:r>
    </w:p>
    <w:p w14:paraId="0E4AF26A" w14:textId="77777777" w:rsidR="00E33185" w:rsidRDefault="00000000">
      <w:r>
        <w:rPr>
          <w:rFonts w:cs="Calibri"/>
          <w:sz w:val="22"/>
          <w:szCs w:val="22"/>
        </w:rPr>
        <w:t xml:space="preserve">CIPD (2024) – </w:t>
      </w:r>
      <w:r>
        <w:rPr>
          <w:rFonts w:cs="Calibri"/>
          <w:i/>
          <w:iCs/>
          <w:sz w:val="22"/>
          <w:szCs w:val="22"/>
        </w:rPr>
        <w:t>TUPE transfers: Guide for people professionals</w:t>
      </w:r>
      <w:r>
        <w:rPr>
          <w:rFonts w:cs="Calibri"/>
          <w:sz w:val="22"/>
          <w:szCs w:val="22"/>
        </w:rPr>
        <w:t>, Available at -https://www.cipd.org/uk/knowledge/guides/tupe-guide/ (Accessed 2nd February 2026)</w:t>
      </w:r>
    </w:p>
    <w:p w14:paraId="6C428646" w14:textId="77777777" w:rsidR="00E33185" w:rsidRDefault="00000000">
      <w:r>
        <w:rPr>
          <w:rFonts w:cs="Calibri"/>
          <w:sz w:val="22"/>
          <w:szCs w:val="22"/>
        </w:rPr>
        <w:t xml:space="preserve">CIPD (2025) – </w:t>
      </w:r>
      <w:r>
        <w:rPr>
          <w:rFonts w:cs="Calibri"/>
          <w:i/>
          <w:iCs/>
          <w:sz w:val="22"/>
          <w:szCs w:val="22"/>
        </w:rPr>
        <w:t>UK employment law and the EU</w:t>
      </w:r>
      <w:r>
        <w:rPr>
          <w:rFonts w:cs="Calibri"/>
          <w:sz w:val="22"/>
          <w:szCs w:val="22"/>
        </w:rPr>
        <w:t>, Available at - https://www.cipd.org/uk/knowledge/employment-law/uk-employment-law-eu/ (Accessed January 28</w:t>
      </w:r>
      <w:r>
        <w:rPr>
          <w:rFonts w:cs="Calibri"/>
          <w:sz w:val="22"/>
          <w:szCs w:val="22"/>
          <w:vertAlign w:val="superscript"/>
        </w:rPr>
        <w:t>th</w:t>
      </w:r>
      <w:r>
        <w:rPr>
          <w:rFonts w:cs="Calibri"/>
          <w:sz w:val="22"/>
          <w:szCs w:val="22"/>
        </w:rPr>
        <w:t xml:space="preserve"> 2026)</w:t>
      </w:r>
    </w:p>
    <w:p w14:paraId="4F262D5B" w14:textId="77777777" w:rsidR="00E33185" w:rsidRDefault="00000000">
      <w:r>
        <w:rPr>
          <w:rFonts w:cs="Calibri"/>
          <w:sz w:val="22"/>
          <w:szCs w:val="22"/>
        </w:rPr>
        <w:t xml:space="preserve">CIPD (2025a) – </w:t>
      </w:r>
      <w:r>
        <w:rPr>
          <w:rFonts w:cs="Calibri"/>
          <w:i/>
          <w:iCs/>
          <w:sz w:val="22"/>
          <w:szCs w:val="22"/>
        </w:rPr>
        <w:t>Recruitment: UK employment law</w:t>
      </w:r>
      <w:r>
        <w:rPr>
          <w:rFonts w:cs="Calibri"/>
          <w:sz w:val="22"/>
          <w:szCs w:val="22"/>
        </w:rPr>
        <w:t xml:space="preserve">, Available at - </w:t>
      </w:r>
      <w:hyperlink r:id="rId12" w:history="1">
        <w:r>
          <w:rPr>
            <w:rStyle w:val="Hyperlink"/>
            <w:rFonts w:cs="Calibri"/>
            <w:color w:val="000000"/>
            <w:sz w:val="22"/>
            <w:szCs w:val="22"/>
            <w:u w:val="none"/>
          </w:rPr>
          <w:t>https://www.cipd.org/uk/knowledge/employment-law/recruitment/</w:t>
        </w:r>
      </w:hyperlink>
      <w:r>
        <w:rPr>
          <w:rFonts w:cs="Calibri"/>
          <w:sz w:val="22"/>
          <w:szCs w:val="22"/>
        </w:rPr>
        <w:t xml:space="preserve"> (Accessed January 27</w:t>
      </w:r>
      <w:r>
        <w:rPr>
          <w:rFonts w:cs="Calibri"/>
          <w:sz w:val="22"/>
          <w:szCs w:val="22"/>
          <w:vertAlign w:val="superscript"/>
        </w:rPr>
        <w:t>th</w:t>
      </w:r>
      <w:r>
        <w:rPr>
          <w:rFonts w:cs="Calibri"/>
          <w:sz w:val="22"/>
          <w:szCs w:val="22"/>
        </w:rPr>
        <w:t xml:space="preserve"> 2026)</w:t>
      </w:r>
    </w:p>
    <w:p w14:paraId="06A6D4B4" w14:textId="77777777" w:rsidR="00E33185" w:rsidRDefault="00000000">
      <w:r>
        <w:rPr>
          <w:rFonts w:cs="Calibri"/>
          <w:sz w:val="22"/>
          <w:szCs w:val="22"/>
        </w:rPr>
        <w:t xml:space="preserve">CIPD (2025b) – </w:t>
      </w:r>
      <w:r>
        <w:rPr>
          <w:rFonts w:cs="Calibri"/>
          <w:i/>
          <w:iCs/>
          <w:sz w:val="22"/>
          <w:szCs w:val="22"/>
        </w:rPr>
        <w:t>Equal pay: UK employment law</w:t>
      </w:r>
      <w:r>
        <w:rPr>
          <w:rFonts w:cs="Calibri"/>
          <w:sz w:val="22"/>
          <w:szCs w:val="22"/>
        </w:rPr>
        <w:t xml:space="preserve">, Available at - </w:t>
      </w:r>
      <w:hyperlink r:id="rId13" w:history="1">
        <w:r>
          <w:rPr>
            <w:rStyle w:val="Hyperlink"/>
            <w:rFonts w:cs="Calibri"/>
            <w:color w:val="auto"/>
            <w:sz w:val="22"/>
            <w:szCs w:val="22"/>
            <w:u w:val="none"/>
          </w:rPr>
          <w:t>https://www.cipd.org/uk/knowledge/employment-law/equal-pay/</w:t>
        </w:r>
      </w:hyperlink>
      <w:r>
        <w:rPr>
          <w:rFonts w:cs="Calibri"/>
          <w:sz w:val="22"/>
          <w:szCs w:val="22"/>
        </w:rPr>
        <w:t xml:space="preserve"> (Accessed January 27</w:t>
      </w:r>
      <w:r>
        <w:rPr>
          <w:rFonts w:cs="Calibri"/>
          <w:sz w:val="22"/>
          <w:szCs w:val="22"/>
          <w:vertAlign w:val="superscript"/>
        </w:rPr>
        <w:t>th</w:t>
      </w:r>
      <w:r>
        <w:rPr>
          <w:rFonts w:cs="Calibri"/>
          <w:sz w:val="22"/>
          <w:szCs w:val="22"/>
        </w:rPr>
        <w:t xml:space="preserve"> 2026)</w:t>
      </w:r>
    </w:p>
    <w:p w14:paraId="493AAC4C" w14:textId="77777777" w:rsidR="00E33185" w:rsidRDefault="00000000">
      <w:r>
        <w:rPr>
          <w:rFonts w:cs="Calibri"/>
          <w:sz w:val="22"/>
          <w:szCs w:val="22"/>
        </w:rPr>
        <w:t xml:space="preserve">CIPD (2025c) – </w:t>
      </w:r>
      <w:r>
        <w:rPr>
          <w:rFonts w:cs="Calibri"/>
          <w:i/>
          <w:iCs/>
          <w:sz w:val="22"/>
          <w:szCs w:val="22"/>
        </w:rPr>
        <w:t>Maternity, paternity and adoption rights</w:t>
      </w:r>
      <w:r>
        <w:rPr>
          <w:rFonts w:cs="Calibri"/>
          <w:sz w:val="22"/>
          <w:szCs w:val="22"/>
        </w:rPr>
        <w:t xml:space="preserve">, Available at - </w:t>
      </w:r>
      <w:hyperlink r:id="rId14" w:history="1">
        <w:r>
          <w:rPr>
            <w:rStyle w:val="Hyperlink"/>
            <w:rFonts w:cs="Calibri"/>
            <w:color w:val="000000"/>
            <w:sz w:val="22"/>
            <w:szCs w:val="22"/>
            <w:u w:val="none"/>
          </w:rPr>
          <w:t>https://www.cipd.org/uk/knowledge/factsheets/maternity-paternity-rights-factsheet/</w:t>
        </w:r>
      </w:hyperlink>
      <w:r>
        <w:rPr>
          <w:rFonts w:cs="Calibri"/>
          <w:color w:val="000000"/>
          <w:sz w:val="22"/>
          <w:szCs w:val="22"/>
        </w:rPr>
        <w:t xml:space="preserve"> (Accessed 7</w:t>
      </w:r>
      <w:r>
        <w:rPr>
          <w:rFonts w:cs="Calibri"/>
          <w:color w:val="000000"/>
          <w:sz w:val="22"/>
          <w:szCs w:val="22"/>
          <w:vertAlign w:val="superscript"/>
        </w:rPr>
        <w:t>th</w:t>
      </w:r>
      <w:r>
        <w:rPr>
          <w:rFonts w:cs="Calibri"/>
          <w:color w:val="000000"/>
          <w:sz w:val="22"/>
          <w:szCs w:val="22"/>
        </w:rPr>
        <w:t xml:space="preserve"> </w:t>
      </w:r>
      <w:r>
        <w:rPr>
          <w:rFonts w:cs="Calibri"/>
          <w:sz w:val="22"/>
          <w:szCs w:val="22"/>
        </w:rPr>
        <w:t>February 2026)</w:t>
      </w:r>
    </w:p>
    <w:p w14:paraId="6AF0AE35" w14:textId="77777777" w:rsidR="00E33185" w:rsidRDefault="00000000">
      <w:r>
        <w:rPr>
          <w:rFonts w:cs="Calibri"/>
          <w:sz w:val="22"/>
          <w:szCs w:val="22"/>
        </w:rPr>
        <w:t xml:space="preserve">CIPD (2025d) – </w:t>
      </w:r>
      <w:r>
        <w:rPr>
          <w:rFonts w:cs="Calibri"/>
          <w:i/>
          <w:iCs/>
          <w:sz w:val="22"/>
          <w:szCs w:val="22"/>
        </w:rPr>
        <w:t>Flexible working practises</w:t>
      </w:r>
      <w:r>
        <w:rPr>
          <w:rFonts w:cs="Calibri"/>
          <w:sz w:val="22"/>
          <w:szCs w:val="22"/>
        </w:rPr>
        <w:t xml:space="preserve">, Available at - </w:t>
      </w:r>
      <w:hyperlink r:id="rId15" w:history="1">
        <w:r>
          <w:rPr>
            <w:rStyle w:val="Hyperlink"/>
            <w:rFonts w:cs="Calibri"/>
            <w:color w:val="000000"/>
            <w:sz w:val="22"/>
            <w:szCs w:val="22"/>
            <w:u w:val="none"/>
          </w:rPr>
          <w:t>https://www.cipd.org/uk/knowledge/factsheets/flexible-working-factsheet/</w:t>
        </w:r>
      </w:hyperlink>
      <w:r>
        <w:rPr>
          <w:rFonts w:cs="Calibri"/>
          <w:color w:val="000000"/>
          <w:sz w:val="22"/>
          <w:szCs w:val="22"/>
        </w:rPr>
        <w:t xml:space="preserve"> (Accessed February 3</w:t>
      </w:r>
      <w:r>
        <w:rPr>
          <w:rFonts w:cs="Calibri"/>
          <w:color w:val="000000"/>
          <w:sz w:val="22"/>
          <w:szCs w:val="22"/>
          <w:vertAlign w:val="superscript"/>
        </w:rPr>
        <w:t>rd</w:t>
      </w:r>
      <w:r>
        <w:rPr>
          <w:rFonts w:cs="Calibri"/>
          <w:color w:val="000000"/>
          <w:sz w:val="22"/>
          <w:szCs w:val="22"/>
        </w:rPr>
        <w:t xml:space="preserve"> 2026)</w:t>
      </w:r>
    </w:p>
    <w:p w14:paraId="2E5815D9" w14:textId="77777777" w:rsidR="00E33185" w:rsidRDefault="00000000">
      <w:r>
        <w:rPr>
          <w:rFonts w:cs="Calibri"/>
          <w:sz w:val="22"/>
          <w:szCs w:val="22"/>
        </w:rPr>
        <w:t xml:space="preserve">CIPD (2026) – </w:t>
      </w:r>
      <w:r>
        <w:rPr>
          <w:rFonts w:cs="Calibri"/>
          <w:i/>
          <w:iCs/>
          <w:sz w:val="22"/>
          <w:szCs w:val="22"/>
        </w:rPr>
        <w:t xml:space="preserve">Redundancy: UK employment law, </w:t>
      </w:r>
      <w:r>
        <w:rPr>
          <w:rFonts w:cs="Calibri"/>
          <w:sz w:val="22"/>
          <w:szCs w:val="22"/>
        </w:rPr>
        <w:t xml:space="preserve">Available at - </w:t>
      </w:r>
      <w:hyperlink r:id="rId16" w:history="1">
        <w:r>
          <w:rPr>
            <w:rStyle w:val="Hyperlink"/>
            <w:rFonts w:cs="Calibri"/>
            <w:color w:val="000000"/>
            <w:sz w:val="22"/>
            <w:szCs w:val="22"/>
            <w:u w:val="none"/>
          </w:rPr>
          <w:t>https://www.cipd.org/uk/knowledge/employment-law/redundancy/</w:t>
        </w:r>
      </w:hyperlink>
      <w:r>
        <w:rPr>
          <w:rFonts w:cs="Calibri"/>
          <w:sz w:val="22"/>
          <w:szCs w:val="22"/>
        </w:rPr>
        <w:t xml:space="preserve"> (Accessed February 3</w:t>
      </w:r>
      <w:r>
        <w:rPr>
          <w:rFonts w:cs="Calibri"/>
          <w:sz w:val="22"/>
          <w:szCs w:val="22"/>
          <w:vertAlign w:val="superscript"/>
        </w:rPr>
        <w:t>rd</w:t>
      </w:r>
      <w:r>
        <w:rPr>
          <w:rFonts w:cs="Calibri"/>
          <w:sz w:val="22"/>
          <w:szCs w:val="22"/>
        </w:rPr>
        <w:t xml:space="preserve"> 2026)</w:t>
      </w:r>
    </w:p>
    <w:p w14:paraId="044B0392" w14:textId="77777777" w:rsidR="00E33185" w:rsidRDefault="00000000">
      <w:proofErr w:type="spellStart"/>
      <w:proofErr w:type="gramStart"/>
      <w:r>
        <w:rPr>
          <w:rFonts w:cs="Calibri"/>
          <w:sz w:val="22"/>
          <w:szCs w:val="22"/>
        </w:rPr>
        <w:t>Daniels,K</w:t>
      </w:r>
      <w:proofErr w:type="spellEnd"/>
      <w:r>
        <w:rPr>
          <w:rFonts w:cs="Calibri"/>
          <w:sz w:val="22"/>
          <w:szCs w:val="22"/>
        </w:rPr>
        <w:t>.</w:t>
      </w:r>
      <w:proofErr w:type="gramEnd"/>
      <w:r>
        <w:rPr>
          <w:rFonts w:cs="Calibri"/>
          <w:sz w:val="22"/>
          <w:szCs w:val="22"/>
        </w:rPr>
        <w:t xml:space="preserve">  (2022</w:t>
      </w:r>
      <w:proofErr w:type="gramStart"/>
      <w:r>
        <w:rPr>
          <w:rFonts w:cs="Calibri"/>
          <w:sz w:val="22"/>
          <w:szCs w:val="22"/>
        </w:rPr>
        <w:t xml:space="preserve">) </w:t>
      </w:r>
      <w:r>
        <w:rPr>
          <w:rFonts w:cs="Calibri"/>
          <w:i/>
          <w:iCs/>
          <w:sz w:val="22"/>
          <w:szCs w:val="22"/>
        </w:rPr>
        <w:t xml:space="preserve"> Human</w:t>
      </w:r>
      <w:proofErr w:type="gramEnd"/>
      <w:r>
        <w:rPr>
          <w:rFonts w:cs="Calibri"/>
          <w:i/>
          <w:iCs/>
          <w:sz w:val="22"/>
          <w:szCs w:val="22"/>
        </w:rPr>
        <w:t xml:space="preserve"> resource management </w:t>
      </w:r>
      <w:r>
        <w:rPr>
          <w:rFonts w:cs="Calibri"/>
          <w:sz w:val="22"/>
          <w:szCs w:val="22"/>
        </w:rPr>
        <w:t>– 3</w:t>
      </w:r>
      <w:r>
        <w:rPr>
          <w:rFonts w:cs="Calibri"/>
          <w:sz w:val="22"/>
          <w:szCs w:val="22"/>
          <w:vertAlign w:val="superscript"/>
        </w:rPr>
        <w:t>rd</w:t>
      </w:r>
      <w:r>
        <w:rPr>
          <w:rFonts w:cs="Calibri"/>
          <w:sz w:val="22"/>
          <w:szCs w:val="22"/>
        </w:rPr>
        <w:t xml:space="preserve"> </w:t>
      </w:r>
      <w:proofErr w:type="spellStart"/>
      <w:r>
        <w:rPr>
          <w:rFonts w:cs="Calibri"/>
          <w:sz w:val="22"/>
          <w:szCs w:val="22"/>
        </w:rPr>
        <w:t>Edn</w:t>
      </w:r>
      <w:proofErr w:type="spellEnd"/>
      <w:r>
        <w:rPr>
          <w:rFonts w:cs="Calibri"/>
          <w:sz w:val="22"/>
          <w:szCs w:val="22"/>
        </w:rPr>
        <w:t>. London, New York, India: Kogan Page</w:t>
      </w:r>
    </w:p>
    <w:p w14:paraId="4CD4B46E" w14:textId="77777777" w:rsidR="00E33185" w:rsidRDefault="00000000">
      <w:r>
        <w:rPr>
          <w:rFonts w:cs="Calibri"/>
          <w:sz w:val="22"/>
          <w:szCs w:val="22"/>
        </w:rPr>
        <w:t xml:space="preserve">Dentons (2016) </w:t>
      </w:r>
      <w:r>
        <w:rPr>
          <w:rFonts w:cs="Calibri"/>
          <w:i/>
          <w:iCs/>
          <w:sz w:val="22"/>
          <w:szCs w:val="22"/>
        </w:rPr>
        <w:t xml:space="preserve">British Gas v Lock – employers must include commission in holiday pay, </w:t>
      </w:r>
      <w:r>
        <w:rPr>
          <w:rFonts w:cs="Calibri"/>
          <w:color w:val="000000"/>
          <w:sz w:val="22"/>
          <w:szCs w:val="22"/>
        </w:rPr>
        <w:t xml:space="preserve">Available at </w:t>
      </w:r>
      <w:hyperlink r:id="rId17" w:history="1">
        <w:r>
          <w:rPr>
            <w:rStyle w:val="Hyperlink"/>
            <w:rFonts w:cs="Calibri"/>
            <w:color w:val="000000"/>
            <w:sz w:val="22"/>
            <w:szCs w:val="22"/>
            <w:u w:val="none"/>
          </w:rPr>
          <w:t>https://www.dentons.com/en/insights/newsletters/2016/march/30/uk-employment-law-</w:t>
        </w:r>
        <w:r>
          <w:rPr>
            <w:rStyle w:val="Hyperlink"/>
            <w:rFonts w:cs="Calibri"/>
            <w:color w:val="000000"/>
            <w:sz w:val="22"/>
            <w:szCs w:val="22"/>
            <w:u w:val="none"/>
          </w:rPr>
          <w:lastRenderedPageBreak/>
          <w:t>roundup/uk-employment-law-march-2016/british-gas-v-lock-employers-must-include-commission-in-holiday-pay</w:t>
        </w:r>
      </w:hyperlink>
      <w:r>
        <w:rPr>
          <w:rFonts w:cs="Calibri"/>
          <w:color w:val="000000"/>
          <w:sz w:val="22"/>
          <w:szCs w:val="22"/>
        </w:rPr>
        <w:t xml:space="preserve"> ( Accessed January 28th 2026)</w:t>
      </w:r>
    </w:p>
    <w:p w14:paraId="171AC93D" w14:textId="77777777" w:rsidR="00E33185" w:rsidRDefault="00000000">
      <w:r>
        <w:rPr>
          <w:rFonts w:cs="Calibri"/>
          <w:color w:val="EE0000"/>
          <w:sz w:val="22"/>
          <w:szCs w:val="22"/>
        </w:rPr>
        <w:t xml:space="preserve">Hamor, F. (2024) </w:t>
      </w:r>
      <w:r>
        <w:rPr>
          <w:rFonts w:cs="Calibri"/>
          <w:i/>
          <w:iCs/>
          <w:color w:val="EE0000"/>
          <w:sz w:val="22"/>
          <w:szCs w:val="22"/>
        </w:rPr>
        <w:t xml:space="preserve">The Brexit effect: TUPE and working time, </w:t>
      </w:r>
      <w:r>
        <w:rPr>
          <w:rFonts w:cs="Calibri"/>
          <w:color w:val="EE0000"/>
          <w:sz w:val="22"/>
          <w:szCs w:val="22"/>
        </w:rPr>
        <w:t xml:space="preserve">Available at </w:t>
      </w:r>
      <w:hyperlink r:id="rId18" w:history="1">
        <w:r>
          <w:rPr>
            <w:rStyle w:val="Hyperlink"/>
            <w:rFonts w:cs="Calibri"/>
            <w:color w:val="EE0000"/>
            <w:sz w:val="22"/>
            <w:szCs w:val="22"/>
            <w:u w:val="none"/>
          </w:rPr>
          <w:t>https://www.peoplemanagement.co.uk/article/1861379/brexit-effect-tupe-working-time</w:t>
        </w:r>
      </w:hyperlink>
      <w:r>
        <w:rPr>
          <w:rFonts w:cs="Calibri"/>
          <w:color w:val="EE0000"/>
          <w:sz w:val="22"/>
          <w:szCs w:val="22"/>
        </w:rPr>
        <w:t xml:space="preserve"> ( Accessed 23</w:t>
      </w:r>
      <w:r>
        <w:rPr>
          <w:rFonts w:cs="Calibri"/>
          <w:color w:val="EE0000"/>
          <w:sz w:val="22"/>
          <w:szCs w:val="22"/>
          <w:vertAlign w:val="superscript"/>
        </w:rPr>
        <w:t>rd</w:t>
      </w:r>
      <w:r>
        <w:rPr>
          <w:rFonts w:cs="Calibri"/>
          <w:color w:val="EE0000"/>
          <w:sz w:val="22"/>
          <w:szCs w:val="22"/>
        </w:rPr>
        <w:t xml:space="preserve"> April 2026)</w:t>
      </w:r>
    </w:p>
    <w:p w14:paraId="79A6E480" w14:textId="77777777" w:rsidR="00E33185" w:rsidRDefault="00000000">
      <w:r>
        <w:rPr>
          <w:rFonts w:cs="Calibri"/>
          <w:color w:val="EE0000"/>
          <w:sz w:val="22"/>
          <w:szCs w:val="22"/>
        </w:rPr>
        <w:t xml:space="preserve">Jones, C (2023) </w:t>
      </w:r>
      <w:r>
        <w:rPr>
          <w:rFonts w:cs="Calibri"/>
          <w:i/>
          <w:iCs/>
          <w:color w:val="EE0000"/>
          <w:sz w:val="22"/>
          <w:szCs w:val="22"/>
        </w:rPr>
        <w:t xml:space="preserve">Changes to working time regulations, holiday pay, and </w:t>
      </w:r>
      <w:proofErr w:type="spellStart"/>
      <w:r>
        <w:rPr>
          <w:rFonts w:cs="Calibri"/>
          <w:i/>
          <w:iCs/>
          <w:color w:val="EE0000"/>
          <w:sz w:val="22"/>
          <w:szCs w:val="22"/>
        </w:rPr>
        <w:t>tupe</w:t>
      </w:r>
      <w:proofErr w:type="spellEnd"/>
      <w:r>
        <w:rPr>
          <w:rFonts w:cs="Calibri"/>
          <w:i/>
          <w:iCs/>
          <w:color w:val="EE0000"/>
          <w:sz w:val="22"/>
          <w:szCs w:val="22"/>
        </w:rPr>
        <w:t xml:space="preserve"> regulations post </w:t>
      </w:r>
      <w:proofErr w:type="spellStart"/>
      <w:r>
        <w:rPr>
          <w:rFonts w:cs="Calibri"/>
          <w:i/>
          <w:iCs/>
          <w:color w:val="EE0000"/>
          <w:sz w:val="22"/>
          <w:szCs w:val="22"/>
        </w:rPr>
        <w:t>brexit</w:t>
      </w:r>
      <w:proofErr w:type="spellEnd"/>
      <w:r>
        <w:rPr>
          <w:rFonts w:cs="Calibri"/>
          <w:color w:val="EE0000"/>
          <w:sz w:val="22"/>
          <w:szCs w:val="22"/>
        </w:rPr>
        <w:t xml:space="preserve">  </w:t>
      </w:r>
      <w:hyperlink r:id="rId19" w:history="1">
        <w:r>
          <w:rPr>
            <w:rStyle w:val="Hyperlink"/>
            <w:rFonts w:cs="Calibri"/>
            <w:color w:val="EE0000"/>
            <w:sz w:val="22"/>
            <w:szCs w:val="22"/>
            <w:u w:val="none"/>
          </w:rPr>
          <w:t>https://joneschase.com/2023/07/changes-to-working-time-regulations-holiday-pay-and-tupe-regulations-uk-employment-law-post-brexit/</w:t>
        </w:r>
      </w:hyperlink>
      <w:r>
        <w:rPr>
          <w:rFonts w:cs="Calibri"/>
          <w:color w:val="EE0000"/>
          <w:sz w:val="22"/>
          <w:szCs w:val="22"/>
        </w:rPr>
        <w:t xml:space="preserve"> (Accessed 23</w:t>
      </w:r>
      <w:r>
        <w:rPr>
          <w:rFonts w:cs="Calibri"/>
          <w:color w:val="EE0000"/>
          <w:sz w:val="22"/>
          <w:szCs w:val="22"/>
          <w:vertAlign w:val="superscript"/>
        </w:rPr>
        <w:t>rd</w:t>
      </w:r>
      <w:r>
        <w:rPr>
          <w:rFonts w:cs="Calibri"/>
          <w:color w:val="EE0000"/>
          <w:sz w:val="22"/>
          <w:szCs w:val="22"/>
        </w:rPr>
        <w:t xml:space="preserve"> April 2026) </w:t>
      </w:r>
    </w:p>
    <w:p w14:paraId="1298FD50" w14:textId="77777777" w:rsidR="00E33185" w:rsidRDefault="00000000">
      <w:r>
        <w:rPr>
          <w:rFonts w:cs="Calibri"/>
          <w:color w:val="000000"/>
          <w:sz w:val="22"/>
          <w:szCs w:val="22"/>
        </w:rPr>
        <w:t xml:space="preserve">Landy, M. (2017) </w:t>
      </w:r>
      <w:r>
        <w:rPr>
          <w:rFonts w:cs="Calibri"/>
          <w:i/>
          <w:iCs/>
          <w:color w:val="000000"/>
          <w:sz w:val="22"/>
          <w:szCs w:val="22"/>
        </w:rPr>
        <w:t>Constructive dismissal: a guide for employers</w:t>
      </w:r>
      <w:r>
        <w:rPr>
          <w:rFonts w:cs="Calibri"/>
          <w:color w:val="000000"/>
          <w:sz w:val="22"/>
          <w:szCs w:val="22"/>
        </w:rPr>
        <w:t xml:space="preserve">, Available at - </w:t>
      </w:r>
      <w:hyperlink r:id="rId20" w:history="1">
        <w:r>
          <w:rPr>
            <w:rStyle w:val="Hyperlink"/>
            <w:color w:val="auto"/>
            <w:sz w:val="22"/>
            <w:szCs w:val="22"/>
            <w:u w:val="none"/>
          </w:rPr>
          <w:t>https://www.peoplemanagement.co.uk/article/1743377/constructive-dismissal-guide</w:t>
        </w:r>
      </w:hyperlink>
      <w:r>
        <w:rPr>
          <w:sz w:val="22"/>
          <w:szCs w:val="22"/>
        </w:rPr>
        <w:t xml:space="preserve"> (Accessed 3rd February 2026)</w:t>
      </w:r>
    </w:p>
    <w:p w14:paraId="123A8E74" w14:textId="77777777" w:rsidR="00E33185" w:rsidRDefault="00000000">
      <w:r>
        <w:rPr>
          <w:rFonts w:cs="Calibri"/>
          <w:sz w:val="22"/>
          <w:szCs w:val="22"/>
        </w:rPr>
        <w:t xml:space="preserve">Mann, J. and </w:t>
      </w:r>
      <w:proofErr w:type="spellStart"/>
      <w:proofErr w:type="gramStart"/>
      <w:r>
        <w:rPr>
          <w:rFonts w:cs="Calibri"/>
          <w:sz w:val="22"/>
          <w:szCs w:val="22"/>
        </w:rPr>
        <w:t>Williams,F</w:t>
      </w:r>
      <w:proofErr w:type="spellEnd"/>
      <w:r>
        <w:rPr>
          <w:rFonts w:cs="Calibri"/>
          <w:sz w:val="22"/>
          <w:szCs w:val="22"/>
        </w:rPr>
        <w:t>.</w:t>
      </w:r>
      <w:proofErr w:type="gramEnd"/>
      <w:r>
        <w:rPr>
          <w:rFonts w:cs="Calibri"/>
          <w:sz w:val="22"/>
          <w:szCs w:val="22"/>
        </w:rPr>
        <w:t xml:space="preserve"> (2025) </w:t>
      </w:r>
      <w:r>
        <w:rPr>
          <w:rFonts w:cs="Calibri"/>
          <w:i/>
          <w:iCs/>
          <w:sz w:val="22"/>
          <w:szCs w:val="22"/>
        </w:rPr>
        <w:t xml:space="preserve">Employment </w:t>
      </w:r>
      <w:proofErr w:type="gramStart"/>
      <w:r>
        <w:rPr>
          <w:rFonts w:cs="Calibri"/>
          <w:i/>
          <w:iCs/>
          <w:sz w:val="22"/>
          <w:szCs w:val="22"/>
        </w:rPr>
        <w:t xml:space="preserve">status </w:t>
      </w:r>
      <w:r>
        <w:rPr>
          <w:rFonts w:cs="Calibri"/>
          <w:sz w:val="22"/>
          <w:szCs w:val="22"/>
        </w:rPr>
        <w:t>,</w:t>
      </w:r>
      <w:proofErr w:type="gramEnd"/>
      <w:r>
        <w:rPr>
          <w:rFonts w:cs="Calibri"/>
          <w:sz w:val="22"/>
          <w:szCs w:val="22"/>
        </w:rPr>
        <w:t xml:space="preserve"> Available at –</w:t>
      </w:r>
    </w:p>
    <w:p w14:paraId="6B77A7F1" w14:textId="77777777" w:rsidR="00E33185" w:rsidRDefault="00000000">
      <w:hyperlink r:id="rId21" w:history="1">
        <w:r>
          <w:rPr>
            <w:rStyle w:val="Hyperlink"/>
            <w:rFonts w:cs="Calibri"/>
            <w:color w:val="000000"/>
            <w:sz w:val="22"/>
            <w:szCs w:val="22"/>
            <w:u w:val="none"/>
          </w:rPr>
          <w:t>https://www.cipd.org/uk/knowledge/factsheets/status-factsheet/</w:t>
        </w:r>
      </w:hyperlink>
      <w:r>
        <w:rPr>
          <w:rFonts w:cs="Calibri"/>
          <w:color w:val="000000"/>
          <w:sz w:val="22"/>
          <w:szCs w:val="22"/>
        </w:rPr>
        <w:t xml:space="preserve"> </w:t>
      </w:r>
      <w:r>
        <w:rPr>
          <w:rFonts w:cs="Calibri"/>
          <w:sz w:val="22"/>
          <w:szCs w:val="22"/>
        </w:rPr>
        <w:t>(Accessed 25</w:t>
      </w:r>
      <w:r>
        <w:rPr>
          <w:rFonts w:cs="Calibri"/>
          <w:sz w:val="22"/>
          <w:szCs w:val="22"/>
          <w:vertAlign w:val="superscript"/>
        </w:rPr>
        <w:t>th</w:t>
      </w:r>
      <w:r>
        <w:rPr>
          <w:rFonts w:cs="Calibri"/>
          <w:sz w:val="22"/>
          <w:szCs w:val="22"/>
        </w:rPr>
        <w:t xml:space="preserve"> January 2026)</w:t>
      </w:r>
    </w:p>
    <w:p w14:paraId="6872C468" w14:textId="77777777" w:rsidR="00E33185" w:rsidRDefault="00000000">
      <w:r>
        <w:rPr>
          <w:rFonts w:cs="Calibri"/>
          <w:sz w:val="22"/>
          <w:szCs w:val="22"/>
        </w:rPr>
        <w:t xml:space="preserve">PM Editorial. (2025) </w:t>
      </w:r>
      <w:r>
        <w:rPr>
          <w:rFonts w:cs="Calibri"/>
          <w:i/>
          <w:iCs/>
          <w:sz w:val="22"/>
          <w:szCs w:val="22"/>
        </w:rPr>
        <w:t xml:space="preserve">Employment law: what to expect in 2025 </w:t>
      </w:r>
      <w:r>
        <w:rPr>
          <w:rFonts w:cs="Calibri"/>
          <w:sz w:val="22"/>
          <w:szCs w:val="22"/>
        </w:rPr>
        <w:t>Available at – peoplemanagement.co.uk/article/1901051/employment-law-expert-2025 (Accessed 4</w:t>
      </w:r>
      <w:proofErr w:type="gramStart"/>
      <w:r>
        <w:rPr>
          <w:rFonts w:cs="Calibri"/>
          <w:sz w:val="22"/>
          <w:szCs w:val="22"/>
          <w:vertAlign w:val="superscript"/>
        </w:rPr>
        <w:t>th</w:t>
      </w:r>
      <w:r>
        <w:rPr>
          <w:rFonts w:cs="Calibri"/>
          <w:sz w:val="22"/>
          <w:szCs w:val="22"/>
        </w:rPr>
        <w:t xml:space="preserve">  February</w:t>
      </w:r>
      <w:proofErr w:type="gramEnd"/>
      <w:r>
        <w:rPr>
          <w:rFonts w:cs="Calibri"/>
          <w:sz w:val="22"/>
          <w:szCs w:val="22"/>
        </w:rPr>
        <w:t xml:space="preserve"> 2026)</w:t>
      </w:r>
    </w:p>
    <w:p w14:paraId="15E5AD5D" w14:textId="77777777" w:rsidR="00E33185" w:rsidRDefault="00E33185">
      <w:pPr>
        <w:rPr>
          <w:lang w:val="en-US"/>
        </w:rPr>
      </w:pPr>
    </w:p>
    <w:sectPr w:rsidR="00E3318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0DD37" w14:textId="77777777" w:rsidR="00532B92" w:rsidRDefault="00532B92">
      <w:pPr>
        <w:spacing w:after="0" w:line="240" w:lineRule="auto"/>
      </w:pPr>
      <w:r>
        <w:separator/>
      </w:r>
    </w:p>
  </w:endnote>
  <w:endnote w:type="continuationSeparator" w:id="0">
    <w:p w14:paraId="39701333" w14:textId="77777777" w:rsidR="00532B92" w:rsidRDefault="00532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1E203" w14:textId="77777777" w:rsidR="00532B92" w:rsidRDefault="00532B92">
      <w:pPr>
        <w:spacing w:after="0" w:line="240" w:lineRule="auto"/>
      </w:pPr>
      <w:r>
        <w:rPr>
          <w:color w:val="000000"/>
        </w:rPr>
        <w:separator/>
      </w:r>
    </w:p>
  </w:footnote>
  <w:footnote w:type="continuationSeparator" w:id="0">
    <w:p w14:paraId="1AF01500" w14:textId="77777777" w:rsidR="00532B92" w:rsidRDefault="00532B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33185"/>
    <w:rsid w:val="00494A12"/>
    <w:rsid w:val="00497E24"/>
    <w:rsid w:val="00532B92"/>
    <w:rsid w:val="00E33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CF013"/>
  <w15:docId w15:val="{D946BD52-3553-4A4D-B592-40B341F87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76" w:lineRule="auto"/>
    </w:pPr>
    <w:rPr>
      <w:sz w:val="24"/>
      <w:szCs w:val="24"/>
    </w:rPr>
  </w:style>
  <w:style w:type="paragraph" w:styleId="Heading1">
    <w:name w:val="heading 1"/>
    <w:basedOn w:val="Normal"/>
    <w:next w:val="Normal"/>
    <w:uiPriority w:val="9"/>
    <w:qFormat/>
    <w:pPr>
      <w:keepNext/>
      <w:keepLines/>
      <w:spacing w:before="360" w:after="80" w:line="240" w:lineRule="auto"/>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line="240" w:lineRule="auto"/>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line="240" w:lineRule="auto"/>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line="240" w:lineRule="auto"/>
      <w:outlineLvl w:val="3"/>
    </w:pPr>
    <w:rPr>
      <w:rFonts w:eastAsia="Times New Roman"/>
      <w:i/>
      <w:iCs/>
      <w:color w:val="2F5496"/>
      <w:sz w:val="22"/>
      <w:szCs w:val="22"/>
    </w:rPr>
  </w:style>
  <w:style w:type="paragraph" w:styleId="Heading5">
    <w:name w:val="heading 5"/>
    <w:basedOn w:val="Normal"/>
    <w:next w:val="Normal"/>
    <w:uiPriority w:val="9"/>
    <w:semiHidden/>
    <w:unhideWhenUsed/>
    <w:qFormat/>
    <w:pPr>
      <w:keepNext/>
      <w:keepLines/>
      <w:spacing w:before="80" w:after="40" w:line="240" w:lineRule="auto"/>
      <w:outlineLvl w:val="4"/>
    </w:pPr>
    <w:rPr>
      <w:rFonts w:eastAsia="Times New Roman"/>
      <w:color w:val="2F5496"/>
      <w:sz w:val="22"/>
      <w:szCs w:val="22"/>
    </w:rPr>
  </w:style>
  <w:style w:type="paragraph" w:styleId="Heading6">
    <w:name w:val="heading 6"/>
    <w:basedOn w:val="Normal"/>
    <w:next w:val="Normal"/>
    <w:uiPriority w:val="9"/>
    <w:semiHidden/>
    <w:unhideWhenUsed/>
    <w:qFormat/>
    <w:pPr>
      <w:keepNext/>
      <w:keepLines/>
      <w:spacing w:before="40" w:after="0" w:line="240" w:lineRule="auto"/>
      <w:outlineLvl w:val="5"/>
    </w:pPr>
    <w:rPr>
      <w:rFonts w:eastAsia="Times New Roman"/>
      <w:i/>
      <w:iCs/>
      <w:color w:val="595959"/>
      <w:sz w:val="22"/>
      <w:szCs w:val="22"/>
    </w:rPr>
  </w:style>
  <w:style w:type="paragraph" w:styleId="Heading7">
    <w:name w:val="heading 7"/>
    <w:basedOn w:val="Normal"/>
    <w:next w:val="Normal"/>
    <w:pPr>
      <w:keepNext/>
      <w:keepLines/>
      <w:spacing w:before="40" w:after="0" w:line="240" w:lineRule="auto"/>
      <w:outlineLvl w:val="6"/>
    </w:pPr>
    <w:rPr>
      <w:rFonts w:eastAsia="Times New Roman"/>
      <w:color w:val="595959"/>
      <w:sz w:val="22"/>
      <w:szCs w:val="22"/>
    </w:rPr>
  </w:style>
  <w:style w:type="paragraph" w:styleId="Heading8">
    <w:name w:val="heading 8"/>
    <w:basedOn w:val="Normal"/>
    <w:next w:val="Normal"/>
    <w:pPr>
      <w:keepNext/>
      <w:keepLines/>
      <w:spacing w:after="0" w:line="240" w:lineRule="auto"/>
      <w:outlineLvl w:val="7"/>
    </w:pPr>
    <w:rPr>
      <w:rFonts w:eastAsia="Times New Roman"/>
      <w:i/>
      <w:iCs/>
      <w:color w:val="272727"/>
      <w:sz w:val="22"/>
      <w:szCs w:val="22"/>
    </w:rPr>
  </w:style>
  <w:style w:type="paragraph" w:styleId="Heading9">
    <w:name w:val="heading 9"/>
    <w:basedOn w:val="Normal"/>
    <w:next w:val="Normal"/>
    <w:pPr>
      <w:keepNext/>
      <w:keepLines/>
      <w:spacing w:after="0" w:line="240" w:lineRule="auto"/>
      <w:outlineLvl w:val="8"/>
    </w:pPr>
    <w:rPr>
      <w:rFonts w:eastAsia="Times New Roman"/>
      <w:color w:val="272727"/>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pPr>
      <w:spacing w:line="240" w:lineRule="auto"/>
    </w:pPr>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line="240" w:lineRule="auto"/>
      <w:jc w:val="center"/>
    </w:pPr>
    <w:rPr>
      <w:i/>
      <w:iCs/>
      <w:color w:val="404040"/>
      <w:sz w:val="22"/>
      <w:szCs w:val="22"/>
    </w:rPr>
  </w:style>
  <w:style w:type="character" w:customStyle="1" w:styleId="QuoteChar">
    <w:name w:val="Quote Char"/>
    <w:basedOn w:val="DefaultParagraphFont"/>
    <w:rPr>
      <w:i/>
      <w:iCs/>
      <w:color w:val="404040"/>
    </w:rPr>
  </w:style>
  <w:style w:type="paragraph" w:styleId="ListParagraph">
    <w:name w:val="List Paragraph"/>
    <w:basedOn w:val="Normal"/>
    <w:pPr>
      <w:spacing w:line="240" w:lineRule="auto"/>
      <w:ind w:left="720"/>
    </w:pPr>
    <w:rPr>
      <w:sz w:val="22"/>
      <w:szCs w:val="22"/>
    </w:r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line="240" w:lineRule="auto"/>
      <w:ind w:left="864" w:right="864"/>
      <w:jc w:val="center"/>
    </w:pPr>
    <w:rPr>
      <w:i/>
      <w:iCs/>
      <w:color w:val="2F5496"/>
      <w:sz w:val="22"/>
      <w:szCs w:val="22"/>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as.org.uk/dismissals/constructive-dismissal" TargetMode="External"/><Relationship Id="rId13" Type="http://schemas.openxmlformats.org/officeDocument/2006/relationships/hyperlink" Target="https://www.cipd.org/uk/knowledge/employment-law/equal-pay/" TargetMode="External"/><Relationship Id="rId18" Type="http://schemas.openxmlformats.org/officeDocument/2006/relationships/hyperlink" Target="https://www.peoplemanagement.co.uk/article/1861379/brexit-effect-tupe-working-time" TargetMode="External"/><Relationship Id="rId3" Type="http://schemas.openxmlformats.org/officeDocument/2006/relationships/webSettings" Target="webSettings.xml"/><Relationship Id="rId21" Type="http://schemas.openxmlformats.org/officeDocument/2006/relationships/hyperlink" Target="https://www.cipd.org/uk/knowledge/factsheets/status-factsheet/" TargetMode="External"/><Relationship Id="rId7" Type="http://schemas.openxmlformats.org/officeDocument/2006/relationships/hyperlink" Target="https://www.acas.org.uk/irregular-hours-and-part-year-workers/rolled-up-holiday-pay" TargetMode="External"/><Relationship Id="rId12" Type="http://schemas.openxmlformats.org/officeDocument/2006/relationships/hyperlink" Target="https://www.cipd.org/uk/knowledge/employment-law/recruitment/" TargetMode="External"/><Relationship Id="rId17" Type="http://schemas.openxmlformats.org/officeDocument/2006/relationships/hyperlink" Target="https://www.dentons.com/en/insights/newsletters/2016/march/30/uk-employment-law-roundup/uk-employment-law-march-2016/british-gas-v-lock-employers-must-include-commission-in-holiday-pay" TargetMode="External"/><Relationship Id="rId2" Type="http://schemas.openxmlformats.org/officeDocument/2006/relationships/settings" Target="settings.xml"/><Relationship Id="rId16" Type="http://schemas.openxmlformats.org/officeDocument/2006/relationships/hyperlink" Target="https://www.cipd.org/uk/knowledge/employment-law/redundancy/" TargetMode="External"/><Relationship Id="rId20" Type="http://schemas.openxmlformats.org/officeDocument/2006/relationships/hyperlink" Target="https://www.peoplemanagement.co.uk/article/1743377/constructive-dismissal-guide6" TargetMode="External"/><Relationship Id="rId1" Type="http://schemas.openxmlformats.org/officeDocument/2006/relationships/styles" Target="styles.xml"/><Relationship Id="rId6" Type="http://schemas.openxmlformats.org/officeDocument/2006/relationships/hyperlink" Target="https://www.acas.org.uk/equal-pay/equal-pay-law" TargetMode="External"/><Relationship Id="rId11" Type="http://schemas.openxmlformats.org/officeDocument/2006/relationships/hyperlink" Target="https://www.cipd.org/uk/knowledge/employment-law/" TargetMode="External"/><Relationship Id="rId5" Type="http://schemas.openxmlformats.org/officeDocument/2006/relationships/endnotes" Target="endnotes.xml"/><Relationship Id="rId15" Type="http://schemas.openxmlformats.org/officeDocument/2006/relationships/hyperlink" Target="https://www.cipd.org/uk/knowledge/factsheets/flexible-working-factsheet/" TargetMode="External"/><Relationship Id="rId23" Type="http://schemas.openxmlformats.org/officeDocument/2006/relationships/theme" Target="theme/theme1.xml"/><Relationship Id="rId10" Type="http://schemas.openxmlformats.org/officeDocument/2006/relationships/hyperlink" Target="https://www.cipd.org/uk/knowledge/factsheets/tribunals-factsheet/" TargetMode="External"/><Relationship Id="rId19" Type="http://schemas.openxmlformats.org/officeDocument/2006/relationships/hyperlink" Target="https://joneschase.com/2023/07/changes-to-working-time-regulations-holiday-pay-and-tupe-regulations-uk-employment-law-post-brexit/" TargetMode="External"/><Relationship Id="rId4" Type="http://schemas.openxmlformats.org/officeDocument/2006/relationships/footnotes" Target="footnotes.xml"/><Relationship Id="rId9" Type="http://schemas.openxmlformats.org/officeDocument/2006/relationships/hyperlink" Target="https://www.cipd.org/uk/knowledge/factsheets/dismissal-factsheet/" TargetMode="External"/><Relationship Id="rId14" Type="http://schemas.openxmlformats.org/officeDocument/2006/relationships/hyperlink" Target="https://www.cipd.org/uk/knowledge/factsheets/maternity-paternity-rights-factsheet/"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5005</Words>
  <Characters>28534</Characters>
  <Application>Microsoft Office Word</Application>
  <DocSecurity>0</DocSecurity>
  <Lines>237</Lines>
  <Paragraphs>66</Paragraphs>
  <ScaleCrop>false</ScaleCrop>
  <Company/>
  <LinksUpToDate>false</LinksUpToDate>
  <CharactersWithSpaces>33473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dc:creator>
  <dc:description/>
  <cp:lastModifiedBy>Samantha</cp:lastModifiedBy>
  <cp:revision>2</cp:revision>
  <dcterms:created xsi:type="dcterms:W3CDTF">2026-04-23T09:57:00Z</dcterms:created>
  <dcterms:modified xsi:type="dcterms:W3CDTF">2026-04-23T09:57:00Z</dcterms:modified>
</cp:coreProperties>
</file>