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6B355" w14:textId="77777777" w:rsidR="00DA36F4" w:rsidRDefault="00DA36F4" w:rsidP="00DA36F4">
      <w:r>
        <w:rPr>
          <w:noProof/>
        </w:rPr>
        <w:drawing>
          <wp:anchor distT="0" distB="0" distL="114300" distR="114300" simplePos="0" relativeHeight="251659264" behindDoc="0" locked="0" layoutInCell="1" allowOverlap="1" wp14:anchorId="51535C9B" wp14:editId="0614883E">
            <wp:simplePos x="685800" y="914400"/>
            <wp:positionH relativeFrom="column">
              <wp:align>left</wp:align>
            </wp:positionH>
            <wp:positionV relativeFrom="paragraph">
              <wp:align>top</wp:align>
            </wp:positionV>
            <wp:extent cx="2028825" cy="704850"/>
            <wp:effectExtent l="0" t="0" r="9525" b="0"/>
            <wp:wrapSquare wrapText="bothSides"/>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anchor>
        </w:drawing>
      </w:r>
      <w:r>
        <w:br w:type="textWrapping" w:clear="all"/>
      </w:r>
    </w:p>
    <w:p w14:paraId="5B6A8AD6" w14:textId="77777777" w:rsidR="00DA36F4" w:rsidRPr="00A47621" w:rsidRDefault="00DA36F4" w:rsidP="00DA36F4">
      <w:pPr>
        <w:rPr>
          <w:rFonts w:ascii="Times New Roman" w:hAnsi="Times New Roman" w:cs="Times New Roman"/>
          <w:sz w:val="24"/>
          <w:szCs w:val="24"/>
        </w:rPr>
      </w:pPr>
    </w:p>
    <w:p w14:paraId="215D0E1C" w14:textId="77777777" w:rsidR="00DA36F4" w:rsidRPr="00F927A1" w:rsidRDefault="00DA36F4" w:rsidP="00DA36F4">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9F2FDE6" w14:textId="77777777" w:rsidR="00DA36F4" w:rsidRPr="00DC2924" w:rsidRDefault="00DA36F4" w:rsidP="00DA36F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A031D19" w14:textId="77777777" w:rsidR="00DA36F4" w:rsidRPr="0085230E" w:rsidRDefault="00DA36F4" w:rsidP="00DA36F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48018ED" w14:textId="77777777" w:rsidR="00DA36F4" w:rsidRDefault="00DA36F4" w:rsidP="00DA36F4">
      <w:pPr>
        <w:overflowPunct/>
        <w:autoSpaceDE/>
        <w:autoSpaceDN/>
        <w:adjustRightInd/>
        <w:ind w:right="-957"/>
        <w:textAlignment w:val="auto"/>
        <w:rPr>
          <w:rFonts w:ascii="Times New Roman" w:hAnsi="Times New Roman" w:cs="Times New Roman"/>
          <w:b/>
          <w:color w:val="auto"/>
          <w:sz w:val="48"/>
        </w:rPr>
      </w:pPr>
    </w:p>
    <w:p w14:paraId="71493BEC" w14:textId="77777777" w:rsidR="00DA36F4" w:rsidRPr="00FE5F90" w:rsidRDefault="00DA36F4" w:rsidP="00DA36F4">
      <w:pPr>
        <w:overflowPunct/>
        <w:autoSpaceDE/>
        <w:autoSpaceDN/>
        <w:adjustRightInd/>
        <w:ind w:right="-957"/>
        <w:textAlignment w:val="auto"/>
        <w:rPr>
          <w:rFonts w:ascii="Times New Roman" w:hAnsi="Times New Roman" w:cs="Times New Roman"/>
          <w:b/>
          <w:color w:val="auto"/>
          <w:sz w:val="18"/>
          <w:szCs w:val="2"/>
        </w:rPr>
      </w:pPr>
    </w:p>
    <w:p w14:paraId="218CC871" w14:textId="77777777" w:rsidR="00DA36F4" w:rsidRPr="00F927A1" w:rsidRDefault="00DA36F4" w:rsidP="00DA36F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0F26CB2" w14:textId="77777777" w:rsidR="00DA36F4" w:rsidRPr="00706BB5" w:rsidRDefault="00DA36F4" w:rsidP="00DA36F4">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5F40B3BE" w14:textId="77777777" w:rsidR="00DA36F4" w:rsidRPr="00FE5F90" w:rsidRDefault="00DA36F4" w:rsidP="00DA36F4">
      <w:pPr>
        <w:overflowPunct/>
        <w:autoSpaceDE/>
        <w:autoSpaceDN/>
        <w:adjustRightInd/>
        <w:ind w:right="-957"/>
        <w:textAlignment w:val="auto"/>
        <w:rPr>
          <w:rFonts w:ascii="Times New Roman" w:hAnsi="Times New Roman" w:cs="Times New Roman"/>
          <w:b/>
          <w:color w:val="auto"/>
          <w:sz w:val="14"/>
          <w:szCs w:val="2"/>
        </w:rPr>
      </w:pPr>
    </w:p>
    <w:p w14:paraId="503C5A03" w14:textId="77777777" w:rsidR="00DA36F4" w:rsidRPr="00F927A1" w:rsidRDefault="00DA36F4" w:rsidP="00DA36F4">
      <w:pPr>
        <w:overflowPunct/>
        <w:autoSpaceDE/>
        <w:autoSpaceDN/>
        <w:adjustRightInd/>
        <w:ind w:right="-957"/>
        <w:textAlignment w:val="auto"/>
        <w:rPr>
          <w:rFonts w:ascii="Times New Roman" w:hAnsi="Times New Roman" w:cs="Times New Roman"/>
          <w:b/>
          <w:color w:val="auto"/>
          <w:sz w:val="48"/>
        </w:rPr>
      </w:pPr>
    </w:p>
    <w:tbl>
      <w:tblPr>
        <w:tblW w:w="1134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41"/>
      </w:tblGrid>
      <w:tr w:rsidR="00DA36F4" w:rsidRPr="005D3F07" w14:paraId="6975D547" w14:textId="77777777" w:rsidTr="006D1883">
        <w:tc>
          <w:tcPr>
            <w:tcW w:w="11341" w:type="dxa"/>
            <w:shd w:val="clear" w:color="auto" w:fill="auto"/>
          </w:tcPr>
          <w:p w14:paraId="365604B3" w14:textId="77777777" w:rsidR="00DA36F4" w:rsidRDefault="00DA36F4" w:rsidP="006D188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Angharad Mair Griffiths</w:t>
            </w:r>
          </w:p>
          <w:p w14:paraId="1CFF182D" w14:textId="77777777" w:rsidR="00DA36F4" w:rsidRDefault="00DA36F4" w:rsidP="006D1883">
            <w:pPr>
              <w:overflowPunct/>
              <w:autoSpaceDE/>
              <w:autoSpaceDN/>
              <w:adjustRightInd/>
              <w:ind w:right="-957"/>
              <w:textAlignment w:val="auto"/>
              <w:rPr>
                <w:rFonts w:ascii="Times New Roman" w:hAnsi="Times New Roman" w:cs="Times New Roman"/>
                <w:b/>
                <w:color w:val="auto"/>
                <w:sz w:val="48"/>
              </w:rPr>
            </w:pPr>
          </w:p>
          <w:p w14:paraId="014F4554" w14:textId="77777777" w:rsidR="00DA36F4" w:rsidRDefault="00DA36F4" w:rsidP="006D188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AMGriffiths@carmarthenshire.gov.uk</w:t>
            </w:r>
          </w:p>
          <w:p w14:paraId="592345DC" w14:textId="77777777" w:rsidR="00DA36F4" w:rsidRDefault="00DA36F4" w:rsidP="006D1883">
            <w:pPr>
              <w:overflowPunct/>
              <w:autoSpaceDE/>
              <w:autoSpaceDN/>
              <w:adjustRightInd/>
              <w:ind w:right="-957"/>
              <w:textAlignment w:val="auto"/>
              <w:rPr>
                <w:rFonts w:ascii="Times New Roman" w:hAnsi="Times New Roman" w:cs="Times New Roman"/>
                <w:b/>
                <w:color w:val="auto"/>
                <w:sz w:val="48"/>
              </w:rPr>
            </w:pPr>
          </w:p>
          <w:p w14:paraId="393BF86B" w14:textId="77777777" w:rsidR="00DA36F4" w:rsidRPr="005D3F07" w:rsidRDefault="00DA36F4" w:rsidP="006D1883">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0601684</w:t>
            </w:r>
          </w:p>
          <w:p w14:paraId="4CB5EA9A" w14:textId="77777777" w:rsidR="00DA36F4" w:rsidRPr="005D3F07" w:rsidRDefault="00DA36F4" w:rsidP="006D1883">
            <w:pPr>
              <w:overflowPunct/>
              <w:autoSpaceDE/>
              <w:autoSpaceDN/>
              <w:adjustRightInd/>
              <w:ind w:right="-957"/>
              <w:textAlignment w:val="auto"/>
              <w:rPr>
                <w:rFonts w:ascii="Times New Roman" w:hAnsi="Times New Roman" w:cs="Times New Roman"/>
                <w:b/>
                <w:color w:val="auto"/>
                <w:sz w:val="48"/>
              </w:rPr>
            </w:pPr>
          </w:p>
          <w:p w14:paraId="79F5E597" w14:textId="77777777" w:rsidR="00DA36F4" w:rsidRPr="005D3F07" w:rsidRDefault="00DA36F4" w:rsidP="006D188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w:t>
            </w:r>
          </w:p>
        </w:tc>
      </w:tr>
    </w:tbl>
    <w:p w14:paraId="6883F5B5" w14:textId="77777777" w:rsidR="00DA36F4" w:rsidRPr="00F927A1" w:rsidRDefault="00DA36F4" w:rsidP="00DA36F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97616B1" w14:textId="77777777" w:rsidR="00DA36F4" w:rsidRPr="00F927A1" w:rsidRDefault="00DA36F4" w:rsidP="00DA36F4">
      <w:pPr>
        <w:overflowPunct/>
        <w:autoSpaceDE/>
        <w:autoSpaceDN/>
        <w:adjustRightInd/>
        <w:textAlignment w:val="auto"/>
        <w:rPr>
          <w:rFonts w:ascii="Times New Roman" w:hAnsi="Times New Roman" w:cs="Times New Roman"/>
          <w:color w:val="auto"/>
          <w:sz w:val="24"/>
        </w:rPr>
      </w:pPr>
    </w:p>
    <w:p w14:paraId="32515A65" w14:textId="77777777" w:rsidR="00DA36F4" w:rsidRPr="00F927A1" w:rsidRDefault="00DA36F4" w:rsidP="00DA36F4">
      <w:pPr>
        <w:overflowPunct/>
        <w:autoSpaceDE/>
        <w:autoSpaceDN/>
        <w:adjustRightInd/>
        <w:ind w:right="-957"/>
        <w:textAlignment w:val="auto"/>
        <w:rPr>
          <w:rFonts w:ascii="Times New Roman" w:hAnsi="Times New Roman" w:cs="Times New Roman"/>
          <w:b/>
          <w:color w:val="auto"/>
          <w:sz w:val="48"/>
        </w:rPr>
      </w:pPr>
    </w:p>
    <w:p w14:paraId="7605A337" w14:textId="77777777" w:rsidR="00DA36F4" w:rsidRPr="00706BB5" w:rsidRDefault="00DA36F4" w:rsidP="00DA36F4">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40F3C009" w14:textId="558459EC" w:rsidR="00F927A1" w:rsidRPr="00F927A1" w:rsidRDefault="00F927A1" w:rsidP="00986B43">
      <w:pPr>
        <w:overflowPunct/>
        <w:autoSpaceDE/>
        <w:autoSpaceDN/>
        <w:adjustRightInd/>
        <w:ind w:right="-957"/>
        <w:textAlignment w:val="auto"/>
        <w:rPr>
          <w:rFonts w:ascii="Times New Roman" w:hAnsi="Times New Roman" w:cs="Times New Roman"/>
          <w:b/>
          <w:color w:val="auto"/>
          <w:sz w:val="48"/>
        </w:rPr>
      </w:pP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0E922C9" w14:textId="77777777" w:rsidR="009036BA" w:rsidRPr="00EE5BC3" w:rsidRDefault="009036BA" w:rsidP="009036BA">
      <w:pPr>
        <w:jc w:val="center"/>
        <w:rPr>
          <w:sz w:val="28"/>
          <w:szCs w:val="28"/>
        </w:rPr>
      </w:pPr>
      <w:r w:rsidRPr="00EE5BC3">
        <w:rPr>
          <w:b/>
          <w:sz w:val="28"/>
          <w:szCs w:val="28"/>
        </w:rPr>
        <w:lastRenderedPageBreak/>
        <w:t>Task 3</w:t>
      </w:r>
    </w:p>
    <w:p w14:paraId="1AE8625F" w14:textId="77777777" w:rsidR="009036BA" w:rsidRPr="00EE5BC3" w:rsidRDefault="009036BA" w:rsidP="009036BA">
      <w:pPr>
        <w:jc w:val="center"/>
        <w:rPr>
          <w:b/>
          <w:sz w:val="28"/>
          <w:szCs w:val="28"/>
        </w:rPr>
      </w:pPr>
    </w:p>
    <w:p w14:paraId="601298D2" w14:textId="77777777" w:rsidR="009036BA" w:rsidRPr="00EE5BC3" w:rsidRDefault="009036BA" w:rsidP="009036BA">
      <w:pPr>
        <w:jc w:val="center"/>
        <w:rPr>
          <w:b/>
          <w:color w:val="auto"/>
          <w:sz w:val="28"/>
          <w:szCs w:val="28"/>
        </w:rPr>
      </w:pPr>
      <w:r w:rsidRPr="00EE5BC3">
        <w:rPr>
          <w:b/>
          <w:color w:val="auto"/>
          <w:sz w:val="28"/>
          <w:szCs w:val="28"/>
        </w:rPr>
        <w:t>Safeguarding and working in complex situations – Case Study</w:t>
      </w:r>
    </w:p>
    <w:p w14:paraId="447DA6FA" w14:textId="77777777" w:rsidR="009036BA" w:rsidRDefault="009036BA" w:rsidP="009036BA">
      <w:pPr>
        <w:rPr>
          <w:b/>
          <w:color w:val="auto"/>
          <w:sz w:val="24"/>
          <w:szCs w:val="24"/>
        </w:rPr>
      </w:pPr>
    </w:p>
    <w:p w14:paraId="237B93DF" w14:textId="77777777" w:rsidR="009036BA" w:rsidRDefault="009036BA" w:rsidP="009036BA">
      <w:pPr>
        <w:rPr>
          <w:b/>
          <w:color w:val="auto"/>
          <w:sz w:val="24"/>
          <w:szCs w:val="24"/>
        </w:rPr>
      </w:pPr>
      <w:proofErr w:type="gramStart"/>
      <w:r>
        <w:rPr>
          <w:b/>
          <w:color w:val="auto"/>
          <w:sz w:val="24"/>
          <w:szCs w:val="24"/>
        </w:rPr>
        <w:t>Guidance;</w:t>
      </w:r>
      <w:proofErr w:type="gramEnd"/>
    </w:p>
    <w:p w14:paraId="56E49DB0" w14:textId="77777777" w:rsidR="009036BA" w:rsidRPr="00706BB5" w:rsidRDefault="009036BA" w:rsidP="009036BA">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1B825450" w14:textId="77777777" w:rsidR="009036BA" w:rsidRDefault="009036BA" w:rsidP="009036BA">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9036BA" w:rsidRPr="008B28E7" w14:paraId="17131155" w14:textId="77777777" w:rsidTr="006D1883">
        <w:tc>
          <w:tcPr>
            <w:tcW w:w="10031" w:type="dxa"/>
            <w:shd w:val="clear" w:color="auto" w:fill="auto"/>
          </w:tcPr>
          <w:p w14:paraId="71E93FB3" w14:textId="77777777" w:rsidR="009036BA" w:rsidRPr="006872A0" w:rsidRDefault="009036BA" w:rsidP="006D1883">
            <w:pPr>
              <w:jc w:val="both"/>
              <w:rPr>
                <w:b/>
                <w:sz w:val="24"/>
                <w:szCs w:val="24"/>
              </w:rPr>
            </w:pPr>
            <w:r w:rsidRPr="006872A0">
              <w:rPr>
                <w:b/>
                <w:sz w:val="24"/>
                <w:szCs w:val="24"/>
              </w:rPr>
              <w:t>Question</w:t>
            </w:r>
            <w:r>
              <w:rPr>
                <w:b/>
                <w:sz w:val="24"/>
                <w:szCs w:val="24"/>
              </w:rPr>
              <w:t>:</w:t>
            </w:r>
          </w:p>
          <w:p w14:paraId="1C3DB08A" w14:textId="77777777" w:rsidR="009036BA" w:rsidRPr="00706BB5" w:rsidRDefault="009036BA" w:rsidP="006D1883">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05AA5103" w14:textId="77777777" w:rsidR="009036BA" w:rsidRDefault="009036BA" w:rsidP="006D1883">
            <w:pPr>
              <w:jc w:val="both"/>
              <w:rPr>
                <w:sz w:val="24"/>
                <w:szCs w:val="24"/>
              </w:rPr>
            </w:pPr>
          </w:p>
          <w:p w14:paraId="71F2A060" w14:textId="77777777" w:rsidR="009036BA" w:rsidRDefault="009036BA" w:rsidP="006D1883">
            <w:pPr>
              <w:jc w:val="both"/>
              <w:rPr>
                <w:sz w:val="24"/>
                <w:szCs w:val="24"/>
              </w:rPr>
            </w:pPr>
          </w:p>
          <w:p w14:paraId="03FF7D3D" w14:textId="77777777" w:rsidR="009036BA" w:rsidRDefault="009036BA" w:rsidP="006D1883">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7B743219" w14:textId="77777777" w:rsidR="009036BA" w:rsidRPr="00176DDF" w:rsidRDefault="009036BA" w:rsidP="006D1883">
            <w:pPr>
              <w:jc w:val="both"/>
              <w:rPr>
                <w:b/>
                <w:bCs/>
                <w:iCs/>
                <w:sz w:val="24"/>
                <w:szCs w:val="24"/>
              </w:rPr>
            </w:pPr>
          </w:p>
          <w:p w14:paraId="33B2D7FA" w14:textId="77777777" w:rsidR="009036BA" w:rsidRDefault="009036BA" w:rsidP="006D1883">
            <w:pPr>
              <w:spacing w:before="240" w:after="240" w:line="360" w:lineRule="auto"/>
              <w:jc w:val="both"/>
              <w:rPr>
                <w:iCs/>
                <w:sz w:val="24"/>
                <w:szCs w:val="24"/>
              </w:rPr>
            </w:pPr>
            <w:r>
              <w:rPr>
                <w:iCs/>
                <w:sz w:val="24"/>
                <w:szCs w:val="24"/>
              </w:rPr>
              <w:t xml:space="preserve">For this task I will be critically reflecting on an assessment of care and support (ACAS) I completed in respect of two girls who live with their mother (Adult 1 – A1) in a rural village in Wales. Child 1 (C1) is 6 years old, and Child 2 (C2) is 2 years old, neither child had contact with their father (Adult 2 – A2) for almost eight months prior to the Local Authority becoming involved. I was required to complete an ACAS because there were reports from professionals to suggest that A1 had taken an overdose whilst her children were in her care. A1, C1 and C2 have not lived in the village for long as they had been in a refuge following alleged domestic violence from A2. </w:t>
            </w:r>
          </w:p>
          <w:p w14:paraId="6F146510" w14:textId="77777777" w:rsidR="009036BA" w:rsidRPr="00310E97" w:rsidRDefault="009036BA" w:rsidP="006D1883">
            <w:pPr>
              <w:spacing w:before="240" w:after="240" w:line="360" w:lineRule="auto"/>
              <w:jc w:val="both"/>
              <w:rPr>
                <w:i/>
                <w:sz w:val="24"/>
                <w:szCs w:val="24"/>
              </w:rPr>
            </w:pPr>
            <w:r>
              <w:rPr>
                <w:iCs/>
                <w:sz w:val="24"/>
                <w:szCs w:val="24"/>
              </w:rPr>
              <w:t xml:space="preserve">The Social Services and Well-being (Wales) Act 2014 (SSWB(W)A 2014) places a duty on the Local Authority to assess and meet needs of adults and children. During the completion of the </w:t>
            </w:r>
            <w:proofErr w:type="gramStart"/>
            <w:r>
              <w:rPr>
                <w:iCs/>
                <w:sz w:val="24"/>
                <w:szCs w:val="24"/>
              </w:rPr>
              <w:t>ACAS</w:t>
            </w:r>
            <w:proofErr w:type="gramEnd"/>
            <w:r>
              <w:rPr>
                <w:iCs/>
                <w:sz w:val="24"/>
                <w:szCs w:val="24"/>
              </w:rPr>
              <w:t xml:space="preserve"> it is vital as a practitioner to work on a strengths based approach, as this ensures person centred practice (Department of Health and Social Care, 2019). Further to this nobody knows a family better than themselves and as a practitioner it is important to know what is important to them, to understand what they may need support with (Department of Health and </w:t>
            </w:r>
            <w:r>
              <w:rPr>
                <w:iCs/>
                <w:sz w:val="24"/>
                <w:szCs w:val="24"/>
              </w:rPr>
              <w:lastRenderedPageBreak/>
              <w:t xml:space="preserve">Social Care, 2019). However, at the time of the ACAS A1 found it difficult to focus on strengths, due to her difficulties with substance misuse and her mental health. For instance, during conversations she would focus on negatives such as, her inability to parent the children without therapy and not being able to show C1 affectionate.     </w:t>
            </w:r>
          </w:p>
          <w:p w14:paraId="7C760F72" w14:textId="77777777" w:rsidR="009036BA" w:rsidRDefault="009036BA" w:rsidP="006D1883">
            <w:pPr>
              <w:spacing w:before="240" w:after="240" w:line="360" w:lineRule="auto"/>
              <w:jc w:val="both"/>
              <w:rPr>
                <w:iCs/>
                <w:sz w:val="24"/>
                <w:szCs w:val="24"/>
              </w:rPr>
            </w:pPr>
            <w:r>
              <w:rPr>
                <w:iCs/>
                <w:sz w:val="24"/>
                <w:szCs w:val="24"/>
              </w:rPr>
              <w:t xml:space="preserve">Before completing an </w:t>
            </w:r>
            <w:proofErr w:type="gramStart"/>
            <w:r>
              <w:rPr>
                <w:iCs/>
                <w:sz w:val="24"/>
                <w:szCs w:val="24"/>
              </w:rPr>
              <w:t>ACAS</w:t>
            </w:r>
            <w:proofErr w:type="gramEnd"/>
            <w:r>
              <w:rPr>
                <w:iCs/>
                <w:sz w:val="24"/>
                <w:szCs w:val="24"/>
              </w:rPr>
              <w:t xml:space="preserve"> the SSWB(W)A 2014 part 3 code of practice paragraph 52 states, that language is an important factor to assessing the needs of an individual (Welsh Government, 2015). Although A1 did not speak Welsh and her preferred language was English, however A2 did speak Welsh but preferred to be spoken to in English. C1 did speak some Welsh due to picking up some words in school, therefore, I completed some direct work with C1 in bilingual to ensure her understanding. The more than just words strategic plan aims to ensure that people are offered services through the Welsh language automatically without having to ask for it (Welsh Government, 2022). Therefore, giving individuals the opportunity to develop their Welsh language skills (Welsh Government, 2022). According to the census for Welsh speakers, in 2021 there were 538,000 in Wales (Office for National statistics, 2021). This has decreased since 2011, where there were 562,000, the more than just words framework recognises the Welsh language is decreasing and aims to support individuals with Welsh language so that people can receive support in their preferred language (Office for National Statistics, 2021; Welsh Government, 2022). </w:t>
            </w:r>
          </w:p>
          <w:p w14:paraId="583B7356" w14:textId="77777777" w:rsidR="009036BA" w:rsidRDefault="009036BA" w:rsidP="006D1883">
            <w:pPr>
              <w:spacing w:before="240" w:after="240" w:line="360" w:lineRule="auto"/>
              <w:jc w:val="both"/>
              <w:rPr>
                <w:iCs/>
                <w:sz w:val="24"/>
                <w:szCs w:val="24"/>
              </w:rPr>
            </w:pPr>
            <w:r>
              <w:rPr>
                <w:iCs/>
                <w:sz w:val="24"/>
                <w:szCs w:val="24"/>
              </w:rPr>
              <w:t xml:space="preserve">When I established A1’s preferred communication method I allowed her to discuss her difficulties as a person and a parent. I did this so that we could then unpick the conversation and look at positives, due to A1 not being able to see any at the beginning. A1 reported that she has complex post-traumatic stress disorder (PTSD) and anxiety, due to significant childhood trauma which includes sexual abuse. For several weeks A1 and the children stayed with A1’s friend as she found it difficult to cope on her own as a parent. During conversations with A1 it became clear that she was worried in particularly about C1 possibly being abused by another adult, due to her being the same age as A1 when she was being sexually abused. From this we were able to focus on strengths, for instance, A1 already safeguarding both her children by ensuring the same wouldn’t happen to them. Further to this were able to look at </w:t>
            </w:r>
            <w:r>
              <w:rPr>
                <w:iCs/>
                <w:sz w:val="24"/>
                <w:szCs w:val="24"/>
              </w:rPr>
              <w:lastRenderedPageBreak/>
              <w:t xml:space="preserve">the support that A1 had to ensure her children were kept safe from further harm. If for example A1 continued to live in her own house with the children and did not have the support then the outcome of the ACAS would have been for a strategy discussion to initiate Section 47 enquiries (Wales Safeguarding Procedures, 2019; Children Act 1989).  </w:t>
            </w:r>
          </w:p>
          <w:p w14:paraId="7BC48BDF" w14:textId="77777777" w:rsidR="009036BA" w:rsidRDefault="009036BA" w:rsidP="006D1883">
            <w:pPr>
              <w:spacing w:before="240" w:after="240" w:line="360" w:lineRule="auto"/>
              <w:jc w:val="both"/>
              <w:rPr>
                <w:iCs/>
                <w:sz w:val="24"/>
                <w:szCs w:val="24"/>
              </w:rPr>
            </w:pPr>
            <w:r>
              <w:rPr>
                <w:iCs/>
                <w:sz w:val="24"/>
                <w:szCs w:val="24"/>
              </w:rPr>
              <w:t xml:space="preserve">However, during the ACAS A1’s friend became the main carer for C1 and C2, which became difficult with her being a single Mother herself. A1 felt that she was unable to care for the children herself, due to historic childhood trauma and alleged domestic violence from her ex-partner. Because of this A1’s mental health continued to deteriorate, and she turned to cannabis as a coping mechanism. A1’s friend was not able to care for the children for a week, there was a plan in place for the children to return home to their mother. However, A1 felt that she was unable to care for them. Therefore, A1 made the decision that it would be in the best interest of both C1 and C2 for them to go into Foster Care. As this was a voluntary decision made by Mother then the children were placed with the same foster carer under Section 76 of the </w:t>
            </w:r>
            <w:r w:rsidRPr="0001179B">
              <w:rPr>
                <w:iCs/>
                <w:sz w:val="24"/>
                <w:szCs w:val="24"/>
              </w:rPr>
              <w:t>SSWB(W)A 2014.</w:t>
            </w:r>
            <w:r>
              <w:rPr>
                <w:iCs/>
                <w:sz w:val="24"/>
                <w:szCs w:val="24"/>
              </w:rPr>
              <w:t xml:space="preserve"> Due to this being a voluntary agreement Mother was able to collect the children at any time. </w:t>
            </w:r>
          </w:p>
          <w:p w14:paraId="3E36DDDA" w14:textId="77777777" w:rsidR="009036BA" w:rsidRDefault="009036BA" w:rsidP="006D1883">
            <w:pPr>
              <w:spacing w:before="240" w:after="240" w:line="360" w:lineRule="auto"/>
              <w:jc w:val="both"/>
              <w:rPr>
                <w:iCs/>
                <w:sz w:val="24"/>
                <w:szCs w:val="24"/>
              </w:rPr>
            </w:pPr>
            <w:r>
              <w:rPr>
                <w:iCs/>
                <w:sz w:val="24"/>
                <w:szCs w:val="24"/>
              </w:rPr>
              <w:t xml:space="preserve">Although, A1 had the children’s best interest in mind, due to being placed into care, this had a negative impact upon C1 and C2. This could be seen by C1 asking when she could go home and in her general behaviour where she would be quieter than usual. Abandoning a child is one of the worst thing that a parent can do (Davis, 2021). If a child has been abandoned by one or both parent </w:t>
            </w:r>
            <w:proofErr w:type="gramStart"/>
            <w:r>
              <w:rPr>
                <w:iCs/>
                <w:sz w:val="24"/>
                <w:szCs w:val="24"/>
              </w:rPr>
              <w:t>or</w:t>
            </w:r>
            <w:proofErr w:type="gramEnd"/>
            <w:r>
              <w:rPr>
                <w:iCs/>
                <w:sz w:val="24"/>
                <w:szCs w:val="24"/>
              </w:rPr>
              <w:t xml:space="preserve"> a caregiver then she is very likely to have mental health issues as an adult (Davis, 2021; Levenson, 2017). Furthermore, the child will find it difficult to develop relationships whether intimate or friendship, due to worrying about being abandoned (Davis, 2021). Moreover, the children may find it difficult to develop attachment with any caregiver or even their children when they become adults (Iyengar, Kim, Martinez, </w:t>
            </w:r>
            <w:proofErr w:type="spellStart"/>
            <w:r>
              <w:rPr>
                <w:iCs/>
                <w:sz w:val="24"/>
                <w:szCs w:val="24"/>
              </w:rPr>
              <w:t>Fonagy</w:t>
            </w:r>
            <w:proofErr w:type="spellEnd"/>
            <w:r>
              <w:rPr>
                <w:iCs/>
                <w:sz w:val="24"/>
                <w:szCs w:val="24"/>
              </w:rPr>
              <w:t xml:space="preserve"> &amp; Strathearn, 2014; Levenson, 2017).  </w:t>
            </w:r>
          </w:p>
          <w:p w14:paraId="59E9C724" w14:textId="77777777" w:rsidR="009036BA" w:rsidRDefault="009036BA" w:rsidP="006D1883">
            <w:pPr>
              <w:spacing w:before="240" w:after="240" w:line="360" w:lineRule="auto"/>
              <w:jc w:val="both"/>
              <w:rPr>
                <w:iCs/>
                <w:sz w:val="24"/>
                <w:szCs w:val="24"/>
              </w:rPr>
            </w:pPr>
            <w:r>
              <w:rPr>
                <w:iCs/>
                <w:sz w:val="24"/>
                <w:szCs w:val="24"/>
              </w:rPr>
              <w:t xml:space="preserve">Whilst completing an ACAS a social worker requires to gather information about the whole family, which includes both maternal, paternal, extended family members and any family </w:t>
            </w:r>
            <w:r>
              <w:rPr>
                <w:iCs/>
                <w:sz w:val="24"/>
                <w:szCs w:val="24"/>
              </w:rPr>
              <w:lastRenderedPageBreak/>
              <w:t>friends. During the course of my involvement, it became clear that the relationships within the family were very negative. This was established by having several conversations with different family members and friends. The Children Act 1989 (CA 1989) affirms that children are best placed with their families, unless they are at risk of significant harm (Legislation.gov.uk, 2011). My personal and professional values will reflect this as our aim as a local authority was to offer the family support so that the children could return home to A1. Professional judgment is increasingly important within an ACAS, as some decisions can be life changing for the family, therefore it is vital to have discussions with managers regarding certain decisions (Taylor &amp; Whittaker, 2018). Furthermore, there was a Court Order in place to prevent Father from having any unsupervised contact with the children. Therefore, the Local Authority were not able to place the children with A2.</w:t>
            </w:r>
          </w:p>
          <w:p w14:paraId="78898CD6" w14:textId="77777777" w:rsidR="009036BA" w:rsidRPr="0036563B" w:rsidRDefault="009036BA" w:rsidP="006D1883">
            <w:pPr>
              <w:spacing w:before="240" w:after="240" w:line="360" w:lineRule="auto"/>
              <w:jc w:val="both"/>
              <w:rPr>
                <w:iCs/>
                <w:sz w:val="24"/>
                <w:szCs w:val="24"/>
              </w:rPr>
            </w:pPr>
            <w:r w:rsidRPr="000B70CF">
              <w:rPr>
                <w:iCs/>
                <w:sz w:val="24"/>
                <w:szCs w:val="24"/>
              </w:rPr>
              <w:t>I felt that the use of the family systems theory</w:t>
            </w:r>
            <w:r>
              <w:rPr>
                <w:iCs/>
                <w:sz w:val="24"/>
                <w:szCs w:val="24"/>
              </w:rPr>
              <w:t xml:space="preserve"> would be beneficial whilst gathering information about the family. Particularly as the family systems theory looks at family dynamics, involving structures, roles, communication patterns, boundaries and power relations (</w:t>
            </w:r>
            <w:proofErr w:type="spellStart"/>
            <w:r>
              <w:rPr>
                <w:iCs/>
                <w:sz w:val="24"/>
                <w:szCs w:val="24"/>
              </w:rPr>
              <w:t>Rothbaum</w:t>
            </w:r>
            <w:proofErr w:type="spellEnd"/>
            <w:r>
              <w:rPr>
                <w:iCs/>
                <w:sz w:val="24"/>
                <w:szCs w:val="24"/>
              </w:rPr>
              <w:t xml:space="preserve">, Rosen, </w:t>
            </w:r>
            <w:proofErr w:type="spellStart"/>
            <w:r>
              <w:rPr>
                <w:iCs/>
                <w:sz w:val="24"/>
                <w:szCs w:val="24"/>
              </w:rPr>
              <w:t>Ujiie</w:t>
            </w:r>
            <w:proofErr w:type="spellEnd"/>
            <w:r>
              <w:rPr>
                <w:iCs/>
                <w:sz w:val="24"/>
                <w:szCs w:val="24"/>
              </w:rPr>
              <w:t xml:space="preserve"> &amp; Uchida, 2002). Bronfenbrenner’s systems theory explains how everyone within a child’s system has an impact on them, whether this is positive or negative (Guy-Evans, 2020). For instance, if a parent behaves in a frightening way, then this may impact upon the child by them becoming frightened of any caregiver (</w:t>
            </w:r>
            <w:proofErr w:type="spellStart"/>
            <w:r>
              <w:rPr>
                <w:iCs/>
                <w:sz w:val="24"/>
                <w:szCs w:val="24"/>
              </w:rPr>
              <w:t>Rothbaum</w:t>
            </w:r>
            <w:proofErr w:type="spellEnd"/>
            <w:r>
              <w:rPr>
                <w:iCs/>
                <w:sz w:val="24"/>
                <w:szCs w:val="24"/>
              </w:rPr>
              <w:t xml:space="preserve">, </w:t>
            </w:r>
            <w:r>
              <w:rPr>
                <w:i/>
                <w:sz w:val="24"/>
                <w:szCs w:val="24"/>
              </w:rPr>
              <w:t>et al.</w:t>
            </w:r>
            <w:r>
              <w:rPr>
                <w:iCs/>
                <w:sz w:val="24"/>
                <w:szCs w:val="24"/>
              </w:rPr>
              <w:t xml:space="preserve"> 2002; Guy-Evans, 2020). Or if a professional supports the family with how they can change their approach to different situations, then the child may become relaxed (</w:t>
            </w:r>
            <w:proofErr w:type="spellStart"/>
            <w:r>
              <w:rPr>
                <w:iCs/>
                <w:sz w:val="24"/>
                <w:szCs w:val="24"/>
              </w:rPr>
              <w:t>Rothbaum</w:t>
            </w:r>
            <w:proofErr w:type="spellEnd"/>
            <w:r>
              <w:rPr>
                <w:iCs/>
                <w:sz w:val="24"/>
                <w:szCs w:val="24"/>
              </w:rPr>
              <w:t xml:space="preserve">, </w:t>
            </w:r>
            <w:r>
              <w:rPr>
                <w:i/>
                <w:sz w:val="24"/>
                <w:szCs w:val="24"/>
              </w:rPr>
              <w:t>et al.</w:t>
            </w:r>
            <w:r>
              <w:rPr>
                <w:iCs/>
                <w:sz w:val="24"/>
                <w:szCs w:val="24"/>
              </w:rPr>
              <w:t xml:space="preserve"> 2002; Guy-Evans, 2020).</w:t>
            </w:r>
          </w:p>
          <w:p w14:paraId="4FECE900" w14:textId="77777777" w:rsidR="009036BA" w:rsidRDefault="009036BA" w:rsidP="006D1883">
            <w:pPr>
              <w:spacing w:before="240" w:after="240" w:line="360" w:lineRule="auto"/>
              <w:jc w:val="both"/>
              <w:rPr>
                <w:iCs/>
                <w:sz w:val="24"/>
                <w:szCs w:val="24"/>
              </w:rPr>
            </w:pPr>
            <w:r w:rsidRPr="00E75B6E">
              <w:rPr>
                <w:iCs/>
                <w:sz w:val="24"/>
                <w:szCs w:val="24"/>
              </w:rPr>
              <w:t>Although,</w:t>
            </w:r>
            <w:r>
              <w:rPr>
                <w:iCs/>
                <w:sz w:val="24"/>
                <w:szCs w:val="24"/>
              </w:rPr>
              <w:t xml:space="preserve"> the analysis of the assessment determined that C1 and C2 had a particular strength in that they had family support, which included both Paternal family and A1’s friends who were very supportive. However, it became very clear that the relationship between both Paternal family and A1 was very negative. I was able to analyse this further by having different conversations with A1 and her friends, Paternal family and more importantly C1. It became clear that during conversation with C1 that she would use dialogue that a child of 6 would not normally use. For example, C1 said that she did not want to see her dad ever again and then </w:t>
            </w:r>
            <w:r>
              <w:rPr>
                <w:iCs/>
                <w:sz w:val="24"/>
                <w:szCs w:val="24"/>
              </w:rPr>
              <w:lastRenderedPageBreak/>
              <w:t xml:space="preserve">she made reference to “daddy being mean to us”. When this was explored further C1 did not know what she meant.  Whilst using analysis in an ACAS it is important to gather all of the information, understanding it and establishing what is most important to the child and or family (Brown, Moore &amp; Turney, 2012). In this case it became clear that both parents were an important factor in C1 and C2’s lives. This was established by observing several contacts between both children with their parents, by completing video calls and face to face contact. Part 6, Section 95 of the SSWB(W)A 2014 states that, “the authority must, unless it is not reasonably practicable or consistent with the child’s well-being, promote contact between the child and the child’s parents. </w:t>
            </w:r>
          </w:p>
          <w:p w14:paraId="4EB37732" w14:textId="77777777" w:rsidR="009036BA" w:rsidRDefault="009036BA" w:rsidP="006D1883">
            <w:pPr>
              <w:spacing w:before="240" w:after="240" w:line="360" w:lineRule="auto"/>
              <w:jc w:val="both"/>
              <w:rPr>
                <w:iCs/>
                <w:sz w:val="24"/>
                <w:szCs w:val="24"/>
              </w:rPr>
            </w:pPr>
            <w:r>
              <w:rPr>
                <w:iCs/>
                <w:sz w:val="24"/>
                <w:szCs w:val="24"/>
              </w:rPr>
              <w:t>Furthermore, making professional judgments in an ACAS is important, some decisions can be complex, due to the information being gathered also being “contradictory” (</w:t>
            </w:r>
            <w:proofErr w:type="spellStart"/>
            <w:r>
              <w:rPr>
                <w:iCs/>
                <w:sz w:val="24"/>
                <w:szCs w:val="24"/>
              </w:rPr>
              <w:t>Vibeke</w:t>
            </w:r>
            <w:proofErr w:type="spellEnd"/>
            <w:r>
              <w:rPr>
                <w:iCs/>
                <w:sz w:val="24"/>
                <w:szCs w:val="24"/>
              </w:rPr>
              <w:t xml:space="preserve"> &amp; Turney, 2017). I found that whilst completing the ACAS, information that was gathered from family was not clear, in that both A1 and A2 described their relationship to be very different. For example, A1 alleged that she had been a victim of domestic abuse by A2. A2 described the relationship as good until A1 started to become more distant with him and not doing anything around the house. Therefore, I had to be mindful that I would focus on the impact on C1 and C2 as opposed to </w:t>
            </w:r>
            <w:proofErr w:type="gramStart"/>
            <w:r>
              <w:rPr>
                <w:iCs/>
                <w:sz w:val="24"/>
                <w:szCs w:val="24"/>
              </w:rPr>
              <w:t>he</w:t>
            </w:r>
            <w:proofErr w:type="gramEnd"/>
            <w:r>
              <w:rPr>
                <w:iCs/>
                <w:sz w:val="24"/>
                <w:szCs w:val="24"/>
              </w:rPr>
              <w:t xml:space="preserve"> said she said.</w:t>
            </w:r>
          </w:p>
          <w:p w14:paraId="55F09CF8" w14:textId="77777777" w:rsidR="009036BA" w:rsidRDefault="009036BA" w:rsidP="006D1883">
            <w:pPr>
              <w:spacing w:before="240" w:after="240" w:line="360" w:lineRule="auto"/>
              <w:jc w:val="both"/>
              <w:rPr>
                <w:iCs/>
                <w:sz w:val="24"/>
                <w:szCs w:val="24"/>
              </w:rPr>
            </w:pPr>
            <w:r>
              <w:rPr>
                <w:iCs/>
                <w:sz w:val="24"/>
                <w:szCs w:val="24"/>
              </w:rPr>
              <w:t>Furthermore, the analysis of the ACAS also concluded that A1’s mental health was very poor and that she could not make a decision in the best interest of her children, and neither could she or A2 agree on what is best for the children. A1’s mental health issues were as a result of childhood trauma, which is very likely to develop without having any intervention (Virginia Commonwealth University School of Social Work, 2020). According to Levenson (2017), the more adverse childhood experiences (ACEs) a person has then the more likely they are to develop significant mental health issues, behavioural issues and substance misuse issues.</w:t>
            </w:r>
          </w:p>
          <w:p w14:paraId="0AC2ADD7" w14:textId="77777777" w:rsidR="009036BA" w:rsidRDefault="009036BA" w:rsidP="006D1883">
            <w:pPr>
              <w:spacing w:before="240" w:after="240" w:line="360" w:lineRule="auto"/>
              <w:jc w:val="both"/>
              <w:rPr>
                <w:iCs/>
                <w:sz w:val="24"/>
                <w:szCs w:val="24"/>
              </w:rPr>
            </w:pPr>
            <w:r>
              <w:rPr>
                <w:iCs/>
                <w:sz w:val="24"/>
                <w:szCs w:val="24"/>
              </w:rPr>
              <w:t xml:space="preserve">Further to this, A1 and A2’s relationship was having a negative impact on C1’s well-being and emotional health, as she became anxious when talking to her parents about the other parent. However, whilst using a strength-based approach, my focus was on the children’s right to </w:t>
            </w:r>
            <w:r>
              <w:rPr>
                <w:iCs/>
                <w:sz w:val="24"/>
                <w:szCs w:val="24"/>
              </w:rPr>
              <w:lastRenderedPageBreak/>
              <w:t>have a relationship with both of their parents (Social care institute of excellence (SCIE), 2018; UNICEF UK, 2010). Conflict between parents can place children at risk of mental health and behavioural issues, poor academic results and further long-term issues (Department for Work and Pensions, 2021; Anna Freud National Centre for Children and Families, 2023). Furthermore, parental conflict can damage “parent-child relationship as they will have torn loyalties between their parents (Anna Freud National Centre for Children and Families, 2023). Part 7, Section 130 of the SSWB(W)A 2014 defines a “child at risk” as a child who experiences “abuse”, “neglect” or “other kinds of harm”, every local authority is a part of safeguarding boards who offer advice and support whilst safeguarding children in the area. Thus, to ensure that children within the local authority do not become “at risk of abuse” (SSWB(W)A, 2014). Had A1 not made the decision to place C1 and C2 into foster care, then the local authority would have been duty bound to carry out Section 47 enquiries under the Children Act 1989. This was due to both children experiencing emotional harm whilst in the care of their mother as she had difficulty with showing them emotional warmth.</w:t>
            </w:r>
          </w:p>
          <w:p w14:paraId="6993B91D" w14:textId="77777777" w:rsidR="009036BA" w:rsidRDefault="009036BA" w:rsidP="006D1883">
            <w:pPr>
              <w:spacing w:before="240" w:after="240" w:line="360" w:lineRule="auto"/>
              <w:jc w:val="both"/>
              <w:rPr>
                <w:iCs/>
                <w:sz w:val="24"/>
                <w:szCs w:val="24"/>
              </w:rPr>
            </w:pPr>
            <w:r>
              <w:rPr>
                <w:iCs/>
                <w:sz w:val="24"/>
                <w:szCs w:val="24"/>
              </w:rPr>
              <w:t>Article 7 and Article 8 of the United Nations Convention on the Rights of the Child (UNCRC) say that children have the right to know both of their parents and for their identity to be respected (UNICEF, 2010). During the course of my involvement, I had this in mind, as their parents were going through a difficult dispute regarding contact at the time. Children’s rights are enshrined within the Children Act 1989 and SSWB(W)A 2014, where the wishes and feelings of children must be considered (</w:t>
            </w:r>
            <w:proofErr w:type="spellStart"/>
            <w:r>
              <w:rPr>
                <w:iCs/>
                <w:sz w:val="24"/>
                <w:szCs w:val="24"/>
              </w:rPr>
              <w:t>Furey</w:t>
            </w:r>
            <w:proofErr w:type="spellEnd"/>
            <w:r>
              <w:rPr>
                <w:iCs/>
                <w:sz w:val="24"/>
                <w:szCs w:val="24"/>
              </w:rPr>
              <w:t xml:space="preserve"> &amp; Kay, 2010). Furthermore, the code of professional practice and the British Association of Social Workers (BASW) code of ethics, ensure that social workers take into account people’s wishes, views and rights (Social Care Wales, 2017; BASW, 2023). However, where a child is at risk of significant harm, then decisions should be made in their best interest (</w:t>
            </w:r>
            <w:proofErr w:type="spellStart"/>
            <w:r>
              <w:rPr>
                <w:iCs/>
                <w:sz w:val="24"/>
                <w:szCs w:val="24"/>
              </w:rPr>
              <w:t>Furey</w:t>
            </w:r>
            <w:proofErr w:type="spellEnd"/>
            <w:r>
              <w:rPr>
                <w:iCs/>
                <w:sz w:val="24"/>
                <w:szCs w:val="24"/>
              </w:rPr>
              <w:t xml:space="preserve"> &amp; Kay, 2010; Children Act 1989; SSWB(W)A, 2014). Further to this I had to make a professional judgement in the best interest of C1 and C2, as opposed to their wishes and feelings, due to them being “at risk” of further harm had the gone back to their house with A1.</w:t>
            </w:r>
          </w:p>
          <w:p w14:paraId="63318D96" w14:textId="77777777" w:rsidR="009036BA" w:rsidRDefault="009036BA" w:rsidP="006D1883">
            <w:pPr>
              <w:spacing w:before="240" w:after="240" w:line="360" w:lineRule="auto"/>
              <w:jc w:val="both"/>
              <w:rPr>
                <w:iCs/>
                <w:sz w:val="24"/>
                <w:szCs w:val="24"/>
              </w:rPr>
            </w:pPr>
            <w:r>
              <w:rPr>
                <w:iCs/>
                <w:sz w:val="24"/>
                <w:szCs w:val="24"/>
              </w:rPr>
              <w:lastRenderedPageBreak/>
              <w:t xml:space="preserve">However, as C1 and C2 were not residing with neither of their parents’ Court Ordered the Local Authority to complete a Section 37 report. This is when the Court becomes concerned over the welfare of the child and has the power under the CA 1989 to insist that the Local Authority considers a Supervision Order or a Care Order (Legislation.gov.uk, 2011). As there was already a Court Order in place, where C1 and C2 could only have supervised contact with A2 in a contact centre unless the Local Authority arranged otherwise. It became difficult to make a decision regarding where the children should live, due to the complexity of the situation. I had to make a professional judgment that whilst C1 and C2 were in foster care that they should have contact with both of their parents’, I supervised face to face contact with A2 as well as video calls. This contact was very positive for both C1 and C2, in that the relationship between the children and their father was a positive one and both children were looking forward to the next contact session. I was able to make a professional judgment from observing the contact sessions that both children should have contact with their father regularly. </w:t>
            </w:r>
          </w:p>
          <w:p w14:paraId="7F119D96" w14:textId="77777777" w:rsidR="009036BA" w:rsidRDefault="009036BA" w:rsidP="006D1883">
            <w:pPr>
              <w:spacing w:before="240" w:after="240" w:line="360" w:lineRule="auto"/>
              <w:jc w:val="both"/>
              <w:rPr>
                <w:iCs/>
                <w:sz w:val="24"/>
                <w:szCs w:val="24"/>
              </w:rPr>
            </w:pPr>
            <w:r>
              <w:rPr>
                <w:iCs/>
                <w:sz w:val="24"/>
                <w:szCs w:val="24"/>
              </w:rPr>
              <w:t xml:space="preserve">Although, completing this report allowed me to get to know the family and how they functioned, this included Paternal Aunt and Uncle. My professional judgement which concluded the Section 37 report was that it was deemed in the best interest of the children for the local authority to enter the Public Law Outline Process, which would then request parent assessments on both parents. Both parents received a letter which set out concerns regarding the children’s welfare, prior to attending a meeting with the local authority, both parents were asked to consider family and or friends who would be able to care for the children depending on the outcome of the parent assessments. The Public Law Outline is so that parents can be given one last chance to initiate change, that would benefit their children and enable them to parent successfully (Portsmouth Children’s Trust, 2020). Social workers are constantly required to make professional </w:t>
            </w:r>
            <w:proofErr w:type="gramStart"/>
            <w:r>
              <w:rPr>
                <w:iCs/>
                <w:sz w:val="24"/>
                <w:szCs w:val="24"/>
              </w:rPr>
              <w:t>judgements</w:t>
            </w:r>
            <w:proofErr w:type="gramEnd"/>
            <w:r>
              <w:rPr>
                <w:iCs/>
                <w:sz w:val="24"/>
                <w:szCs w:val="24"/>
              </w:rPr>
              <w:t xml:space="preserve"> and some are complex as mentioned above, the purpose of this is so that better outcomes for children are achieved (</w:t>
            </w:r>
            <w:proofErr w:type="spellStart"/>
            <w:r>
              <w:rPr>
                <w:iCs/>
                <w:sz w:val="24"/>
                <w:szCs w:val="24"/>
              </w:rPr>
              <w:t>Vibeke</w:t>
            </w:r>
            <w:proofErr w:type="spellEnd"/>
            <w:r>
              <w:rPr>
                <w:iCs/>
                <w:sz w:val="24"/>
                <w:szCs w:val="24"/>
              </w:rPr>
              <w:t xml:space="preserve"> &amp; Turney, 2017; Taylor &amp; Whittaker, 2018).</w:t>
            </w:r>
          </w:p>
          <w:p w14:paraId="61D78B7C" w14:textId="77777777" w:rsidR="009036BA" w:rsidRDefault="009036BA" w:rsidP="006D1883">
            <w:pPr>
              <w:spacing w:before="240" w:after="240" w:line="360" w:lineRule="auto"/>
              <w:jc w:val="both"/>
              <w:rPr>
                <w:iCs/>
                <w:sz w:val="24"/>
                <w:szCs w:val="24"/>
              </w:rPr>
            </w:pPr>
            <w:r w:rsidRPr="007F19BD">
              <w:rPr>
                <w:iCs/>
                <w:sz w:val="24"/>
                <w:szCs w:val="24"/>
              </w:rPr>
              <w:lastRenderedPageBreak/>
              <w:t>A2 proposed</w:t>
            </w:r>
            <w:r>
              <w:rPr>
                <w:iCs/>
                <w:sz w:val="24"/>
                <w:szCs w:val="24"/>
              </w:rPr>
              <w:t xml:space="preserve"> that the children should stay with Paternal Aunt and Uncle in the interim, rather than the children staying in foster care. A1 would not consider this option and refused to allow her children to live with them, as she expressed that she had concerns with regards to paternal family and felt that Aunt and Uncle would not be able to safeguard the children. Although the SSWB(W)A 2014 says that children are best placed with their family, the local authority had to respect A1’s decision as she was the children’s main carer prior to them going in to foster care. Although, my personal views suggest that the children would be best placed with their family as opposed to being in foster care, I had to consider my professional judgement where it was not in the children’s best interest to live with paternal aunt and uncle, given the fact that they had not seen them for almost two years. The Code of Professional Practice says that social workers are required to practice based on their professional judgment as opposed to their own values and beliefs (Social Care Wales, 2017).</w:t>
            </w:r>
          </w:p>
          <w:p w14:paraId="250F07F7" w14:textId="77777777" w:rsidR="009036BA" w:rsidRDefault="009036BA" w:rsidP="006D1883">
            <w:pPr>
              <w:spacing w:before="240" w:after="240" w:line="360" w:lineRule="auto"/>
              <w:jc w:val="both"/>
              <w:rPr>
                <w:iCs/>
                <w:sz w:val="24"/>
                <w:szCs w:val="24"/>
              </w:rPr>
            </w:pPr>
            <w:r w:rsidRPr="00364490">
              <w:rPr>
                <w:iCs/>
                <w:sz w:val="24"/>
                <w:szCs w:val="24"/>
              </w:rPr>
              <w:t>This made</w:t>
            </w:r>
            <w:r>
              <w:rPr>
                <w:iCs/>
                <w:sz w:val="24"/>
                <w:szCs w:val="24"/>
              </w:rPr>
              <w:t xml:space="preserve"> the case extremely complex as neither parent would agree, which meant that only one parent would give consent for foster care. For families to work collaboratively with social workers then it is vital for them to feel respected and that they can trust the practitioner (</w:t>
            </w:r>
            <w:proofErr w:type="spellStart"/>
            <w:r>
              <w:rPr>
                <w:iCs/>
                <w:sz w:val="24"/>
                <w:szCs w:val="24"/>
              </w:rPr>
              <w:t>Korpinen</w:t>
            </w:r>
            <w:proofErr w:type="spellEnd"/>
            <w:r>
              <w:rPr>
                <w:iCs/>
                <w:sz w:val="24"/>
                <w:szCs w:val="24"/>
              </w:rPr>
              <w:t xml:space="preserve"> &amp; </w:t>
            </w:r>
            <w:proofErr w:type="spellStart"/>
            <w:r>
              <w:rPr>
                <w:iCs/>
                <w:sz w:val="24"/>
                <w:szCs w:val="24"/>
              </w:rPr>
              <w:t>Pӧsӧ</w:t>
            </w:r>
            <w:proofErr w:type="spellEnd"/>
            <w:r>
              <w:rPr>
                <w:iCs/>
                <w:sz w:val="24"/>
                <w:szCs w:val="24"/>
              </w:rPr>
              <w:t xml:space="preserve">, 2021). As I had to make a professional judgement that it was not in the children’s best interest to move them from foster care at that time, due to the local authority knowing very little about paternal family and needed to assess this further. </w:t>
            </w:r>
          </w:p>
          <w:p w14:paraId="4CB14221" w14:textId="77777777" w:rsidR="009036BA" w:rsidRDefault="009036BA" w:rsidP="006D1883">
            <w:pPr>
              <w:spacing w:before="240" w:after="240" w:line="360" w:lineRule="auto"/>
              <w:jc w:val="both"/>
              <w:rPr>
                <w:iCs/>
                <w:sz w:val="24"/>
                <w:szCs w:val="24"/>
              </w:rPr>
            </w:pPr>
            <w:r>
              <w:rPr>
                <w:iCs/>
                <w:sz w:val="24"/>
                <w:szCs w:val="24"/>
              </w:rPr>
              <w:t xml:space="preserve">However, whilst completing further assessment (Section 37 report) with the family, I became concerned about A1’s ability to make a decision in the best interest of her children. This was due to her agreeing on safety plans for the children to return home and then letting them down before they went home. Furthermore, A1 felt unable to provide the children with stability due to her mental health and it became clear that the decisions she would make were in her best interest as opposed to the children’s. For example, A1 felt that she could not allow the children to stay with paternal aunt and uncle as it would have a significant impact on her mental health. A1 had several adverse childhood experiences (ACEs), which has had an impact on her mental health. Levenson (2017) suggests, that the more ACEs a person has then the more likely they are to have mental health issues later on in life. Furthermore, the Local Authority </w:t>
            </w:r>
            <w:r>
              <w:rPr>
                <w:iCs/>
                <w:sz w:val="24"/>
                <w:szCs w:val="24"/>
              </w:rPr>
              <w:lastRenderedPageBreak/>
              <w:t xml:space="preserve">had to gain legal advice, due to there being an issue with consent and both parents disagreeing on the best option for their children. The Safeguarding Wales Procedures says that decisions should be made in the best interest of children, in order to keep them safe from harm (Welsh Government, 2023). Therefore, my professional judgment had to consider this whilst making decisions in respect of C1 and C2.  </w:t>
            </w:r>
          </w:p>
          <w:p w14:paraId="4742DD0E" w14:textId="77777777" w:rsidR="009036BA" w:rsidRPr="0040073D" w:rsidRDefault="009036BA" w:rsidP="006D1883">
            <w:pPr>
              <w:spacing w:before="240" w:after="240" w:line="360" w:lineRule="auto"/>
              <w:jc w:val="both"/>
              <w:rPr>
                <w:iCs/>
                <w:sz w:val="24"/>
                <w:szCs w:val="24"/>
              </w:rPr>
            </w:pPr>
            <w:r w:rsidRPr="00277023">
              <w:rPr>
                <w:iCs/>
                <w:sz w:val="24"/>
                <w:szCs w:val="24"/>
              </w:rPr>
              <w:t>Although,</w:t>
            </w:r>
            <w:r>
              <w:rPr>
                <w:iCs/>
                <w:sz w:val="24"/>
                <w:szCs w:val="24"/>
              </w:rPr>
              <w:t xml:space="preserve"> it was not A1’s fault that she was unable to care for her children due to childhood trauma a decision needed to be made for the children. As it was not in C1 and C2’s best interest to stay in foster care as they were due to be moved and would have been separated. This would have had a significant impact on the children’s well-being, especially upon C2. As C2 had formed an attachment with C1, in a way that she would her mother. For instance, C2 would follow C1 to the bathroom, bedroom and would become upset if C1 was not in the house. Children need to experience “nurturing”, “consistent” and “responsive” acts from the people who look after them, so that they can feel safe (Bowlby, 1988 </w:t>
            </w:r>
            <w:r>
              <w:rPr>
                <w:i/>
                <w:sz w:val="24"/>
                <w:szCs w:val="24"/>
              </w:rPr>
              <w:t>cited in</w:t>
            </w:r>
            <w:r>
              <w:rPr>
                <w:iCs/>
                <w:sz w:val="24"/>
                <w:szCs w:val="24"/>
              </w:rPr>
              <w:t xml:space="preserve"> Levenson, 2017). In this instance C2 felt this way about C1, as she is the only familiar person that has been with her the whole time.</w:t>
            </w:r>
          </w:p>
          <w:p w14:paraId="6B273F98" w14:textId="77777777" w:rsidR="009036BA" w:rsidRDefault="009036BA" w:rsidP="006D1883">
            <w:pPr>
              <w:spacing w:before="240" w:after="240" w:line="360" w:lineRule="auto"/>
              <w:jc w:val="both"/>
              <w:rPr>
                <w:iCs/>
                <w:sz w:val="24"/>
                <w:szCs w:val="24"/>
              </w:rPr>
            </w:pPr>
            <w:r>
              <w:rPr>
                <w:iCs/>
                <w:sz w:val="24"/>
                <w:szCs w:val="24"/>
              </w:rPr>
              <w:t xml:space="preserve">As part of my work with the family, I felt that a professionals meeting and a family network meeting was required. This was to make sure that a plan was implemented so that C1 and C2 could return home safely. Collaborative working with families and professionals is vital, so that the best outcome can be achieved (Toros, Tart &amp; </w:t>
            </w:r>
            <w:proofErr w:type="spellStart"/>
            <w:r>
              <w:rPr>
                <w:iCs/>
                <w:sz w:val="24"/>
                <w:szCs w:val="24"/>
              </w:rPr>
              <w:t>Falch</w:t>
            </w:r>
            <w:proofErr w:type="spellEnd"/>
            <w:r>
              <w:rPr>
                <w:iCs/>
                <w:sz w:val="24"/>
                <w:szCs w:val="24"/>
              </w:rPr>
              <w:t xml:space="preserve">-Eriksen, 2021). This requires several conversations with professionals working with the family, so that information can be shared accordingly (Toros, Tart &amp; </w:t>
            </w:r>
            <w:proofErr w:type="spellStart"/>
            <w:r>
              <w:rPr>
                <w:iCs/>
                <w:sz w:val="24"/>
                <w:szCs w:val="24"/>
              </w:rPr>
              <w:t>Falch</w:t>
            </w:r>
            <w:proofErr w:type="spellEnd"/>
            <w:r>
              <w:rPr>
                <w:iCs/>
                <w:sz w:val="24"/>
                <w:szCs w:val="24"/>
              </w:rPr>
              <w:t xml:space="preserve">-Eriksen, 2021; Ward, 2022; Cwm </w:t>
            </w:r>
            <w:proofErr w:type="spellStart"/>
            <w:r>
              <w:rPr>
                <w:iCs/>
                <w:sz w:val="24"/>
                <w:szCs w:val="24"/>
              </w:rPr>
              <w:t>Taf</w:t>
            </w:r>
            <w:proofErr w:type="spellEnd"/>
            <w:r>
              <w:rPr>
                <w:iCs/>
                <w:sz w:val="24"/>
                <w:szCs w:val="24"/>
              </w:rPr>
              <w:t xml:space="preserve"> Morgannwg Safeguarding Board (CTMSB), 2021). Furthermore, this allowed me to make a professional judgement based on information gathered through regular meetings with professionals and family. A series of child safeguarding practice reviews recommend that a multi-agency approach is vital whilst working in child protection, so that vital information is not missed (Ward, 2022; CTMSB, 2021). For instance, whilst I was working with the family, regular professionals meetings were held so that plans could be formed to ensure that the family had the right support in place. Further to this, it was established during professionals meetings the </w:t>
            </w:r>
            <w:r>
              <w:rPr>
                <w:iCs/>
                <w:sz w:val="24"/>
                <w:szCs w:val="24"/>
              </w:rPr>
              <w:lastRenderedPageBreak/>
              <w:t>significance of A1’s mental health, the therapy that she needed and that there was a two year waiting list for this. Therefore, this would impact significantly on C1 and C2, in that they needed to be safeguarded as it would not be safe for them to return home to A1 alone. Safeguarding is everyone’s responsibility and every agency involved with a family should play their part (Children Act 1989; SSWB(W)A 2014; Welsh Government, 2019). Furthermore, by having these conversation it helped form my professional judgment and analysis to the Section 37 report.</w:t>
            </w:r>
          </w:p>
          <w:p w14:paraId="5BBF9E6E" w14:textId="77777777" w:rsidR="009036BA" w:rsidRPr="009F7907" w:rsidRDefault="009036BA" w:rsidP="006D1883">
            <w:pPr>
              <w:spacing w:before="240" w:after="240" w:line="360" w:lineRule="auto"/>
              <w:jc w:val="both"/>
              <w:rPr>
                <w:iCs/>
                <w:sz w:val="24"/>
                <w:szCs w:val="24"/>
              </w:rPr>
            </w:pPr>
            <w:r>
              <w:rPr>
                <w:iCs/>
                <w:sz w:val="24"/>
                <w:szCs w:val="24"/>
              </w:rPr>
              <w:t xml:space="preserve">Bronfenbrenner’s systems theory suggests that every area the child is in contact with whether directly or indirectly has an impact on them (Guy-Evans, 2020). For instance, as mentioned above multi-agency working is important when working with families as information can be shared in a safe environment to plan a way forward. Therefore, if for instance a mental health practitioner is working with A1 around her mental health then this will have an impact on the child (Guy-Evans, 2020). During my work with the family A1 has found it difficult in work that addresses her previous trauma, this has also impacted upon the children’s well-being as she has not been able to look after C1 and C2 after certain sessions. Cohen, </w:t>
            </w:r>
            <w:proofErr w:type="spellStart"/>
            <w:r>
              <w:rPr>
                <w:iCs/>
                <w:sz w:val="24"/>
                <w:szCs w:val="24"/>
              </w:rPr>
              <w:t>Mannarino</w:t>
            </w:r>
            <w:proofErr w:type="spellEnd"/>
            <w:r>
              <w:rPr>
                <w:iCs/>
                <w:sz w:val="24"/>
                <w:szCs w:val="24"/>
              </w:rPr>
              <w:t xml:space="preserve">, </w:t>
            </w:r>
            <w:proofErr w:type="spellStart"/>
            <w:r>
              <w:rPr>
                <w:iCs/>
                <w:sz w:val="24"/>
                <w:szCs w:val="24"/>
              </w:rPr>
              <w:t>Kliethermes</w:t>
            </w:r>
            <w:proofErr w:type="spellEnd"/>
            <w:r>
              <w:rPr>
                <w:iCs/>
                <w:sz w:val="24"/>
                <w:szCs w:val="24"/>
              </w:rPr>
              <w:t xml:space="preserve"> and Murray (2012 </w:t>
            </w:r>
            <w:r>
              <w:rPr>
                <w:i/>
                <w:sz w:val="24"/>
                <w:szCs w:val="24"/>
              </w:rPr>
              <w:t xml:space="preserve">cited in </w:t>
            </w:r>
            <w:r>
              <w:rPr>
                <w:iCs/>
                <w:sz w:val="24"/>
                <w:szCs w:val="24"/>
              </w:rPr>
              <w:t xml:space="preserve">Levenson, 2017) suggests, that any therapy that is trauma focussed allow people to discuss difficult and significant memories, which can decrease their ability to regulate their emotions in the interim. However, in the long-term therapies will support A1 to reduce anxieties around the ACEs that she has suffered as a child (Levenson, 2017). </w:t>
            </w:r>
          </w:p>
          <w:p w14:paraId="612DD7AC" w14:textId="77777777" w:rsidR="009036BA" w:rsidRDefault="009036BA" w:rsidP="006D1883">
            <w:pPr>
              <w:spacing w:before="240" w:after="240" w:line="360" w:lineRule="auto"/>
              <w:jc w:val="both"/>
              <w:rPr>
                <w:iCs/>
                <w:sz w:val="24"/>
                <w:szCs w:val="24"/>
              </w:rPr>
            </w:pPr>
            <w:r>
              <w:rPr>
                <w:iCs/>
                <w:sz w:val="24"/>
                <w:szCs w:val="24"/>
              </w:rPr>
              <w:t>Bronfenbrenner’s systems theory suggest that children are influenced by those within their microsystem, such as, friends, immediate family, school and or nursery (Guy-Evans, 2020). In particular if the children’s parents have a negative relationship or unresolved matters within their childhood, then they will find forming attachment with their own children to be difficult (</w:t>
            </w:r>
            <w:proofErr w:type="spellStart"/>
            <w:r>
              <w:rPr>
                <w:iCs/>
                <w:sz w:val="24"/>
                <w:szCs w:val="24"/>
              </w:rPr>
              <w:t>Rothbaum</w:t>
            </w:r>
            <w:proofErr w:type="spellEnd"/>
            <w:r>
              <w:rPr>
                <w:iCs/>
                <w:sz w:val="24"/>
                <w:szCs w:val="24"/>
              </w:rPr>
              <w:t xml:space="preserve">, Rosen, </w:t>
            </w:r>
            <w:proofErr w:type="spellStart"/>
            <w:r>
              <w:rPr>
                <w:iCs/>
                <w:sz w:val="24"/>
                <w:szCs w:val="24"/>
              </w:rPr>
              <w:t>Ujiie</w:t>
            </w:r>
            <w:proofErr w:type="spellEnd"/>
            <w:r>
              <w:rPr>
                <w:iCs/>
                <w:sz w:val="24"/>
                <w:szCs w:val="24"/>
              </w:rPr>
              <w:t xml:space="preserve"> &amp; Uchida, 2002; Iyengar, Kim, Martinez, </w:t>
            </w:r>
            <w:proofErr w:type="spellStart"/>
            <w:r>
              <w:rPr>
                <w:iCs/>
                <w:sz w:val="24"/>
                <w:szCs w:val="24"/>
              </w:rPr>
              <w:t>Fonagy</w:t>
            </w:r>
            <w:proofErr w:type="spellEnd"/>
            <w:r>
              <w:rPr>
                <w:iCs/>
                <w:sz w:val="24"/>
                <w:szCs w:val="24"/>
              </w:rPr>
              <w:t xml:space="preserve"> &amp; Strathearn, 2014). Whilst using the systems theory it has helped me to better understand the family dynamics, history, communication patterns and boundaries (</w:t>
            </w:r>
            <w:proofErr w:type="spellStart"/>
            <w:r>
              <w:rPr>
                <w:iCs/>
                <w:sz w:val="24"/>
                <w:szCs w:val="24"/>
              </w:rPr>
              <w:t>Rothbaum</w:t>
            </w:r>
            <w:proofErr w:type="spellEnd"/>
            <w:r>
              <w:rPr>
                <w:iCs/>
                <w:sz w:val="24"/>
                <w:szCs w:val="24"/>
              </w:rPr>
              <w:t xml:space="preserve">, </w:t>
            </w:r>
            <w:r>
              <w:rPr>
                <w:i/>
                <w:sz w:val="24"/>
                <w:szCs w:val="24"/>
              </w:rPr>
              <w:t xml:space="preserve">et al. </w:t>
            </w:r>
            <w:r>
              <w:rPr>
                <w:iCs/>
                <w:sz w:val="24"/>
                <w:szCs w:val="24"/>
              </w:rPr>
              <w:t xml:space="preserve">2002). Further to this A1 was suffering from childhood trauma, due to being sexually abused as a child. This </w:t>
            </w:r>
            <w:r>
              <w:rPr>
                <w:iCs/>
                <w:sz w:val="24"/>
                <w:szCs w:val="24"/>
              </w:rPr>
              <w:lastRenderedPageBreak/>
              <w:t>had an impact on her relationship with A2, as she was using substances as a way of coping and caused a strain on their relationship. For this reason, it is important to work collaboratively with families and their support network, to establish what is most important to them (Wales Safeguarding Procedures 2019).</w:t>
            </w:r>
          </w:p>
          <w:p w14:paraId="36B7C909" w14:textId="77777777" w:rsidR="009036BA" w:rsidRDefault="009036BA" w:rsidP="006D1883">
            <w:pPr>
              <w:spacing w:before="240" w:after="240" w:line="360" w:lineRule="auto"/>
              <w:jc w:val="both"/>
              <w:rPr>
                <w:iCs/>
                <w:sz w:val="24"/>
                <w:szCs w:val="24"/>
              </w:rPr>
            </w:pPr>
            <w:r>
              <w:rPr>
                <w:iCs/>
                <w:sz w:val="24"/>
                <w:szCs w:val="24"/>
              </w:rPr>
              <w:t>Research by systems theorists suggest, that children who witness conflicts between their parents may become unwell or have emotional difficulties through childhood and into adulthood (</w:t>
            </w:r>
            <w:proofErr w:type="spellStart"/>
            <w:r>
              <w:rPr>
                <w:iCs/>
                <w:sz w:val="24"/>
                <w:szCs w:val="24"/>
              </w:rPr>
              <w:t>Rothbaum</w:t>
            </w:r>
            <w:proofErr w:type="spellEnd"/>
            <w:r>
              <w:rPr>
                <w:iCs/>
                <w:sz w:val="24"/>
                <w:szCs w:val="24"/>
              </w:rPr>
              <w:t xml:space="preserve">, </w:t>
            </w:r>
            <w:r>
              <w:rPr>
                <w:i/>
                <w:sz w:val="24"/>
                <w:szCs w:val="24"/>
              </w:rPr>
              <w:t xml:space="preserve">et al. </w:t>
            </w:r>
            <w:r>
              <w:rPr>
                <w:iCs/>
                <w:sz w:val="24"/>
                <w:szCs w:val="24"/>
              </w:rPr>
              <w:t>2002; Department for Work and Pensions, 2021; Anna Freud National Centre for Children and Families, 2023). During some visits to see C1 and C2 with A1, it was noted that C1’s relationship with A1 was strained. It was evident that there was no attachment between A1 and C1, as A1 found it difficult to show C1 emotional warmth due to her flash backs. Attachment theory suggest that any form of attachment between children and their parents is encouraged by the adults (</w:t>
            </w:r>
            <w:proofErr w:type="spellStart"/>
            <w:r>
              <w:rPr>
                <w:iCs/>
                <w:sz w:val="24"/>
                <w:szCs w:val="24"/>
              </w:rPr>
              <w:t>Rothbaum</w:t>
            </w:r>
            <w:proofErr w:type="spellEnd"/>
            <w:r>
              <w:rPr>
                <w:iCs/>
                <w:sz w:val="24"/>
                <w:szCs w:val="24"/>
              </w:rPr>
              <w:t xml:space="preserve">, 2002). According to Iyengar, Kim, Martinez, </w:t>
            </w:r>
            <w:proofErr w:type="spellStart"/>
            <w:r>
              <w:rPr>
                <w:iCs/>
                <w:sz w:val="24"/>
                <w:szCs w:val="24"/>
              </w:rPr>
              <w:t>Fonagy</w:t>
            </w:r>
            <w:proofErr w:type="spellEnd"/>
            <w:r>
              <w:rPr>
                <w:iCs/>
                <w:sz w:val="24"/>
                <w:szCs w:val="24"/>
              </w:rPr>
              <w:t xml:space="preserve"> and Strathearn (2014) if a parent has not had secure attachment during their childhood, therefore, their children are likely to have insecure attachment. Particularly, if a parent has “unresolved trauma” (</w:t>
            </w:r>
            <w:proofErr w:type="spellStart"/>
            <w:r>
              <w:rPr>
                <w:iCs/>
                <w:sz w:val="24"/>
                <w:szCs w:val="24"/>
              </w:rPr>
              <w:t>Schuengel</w:t>
            </w:r>
            <w:proofErr w:type="spellEnd"/>
            <w:r>
              <w:rPr>
                <w:iCs/>
                <w:sz w:val="24"/>
                <w:szCs w:val="24"/>
              </w:rPr>
              <w:t xml:space="preserve"> </w:t>
            </w:r>
            <w:r>
              <w:rPr>
                <w:i/>
                <w:sz w:val="24"/>
                <w:szCs w:val="24"/>
              </w:rPr>
              <w:t>et al</w:t>
            </w:r>
            <w:r>
              <w:rPr>
                <w:iCs/>
                <w:sz w:val="24"/>
                <w:szCs w:val="24"/>
              </w:rPr>
              <w:t xml:space="preserve"> 1999 </w:t>
            </w:r>
            <w:r>
              <w:rPr>
                <w:i/>
                <w:sz w:val="24"/>
                <w:szCs w:val="24"/>
              </w:rPr>
              <w:t xml:space="preserve">cited in </w:t>
            </w:r>
            <w:r>
              <w:rPr>
                <w:iCs/>
                <w:sz w:val="24"/>
                <w:szCs w:val="24"/>
              </w:rPr>
              <w:t xml:space="preserve">Iyengar, Kim, Martinez, </w:t>
            </w:r>
            <w:proofErr w:type="spellStart"/>
            <w:r>
              <w:rPr>
                <w:iCs/>
                <w:sz w:val="24"/>
                <w:szCs w:val="24"/>
              </w:rPr>
              <w:t>Fonagy</w:t>
            </w:r>
            <w:proofErr w:type="spellEnd"/>
            <w:r>
              <w:rPr>
                <w:iCs/>
                <w:sz w:val="24"/>
                <w:szCs w:val="24"/>
              </w:rPr>
              <w:t xml:space="preserve"> &amp; Strathearn, 2014). By looking at the issues above and all the information gathered from family and professionals, the analysis of the Section 37 report concluded that C1 and C2 have not had stability for almost two years. This meant that further assessments were required as previously mentioned, parenting assessments on both parents through the Public Law Outline process. As I work in an assessment team, which is a short-term team then I was required to transfer the case to the long-term team who will complete further assessments.</w:t>
            </w:r>
          </w:p>
          <w:p w14:paraId="43A83928" w14:textId="77777777" w:rsidR="009036BA" w:rsidRDefault="009036BA" w:rsidP="006D1883">
            <w:pPr>
              <w:spacing w:before="240" w:after="240" w:line="360" w:lineRule="auto"/>
              <w:jc w:val="both"/>
              <w:rPr>
                <w:iCs/>
                <w:sz w:val="24"/>
                <w:szCs w:val="24"/>
              </w:rPr>
            </w:pPr>
            <w:r>
              <w:rPr>
                <w:iCs/>
                <w:sz w:val="24"/>
                <w:szCs w:val="24"/>
              </w:rPr>
              <w:t xml:space="preserve">To conclude, analysis to assessment is an important factor in child protection, this is so that the best possible outcome can be achieved for children who are “at risk” of harm. Further to this using professional judgement within assessments and child protection procedures is vital, thus, to ensure that decisions are made in the best interest of children as opposed to their wishes and feelings. Child protection work is complex and can at times seem ethically wrong, for instance, ensuring that children’s wishes and feelings are heard is enshrined throughout the SSWB(W)A 2014. However, due to child protection procedures their wishes and feelings </w:t>
            </w:r>
            <w:r>
              <w:rPr>
                <w:iCs/>
                <w:sz w:val="24"/>
                <w:szCs w:val="24"/>
              </w:rPr>
              <w:lastRenderedPageBreak/>
              <w:t xml:space="preserve">may not be appropriate in ensuring they are kept safe. Whilst planning the best approach for children it is important to work collaboratively with families and professionals involved. </w:t>
            </w:r>
            <w:proofErr w:type="gramStart"/>
            <w:r>
              <w:rPr>
                <w:iCs/>
                <w:sz w:val="24"/>
                <w:szCs w:val="24"/>
              </w:rPr>
              <w:t>Throughout completing this task and working with families, it</w:t>
            </w:r>
            <w:proofErr w:type="gramEnd"/>
            <w:r>
              <w:rPr>
                <w:iCs/>
                <w:sz w:val="24"/>
                <w:szCs w:val="24"/>
              </w:rPr>
              <w:t xml:space="preserve"> is felt that families engage better with plans if they are at the centre of them and feel empowered to come up with solutions.</w:t>
            </w:r>
          </w:p>
          <w:p w14:paraId="27A59A09" w14:textId="77777777" w:rsidR="009036BA" w:rsidRPr="0061332A" w:rsidRDefault="009036BA" w:rsidP="006D1883">
            <w:pPr>
              <w:spacing w:before="240" w:after="240" w:line="360" w:lineRule="auto"/>
              <w:jc w:val="both"/>
              <w:rPr>
                <w:b/>
                <w:bCs/>
                <w:iCs/>
                <w:sz w:val="24"/>
                <w:szCs w:val="24"/>
              </w:rPr>
            </w:pPr>
            <w:r>
              <w:rPr>
                <w:b/>
                <w:bCs/>
                <w:iCs/>
                <w:sz w:val="24"/>
                <w:szCs w:val="24"/>
              </w:rPr>
              <w:t>Word count – 4,299</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34F31" w14:textId="77777777" w:rsidR="00097FAD" w:rsidRDefault="00097FAD">
      <w:r>
        <w:separator/>
      </w:r>
    </w:p>
  </w:endnote>
  <w:endnote w:type="continuationSeparator" w:id="0">
    <w:p w14:paraId="35515E7F" w14:textId="77777777" w:rsidR="00097FAD" w:rsidRDefault="00097F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CCB48" w14:textId="77777777" w:rsidR="00097FAD" w:rsidRDefault="00097FAD">
      <w:r>
        <w:separator/>
      </w:r>
    </w:p>
  </w:footnote>
  <w:footnote w:type="continuationSeparator" w:id="0">
    <w:p w14:paraId="5F9E05DB" w14:textId="77777777" w:rsidR="00097FAD" w:rsidRDefault="00097F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FAD"/>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3A17"/>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06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6BA"/>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102"/>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192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36F4"/>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4512</Words>
  <Characters>22775</Characters>
  <Application>Microsoft Office Word</Application>
  <DocSecurity>0</DocSecurity>
  <Lines>189</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cp:lastModifiedBy>
  <cp:revision>7</cp:revision>
  <cp:lastPrinted>2020-02-11T19:20:00Z</cp:lastPrinted>
  <dcterms:created xsi:type="dcterms:W3CDTF">2022-10-05T19:28:00Z</dcterms:created>
  <dcterms:modified xsi:type="dcterms:W3CDTF">2023-02-26T22:39:00Z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