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5914E4F7" w:rsidR="009C337F" w:rsidRDefault="00CB5A2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Adetoun Abogunrin</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4EB9183E" w:rsidR="00986B43" w:rsidRDefault="00CB5A2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ababogunrin@carmarthenshire.gov.uk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515E448" w:rsidR="0085230E" w:rsidRPr="005D3F07" w:rsidRDefault="00CB5A2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2418483</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C9DD258" w14:textId="77777777" w:rsidR="00CB5A2F" w:rsidRDefault="00CB5A2F" w:rsidP="00CB5A2F">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68709ED4" w14:textId="0F97EF09" w:rsidR="00CB5A2F" w:rsidRDefault="00CB5A2F" w:rsidP="00CB5A2F">
            <w:pPr>
              <w:spacing w:line="360" w:lineRule="auto"/>
              <w:rPr>
                <w:sz w:val="24"/>
                <w:szCs w:val="24"/>
              </w:rPr>
            </w:pPr>
          </w:p>
          <w:p w14:paraId="5CA24FC5" w14:textId="77777777" w:rsidR="000C6575" w:rsidRDefault="000C6575" w:rsidP="00CB5A2F">
            <w:pPr>
              <w:spacing w:line="360" w:lineRule="auto"/>
              <w:rPr>
                <w:sz w:val="24"/>
                <w:szCs w:val="24"/>
              </w:rPr>
            </w:pPr>
          </w:p>
          <w:p w14:paraId="275EAE03" w14:textId="77777777" w:rsidR="000C6575" w:rsidRPr="000C6575" w:rsidRDefault="000C6575" w:rsidP="00ED6D2E">
            <w:pPr>
              <w:spacing w:line="480" w:lineRule="auto"/>
              <w:rPr>
                <w:sz w:val="24"/>
                <w:szCs w:val="24"/>
              </w:rPr>
            </w:pPr>
            <w:r w:rsidRPr="000C6575">
              <w:rPr>
                <w:sz w:val="24"/>
                <w:szCs w:val="24"/>
              </w:rPr>
              <w:t>Although I work in adult services and have no prior experience in children's services, I still have a duty to protect everyone according to the Code of Professional Practice (Social Care Wales, 2017). Also, I work with adults who may have children. I must also adhere to policies to safeguard them.</w:t>
            </w:r>
          </w:p>
          <w:p w14:paraId="76466687" w14:textId="77777777" w:rsidR="000C6575" w:rsidRPr="000C6575" w:rsidRDefault="000C6575" w:rsidP="00ED6D2E">
            <w:pPr>
              <w:spacing w:line="480" w:lineRule="auto"/>
              <w:rPr>
                <w:sz w:val="24"/>
                <w:szCs w:val="24"/>
              </w:rPr>
            </w:pPr>
            <w:r w:rsidRPr="000C6575">
              <w:rPr>
                <w:sz w:val="24"/>
                <w:szCs w:val="24"/>
              </w:rPr>
              <w:t xml:space="preserve">In Wales, there are strong laws and policies in place to make sure children are kept safe and well cared for. One of the most important laws is the Social Services and Well-being (Wales) Act 2014 (SSWB(W)A 2014). This law outlines how professionals and organisations should collaborate to protect children and support their overall well-being. </w:t>
            </w:r>
          </w:p>
          <w:p w14:paraId="05D84727" w14:textId="6C444004" w:rsidR="000C6575" w:rsidRPr="000C6575" w:rsidRDefault="000C6575" w:rsidP="00ED6D2E">
            <w:pPr>
              <w:spacing w:line="480" w:lineRule="auto"/>
              <w:rPr>
                <w:sz w:val="24"/>
                <w:szCs w:val="24"/>
              </w:rPr>
            </w:pPr>
            <w:r w:rsidRPr="000C6575">
              <w:rPr>
                <w:sz w:val="24"/>
                <w:szCs w:val="24"/>
              </w:rPr>
              <w:t xml:space="preserve">The Act places a statutory duty on relevant partners to report concerns about children who may be at risk of abuse, neglect, or harm (SSWB(W)A, 2014). It also places responsibilities on local authorities to assess and meet the care and support needs of children, with emphasis on prevention and well-being (Welsh Government, 2014a). Section 130, Part 7 of </w:t>
            </w:r>
            <w:r w:rsidRPr="000C6575">
              <w:rPr>
                <w:sz w:val="24"/>
                <w:szCs w:val="24"/>
              </w:rPr>
              <w:lastRenderedPageBreak/>
              <w:t>the Act highlights the duty to report children at risk, making sure that safeguarding is a shared responsibility among all professionals (Welsh Government, 2014</w:t>
            </w:r>
            <w:r w:rsidR="00D37508">
              <w:rPr>
                <w:sz w:val="24"/>
                <w:szCs w:val="24"/>
              </w:rPr>
              <w:t>b</w:t>
            </w:r>
            <w:r w:rsidRPr="000C6575">
              <w:rPr>
                <w:sz w:val="24"/>
                <w:szCs w:val="24"/>
              </w:rPr>
              <w:t>)</w:t>
            </w:r>
          </w:p>
          <w:p w14:paraId="552E4B41" w14:textId="77777777" w:rsidR="000C6575" w:rsidRPr="000C6575" w:rsidRDefault="000C6575" w:rsidP="00ED6D2E">
            <w:pPr>
              <w:spacing w:line="480" w:lineRule="auto"/>
              <w:rPr>
                <w:sz w:val="24"/>
                <w:szCs w:val="24"/>
              </w:rPr>
            </w:pPr>
            <w:r w:rsidRPr="000C6575">
              <w:rPr>
                <w:sz w:val="24"/>
                <w:szCs w:val="24"/>
              </w:rPr>
              <w:t xml:space="preserve">Different local authorities develop their own safeguarding procedures in line with national guidance. The Wales Safeguarding Procedures 2019 provide an all-Wales framework to ensure consistency in reporting, screening, and responding to concerns (National Independent Safeguarding Board, 2019). Referrals usually happen through Multi-Agency Referral Forms (MARFs), where concerns and family information are shared. These referrals are carefully reviewed to decide whether urgent action is needed or if the situation calls for a more detailed assessment and support (National Independent Safeguarding Board, 2019). Although this system helps create consistency, it still relies heavily on professionals’ judgment and the effectiveness of collaboration between different agencies, which means that the way things are handled can sometimes vary. </w:t>
            </w:r>
          </w:p>
          <w:p w14:paraId="6C09DD45" w14:textId="77777777" w:rsidR="000C6575" w:rsidRPr="000C6575" w:rsidRDefault="000C6575" w:rsidP="00ED6D2E">
            <w:pPr>
              <w:spacing w:line="480" w:lineRule="auto"/>
              <w:rPr>
                <w:sz w:val="24"/>
                <w:szCs w:val="24"/>
              </w:rPr>
            </w:pPr>
            <w:r w:rsidRPr="000C6575">
              <w:rPr>
                <w:sz w:val="24"/>
                <w:szCs w:val="24"/>
              </w:rPr>
              <w:t>If screening identifies immediate concerns, an investigation is completed under Section 47 of the Children Act 1989 (Children Act, 1989). This can be done regardless of the state of the assessment under Part 3 of SSWB(W)A 2014 (Welsh Government, 2014). This investigation will determine whether the threshold for significant harm under Section 47 has been met. If yes, a strategy meeting involving a multidisciplinary team of professionals, including health, social services, and the police, will be held to decide what to do (HM Government, 2018)</w:t>
            </w:r>
          </w:p>
          <w:p w14:paraId="517A860B" w14:textId="0632819B" w:rsidR="000C6575" w:rsidRPr="000C6575" w:rsidRDefault="000C6575" w:rsidP="00ED6D2E">
            <w:pPr>
              <w:spacing w:line="480" w:lineRule="auto"/>
              <w:rPr>
                <w:sz w:val="24"/>
                <w:szCs w:val="24"/>
              </w:rPr>
            </w:pPr>
            <w:r w:rsidRPr="000C6575">
              <w:rPr>
                <w:sz w:val="24"/>
                <w:szCs w:val="24"/>
              </w:rPr>
              <w:t>The outcome of the meeting will determine the immediate actions to be taken to safeguard the child. This may mean initiating the Police Protection Order under Section 46 of the Children Act, which allows a child to be removed for up to 72 hours, or the Emergency Protection Order under Section 44, which allows social services to remove a child for up to 8 days legally (Children Act,1989)</w:t>
            </w:r>
          </w:p>
          <w:p w14:paraId="64753613" w14:textId="5206F1DF" w:rsidR="000C6575" w:rsidRPr="000C6575" w:rsidRDefault="000C6575" w:rsidP="00ED6D2E">
            <w:pPr>
              <w:spacing w:line="480" w:lineRule="auto"/>
              <w:rPr>
                <w:sz w:val="24"/>
                <w:szCs w:val="24"/>
              </w:rPr>
            </w:pPr>
            <w:r w:rsidRPr="000C6575">
              <w:rPr>
                <w:sz w:val="24"/>
                <w:szCs w:val="24"/>
              </w:rPr>
              <w:lastRenderedPageBreak/>
              <w:t>In summary, safeguarding children in Wales is supported by a framework that is multi-layered. Regional Safeguarding Children Boards (RSCBs) are multi-agency bodies established under SSWB(W)A 2014 to ensure these local safeguarding procedures are consistent, reviewed regularly, and that all agencies effectively coordinate their roles (Welsh Government,</w:t>
            </w:r>
            <w:r w:rsidR="00B46CEE">
              <w:rPr>
                <w:sz w:val="24"/>
                <w:szCs w:val="24"/>
              </w:rPr>
              <w:t xml:space="preserve"> </w:t>
            </w:r>
            <w:r w:rsidRPr="000C6575">
              <w:rPr>
                <w:sz w:val="24"/>
                <w:szCs w:val="24"/>
              </w:rPr>
              <w:t>2014; National Independent Safeguarding Board,</w:t>
            </w:r>
            <w:r w:rsidR="00B46CEE">
              <w:rPr>
                <w:sz w:val="24"/>
                <w:szCs w:val="24"/>
              </w:rPr>
              <w:t xml:space="preserve"> </w:t>
            </w:r>
            <w:r w:rsidRPr="000C6575">
              <w:rPr>
                <w:sz w:val="24"/>
                <w:szCs w:val="24"/>
              </w:rPr>
              <w:t>2019).</w:t>
            </w:r>
            <w:r w:rsidR="00D37508">
              <w:rPr>
                <w:sz w:val="24"/>
                <w:szCs w:val="24"/>
              </w:rPr>
              <w:t xml:space="preserve"> 505 words</w:t>
            </w:r>
          </w:p>
          <w:p w14:paraId="4882A1BB" w14:textId="77777777" w:rsidR="000C6575" w:rsidRPr="00E63107" w:rsidRDefault="000C6575" w:rsidP="00CB5A2F">
            <w:pPr>
              <w:spacing w:line="360" w:lineRule="auto"/>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CB5A2F">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EE36AA5" w14:textId="77777777" w:rsidR="00CB5A2F" w:rsidRDefault="00CB5A2F" w:rsidP="00FC0334">
            <w:pPr>
              <w:jc w:val="both"/>
              <w:rPr>
                <w:sz w:val="24"/>
                <w:szCs w:val="24"/>
              </w:rPr>
            </w:pPr>
          </w:p>
          <w:p w14:paraId="68BDFC74" w14:textId="5B8AE054" w:rsidR="00CB5A2F" w:rsidRDefault="00CB5A2F" w:rsidP="00FC0334">
            <w:pPr>
              <w:jc w:val="both"/>
              <w:rPr>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3A66A207" w14:textId="77777777" w:rsidR="005D0E19" w:rsidRPr="005D0E19" w:rsidRDefault="005D0E19" w:rsidP="006118A5">
            <w:pPr>
              <w:spacing w:line="480" w:lineRule="auto"/>
              <w:rPr>
                <w:sz w:val="24"/>
                <w:szCs w:val="24"/>
              </w:rPr>
            </w:pPr>
            <w:r w:rsidRPr="005D0E19">
              <w:rPr>
                <w:sz w:val="24"/>
                <w:szCs w:val="24"/>
              </w:rPr>
              <w:t>Safeguarding in adult and children’s services in Wales supports the same principles to protect, prevent, and promote the well-being of both adults and children. However, there are differences in how risks are approached.  </w:t>
            </w:r>
          </w:p>
          <w:p w14:paraId="0E62B2F9" w14:textId="77777777" w:rsidR="005D0E19" w:rsidRPr="005D0E19" w:rsidRDefault="005D0E19" w:rsidP="006118A5">
            <w:pPr>
              <w:spacing w:line="480" w:lineRule="auto"/>
              <w:rPr>
                <w:sz w:val="24"/>
                <w:szCs w:val="24"/>
              </w:rPr>
            </w:pPr>
            <w:r w:rsidRPr="005D0E19">
              <w:rPr>
                <w:sz w:val="24"/>
                <w:szCs w:val="24"/>
              </w:rPr>
              <w:t xml:space="preserve">In children’s services, safeguarding is guided by the principle that the welfare of the child is paramount (Children Act, 1989). The Social Services and Well-being (Wales) Act 2014 mandates local authorities to act where a child is at risk of harm, even if there is no consent from the family (Welsh Government, 2014). The Mental Capacity Act (MCA) does not apply to children under 16 when it comes to understanding risks because it is designed for adults. </w:t>
            </w:r>
            <w:r w:rsidRPr="005D0E19">
              <w:rPr>
                <w:sz w:val="24"/>
                <w:szCs w:val="24"/>
              </w:rPr>
              <w:lastRenderedPageBreak/>
              <w:t xml:space="preserve">Instead, professionals use the Gillick/Fraser rule to decide if a child is mature enough to make important decisions about their own care (National Independent Safeguarding Board, 2019) </w:t>
            </w:r>
          </w:p>
          <w:p w14:paraId="7B78B86B" w14:textId="27356870" w:rsidR="005D0E19" w:rsidRPr="005D0E19" w:rsidRDefault="005D0E19" w:rsidP="006118A5">
            <w:pPr>
              <w:spacing w:line="480" w:lineRule="auto"/>
              <w:rPr>
                <w:sz w:val="24"/>
                <w:szCs w:val="24"/>
              </w:rPr>
            </w:pPr>
            <w:r w:rsidRPr="005D0E19">
              <w:rPr>
                <w:sz w:val="24"/>
                <w:szCs w:val="24"/>
              </w:rPr>
              <w:t xml:space="preserve">Also, under the Children Act 1989, young people aged 16 and 17 are still legally considered children, so this law takes priority over the MCA (HM Government, 2005; Children Act, 1989). In situations where there is serious harm involved, safeguarding measures take precedence over all these rules to keep the child </w:t>
            </w:r>
            <w:r w:rsidR="00D35F0D" w:rsidRPr="005D0E19">
              <w:rPr>
                <w:sz w:val="24"/>
                <w:szCs w:val="24"/>
              </w:rPr>
              <w:t>safe</w:t>
            </w:r>
            <w:r w:rsidR="00B46CEE">
              <w:rPr>
                <w:sz w:val="24"/>
                <w:szCs w:val="24"/>
              </w:rPr>
              <w:t>.</w:t>
            </w:r>
          </w:p>
          <w:p w14:paraId="6147E964" w14:textId="77777777" w:rsidR="005D0E19" w:rsidRPr="005D0E19" w:rsidRDefault="005D0E19" w:rsidP="006118A5">
            <w:pPr>
              <w:spacing w:line="480" w:lineRule="auto"/>
              <w:rPr>
                <w:sz w:val="24"/>
                <w:szCs w:val="24"/>
              </w:rPr>
            </w:pPr>
            <w:r w:rsidRPr="005D0E19">
              <w:rPr>
                <w:sz w:val="24"/>
                <w:szCs w:val="24"/>
              </w:rPr>
              <w:t xml:space="preserve">Adult safeguarding is also covered by SSWB(W)A 2014, but it takes a different approach, especially when it comes to respecting autonomy and mental capacity. According to the MCA 2005, adults are assumed to have the right to make their own choices, even if these choices are risky, unless they have been assessed to lack the capacity (HM Government, 2005). This means that adult safeguarding must strike a careful balance between protecting people and respecting their individual rights (Brayne &amp; Carr, 2018). </w:t>
            </w:r>
          </w:p>
          <w:p w14:paraId="1ED1795F" w14:textId="0C3A957B" w:rsidR="005D0E19" w:rsidRPr="005D0E19" w:rsidRDefault="005D0E19" w:rsidP="006118A5">
            <w:pPr>
              <w:spacing w:line="480" w:lineRule="auto"/>
              <w:rPr>
                <w:sz w:val="24"/>
                <w:szCs w:val="24"/>
              </w:rPr>
            </w:pPr>
            <w:r w:rsidRPr="005D0E19">
              <w:rPr>
                <w:sz w:val="24"/>
                <w:szCs w:val="24"/>
              </w:rPr>
              <w:t xml:space="preserve">This balance is also supported by The Wales Safeguarding Procedures 2019, particularly when there is a </w:t>
            </w:r>
            <w:r w:rsidR="00D35F0D" w:rsidRPr="005D0E19">
              <w:rPr>
                <w:sz w:val="24"/>
                <w:szCs w:val="24"/>
              </w:rPr>
              <w:t>serious risk</w:t>
            </w:r>
            <w:r w:rsidRPr="005D0E19">
              <w:rPr>
                <w:sz w:val="24"/>
                <w:szCs w:val="24"/>
              </w:rPr>
              <w:t xml:space="preserve"> of harm.  (Welsh Government, 2019). For example, an adult experiencing domestic abuse and coercive control may be supported without overriding their decision to remain in the situation, unless they lack capacity or the public protection concern exists (Welsh Government, 2014)</w:t>
            </w:r>
          </w:p>
          <w:p w14:paraId="6529F565" w14:textId="77777777" w:rsidR="005D0E19" w:rsidRPr="005D0E19" w:rsidRDefault="005D0E19" w:rsidP="006118A5">
            <w:pPr>
              <w:spacing w:line="480" w:lineRule="auto"/>
              <w:rPr>
                <w:sz w:val="24"/>
                <w:szCs w:val="24"/>
              </w:rPr>
            </w:pPr>
            <w:r w:rsidRPr="005D0E19">
              <w:rPr>
                <w:sz w:val="24"/>
                <w:szCs w:val="24"/>
              </w:rPr>
              <w:t>Another important difference is the threshold for intervention from the authorities. With children, concerns often trigger immediate safeguarding responses because they can’t protect themselves. For adults, intervention only happens when there is “reasonable cause to suspect that an adult is at risk” (SSWB(W)A 2014, S. 126), and any actions must be proportionate and focused on the individual’s needs.</w:t>
            </w:r>
          </w:p>
          <w:p w14:paraId="15B81343" w14:textId="77777777" w:rsidR="005D0E19" w:rsidRPr="005D0E19" w:rsidRDefault="005D0E19" w:rsidP="006118A5">
            <w:pPr>
              <w:spacing w:line="480" w:lineRule="auto"/>
              <w:rPr>
                <w:sz w:val="24"/>
                <w:szCs w:val="24"/>
              </w:rPr>
            </w:pPr>
            <w:r w:rsidRPr="005D0E19">
              <w:rPr>
                <w:sz w:val="24"/>
                <w:szCs w:val="24"/>
              </w:rPr>
              <w:lastRenderedPageBreak/>
              <w:t xml:space="preserve">Finally, children’s safeguarding usually focuses on supporting the whole family and helping parent develop their ability to care for their child. In contrast, adult safeguarding tends to focus more on supporting individuals, helping them maintain their independence, and promoting recovery.   </w:t>
            </w:r>
          </w:p>
          <w:p w14:paraId="51C7B693" w14:textId="6E349CC8" w:rsidR="005D0E19" w:rsidRPr="005D0E19" w:rsidRDefault="005D0E19" w:rsidP="006118A5">
            <w:pPr>
              <w:spacing w:line="480" w:lineRule="auto"/>
              <w:rPr>
                <w:sz w:val="24"/>
                <w:szCs w:val="24"/>
              </w:rPr>
            </w:pPr>
            <w:r w:rsidRPr="005D0E19">
              <w:rPr>
                <w:sz w:val="24"/>
                <w:szCs w:val="24"/>
              </w:rPr>
              <w:t xml:space="preserve">In summary, both children's and adult services are committed to keeping people safe, but their approaches are different. Safeguarding children in Wales is primarily about protection and </w:t>
            </w:r>
            <w:r w:rsidR="00210676" w:rsidRPr="005D0E19">
              <w:rPr>
                <w:sz w:val="24"/>
                <w:szCs w:val="24"/>
              </w:rPr>
              <w:t>intervening,</w:t>
            </w:r>
            <w:r w:rsidRPr="005D0E19">
              <w:rPr>
                <w:sz w:val="24"/>
                <w:szCs w:val="24"/>
              </w:rPr>
              <w:t xml:space="preserve"> when necessary, whereas adult safeguarding focuses on empowering individuals to make their own </w:t>
            </w:r>
            <w:r w:rsidR="00D35F0D" w:rsidRPr="005D0E19">
              <w:rPr>
                <w:sz w:val="24"/>
                <w:szCs w:val="24"/>
              </w:rPr>
              <w:t>choices, emphasising</w:t>
            </w:r>
            <w:r w:rsidRPr="005D0E19">
              <w:rPr>
                <w:sz w:val="24"/>
                <w:szCs w:val="24"/>
              </w:rPr>
              <w:t xml:space="preserve"> consent and respect for their rights. A key part of safeguarding children is making sure their voices are heard and taken seriously in all decisions that affect them, reflecting their right to be listened to.  (UNCRC, 1989; Welsh Government, 2019). </w:t>
            </w:r>
            <w:r w:rsidR="00A2087F">
              <w:rPr>
                <w:sz w:val="24"/>
                <w:szCs w:val="24"/>
              </w:rPr>
              <w:t>432 words</w:t>
            </w:r>
          </w:p>
          <w:p w14:paraId="54466848" w14:textId="77777777" w:rsidR="005D0E19" w:rsidRDefault="005D0E19" w:rsidP="00CB5A2F">
            <w:pPr>
              <w:spacing w:line="360" w:lineRule="auto"/>
              <w:rPr>
                <w:sz w:val="24"/>
                <w:szCs w:val="24"/>
              </w:rPr>
            </w:pPr>
          </w:p>
          <w:p w14:paraId="323EDBF5" w14:textId="77777777" w:rsidR="005D0E19" w:rsidRDefault="005D0E19" w:rsidP="00CB5A2F">
            <w:pPr>
              <w:spacing w:line="360" w:lineRule="auto"/>
              <w:rPr>
                <w:sz w:val="24"/>
                <w:szCs w:val="24"/>
              </w:rPr>
            </w:pPr>
          </w:p>
          <w:p w14:paraId="04285720" w14:textId="28A05379" w:rsidR="00FC0334" w:rsidRDefault="009D2078" w:rsidP="00FC0334">
            <w:pPr>
              <w:jc w:val="both"/>
              <w:rPr>
                <w:sz w:val="24"/>
                <w:szCs w:val="24"/>
              </w:rPr>
            </w:pPr>
            <w:r>
              <w:rPr>
                <w:sz w:val="24"/>
                <w:szCs w:val="24"/>
              </w:rPr>
              <w:t xml:space="preserve"> </w:t>
            </w: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7825BEF2" w:rsidR="00FC0334" w:rsidRDefault="00FC0334"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6FEB5" w14:textId="77777777" w:rsidR="00487525" w:rsidRDefault="00487525">
      <w:r>
        <w:separator/>
      </w:r>
    </w:p>
  </w:endnote>
  <w:endnote w:type="continuationSeparator" w:id="0">
    <w:p w14:paraId="0908821A" w14:textId="77777777" w:rsidR="00487525" w:rsidRDefault="004875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FB59B" w14:textId="77777777" w:rsidR="00487525" w:rsidRDefault="00487525">
      <w:r>
        <w:separator/>
      </w:r>
    </w:p>
  </w:footnote>
  <w:footnote w:type="continuationSeparator" w:id="0">
    <w:p w14:paraId="54F64A18" w14:textId="77777777" w:rsidR="00487525" w:rsidRDefault="004875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4A68"/>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575"/>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E9C"/>
    <w:rsid w:val="00114F52"/>
    <w:rsid w:val="00130119"/>
    <w:rsid w:val="00132812"/>
    <w:rsid w:val="001347F8"/>
    <w:rsid w:val="001359EE"/>
    <w:rsid w:val="00137BB5"/>
    <w:rsid w:val="00137E05"/>
    <w:rsid w:val="001447F6"/>
    <w:rsid w:val="00147DE3"/>
    <w:rsid w:val="00150794"/>
    <w:rsid w:val="00151DA6"/>
    <w:rsid w:val="00156EB5"/>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5F14"/>
    <w:rsid w:val="002019EB"/>
    <w:rsid w:val="00204B58"/>
    <w:rsid w:val="00205051"/>
    <w:rsid w:val="00210676"/>
    <w:rsid w:val="00211F65"/>
    <w:rsid w:val="00214047"/>
    <w:rsid w:val="00216563"/>
    <w:rsid w:val="0021792F"/>
    <w:rsid w:val="00220D06"/>
    <w:rsid w:val="002246A0"/>
    <w:rsid w:val="00230439"/>
    <w:rsid w:val="00232A09"/>
    <w:rsid w:val="002330A5"/>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927"/>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7525"/>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0E19"/>
    <w:rsid w:val="005D3F07"/>
    <w:rsid w:val="005D4A1E"/>
    <w:rsid w:val="005D4F72"/>
    <w:rsid w:val="005E13EA"/>
    <w:rsid w:val="005E17F1"/>
    <w:rsid w:val="005F64AA"/>
    <w:rsid w:val="005F7851"/>
    <w:rsid w:val="00606E27"/>
    <w:rsid w:val="006108C9"/>
    <w:rsid w:val="006118A5"/>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361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2078"/>
    <w:rsid w:val="009D4365"/>
    <w:rsid w:val="009D477B"/>
    <w:rsid w:val="009D4E3B"/>
    <w:rsid w:val="009D59C2"/>
    <w:rsid w:val="009D7BC9"/>
    <w:rsid w:val="009E122F"/>
    <w:rsid w:val="009E1982"/>
    <w:rsid w:val="009E27BD"/>
    <w:rsid w:val="009E4D2C"/>
    <w:rsid w:val="009F0978"/>
    <w:rsid w:val="009F3AEC"/>
    <w:rsid w:val="009F6801"/>
    <w:rsid w:val="00A00081"/>
    <w:rsid w:val="00A06422"/>
    <w:rsid w:val="00A10D56"/>
    <w:rsid w:val="00A12AAE"/>
    <w:rsid w:val="00A12F22"/>
    <w:rsid w:val="00A16DD1"/>
    <w:rsid w:val="00A2087F"/>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E4F"/>
    <w:rsid w:val="00B2292C"/>
    <w:rsid w:val="00B22C3C"/>
    <w:rsid w:val="00B24344"/>
    <w:rsid w:val="00B26769"/>
    <w:rsid w:val="00B2754B"/>
    <w:rsid w:val="00B31C91"/>
    <w:rsid w:val="00B3747F"/>
    <w:rsid w:val="00B42E76"/>
    <w:rsid w:val="00B43194"/>
    <w:rsid w:val="00B436BF"/>
    <w:rsid w:val="00B46CEE"/>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5A2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5F0D"/>
    <w:rsid w:val="00D36F00"/>
    <w:rsid w:val="00D37508"/>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0445"/>
    <w:rsid w:val="00E13887"/>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D2E"/>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8281160">
      <w:bodyDiv w:val="1"/>
      <w:marLeft w:val="0"/>
      <w:marRight w:val="0"/>
      <w:marTop w:val="0"/>
      <w:marBottom w:val="0"/>
      <w:divBdr>
        <w:top w:val="none" w:sz="0" w:space="0" w:color="auto"/>
        <w:left w:val="none" w:sz="0" w:space="0" w:color="auto"/>
        <w:bottom w:val="none" w:sz="0" w:space="0" w:color="auto"/>
        <w:right w:val="none" w:sz="0" w:space="0" w:color="auto"/>
      </w:divBdr>
      <w:divsChild>
        <w:div w:id="1928073907">
          <w:marLeft w:val="0"/>
          <w:marRight w:val="0"/>
          <w:marTop w:val="120"/>
          <w:marBottom w:val="120"/>
          <w:divBdr>
            <w:top w:val="none" w:sz="0" w:space="0" w:color="auto"/>
            <w:left w:val="none" w:sz="0" w:space="0" w:color="auto"/>
            <w:bottom w:val="none" w:sz="0" w:space="0" w:color="auto"/>
            <w:right w:val="none" w:sz="0" w:space="0" w:color="auto"/>
          </w:divBdr>
        </w:div>
        <w:div w:id="1875968071">
          <w:marLeft w:val="0"/>
          <w:marRight w:val="0"/>
          <w:marTop w:val="120"/>
          <w:marBottom w:val="120"/>
          <w:divBdr>
            <w:top w:val="none" w:sz="0" w:space="0" w:color="auto"/>
            <w:left w:val="none" w:sz="0" w:space="0" w:color="auto"/>
            <w:bottom w:val="none" w:sz="0" w:space="0" w:color="auto"/>
            <w:right w:val="none" w:sz="0" w:space="0" w:color="auto"/>
          </w:divBdr>
        </w:div>
        <w:div w:id="700399412">
          <w:marLeft w:val="0"/>
          <w:marRight w:val="0"/>
          <w:marTop w:val="120"/>
          <w:marBottom w:val="120"/>
          <w:divBdr>
            <w:top w:val="none" w:sz="0" w:space="0" w:color="auto"/>
            <w:left w:val="none" w:sz="0" w:space="0" w:color="auto"/>
            <w:bottom w:val="none" w:sz="0" w:space="0" w:color="auto"/>
            <w:right w:val="none" w:sz="0" w:space="0" w:color="auto"/>
          </w:divBdr>
        </w:div>
        <w:div w:id="1406758298">
          <w:marLeft w:val="0"/>
          <w:marRight w:val="0"/>
          <w:marTop w:val="120"/>
          <w:marBottom w:val="120"/>
          <w:divBdr>
            <w:top w:val="none" w:sz="0" w:space="0" w:color="auto"/>
            <w:left w:val="none" w:sz="0" w:space="0" w:color="auto"/>
            <w:bottom w:val="none" w:sz="0" w:space="0" w:color="auto"/>
            <w:right w:val="none" w:sz="0" w:space="0" w:color="auto"/>
          </w:divBdr>
        </w:div>
        <w:div w:id="1620985778">
          <w:marLeft w:val="0"/>
          <w:marRight w:val="0"/>
          <w:marTop w:val="120"/>
          <w:marBottom w:val="120"/>
          <w:divBdr>
            <w:top w:val="none" w:sz="0" w:space="0" w:color="auto"/>
            <w:left w:val="none" w:sz="0" w:space="0" w:color="auto"/>
            <w:bottom w:val="none" w:sz="0" w:space="0" w:color="auto"/>
            <w:right w:val="none" w:sz="0" w:space="0" w:color="auto"/>
          </w:divBdr>
        </w:div>
        <w:div w:id="158815150">
          <w:marLeft w:val="0"/>
          <w:marRight w:val="0"/>
          <w:marTop w:val="120"/>
          <w:marBottom w:val="120"/>
          <w:divBdr>
            <w:top w:val="none" w:sz="0" w:space="0" w:color="auto"/>
            <w:left w:val="none" w:sz="0" w:space="0" w:color="auto"/>
            <w:bottom w:val="none" w:sz="0" w:space="0" w:color="auto"/>
            <w:right w:val="none" w:sz="0" w:space="0" w:color="auto"/>
          </w:divBdr>
        </w:div>
        <w:div w:id="1447852755">
          <w:marLeft w:val="0"/>
          <w:marRight w:val="0"/>
          <w:marTop w:val="120"/>
          <w:marBottom w:val="120"/>
          <w:divBdr>
            <w:top w:val="none" w:sz="0" w:space="0" w:color="auto"/>
            <w:left w:val="none" w:sz="0" w:space="0" w:color="auto"/>
            <w:bottom w:val="none" w:sz="0" w:space="0" w:color="auto"/>
            <w:right w:val="none" w:sz="0" w:space="0" w:color="auto"/>
          </w:divBdr>
        </w:div>
        <w:div w:id="712584841">
          <w:marLeft w:val="0"/>
          <w:marRight w:val="0"/>
          <w:marTop w:val="120"/>
          <w:marBottom w:val="120"/>
          <w:divBdr>
            <w:top w:val="none" w:sz="0" w:space="0" w:color="auto"/>
            <w:left w:val="none" w:sz="0" w:space="0" w:color="auto"/>
            <w:bottom w:val="none" w:sz="0" w:space="0" w:color="auto"/>
            <w:right w:val="none" w:sz="0" w:space="0" w:color="auto"/>
          </w:divBdr>
        </w:div>
      </w:divsChild>
    </w:div>
    <w:div w:id="1525553921">
      <w:bodyDiv w:val="1"/>
      <w:marLeft w:val="0"/>
      <w:marRight w:val="0"/>
      <w:marTop w:val="0"/>
      <w:marBottom w:val="0"/>
      <w:divBdr>
        <w:top w:val="none" w:sz="0" w:space="0" w:color="auto"/>
        <w:left w:val="none" w:sz="0" w:space="0" w:color="auto"/>
        <w:bottom w:val="none" w:sz="0" w:space="0" w:color="auto"/>
        <w:right w:val="none" w:sz="0" w:space="0" w:color="auto"/>
      </w:divBdr>
      <w:divsChild>
        <w:div w:id="1024788640">
          <w:marLeft w:val="0"/>
          <w:marRight w:val="0"/>
          <w:marTop w:val="120"/>
          <w:marBottom w:val="120"/>
          <w:divBdr>
            <w:top w:val="none" w:sz="0" w:space="0" w:color="auto"/>
            <w:left w:val="none" w:sz="0" w:space="0" w:color="auto"/>
            <w:bottom w:val="none" w:sz="0" w:space="0" w:color="auto"/>
            <w:right w:val="none" w:sz="0" w:space="0" w:color="auto"/>
          </w:divBdr>
        </w:div>
        <w:div w:id="1788548416">
          <w:marLeft w:val="0"/>
          <w:marRight w:val="0"/>
          <w:marTop w:val="120"/>
          <w:marBottom w:val="120"/>
          <w:divBdr>
            <w:top w:val="none" w:sz="0" w:space="0" w:color="auto"/>
            <w:left w:val="none" w:sz="0" w:space="0" w:color="auto"/>
            <w:bottom w:val="none" w:sz="0" w:space="0" w:color="auto"/>
            <w:right w:val="none" w:sz="0" w:space="0" w:color="auto"/>
          </w:divBdr>
        </w:div>
        <w:div w:id="969633593">
          <w:marLeft w:val="0"/>
          <w:marRight w:val="0"/>
          <w:marTop w:val="120"/>
          <w:marBottom w:val="120"/>
          <w:divBdr>
            <w:top w:val="none" w:sz="0" w:space="0" w:color="auto"/>
            <w:left w:val="none" w:sz="0" w:space="0" w:color="auto"/>
            <w:bottom w:val="none" w:sz="0" w:space="0" w:color="auto"/>
            <w:right w:val="none" w:sz="0" w:space="0" w:color="auto"/>
          </w:divBdr>
        </w:div>
        <w:div w:id="1976787377">
          <w:marLeft w:val="0"/>
          <w:marRight w:val="0"/>
          <w:marTop w:val="120"/>
          <w:marBottom w:val="120"/>
          <w:divBdr>
            <w:top w:val="none" w:sz="0" w:space="0" w:color="auto"/>
            <w:left w:val="none" w:sz="0" w:space="0" w:color="auto"/>
            <w:bottom w:val="none" w:sz="0" w:space="0" w:color="auto"/>
            <w:right w:val="none" w:sz="0" w:space="0" w:color="auto"/>
          </w:divBdr>
        </w:div>
        <w:div w:id="2037734165">
          <w:marLeft w:val="0"/>
          <w:marRight w:val="0"/>
          <w:marTop w:val="120"/>
          <w:marBottom w:val="120"/>
          <w:divBdr>
            <w:top w:val="none" w:sz="0" w:space="0" w:color="auto"/>
            <w:left w:val="none" w:sz="0" w:space="0" w:color="auto"/>
            <w:bottom w:val="none" w:sz="0" w:space="0" w:color="auto"/>
            <w:right w:val="none" w:sz="0" w:space="0" w:color="auto"/>
          </w:divBdr>
        </w:div>
        <w:div w:id="1297026560">
          <w:marLeft w:val="0"/>
          <w:marRight w:val="0"/>
          <w:marTop w:val="120"/>
          <w:marBottom w:val="120"/>
          <w:divBdr>
            <w:top w:val="none" w:sz="0" w:space="0" w:color="auto"/>
            <w:left w:val="none" w:sz="0" w:space="0" w:color="auto"/>
            <w:bottom w:val="none" w:sz="0" w:space="0" w:color="auto"/>
            <w:right w:val="none" w:sz="0" w:space="0" w:color="auto"/>
          </w:divBdr>
        </w:div>
        <w:div w:id="312028798">
          <w:marLeft w:val="0"/>
          <w:marRight w:val="0"/>
          <w:marTop w:val="120"/>
          <w:marBottom w:val="120"/>
          <w:divBdr>
            <w:top w:val="none" w:sz="0" w:space="0" w:color="auto"/>
            <w:left w:val="none" w:sz="0" w:space="0" w:color="auto"/>
            <w:bottom w:val="none" w:sz="0" w:space="0" w:color="auto"/>
            <w:right w:val="none" w:sz="0" w:space="0" w:color="auto"/>
          </w:divBdr>
        </w:div>
        <w:div w:id="510949997">
          <w:marLeft w:val="0"/>
          <w:marRight w:val="0"/>
          <w:marTop w:val="120"/>
          <w:marBottom w:val="120"/>
          <w:divBdr>
            <w:top w:val="none" w:sz="0" w:space="0" w:color="auto"/>
            <w:left w:val="none" w:sz="0" w:space="0" w:color="auto"/>
            <w:bottom w:val="none" w:sz="0" w:space="0" w:color="auto"/>
            <w:right w:val="none" w:sz="0" w:space="0" w:color="auto"/>
          </w:divBdr>
        </w:div>
      </w:divsChild>
    </w:div>
    <w:div w:id="1785227256">
      <w:bodyDiv w:val="1"/>
      <w:marLeft w:val="0"/>
      <w:marRight w:val="0"/>
      <w:marTop w:val="0"/>
      <w:marBottom w:val="0"/>
      <w:divBdr>
        <w:top w:val="none" w:sz="0" w:space="0" w:color="auto"/>
        <w:left w:val="none" w:sz="0" w:space="0" w:color="auto"/>
        <w:bottom w:val="none" w:sz="0" w:space="0" w:color="auto"/>
        <w:right w:val="none" w:sz="0" w:space="0" w:color="auto"/>
      </w:divBdr>
      <w:divsChild>
        <w:div w:id="1213811151">
          <w:marLeft w:val="0"/>
          <w:marRight w:val="0"/>
          <w:marTop w:val="120"/>
          <w:marBottom w:val="120"/>
          <w:divBdr>
            <w:top w:val="none" w:sz="0" w:space="0" w:color="auto"/>
            <w:left w:val="none" w:sz="0" w:space="0" w:color="auto"/>
            <w:bottom w:val="none" w:sz="0" w:space="0" w:color="auto"/>
            <w:right w:val="none" w:sz="0" w:space="0" w:color="auto"/>
          </w:divBdr>
        </w:div>
        <w:div w:id="511917949">
          <w:marLeft w:val="0"/>
          <w:marRight w:val="0"/>
          <w:marTop w:val="120"/>
          <w:marBottom w:val="120"/>
          <w:divBdr>
            <w:top w:val="none" w:sz="0" w:space="0" w:color="auto"/>
            <w:left w:val="none" w:sz="0" w:space="0" w:color="auto"/>
            <w:bottom w:val="none" w:sz="0" w:space="0" w:color="auto"/>
            <w:right w:val="none" w:sz="0" w:space="0" w:color="auto"/>
          </w:divBdr>
        </w:div>
        <w:div w:id="1145396189">
          <w:marLeft w:val="0"/>
          <w:marRight w:val="0"/>
          <w:marTop w:val="120"/>
          <w:marBottom w:val="120"/>
          <w:divBdr>
            <w:top w:val="none" w:sz="0" w:space="0" w:color="auto"/>
            <w:left w:val="none" w:sz="0" w:space="0" w:color="auto"/>
            <w:bottom w:val="none" w:sz="0" w:space="0" w:color="auto"/>
            <w:right w:val="none" w:sz="0" w:space="0" w:color="auto"/>
          </w:divBdr>
        </w:div>
        <w:div w:id="1046754314">
          <w:marLeft w:val="0"/>
          <w:marRight w:val="0"/>
          <w:marTop w:val="120"/>
          <w:marBottom w:val="120"/>
          <w:divBdr>
            <w:top w:val="none" w:sz="0" w:space="0" w:color="auto"/>
            <w:left w:val="none" w:sz="0" w:space="0" w:color="auto"/>
            <w:bottom w:val="none" w:sz="0" w:space="0" w:color="auto"/>
            <w:right w:val="none" w:sz="0" w:space="0" w:color="auto"/>
          </w:divBdr>
        </w:div>
        <w:div w:id="43868997">
          <w:marLeft w:val="0"/>
          <w:marRight w:val="0"/>
          <w:marTop w:val="120"/>
          <w:marBottom w:val="120"/>
          <w:divBdr>
            <w:top w:val="none" w:sz="0" w:space="0" w:color="auto"/>
            <w:left w:val="none" w:sz="0" w:space="0" w:color="auto"/>
            <w:bottom w:val="none" w:sz="0" w:space="0" w:color="auto"/>
            <w:right w:val="none" w:sz="0" w:space="0" w:color="auto"/>
          </w:divBdr>
        </w:div>
        <w:div w:id="1643458273">
          <w:marLeft w:val="0"/>
          <w:marRight w:val="0"/>
          <w:marTop w:val="120"/>
          <w:marBottom w:val="120"/>
          <w:divBdr>
            <w:top w:val="none" w:sz="0" w:space="0" w:color="auto"/>
            <w:left w:val="none" w:sz="0" w:space="0" w:color="auto"/>
            <w:bottom w:val="none" w:sz="0" w:space="0" w:color="auto"/>
            <w:right w:val="none" w:sz="0" w:space="0" w:color="auto"/>
          </w:divBdr>
        </w:div>
        <w:div w:id="2066643012">
          <w:marLeft w:val="0"/>
          <w:marRight w:val="0"/>
          <w:marTop w:val="120"/>
          <w:marBottom w:val="12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7790920">
      <w:bodyDiv w:val="1"/>
      <w:marLeft w:val="0"/>
      <w:marRight w:val="0"/>
      <w:marTop w:val="0"/>
      <w:marBottom w:val="0"/>
      <w:divBdr>
        <w:top w:val="none" w:sz="0" w:space="0" w:color="auto"/>
        <w:left w:val="none" w:sz="0" w:space="0" w:color="auto"/>
        <w:bottom w:val="none" w:sz="0" w:space="0" w:color="auto"/>
        <w:right w:val="none" w:sz="0" w:space="0" w:color="auto"/>
      </w:divBdr>
      <w:divsChild>
        <w:div w:id="1387140250">
          <w:marLeft w:val="0"/>
          <w:marRight w:val="0"/>
          <w:marTop w:val="120"/>
          <w:marBottom w:val="120"/>
          <w:divBdr>
            <w:top w:val="none" w:sz="0" w:space="0" w:color="auto"/>
            <w:left w:val="none" w:sz="0" w:space="0" w:color="auto"/>
            <w:bottom w:val="none" w:sz="0" w:space="0" w:color="auto"/>
            <w:right w:val="none" w:sz="0" w:space="0" w:color="auto"/>
          </w:divBdr>
        </w:div>
        <w:div w:id="2002349424">
          <w:marLeft w:val="0"/>
          <w:marRight w:val="0"/>
          <w:marTop w:val="120"/>
          <w:marBottom w:val="120"/>
          <w:divBdr>
            <w:top w:val="none" w:sz="0" w:space="0" w:color="auto"/>
            <w:left w:val="none" w:sz="0" w:space="0" w:color="auto"/>
            <w:bottom w:val="none" w:sz="0" w:space="0" w:color="auto"/>
            <w:right w:val="none" w:sz="0" w:space="0" w:color="auto"/>
          </w:divBdr>
        </w:div>
        <w:div w:id="220211772">
          <w:marLeft w:val="0"/>
          <w:marRight w:val="0"/>
          <w:marTop w:val="120"/>
          <w:marBottom w:val="120"/>
          <w:divBdr>
            <w:top w:val="none" w:sz="0" w:space="0" w:color="auto"/>
            <w:left w:val="none" w:sz="0" w:space="0" w:color="auto"/>
            <w:bottom w:val="none" w:sz="0" w:space="0" w:color="auto"/>
            <w:right w:val="none" w:sz="0" w:space="0" w:color="auto"/>
          </w:divBdr>
        </w:div>
        <w:div w:id="1258833133">
          <w:marLeft w:val="0"/>
          <w:marRight w:val="0"/>
          <w:marTop w:val="120"/>
          <w:marBottom w:val="120"/>
          <w:divBdr>
            <w:top w:val="none" w:sz="0" w:space="0" w:color="auto"/>
            <w:left w:val="none" w:sz="0" w:space="0" w:color="auto"/>
            <w:bottom w:val="none" w:sz="0" w:space="0" w:color="auto"/>
            <w:right w:val="none" w:sz="0" w:space="0" w:color="auto"/>
          </w:divBdr>
        </w:div>
        <w:div w:id="1250043380">
          <w:marLeft w:val="0"/>
          <w:marRight w:val="0"/>
          <w:marTop w:val="120"/>
          <w:marBottom w:val="120"/>
          <w:divBdr>
            <w:top w:val="none" w:sz="0" w:space="0" w:color="auto"/>
            <w:left w:val="none" w:sz="0" w:space="0" w:color="auto"/>
            <w:bottom w:val="none" w:sz="0" w:space="0" w:color="auto"/>
            <w:right w:val="none" w:sz="0" w:space="0" w:color="auto"/>
          </w:divBdr>
        </w:div>
        <w:div w:id="53090327">
          <w:marLeft w:val="0"/>
          <w:marRight w:val="0"/>
          <w:marTop w:val="120"/>
          <w:marBottom w:val="120"/>
          <w:divBdr>
            <w:top w:val="none" w:sz="0" w:space="0" w:color="auto"/>
            <w:left w:val="none" w:sz="0" w:space="0" w:color="auto"/>
            <w:bottom w:val="none" w:sz="0" w:space="0" w:color="auto"/>
            <w:right w:val="none" w:sz="0" w:space="0" w:color="auto"/>
          </w:divBdr>
        </w:div>
        <w:div w:id="786240486">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32930D6-468A-4572-B81F-FA0685794F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E274E46C-312D-4585-8BBF-B1B9D73A48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6</Pages>
  <Words>1219</Words>
  <Characters>6859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Adetoun B Abogunrin</cp:lastModifiedBy>
  <cp:revision>14</cp:revision>
  <cp:lastPrinted>2020-02-11T19:20:00Z</cp:lastPrinted>
  <dcterms:created xsi:type="dcterms:W3CDTF">2025-09-12T12:19:00Z</dcterms:created>
  <dcterms:modified xsi:type="dcterms:W3CDTF">2025-10-07T11:10:00Z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y fmtid="{D5CDD505-2E9C-101B-9397-08002B2CF9AE}" pid="3" name="GrammarlyDocumentId">
    <vt:lpwstr>e14742a5-2740-4c88-94be-cd63bacf5663</vt:lpwstr>
  </property>
</Properties>
</file>