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heme="majorBidi" w:hAnsiTheme="majorBidi" w:cstheme="majorBidi"/>
          <w:szCs w:val="24"/>
        </w:rPr>
      </w:pPr>
      <w:r>
        <w:rPr>
          <w:rFonts w:asciiTheme="majorBidi" w:hAnsiTheme="majorBidi" w:cstheme="majorBidi"/>
          <w:b/>
          <w:sz w:val="28"/>
        </w:rPr>
        <w:t>Question one:</w:t>
      </w:r>
      <w:r>
        <w:rPr>
          <w:rFonts w:asciiTheme="majorBidi" w:hAnsiTheme="majorBidi" w:cstheme="majorBidi"/>
          <w:szCs w:val="24"/>
        </w:rPr>
        <w:t xml:space="preserve"> </w:t>
      </w:r>
    </w:p>
    <w:p>
      <w:pPr>
        <w:numPr>
          <w:ilvl w:val="0"/>
          <w:numId w:val="1"/>
        </w:numPr>
        <w:rPr>
          <w:rFonts w:hint="default" w:asciiTheme="majorBidi" w:hAnsiTheme="majorBidi" w:eastAsiaTheme="minorEastAsia" w:cstheme="majorBidi"/>
          <w:b/>
          <w:color w:val="000000" w:themeColor="text1"/>
          <w:sz w:val="24"/>
          <w:szCs w:val="24"/>
          <w:lang w:val="en-US" w:eastAsia="zh-CN"/>
          <w14:textFill>
            <w14:solidFill>
              <w14:schemeClr w14:val="tx1"/>
            </w14:solidFill>
          </w14:textFill>
        </w:rPr>
      </w:pPr>
      <w:r>
        <w:rPr>
          <w:rFonts w:asciiTheme="majorBidi" w:hAnsiTheme="majorBidi" w:cstheme="majorBidi"/>
          <w:b/>
          <w:bCs/>
          <w:color w:val="000000" w:themeColor="text1"/>
          <w:sz w:val="24"/>
          <w:szCs w:val="24"/>
          <w14:textFill>
            <w14:solidFill>
              <w14:schemeClr w14:val="tx1"/>
            </w14:solidFill>
          </w14:textFill>
        </w:rPr>
        <w:t>C</w:t>
      </w:r>
    </w:p>
    <w:p>
      <w:pPr>
        <w:numPr>
          <w:ilvl w:val="0"/>
          <w:numId w:val="1"/>
        </w:numPr>
        <w:ind w:left="0" w:leftChars="0" w:firstLine="0" w:firstLineChars="0"/>
        <w:rPr>
          <w:rFonts w:asciiTheme="majorBidi" w:hAnsiTheme="majorBidi" w:cstheme="majorBidi"/>
          <w:b/>
          <w:bCs/>
          <w:color w:val="000000" w:themeColor="text1"/>
          <w:sz w:val="24"/>
          <w:szCs w:val="24"/>
          <w14:textFill>
            <w14:solidFill>
              <w14:schemeClr w14:val="tx1"/>
            </w14:solidFill>
          </w14:textFill>
        </w:rPr>
      </w:pPr>
      <w:r>
        <w:rPr>
          <w:rFonts w:hint="eastAsia" w:asciiTheme="majorBidi" w:hAnsiTheme="majorBidi" w:cstheme="majorBidi"/>
          <w:b/>
          <w:bCs/>
          <w:color w:val="000000" w:themeColor="text1"/>
          <w:sz w:val="24"/>
          <w:szCs w:val="24"/>
          <w:lang w:val="en-US" w:eastAsia="zh-CN"/>
          <w14:textFill>
            <w14:solidFill>
              <w14:schemeClr w14:val="tx1"/>
            </w14:solidFill>
          </w14:textFill>
        </w:rPr>
        <w:t xml:space="preserve">E </w:t>
      </w:r>
    </w:p>
    <w:p>
      <w:pPr>
        <w:numPr>
          <w:ilvl w:val="0"/>
          <w:numId w:val="1"/>
        </w:numPr>
        <w:ind w:left="0" w:leftChars="0" w:firstLine="0" w:firstLineChars="0"/>
        <w:rPr>
          <w:rFonts w:asciiTheme="majorBidi" w:hAnsiTheme="majorBidi" w:cstheme="majorBidi"/>
          <w:b/>
          <w:bCs/>
          <w:color w:val="000000" w:themeColor="text1"/>
          <w:sz w:val="24"/>
          <w:szCs w:val="24"/>
          <w14:textFill>
            <w14:solidFill>
              <w14:schemeClr w14:val="tx1"/>
            </w14:solidFill>
          </w14:textFill>
        </w:rPr>
      </w:pPr>
      <w:r>
        <w:rPr>
          <w:rFonts w:asciiTheme="majorBidi" w:hAnsiTheme="majorBidi" w:cstheme="majorBidi"/>
          <w:b/>
          <w:bCs/>
          <w:color w:val="000000" w:themeColor="text1"/>
          <w:sz w:val="24"/>
          <w:szCs w:val="24"/>
          <w14:textFill>
            <w14:solidFill>
              <w14:schemeClr w14:val="tx1"/>
            </w14:solidFill>
          </w14:textFill>
        </w:rPr>
        <w:t>B</w:t>
      </w:r>
    </w:p>
    <w:p>
      <w:pPr>
        <w:numPr>
          <w:ilvl w:val="0"/>
          <w:numId w:val="1"/>
        </w:numPr>
        <w:ind w:left="0" w:leftChars="0" w:firstLine="0" w:firstLineChars="0"/>
        <w:rPr>
          <w:rFonts w:asciiTheme="majorBidi" w:hAnsiTheme="majorBidi" w:cstheme="majorBidi"/>
          <w:b/>
          <w:bCs/>
          <w:color w:val="000000" w:themeColor="text1"/>
          <w:sz w:val="24"/>
          <w:szCs w:val="24"/>
          <w14:textFill>
            <w14:solidFill>
              <w14:schemeClr w14:val="tx1"/>
            </w14:solidFill>
          </w14:textFill>
        </w:rPr>
      </w:pPr>
      <w:r>
        <w:rPr>
          <w:rFonts w:hint="eastAsia" w:asciiTheme="majorBidi" w:hAnsiTheme="majorBidi" w:cstheme="majorBidi"/>
          <w:b/>
          <w:bCs/>
          <w:color w:val="000000" w:themeColor="text1"/>
          <w:sz w:val="24"/>
          <w:szCs w:val="24"/>
          <w:lang w:val="en-US" w:eastAsia="zh-CN"/>
          <w14:textFill>
            <w14:solidFill>
              <w14:schemeClr w14:val="tx1"/>
            </w14:solidFill>
          </w14:textFill>
        </w:rPr>
        <w:t>A</w:t>
      </w:r>
    </w:p>
    <w:p>
      <w:pPr>
        <w:numPr>
          <w:ilvl w:val="0"/>
          <w:numId w:val="1"/>
        </w:numPr>
        <w:ind w:left="0" w:leftChars="0" w:firstLine="0" w:firstLineChars="0"/>
        <w:rPr>
          <w:rFonts w:asciiTheme="majorBidi" w:hAnsiTheme="majorBidi" w:cstheme="majorBidi"/>
          <w:b/>
          <w:bCs/>
          <w:color w:val="000000" w:themeColor="text1"/>
          <w:sz w:val="24"/>
          <w:szCs w:val="24"/>
          <w14:textFill>
            <w14:solidFill>
              <w14:schemeClr w14:val="tx1"/>
            </w14:solidFill>
          </w14:textFill>
        </w:rPr>
      </w:pPr>
      <w:r>
        <w:rPr>
          <w:rFonts w:hint="eastAsia" w:asciiTheme="majorBidi" w:hAnsiTheme="majorBidi" w:cstheme="majorBidi"/>
          <w:b/>
          <w:bCs/>
          <w:color w:val="000000" w:themeColor="text1"/>
          <w:sz w:val="24"/>
          <w:szCs w:val="24"/>
          <w:lang w:val="en-US" w:eastAsia="zh-CN"/>
          <w14:textFill>
            <w14:solidFill>
              <w14:schemeClr w14:val="tx1"/>
            </w14:solidFill>
          </w14:textFill>
        </w:rPr>
        <w:t>B</w:t>
      </w:r>
    </w:p>
    <w:p>
      <w:pPr>
        <w:widowControl w:val="0"/>
        <w:numPr>
          <w:ilvl w:val="0"/>
          <w:numId w:val="0"/>
        </w:numPr>
        <w:jc w:val="both"/>
        <w:rPr>
          <w:rFonts w:asciiTheme="majorBidi" w:hAnsiTheme="majorBidi" w:cstheme="majorBidi"/>
          <w:b/>
          <w:sz w:val="28"/>
        </w:rPr>
      </w:pPr>
      <w:r>
        <w:rPr>
          <w:rFonts w:asciiTheme="majorBidi" w:hAnsiTheme="majorBidi" w:cstheme="majorBidi"/>
          <w:b/>
          <w:sz w:val="28"/>
        </w:rPr>
        <w:t>Question two:</w:t>
      </w:r>
    </w:p>
    <w:p>
      <w:pPr>
        <w:widowControl w:val="0"/>
        <w:numPr>
          <w:ilvl w:val="0"/>
          <w:numId w:val="0"/>
        </w:numPr>
        <w:jc w:val="both"/>
        <w:rPr>
          <w:rFonts w:hint="eastAsia" w:asciiTheme="majorBidi" w:hAnsiTheme="majorBidi" w:cstheme="majorBidi"/>
          <w:b/>
          <w:sz w:val="28"/>
          <w:lang w:val="en-US" w:eastAsia="zh-CN"/>
        </w:rPr>
      </w:pPr>
      <w:r>
        <w:rPr>
          <w:rFonts w:hint="eastAsia" w:asciiTheme="majorBidi" w:hAnsiTheme="majorBidi" w:cstheme="majorBidi"/>
          <w:b/>
          <w:sz w:val="28"/>
          <w:lang w:val="en-US" w:eastAsia="zh-CN"/>
        </w:rPr>
        <w:t xml:space="preserve">2a) </w:t>
      </w:r>
    </w:p>
    <w:p>
      <w:pPr>
        <w:widowControl w:val="0"/>
        <w:numPr>
          <w:ilvl w:val="0"/>
          <w:numId w:val="0"/>
        </w:numPr>
        <w:jc w:val="both"/>
        <w:rPr>
          <w:rFonts w:hint="default" w:ascii="Times New Roman" w:hAnsi="Times New Roman" w:eastAsia="Times New Roman" w:cs="Times New Roman"/>
          <w:kern w:val="2"/>
          <w:position w:val="2"/>
          <w:sz w:val="24"/>
          <w:szCs w:val="24"/>
          <w:lang w:val="en-US" w:eastAsia="zh-CN" w:bidi="ar-SA"/>
        </w:rPr>
      </w:pPr>
      <w:r>
        <w:rPr>
          <w:rFonts w:hint="eastAsia" w:ascii="Times New Roman" w:hAnsi="Times New Roman" w:eastAsia="Times New Roman" w:cs="Times New Roman"/>
          <w:kern w:val="2"/>
          <w:position w:val="2"/>
          <w:sz w:val="24"/>
          <w:szCs w:val="24"/>
          <w:lang w:val="en-US" w:eastAsia="zh-CN" w:bidi="ar-SA"/>
        </w:rPr>
        <w:t xml:space="preserve">(b)  </w:t>
      </w:r>
    </w:p>
    <w:p>
      <w:pPr>
        <w:pStyle w:val="2"/>
        <w:ind w:right="839"/>
        <w:jc w:val="both"/>
        <w:rPr>
          <w:sz w:val="20"/>
        </w:rPr>
      </w:pPr>
      <w:r>
        <w:rPr>
          <w:position w:val="2"/>
        </w:rPr>
        <w:t>The first split is X</w:t>
      </w:r>
      <w:r>
        <w:rPr>
          <w:sz w:val="16"/>
        </w:rPr>
        <w:t xml:space="preserve">1 </w:t>
      </w:r>
      <w:r>
        <w:rPr>
          <w:position w:val="2"/>
        </w:rPr>
        <w:t>&lt; t</w:t>
      </w:r>
      <w:r>
        <w:rPr>
          <w:sz w:val="16"/>
        </w:rPr>
        <w:t>1</w:t>
      </w:r>
      <w:r>
        <w:rPr>
          <w:position w:val="2"/>
        </w:rPr>
        <w:t>. This requires a horizontal line at t</w:t>
      </w:r>
      <w:r>
        <w:rPr>
          <w:sz w:val="16"/>
        </w:rPr>
        <w:t xml:space="preserve">1 </w:t>
      </w:r>
      <w:r>
        <w:rPr>
          <w:position w:val="2"/>
        </w:rPr>
        <w:t>on the vertical</w:t>
      </w:r>
      <w:r>
        <w:rPr>
          <w:rFonts w:hint="eastAsia" w:eastAsia="宋体"/>
          <w:position w:val="2"/>
          <w:lang w:val="en-US" w:eastAsia="zh-CN"/>
        </w:rPr>
        <w:t xml:space="preserve"> </w:t>
      </w:r>
      <w:r>
        <w:rPr>
          <w:position w:val="2"/>
        </w:rPr>
        <w:t>axis. Graphs</w:t>
      </w:r>
      <w:r>
        <w:rPr>
          <w:spacing w:val="-57"/>
          <w:position w:val="2"/>
        </w:rPr>
        <w:t xml:space="preserve"> </w:t>
      </w:r>
      <w:r>
        <w:t>B,</w:t>
      </w:r>
      <w:r>
        <w:rPr>
          <w:spacing w:val="-1"/>
        </w:rPr>
        <w:t xml:space="preserve"> </w:t>
      </w:r>
      <w:r>
        <w:t>C, and E</w:t>
      </w:r>
      <w:r>
        <w:rPr>
          <w:spacing w:val="-1"/>
        </w:rPr>
        <w:t xml:space="preserve"> </w:t>
      </w:r>
      <w:r>
        <w:t>have</w:t>
      </w:r>
      <w:r>
        <w:rPr>
          <w:spacing w:val="-1"/>
        </w:rPr>
        <w:t xml:space="preserve"> </w:t>
      </w:r>
      <w:r>
        <w:t>such a</w:t>
      </w:r>
      <w:r>
        <w:rPr>
          <w:spacing w:val="-1"/>
        </w:rPr>
        <w:t xml:space="preserve"> </w:t>
      </w:r>
      <w:r>
        <w:t>line.</w:t>
      </w:r>
    </w:p>
    <w:p>
      <w:pPr>
        <w:pStyle w:val="2"/>
        <w:spacing w:line="237" w:lineRule="auto"/>
        <w:ind w:right="575"/>
        <w:rPr>
          <w:sz w:val="21"/>
        </w:rPr>
      </w:pPr>
      <w:r>
        <w:t>The second split is the case where the first split is true. That means all further action is</w:t>
      </w:r>
      <w:r>
        <w:rPr>
          <w:spacing w:val="1"/>
        </w:rPr>
        <w:t xml:space="preserve"> </w:t>
      </w:r>
      <w:r>
        <w:rPr>
          <w:position w:val="2"/>
        </w:rPr>
        <w:t>below the line just described. All three graphs do that. The second split is x</w:t>
      </w:r>
      <w:r>
        <w:rPr>
          <w:sz w:val="16"/>
        </w:rPr>
        <w:t>2</w:t>
      </w:r>
      <w:r>
        <w:rPr>
          <w:spacing w:val="1"/>
          <w:sz w:val="16"/>
        </w:rPr>
        <w:t xml:space="preserve"> </w:t>
      </w:r>
      <w:r>
        <w:rPr>
          <w:position w:val="2"/>
        </w:rPr>
        <w:t>&lt; t</w:t>
      </w:r>
      <w:r>
        <w:rPr>
          <w:sz w:val="16"/>
        </w:rPr>
        <w:t>2</w:t>
      </w:r>
      <w:r>
        <w:rPr>
          <w:position w:val="2"/>
        </w:rPr>
        <w:t>. This</w:t>
      </w:r>
      <w:r>
        <w:rPr>
          <w:spacing w:val="1"/>
          <w:position w:val="2"/>
        </w:rPr>
        <w:t xml:space="preserve"> </w:t>
      </w:r>
      <w:r>
        <w:rPr>
          <w:position w:val="2"/>
        </w:rPr>
        <w:t>requires</w:t>
      </w:r>
      <w:r>
        <w:rPr>
          <w:spacing w:val="-1"/>
          <w:position w:val="2"/>
        </w:rPr>
        <w:t xml:space="preserve"> </w:t>
      </w:r>
      <w:r>
        <w:rPr>
          <w:position w:val="2"/>
        </w:rPr>
        <w:t>a</w:t>
      </w:r>
      <w:r>
        <w:rPr>
          <w:spacing w:val="-2"/>
          <w:position w:val="2"/>
        </w:rPr>
        <w:t xml:space="preserve"> </w:t>
      </w:r>
      <w:r>
        <w:rPr>
          <w:position w:val="2"/>
        </w:rPr>
        <w:t>vertical line</w:t>
      </w:r>
      <w:r>
        <w:rPr>
          <w:spacing w:val="-2"/>
          <w:position w:val="2"/>
        </w:rPr>
        <w:t xml:space="preserve"> </w:t>
      </w:r>
      <w:r>
        <w:rPr>
          <w:position w:val="2"/>
        </w:rPr>
        <w:t>at t</w:t>
      </w:r>
      <w:r>
        <w:rPr>
          <w:sz w:val="16"/>
        </w:rPr>
        <w:t>2</w:t>
      </w:r>
      <w:r>
        <w:rPr>
          <w:spacing w:val="20"/>
          <w:sz w:val="16"/>
        </w:rPr>
        <w:t xml:space="preserve"> </w:t>
      </w:r>
      <w:r>
        <w:rPr>
          <w:position w:val="2"/>
        </w:rPr>
        <w:t>on the</w:t>
      </w:r>
      <w:r>
        <w:rPr>
          <w:spacing w:val="-2"/>
          <w:position w:val="2"/>
        </w:rPr>
        <w:t xml:space="preserve"> </w:t>
      </w:r>
      <w:r>
        <w:rPr>
          <w:position w:val="2"/>
        </w:rPr>
        <w:t>horizontal axis</w:t>
      </w:r>
      <w:r>
        <w:rPr>
          <w:spacing w:val="-1"/>
          <w:position w:val="2"/>
        </w:rPr>
        <w:t xml:space="preserve"> </w:t>
      </w:r>
      <w:r>
        <w:rPr>
          <w:position w:val="2"/>
        </w:rPr>
        <w:t>with</w:t>
      </w:r>
      <w:r>
        <w:rPr>
          <w:spacing w:val="-1"/>
          <w:position w:val="2"/>
        </w:rPr>
        <w:t xml:space="preserve"> </w:t>
      </w:r>
      <w:r>
        <w:rPr>
          <w:position w:val="2"/>
        </w:rPr>
        <w:t>the</w:t>
      </w:r>
      <w:r>
        <w:rPr>
          <w:spacing w:val="-1"/>
          <w:position w:val="2"/>
        </w:rPr>
        <w:t xml:space="preserve"> </w:t>
      </w:r>
      <w:r>
        <w:rPr>
          <w:position w:val="2"/>
        </w:rPr>
        <w:t>line</w:t>
      </w:r>
      <w:r>
        <w:rPr>
          <w:spacing w:val="-2"/>
          <w:position w:val="2"/>
        </w:rPr>
        <w:t xml:space="preserve"> </w:t>
      </w:r>
      <w:r>
        <w:rPr>
          <w:position w:val="2"/>
        </w:rPr>
        <w:t>only going</w:t>
      </w:r>
      <w:r>
        <w:rPr>
          <w:spacing w:val="-1"/>
          <w:position w:val="2"/>
        </w:rPr>
        <w:t xml:space="preserve"> </w:t>
      </w:r>
      <w:r>
        <w:rPr>
          <w:position w:val="2"/>
        </w:rPr>
        <w:t>up to</w:t>
      </w:r>
      <w:r>
        <w:rPr>
          <w:spacing w:val="-1"/>
          <w:position w:val="2"/>
        </w:rPr>
        <w:t xml:space="preserve"> </w:t>
      </w:r>
      <w:r>
        <w:rPr>
          <w:position w:val="2"/>
        </w:rPr>
        <w:t>t</w:t>
      </w:r>
      <w:r>
        <w:rPr>
          <w:sz w:val="16"/>
        </w:rPr>
        <w:t>1</w:t>
      </w:r>
      <w:r>
        <w:rPr>
          <w:position w:val="2"/>
        </w:rPr>
        <w:t>. Again,</w:t>
      </w:r>
      <w:r>
        <w:rPr>
          <w:spacing w:val="-57"/>
          <w:position w:val="2"/>
        </w:rPr>
        <w:t xml:space="preserve"> </w:t>
      </w:r>
      <w:r>
        <w:t>all</w:t>
      </w:r>
      <w:r>
        <w:rPr>
          <w:spacing w:val="-1"/>
        </w:rPr>
        <w:t xml:space="preserve"> </w:t>
      </w:r>
      <w:r>
        <w:t>three</w:t>
      </w:r>
      <w:r>
        <w:rPr>
          <w:spacing w:val="-1"/>
        </w:rPr>
        <w:t xml:space="preserve"> </w:t>
      </w:r>
      <w:r>
        <w:t>graphs have</w:t>
      </w:r>
      <w:r>
        <w:rPr>
          <w:spacing w:val="-1"/>
        </w:rPr>
        <w:t xml:space="preserve"> </w:t>
      </w:r>
      <w:r>
        <w:t>this.</w:t>
      </w:r>
    </w:p>
    <w:p>
      <w:pPr>
        <w:pStyle w:val="2"/>
        <w:spacing w:before="1"/>
        <w:ind w:right="737"/>
        <w:jc w:val="both"/>
        <w:rPr>
          <w:position w:val="2"/>
        </w:rPr>
      </w:pPr>
      <w:r>
        <w:t>The third split is when the second split is true. That means all further action is to the left</w:t>
      </w:r>
      <w:r>
        <w:rPr>
          <w:spacing w:val="-57"/>
        </w:rPr>
        <w:t xml:space="preserve"> </w:t>
      </w:r>
      <w:r>
        <w:t>of the line just described. That rules out graph C. The only difference between graphs B</w:t>
      </w:r>
      <w:r>
        <w:rPr>
          <w:spacing w:val="-57"/>
        </w:rPr>
        <w:t xml:space="preserve"> </w:t>
      </w:r>
      <w:r>
        <w:t>and E is which part relates to node C and which to node D. The third split indicates that</w:t>
      </w:r>
      <w:r>
        <w:rPr>
          <w:spacing w:val="-57"/>
        </w:rPr>
        <w:t xml:space="preserve"> </w:t>
      </w:r>
      <w:r>
        <w:rPr>
          <w:position w:val="2"/>
        </w:rPr>
        <w:t>node</w:t>
      </w:r>
      <w:r>
        <w:rPr>
          <w:spacing w:val="-2"/>
          <w:position w:val="2"/>
        </w:rPr>
        <w:t xml:space="preserve"> </w:t>
      </w:r>
      <w:r>
        <w:rPr>
          <w:position w:val="2"/>
        </w:rPr>
        <w:t>C is the</w:t>
      </w:r>
      <w:r>
        <w:rPr>
          <w:spacing w:val="-2"/>
          <w:position w:val="2"/>
        </w:rPr>
        <w:t xml:space="preserve"> </w:t>
      </w:r>
      <w:r>
        <w:rPr>
          <w:position w:val="2"/>
        </w:rPr>
        <w:t>case</w:t>
      </w:r>
      <w:r>
        <w:rPr>
          <w:spacing w:val="-1"/>
          <w:position w:val="2"/>
        </w:rPr>
        <w:t xml:space="preserve"> </w:t>
      </w:r>
      <w:r>
        <w:rPr>
          <w:position w:val="2"/>
        </w:rPr>
        <w:t>when</w:t>
      </w:r>
      <w:r>
        <w:rPr>
          <w:spacing w:val="2"/>
          <w:position w:val="2"/>
        </w:rPr>
        <w:t xml:space="preserve"> </w:t>
      </w:r>
      <w:r>
        <w:rPr>
          <w:position w:val="2"/>
        </w:rPr>
        <w:t>x</w:t>
      </w:r>
      <w:r>
        <w:rPr>
          <w:sz w:val="16"/>
        </w:rPr>
        <w:t>1</w:t>
      </w:r>
      <w:r>
        <w:rPr>
          <w:spacing w:val="20"/>
          <w:sz w:val="16"/>
        </w:rPr>
        <w:t xml:space="preserve"> </w:t>
      </w:r>
      <w:r>
        <w:rPr>
          <w:position w:val="2"/>
        </w:rPr>
        <w:t>&lt;</w:t>
      </w:r>
      <w:r>
        <w:rPr>
          <w:spacing w:val="-1"/>
          <w:position w:val="2"/>
        </w:rPr>
        <w:t xml:space="preserve"> </w:t>
      </w:r>
      <w:r>
        <w:rPr>
          <w:position w:val="2"/>
        </w:rPr>
        <w:t>t</w:t>
      </w:r>
      <w:r>
        <w:rPr>
          <w:sz w:val="16"/>
        </w:rPr>
        <w:t>3</w:t>
      </w:r>
      <w:r>
        <w:rPr>
          <w:position w:val="2"/>
        </w:rPr>
        <w:t>. Only graph</w:t>
      </w:r>
      <w:r>
        <w:rPr>
          <w:spacing w:val="-1"/>
          <w:position w:val="2"/>
        </w:rPr>
        <w:t xml:space="preserve"> </w:t>
      </w:r>
      <w:r>
        <w:rPr>
          <w:position w:val="2"/>
        </w:rPr>
        <w:t>B has this</w:t>
      </w:r>
      <w:r>
        <w:rPr>
          <w:spacing w:val="-1"/>
          <w:position w:val="2"/>
        </w:rPr>
        <w:t xml:space="preserve"> </w:t>
      </w:r>
      <w:r>
        <w:rPr>
          <w:position w:val="2"/>
        </w:rPr>
        <w:t>region marked as C.</w:t>
      </w:r>
    </w:p>
    <w:p>
      <w:pPr>
        <w:pStyle w:val="2"/>
        <w:spacing w:before="1"/>
        <w:ind w:right="737"/>
        <w:jc w:val="both"/>
        <w:rPr>
          <w:rFonts w:hint="eastAsia" w:eastAsia="宋体"/>
          <w:position w:val="2"/>
          <w:lang w:val="en-US" w:eastAsia="zh-CN"/>
        </w:rPr>
      </w:pPr>
    </w:p>
    <w:p>
      <w:pPr>
        <w:pStyle w:val="2"/>
        <w:spacing w:before="1"/>
        <w:ind w:right="737"/>
        <w:jc w:val="both"/>
        <w:rPr>
          <w:rFonts w:hint="eastAsia" w:asciiTheme="majorBidi" w:hAnsiTheme="majorBidi" w:eastAsiaTheme="minorEastAsia" w:cstheme="majorBidi"/>
          <w:b/>
          <w:kern w:val="2"/>
          <w:sz w:val="28"/>
          <w:szCs w:val="24"/>
          <w:lang w:val="en-US" w:eastAsia="zh-CN" w:bidi="ar-SA"/>
        </w:rPr>
      </w:pPr>
      <w:r>
        <w:rPr>
          <w:rFonts w:hint="eastAsia" w:asciiTheme="majorBidi" w:hAnsiTheme="majorBidi" w:eastAsiaTheme="minorEastAsia" w:cstheme="majorBidi"/>
          <w:b/>
          <w:kern w:val="2"/>
          <w:sz w:val="28"/>
          <w:szCs w:val="24"/>
          <w:lang w:val="en-US" w:eastAsia="zh-CN" w:bidi="ar-SA"/>
        </w:rPr>
        <w:t>2b)</w:t>
      </w:r>
    </w:p>
    <w:p>
      <w:pPr>
        <w:pStyle w:val="2"/>
      </w:pPr>
      <w:r>
        <w:t>The</w:t>
      </w:r>
      <w:r>
        <w:rPr>
          <w:spacing w:val="-2"/>
        </w:rPr>
        <w:t xml:space="preserve"> </w:t>
      </w:r>
      <w:r>
        <w:t>cluster</w:t>
      </w:r>
      <w:r>
        <w:rPr>
          <w:spacing w:val="-2"/>
        </w:rPr>
        <w:t xml:space="preserve"> </w:t>
      </w:r>
      <w:r>
        <w:t>centers</w:t>
      </w:r>
      <w:r>
        <w:rPr>
          <w:spacing w:val="1"/>
        </w:rPr>
        <w:t xml:space="preserve"> </w:t>
      </w:r>
      <w:r>
        <w:t>are A:</w:t>
      </w:r>
      <w:r>
        <w:rPr>
          <w:spacing w:val="-1"/>
        </w:rPr>
        <w:t xml:space="preserve"> </w:t>
      </w:r>
      <w:r>
        <w:t>(0,</w:t>
      </w:r>
      <w:r>
        <w:rPr>
          <w:spacing w:val="-1"/>
        </w:rPr>
        <w:t xml:space="preserve"> </w:t>
      </w:r>
      <w:r>
        <w:t>1),</w:t>
      </w:r>
      <w:r>
        <w:rPr>
          <w:spacing w:val="-1"/>
        </w:rPr>
        <w:t xml:space="preserve"> </w:t>
      </w:r>
      <w:r>
        <w:t>B: (2,</w:t>
      </w:r>
      <w:r>
        <w:rPr>
          <w:spacing w:val="-1"/>
        </w:rPr>
        <w:t xml:space="preserve"> </w:t>
      </w:r>
      <w:r>
        <w:t>–2),</w:t>
      </w:r>
      <w:r>
        <w:rPr>
          <w:spacing w:val="-1"/>
        </w:rPr>
        <w:t xml:space="preserve"> </w:t>
      </w:r>
      <w:r>
        <w:t>and</w:t>
      </w:r>
      <w:r>
        <w:rPr>
          <w:spacing w:val="-1"/>
        </w:rPr>
        <w:t xml:space="preserve"> </w:t>
      </w:r>
      <w:r>
        <w:t>C:</w:t>
      </w:r>
      <w:r>
        <w:rPr>
          <w:spacing w:val="-1"/>
        </w:rPr>
        <w:t xml:space="preserve"> </w:t>
      </w:r>
      <w:r>
        <w:t>(0,</w:t>
      </w:r>
      <w:r>
        <w:rPr>
          <w:spacing w:val="-1"/>
        </w:rPr>
        <w:t xml:space="preserve"> </w:t>
      </w:r>
      <w:r>
        <w:t>2).</w:t>
      </w:r>
      <w:r>
        <w:rPr>
          <w:spacing w:val="-1"/>
        </w:rPr>
        <w:t xml:space="preserve"> </w:t>
      </w:r>
      <w:r>
        <w:t>The</w:t>
      </w:r>
      <w:r>
        <w:rPr>
          <w:spacing w:val="-2"/>
        </w:rPr>
        <w:t xml:space="preserve"> </w:t>
      </w:r>
      <w:r>
        <w:t>new</w:t>
      </w:r>
      <w:r>
        <w:rPr>
          <w:spacing w:val="-1"/>
        </w:rPr>
        <w:t xml:space="preserve"> </w:t>
      </w:r>
      <w:r>
        <w:t>assignments</w:t>
      </w:r>
      <w:r>
        <w:rPr>
          <w:spacing w:val="-1"/>
        </w:rPr>
        <w:t xml:space="preserve"> </w:t>
      </w:r>
      <w:r>
        <w:t>are:</w:t>
      </w:r>
    </w:p>
    <w:p>
      <w:pPr>
        <w:pStyle w:val="2"/>
        <w:rPr>
          <w:sz w:val="21"/>
        </w:rPr>
      </w:pPr>
    </w:p>
    <w:tbl>
      <w:tblPr>
        <w:tblStyle w:val="3"/>
        <w:tblW w:w="0" w:type="auto"/>
        <w:tblInd w:w="169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Pr>
      <w:tblGrid>
        <w:gridCol w:w="1711"/>
        <w:gridCol w:w="1889"/>
        <w:gridCol w:w="1891"/>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366" w:right="361"/>
              <w:rPr>
                <w:sz w:val="24"/>
              </w:rPr>
            </w:pPr>
            <w:r>
              <w:rPr>
                <w:sz w:val="24"/>
              </w:rPr>
              <w:t>Cluster</w:t>
            </w:r>
          </w:p>
        </w:tc>
        <w:tc>
          <w:tcPr>
            <w:tcW w:w="1889" w:type="dxa"/>
          </w:tcPr>
          <w:p>
            <w:pPr>
              <w:pStyle w:val="5"/>
              <w:ind w:left="415" w:right="406"/>
              <w:rPr>
                <w:sz w:val="24"/>
              </w:rPr>
            </w:pPr>
            <w:r>
              <w:rPr>
                <w:sz w:val="24"/>
              </w:rPr>
              <w:t>Data</w:t>
            </w:r>
            <w:r>
              <w:rPr>
                <w:spacing w:val="-2"/>
                <w:sz w:val="24"/>
              </w:rPr>
              <w:t xml:space="preserve"> </w:t>
            </w:r>
            <w:r>
              <w:rPr>
                <w:sz w:val="24"/>
              </w:rPr>
              <w:t>Point</w:t>
            </w:r>
          </w:p>
        </w:tc>
        <w:tc>
          <w:tcPr>
            <w:tcW w:w="1891" w:type="dxa"/>
          </w:tcPr>
          <w:p>
            <w:pPr>
              <w:pStyle w:val="5"/>
              <w:ind w:left="320" w:right="316"/>
              <w:rPr>
                <w:sz w:val="24"/>
              </w:rPr>
            </w:pPr>
            <w:r>
              <w:rPr>
                <w:sz w:val="24"/>
              </w:rPr>
              <w:t>New</w:t>
            </w:r>
            <w:r>
              <w:rPr>
                <w:spacing w:val="-3"/>
                <w:sz w:val="24"/>
              </w:rPr>
              <w:t xml:space="preserve"> </w:t>
            </w:r>
            <w:r>
              <w:rPr>
                <w:sz w:val="24"/>
              </w:rPr>
              <w:t>Cluster</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7"/>
              <w:rPr>
                <w:sz w:val="24"/>
              </w:rPr>
            </w:pPr>
            <w:r>
              <w:rPr>
                <w:sz w:val="24"/>
              </w:rPr>
              <w:t>A</w:t>
            </w:r>
          </w:p>
        </w:tc>
        <w:tc>
          <w:tcPr>
            <w:tcW w:w="1889" w:type="dxa"/>
          </w:tcPr>
          <w:p>
            <w:pPr>
              <w:pStyle w:val="5"/>
              <w:ind w:left="414" w:right="406"/>
              <w:rPr>
                <w:sz w:val="24"/>
              </w:rPr>
            </w:pPr>
            <w:r>
              <w:rPr>
                <w:sz w:val="24"/>
              </w:rPr>
              <w:t>(2,</w:t>
            </w:r>
            <w:r>
              <w:rPr>
                <w:spacing w:val="-1"/>
                <w:sz w:val="24"/>
              </w:rPr>
              <w:t xml:space="preserve"> </w:t>
            </w:r>
            <w:r>
              <w:rPr>
                <w:sz w:val="24"/>
              </w:rPr>
              <w:t>–1)</w:t>
            </w:r>
          </w:p>
        </w:tc>
        <w:tc>
          <w:tcPr>
            <w:tcW w:w="1891" w:type="dxa"/>
          </w:tcPr>
          <w:p>
            <w:pPr>
              <w:pStyle w:val="5"/>
              <w:ind w:left="6"/>
              <w:rPr>
                <w:sz w:val="24"/>
              </w:rPr>
            </w:pPr>
            <w:r>
              <w:rPr>
                <w:sz w:val="24"/>
              </w:rPr>
              <w:t>B</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7"/>
              <w:rPr>
                <w:sz w:val="24"/>
              </w:rPr>
            </w:pPr>
            <w:r>
              <w:rPr>
                <w:sz w:val="24"/>
              </w:rPr>
              <w:t>A</w:t>
            </w:r>
          </w:p>
        </w:tc>
        <w:tc>
          <w:tcPr>
            <w:tcW w:w="1889" w:type="dxa"/>
          </w:tcPr>
          <w:p>
            <w:pPr>
              <w:pStyle w:val="5"/>
              <w:ind w:left="414" w:right="406"/>
              <w:rPr>
                <w:sz w:val="24"/>
              </w:rPr>
            </w:pPr>
            <w:r>
              <w:rPr>
                <w:sz w:val="24"/>
              </w:rPr>
              <w:t>(–1,</w:t>
            </w:r>
            <w:r>
              <w:rPr>
                <w:spacing w:val="-1"/>
                <w:sz w:val="24"/>
              </w:rPr>
              <w:t xml:space="preserve"> </w:t>
            </w:r>
            <w:r>
              <w:rPr>
                <w:sz w:val="24"/>
              </w:rPr>
              <w:t>2)</w:t>
            </w:r>
          </w:p>
        </w:tc>
        <w:tc>
          <w:tcPr>
            <w:tcW w:w="1891" w:type="dxa"/>
          </w:tcPr>
          <w:p>
            <w:pPr>
              <w:pStyle w:val="5"/>
              <w:ind w:left="6"/>
              <w:rPr>
                <w:sz w:val="24"/>
              </w:rPr>
            </w:pPr>
            <w:r>
              <w:rPr>
                <w:sz w:val="24"/>
              </w:rPr>
              <w:t>C</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7"/>
              <w:rPr>
                <w:sz w:val="24"/>
              </w:rPr>
            </w:pPr>
            <w:r>
              <w:rPr>
                <w:sz w:val="24"/>
              </w:rPr>
              <w:t>A</w:t>
            </w:r>
          </w:p>
        </w:tc>
        <w:tc>
          <w:tcPr>
            <w:tcW w:w="1889" w:type="dxa"/>
          </w:tcPr>
          <w:p>
            <w:pPr>
              <w:pStyle w:val="5"/>
              <w:ind w:left="414" w:right="406"/>
              <w:rPr>
                <w:sz w:val="24"/>
              </w:rPr>
            </w:pPr>
            <w:r>
              <w:rPr>
                <w:sz w:val="24"/>
              </w:rPr>
              <w:t>(–2,</w:t>
            </w:r>
            <w:r>
              <w:rPr>
                <w:spacing w:val="-1"/>
                <w:sz w:val="24"/>
              </w:rPr>
              <w:t xml:space="preserve"> </w:t>
            </w:r>
            <w:r>
              <w:rPr>
                <w:sz w:val="24"/>
              </w:rPr>
              <w:t>1)</w:t>
            </w:r>
          </w:p>
        </w:tc>
        <w:tc>
          <w:tcPr>
            <w:tcW w:w="1891" w:type="dxa"/>
          </w:tcPr>
          <w:p>
            <w:pPr>
              <w:pStyle w:val="5"/>
              <w:ind w:left="5"/>
              <w:rPr>
                <w:sz w:val="24"/>
              </w:rPr>
            </w:pPr>
            <w:r>
              <w:rPr>
                <w:sz w:val="24"/>
              </w:rPr>
              <w:t>A</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8" w:hRule="atLeast"/>
        </w:trPr>
        <w:tc>
          <w:tcPr>
            <w:tcW w:w="1711" w:type="dxa"/>
          </w:tcPr>
          <w:p>
            <w:pPr>
              <w:pStyle w:val="5"/>
              <w:spacing w:before="1" w:line="257" w:lineRule="exact"/>
              <w:ind w:left="7"/>
              <w:rPr>
                <w:sz w:val="24"/>
              </w:rPr>
            </w:pPr>
            <w:r>
              <w:rPr>
                <w:sz w:val="24"/>
              </w:rPr>
              <w:t>A</w:t>
            </w:r>
          </w:p>
        </w:tc>
        <w:tc>
          <w:tcPr>
            <w:tcW w:w="1889" w:type="dxa"/>
          </w:tcPr>
          <w:p>
            <w:pPr>
              <w:pStyle w:val="5"/>
              <w:spacing w:before="1" w:line="257" w:lineRule="exact"/>
              <w:ind w:left="414" w:right="406"/>
              <w:rPr>
                <w:sz w:val="24"/>
              </w:rPr>
            </w:pPr>
            <w:r>
              <w:rPr>
                <w:sz w:val="24"/>
              </w:rPr>
              <w:t>(1,</w:t>
            </w:r>
            <w:r>
              <w:rPr>
                <w:spacing w:val="-1"/>
                <w:sz w:val="24"/>
              </w:rPr>
              <w:t xml:space="preserve"> </w:t>
            </w:r>
            <w:r>
              <w:rPr>
                <w:sz w:val="24"/>
              </w:rPr>
              <w:t>2)</w:t>
            </w:r>
          </w:p>
        </w:tc>
        <w:tc>
          <w:tcPr>
            <w:tcW w:w="1891" w:type="dxa"/>
          </w:tcPr>
          <w:p>
            <w:pPr>
              <w:pStyle w:val="5"/>
              <w:spacing w:before="1" w:line="257" w:lineRule="exact"/>
              <w:ind w:left="6"/>
              <w:rPr>
                <w:sz w:val="24"/>
              </w:rPr>
            </w:pPr>
            <w:r>
              <w:rPr>
                <w:sz w:val="24"/>
              </w:rPr>
              <w:t>C</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4"/>
              <w:rPr>
                <w:sz w:val="24"/>
              </w:rPr>
            </w:pPr>
            <w:r>
              <w:rPr>
                <w:sz w:val="24"/>
              </w:rPr>
              <w:t>B</w:t>
            </w:r>
          </w:p>
        </w:tc>
        <w:tc>
          <w:tcPr>
            <w:tcW w:w="1889" w:type="dxa"/>
          </w:tcPr>
          <w:p>
            <w:pPr>
              <w:pStyle w:val="5"/>
              <w:ind w:left="414" w:right="406"/>
              <w:rPr>
                <w:sz w:val="24"/>
              </w:rPr>
            </w:pPr>
            <w:r>
              <w:rPr>
                <w:sz w:val="24"/>
              </w:rPr>
              <w:t>(4,</w:t>
            </w:r>
            <w:r>
              <w:rPr>
                <w:spacing w:val="-1"/>
                <w:sz w:val="24"/>
              </w:rPr>
              <w:t xml:space="preserve"> </w:t>
            </w:r>
            <w:r>
              <w:rPr>
                <w:sz w:val="24"/>
              </w:rPr>
              <w:t>0)</w:t>
            </w:r>
          </w:p>
        </w:tc>
        <w:tc>
          <w:tcPr>
            <w:tcW w:w="1891" w:type="dxa"/>
          </w:tcPr>
          <w:p>
            <w:pPr>
              <w:pStyle w:val="5"/>
              <w:ind w:left="6"/>
              <w:rPr>
                <w:sz w:val="24"/>
              </w:rPr>
            </w:pPr>
            <w:r>
              <w:rPr>
                <w:sz w:val="24"/>
              </w:rPr>
              <w:t>B</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4"/>
              <w:rPr>
                <w:sz w:val="24"/>
              </w:rPr>
            </w:pPr>
            <w:r>
              <w:rPr>
                <w:sz w:val="24"/>
              </w:rPr>
              <w:t>B</w:t>
            </w:r>
          </w:p>
        </w:tc>
        <w:tc>
          <w:tcPr>
            <w:tcW w:w="1889" w:type="dxa"/>
          </w:tcPr>
          <w:p>
            <w:pPr>
              <w:pStyle w:val="5"/>
              <w:ind w:left="414" w:right="406"/>
              <w:rPr>
                <w:sz w:val="24"/>
              </w:rPr>
            </w:pPr>
            <w:r>
              <w:rPr>
                <w:sz w:val="24"/>
              </w:rPr>
              <w:t>(4,</w:t>
            </w:r>
            <w:r>
              <w:rPr>
                <w:spacing w:val="-1"/>
                <w:sz w:val="24"/>
              </w:rPr>
              <w:t xml:space="preserve"> </w:t>
            </w:r>
            <w:r>
              <w:rPr>
                <w:sz w:val="24"/>
              </w:rPr>
              <w:t>–1)</w:t>
            </w:r>
          </w:p>
        </w:tc>
        <w:tc>
          <w:tcPr>
            <w:tcW w:w="1891" w:type="dxa"/>
          </w:tcPr>
          <w:p>
            <w:pPr>
              <w:pStyle w:val="5"/>
              <w:ind w:left="6"/>
              <w:rPr>
                <w:sz w:val="24"/>
              </w:rPr>
            </w:pPr>
            <w:r>
              <w:rPr>
                <w:sz w:val="24"/>
              </w:rPr>
              <w:t>B</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4"/>
              <w:rPr>
                <w:sz w:val="24"/>
              </w:rPr>
            </w:pPr>
            <w:r>
              <w:rPr>
                <w:sz w:val="24"/>
              </w:rPr>
              <w:t>B</w:t>
            </w:r>
          </w:p>
        </w:tc>
        <w:tc>
          <w:tcPr>
            <w:tcW w:w="1889" w:type="dxa"/>
          </w:tcPr>
          <w:p>
            <w:pPr>
              <w:pStyle w:val="5"/>
              <w:ind w:left="414" w:right="406"/>
              <w:rPr>
                <w:sz w:val="24"/>
              </w:rPr>
            </w:pPr>
            <w:r>
              <w:rPr>
                <w:sz w:val="24"/>
              </w:rPr>
              <w:t>(0,</w:t>
            </w:r>
            <w:r>
              <w:rPr>
                <w:spacing w:val="-1"/>
                <w:sz w:val="24"/>
              </w:rPr>
              <w:t xml:space="preserve"> </w:t>
            </w:r>
            <w:r>
              <w:rPr>
                <w:sz w:val="24"/>
              </w:rPr>
              <w:t>–2)</w:t>
            </w:r>
          </w:p>
        </w:tc>
        <w:tc>
          <w:tcPr>
            <w:tcW w:w="1891" w:type="dxa"/>
          </w:tcPr>
          <w:p>
            <w:pPr>
              <w:pStyle w:val="5"/>
              <w:ind w:left="6"/>
              <w:rPr>
                <w:sz w:val="24"/>
              </w:rPr>
            </w:pPr>
            <w:r>
              <w:rPr>
                <w:sz w:val="24"/>
              </w:rPr>
              <w:t>B</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4"/>
              <w:rPr>
                <w:sz w:val="24"/>
              </w:rPr>
            </w:pPr>
            <w:r>
              <w:rPr>
                <w:sz w:val="24"/>
              </w:rPr>
              <w:t>B</w:t>
            </w:r>
          </w:p>
        </w:tc>
        <w:tc>
          <w:tcPr>
            <w:tcW w:w="1889" w:type="dxa"/>
          </w:tcPr>
          <w:p>
            <w:pPr>
              <w:pStyle w:val="5"/>
              <w:ind w:left="414" w:right="406"/>
              <w:rPr>
                <w:sz w:val="24"/>
              </w:rPr>
            </w:pPr>
            <w:r>
              <w:rPr>
                <w:sz w:val="24"/>
              </w:rPr>
              <w:t>(0,</w:t>
            </w:r>
            <w:r>
              <w:rPr>
                <w:spacing w:val="-1"/>
                <w:sz w:val="24"/>
              </w:rPr>
              <w:t xml:space="preserve"> </w:t>
            </w:r>
            <w:r>
              <w:rPr>
                <w:sz w:val="24"/>
              </w:rPr>
              <w:t>–5)</w:t>
            </w:r>
          </w:p>
        </w:tc>
        <w:tc>
          <w:tcPr>
            <w:tcW w:w="1891" w:type="dxa"/>
          </w:tcPr>
          <w:p>
            <w:pPr>
              <w:pStyle w:val="5"/>
              <w:ind w:left="6"/>
              <w:rPr>
                <w:sz w:val="24"/>
              </w:rPr>
            </w:pPr>
            <w:r>
              <w:rPr>
                <w:sz w:val="24"/>
              </w:rPr>
              <w:t>B</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4"/>
              <w:rPr>
                <w:sz w:val="24"/>
              </w:rPr>
            </w:pPr>
            <w:r>
              <w:rPr>
                <w:sz w:val="24"/>
              </w:rPr>
              <w:t>C</w:t>
            </w:r>
          </w:p>
        </w:tc>
        <w:tc>
          <w:tcPr>
            <w:tcW w:w="1889" w:type="dxa"/>
          </w:tcPr>
          <w:p>
            <w:pPr>
              <w:pStyle w:val="5"/>
              <w:ind w:left="414" w:right="406"/>
              <w:rPr>
                <w:sz w:val="24"/>
              </w:rPr>
            </w:pPr>
            <w:r>
              <w:rPr>
                <w:sz w:val="24"/>
              </w:rPr>
              <w:t>(–1,</w:t>
            </w:r>
            <w:r>
              <w:rPr>
                <w:spacing w:val="-1"/>
                <w:sz w:val="24"/>
              </w:rPr>
              <w:t xml:space="preserve"> </w:t>
            </w:r>
            <w:r>
              <w:rPr>
                <w:sz w:val="24"/>
              </w:rPr>
              <w:t>0)</w:t>
            </w:r>
          </w:p>
        </w:tc>
        <w:tc>
          <w:tcPr>
            <w:tcW w:w="1891" w:type="dxa"/>
          </w:tcPr>
          <w:p>
            <w:pPr>
              <w:pStyle w:val="5"/>
              <w:ind w:left="5"/>
              <w:rPr>
                <w:sz w:val="24"/>
              </w:rPr>
            </w:pPr>
            <w:r>
              <w:rPr>
                <w:sz w:val="24"/>
              </w:rPr>
              <w:t>A</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8" w:hRule="atLeast"/>
        </w:trPr>
        <w:tc>
          <w:tcPr>
            <w:tcW w:w="1711" w:type="dxa"/>
          </w:tcPr>
          <w:p>
            <w:pPr>
              <w:pStyle w:val="5"/>
              <w:spacing w:before="1" w:line="257" w:lineRule="exact"/>
              <w:ind w:left="4"/>
              <w:rPr>
                <w:sz w:val="24"/>
              </w:rPr>
            </w:pPr>
            <w:r>
              <w:rPr>
                <w:sz w:val="24"/>
              </w:rPr>
              <w:t>C</w:t>
            </w:r>
          </w:p>
        </w:tc>
        <w:tc>
          <w:tcPr>
            <w:tcW w:w="1889" w:type="dxa"/>
          </w:tcPr>
          <w:p>
            <w:pPr>
              <w:pStyle w:val="5"/>
              <w:spacing w:before="1" w:line="257" w:lineRule="exact"/>
              <w:ind w:left="414" w:right="406"/>
              <w:rPr>
                <w:sz w:val="24"/>
              </w:rPr>
            </w:pPr>
            <w:r>
              <w:rPr>
                <w:sz w:val="24"/>
              </w:rPr>
              <w:t>(3,</w:t>
            </w:r>
            <w:r>
              <w:rPr>
                <w:spacing w:val="-1"/>
                <w:sz w:val="24"/>
              </w:rPr>
              <w:t xml:space="preserve"> </w:t>
            </w:r>
            <w:r>
              <w:rPr>
                <w:sz w:val="24"/>
              </w:rPr>
              <w:t>8)</w:t>
            </w:r>
          </w:p>
        </w:tc>
        <w:tc>
          <w:tcPr>
            <w:tcW w:w="1891" w:type="dxa"/>
          </w:tcPr>
          <w:p>
            <w:pPr>
              <w:pStyle w:val="5"/>
              <w:spacing w:before="1" w:line="257" w:lineRule="exact"/>
              <w:ind w:left="6"/>
              <w:rPr>
                <w:sz w:val="24"/>
              </w:rPr>
            </w:pPr>
            <w:r>
              <w:rPr>
                <w:sz w:val="24"/>
              </w:rPr>
              <w:t>C</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4"/>
              <w:rPr>
                <w:sz w:val="24"/>
              </w:rPr>
            </w:pPr>
            <w:r>
              <w:rPr>
                <w:sz w:val="24"/>
              </w:rPr>
              <w:t>C</w:t>
            </w:r>
          </w:p>
        </w:tc>
        <w:tc>
          <w:tcPr>
            <w:tcW w:w="1889" w:type="dxa"/>
          </w:tcPr>
          <w:p>
            <w:pPr>
              <w:pStyle w:val="5"/>
              <w:ind w:left="414" w:right="406"/>
              <w:rPr>
                <w:sz w:val="24"/>
              </w:rPr>
            </w:pPr>
            <w:r>
              <w:rPr>
                <w:sz w:val="24"/>
              </w:rPr>
              <w:t>(–2,</w:t>
            </w:r>
            <w:r>
              <w:rPr>
                <w:spacing w:val="-1"/>
                <w:sz w:val="24"/>
              </w:rPr>
              <w:t xml:space="preserve"> </w:t>
            </w:r>
            <w:r>
              <w:rPr>
                <w:sz w:val="24"/>
              </w:rPr>
              <w:t>0)</w:t>
            </w:r>
          </w:p>
        </w:tc>
        <w:tc>
          <w:tcPr>
            <w:tcW w:w="1891" w:type="dxa"/>
          </w:tcPr>
          <w:p>
            <w:pPr>
              <w:pStyle w:val="5"/>
              <w:ind w:left="5"/>
              <w:rPr>
                <w:sz w:val="24"/>
              </w:rPr>
            </w:pPr>
            <w:r>
              <w:rPr>
                <w:sz w:val="24"/>
              </w:rPr>
              <w:t>A</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275" w:hRule="atLeast"/>
        </w:trPr>
        <w:tc>
          <w:tcPr>
            <w:tcW w:w="1711" w:type="dxa"/>
          </w:tcPr>
          <w:p>
            <w:pPr>
              <w:pStyle w:val="5"/>
              <w:ind w:left="4"/>
              <w:rPr>
                <w:sz w:val="24"/>
              </w:rPr>
            </w:pPr>
            <w:r>
              <w:rPr>
                <w:sz w:val="24"/>
              </w:rPr>
              <w:t>C</w:t>
            </w:r>
          </w:p>
        </w:tc>
        <w:tc>
          <w:tcPr>
            <w:tcW w:w="1889" w:type="dxa"/>
          </w:tcPr>
          <w:p>
            <w:pPr>
              <w:pStyle w:val="5"/>
              <w:ind w:left="414" w:right="406"/>
              <w:rPr>
                <w:sz w:val="24"/>
              </w:rPr>
            </w:pPr>
            <w:r>
              <w:rPr>
                <w:sz w:val="24"/>
              </w:rPr>
              <w:t>(0,</w:t>
            </w:r>
            <w:r>
              <w:rPr>
                <w:spacing w:val="-1"/>
                <w:sz w:val="24"/>
              </w:rPr>
              <w:t xml:space="preserve"> </w:t>
            </w:r>
            <w:r>
              <w:rPr>
                <w:sz w:val="24"/>
              </w:rPr>
              <w:t>0)</w:t>
            </w:r>
          </w:p>
        </w:tc>
        <w:tc>
          <w:tcPr>
            <w:tcW w:w="1891" w:type="dxa"/>
          </w:tcPr>
          <w:p>
            <w:pPr>
              <w:pStyle w:val="5"/>
              <w:ind w:left="5"/>
              <w:rPr>
                <w:sz w:val="24"/>
              </w:rPr>
            </w:pPr>
            <w:r>
              <w:rPr>
                <w:sz w:val="24"/>
              </w:rPr>
              <w:t>A</w:t>
            </w:r>
          </w:p>
        </w:tc>
      </w:tr>
    </w:tbl>
    <w:p>
      <w:pPr>
        <w:pStyle w:val="2"/>
        <w:rPr>
          <w:sz w:val="26"/>
        </w:rPr>
      </w:pPr>
    </w:p>
    <w:p>
      <w:pPr>
        <w:pStyle w:val="2"/>
        <w:spacing w:before="216"/>
      </w:pPr>
      <w:bookmarkStart w:id="0" w:name="_GoBack"/>
      <w:bookmarkEnd w:id="0"/>
      <w:r>
        <w:t>Cluster</w:t>
      </w:r>
      <w:r>
        <w:rPr>
          <w:spacing w:val="-3"/>
        </w:rPr>
        <w:t xml:space="preserve"> </w:t>
      </w:r>
      <w:r>
        <w:t>C</w:t>
      </w:r>
      <w:r>
        <w:rPr>
          <w:spacing w:val="-1"/>
        </w:rPr>
        <w:t xml:space="preserve"> </w:t>
      </w:r>
      <w:r>
        <w:t>has</w:t>
      </w:r>
      <w:r>
        <w:rPr>
          <w:spacing w:val="-1"/>
        </w:rPr>
        <w:t xml:space="preserve"> </w:t>
      </w:r>
      <w:r>
        <w:t>the</w:t>
      </w:r>
      <w:r>
        <w:rPr>
          <w:spacing w:val="-2"/>
        </w:rPr>
        <w:t xml:space="preserve"> </w:t>
      </w:r>
      <w:r>
        <w:t>fewest</w:t>
      </w:r>
      <w:r>
        <w:rPr>
          <w:spacing w:val="1"/>
        </w:rPr>
        <w:t xml:space="preserve"> </w:t>
      </w:r>
      <w:r>
        <w:t>points</w:t>
      </w:r>
      <w:r>
        <w:rPr>
          <w:spacing w:val="-2"/>
        </w:rPr>
        <w:t xml:space="preserve"> </w:t>
      </w:r>
      <w:r>
        <w:t>with</w:t>
      </w:r>
      <w:r>
        <w:rPr>
          <w:spacing w:val="-1"/>
        </w:rPr>
        <w:t xml:space="preserve"> </w:t>
      </w:r>
      <w:r>
        <w:t>three.</w:t>
      </w:r>
    </w:p>
    <w:p>
      <w:pPr>
        <w:pStyle w:val="2"/>
        <w:spacing w:before="1"/>
        <w:ind w:right="737"/>
        <w:jc w:val="both"/>
        <w:rPr>
          <w:rFonts w:hint="default" w:asciiTheme="majorBidi" w:hAnsiTheme="majorBidi" w:eastAsiaTheme="minorEastAsia" w:cstheme="majorBidi"/>
          <w:b/>
          <w:kern w:val="2"/>
          <w:sz w:val="28"/>
          <w:szCs w:val="24"/>
          <w:lang w:val="en-US" w:eastAsia="zh-CN" w:bidi="ar-SA"/>
        </w:rPr>
      </w:pPr>
    </w:p>
    <w:p>
      <w:pPr>
        <w:pStyle w:val="2"/>
        <w:spacing w:before="1"/>
        <w:ind w:right="737"/>
        <w:jc w:val="both"/>
        <w:rPr>
          <w:position w:val="2"/>
        </w:rPr>
      </w:pPr>
    </w:p>
    <w:p>
      <w:pPr>
        <w:widowControl w:val="0"/>
        <w:numPr>
          <w:ilvl w:val="0"/>
          <w:numId w:val="0"/>
        </w:numPr>
        <w:jc w:val="both"/>
        <w:rPr>
          <w:rFonts w:hint="eastAsia" w:asciiTheme="majorBidi" w:hAnsiTheme="majorBidi" w:cstheme="majorBidi"/>
          <w:b/>
          <w:sz w:val="28"/>
          <w:lang w:val="en-US" w:eastAsia="zh-CN"/>
        </w:rPr>
      </w:pPr>
      <w:r>
        <w:rPr>
          <w:rFonts w:hint="eastAsia" w:asciiTheme="majorBidi" w:hAnsiTheme="majorBidi" w:cstheme="majorBidi"/>
          <w:b/>
          <w:sz w:val="28"/>
          <w:lang w:val="en-US" w:eastAsia="zh-CN"/>
        </w:rPr>
        <w:t>4c)</w:t>
      </w:r>
    </w:p>
    <w:p>
      <w:pPr>
        <w:widowControl w:val="0"/>
        <w:numPr>
          <w:ilvl w:val="0"/>
          <w:numId w:val="0"/>
        </w:numPr>
        <w:jc w:val="both"/>
        <w:rPr>
          <w:rFonts w:hint="default" w:eastAsia="宋体"/>
          <w:lang w:val="en-US" w:eastAsia="zh-CN"/>
        </w:rPr>
      </w:pPr>
      <w:r>
        <w:rPr>
          <w:rFonts w:hint="default" w:eastAsia="宋体"/>
          <w:lang w:val="en-US" w:eastAsia="zh-CN"/>
        </w:rPr>
        <w:t>A rule-based expert system has five components: the knowledge base, the database, the inference engine, the explanation facilities, and the user interface</w:t>
      </w:r>
      <w:r>
        <w:rPr>
          <w:rFonts w:hint="eastAsia" w:eastAsia="宋体"/>
          <w:lang w:val="en-US" w:eastAsia="zh-CN"/>
        </w:rPr>
        <w:t>.</w:t>
      </w:r>
    </w:p>
    <w:p>
      <w:pPr>
        <w:widowControl w:val="0"/>
        <w:numPr>
          <w:ilvl w:val="0"/>
          <w:numId w:val="0"/>
        </w:numPr>
        <w:jc w:val="both"/>
        <w:rPr>
          <w:rFonts w:hint="default" w:asciiTheme="majorBidi" w:hAnsiTheme="majorBidi" w:cstheme="majorBidi"/>
          <w:b/>
          <w:sz w:val="28"/>
          <w:lang w:val="en-US" w:eastAsia="zh-CN"/>
        </w:rPr>
      </w:pPr>
      <w:r>
        <w:rPr>
          <w:rFonts w:hint="eastAsia" w:asciiTheme="majorBidi" w:hAnsiTheme="majorBidi" w:cstheme="majorBidi"/>
          <w:b/>
          <w:sz w:val="28"/>
          <w:lang w:val="en-US" w:eastAsia="zh-CN"/>
        </w:rPr>
        <w:t>4d)</w:t>
      </w:r>
    </w:p>
    <w:p>
      <w:pPr>
        <w:widowControl w:val="0"/>
        <w:numPr>
          <w:ilvl w:val="0"/>
          <w:numId w:val="0"/>
        </w:numPr>
        <w:jc w:val="both"/>
        <w:rPr>
          <w:rFonts w:hint="default" w:eastAsia="宋体"/>
          <w:lang w:val="en-US" w:eastAsia="zh-CN"/>
        </w:rPr>
      </w:pPr>
      <w:r>
        <w:rPr>
          <w:rFonts w:hint="default" w:eastAsia="宋体"/>
          <w:lang w:val="en-US" w:eastAsia="zh-CN"/>
        </w:rPr>
        <w:t xml:space="preserve">Main advantages of K-Means: </w:t>
      </w:r>
    </w:p>
    <w:p>
      <w:pPr>
        <w:widowControl w:val="0"/>
        <w:numPr>
          <w:ilvl w:val="0"/>
          <w:numId w:val="2"/>
        </w:numPr>
        <w:jc w:val="both"/>
        <w:rPr>
          <w:rFonts w:hint="default" w:eastAsia="宋体"/>
          <w:lang w:val="en-US" w:eastAsia="zh-CN"/>
        </w:rPr>
      </w:pPr>
      <w:r>
        <w:rPr>
          <w:rFonts w:hint="default" w:eastAsia="宋体"/>
          <w:lang w:val="en-US" w:eastAsia="zh-CN"/>
        </w:rPr>
        <w:t xml:space="preserve">Simple principle, easy to implement </w:t>
      </w:r>
    </w:p>
    <w:p>
      <w:pPr>
        <w:widowControl w:val="0"/>
        <w:numPr>
          <w:ilvl w:val="0"/>
          <w:numId w:val="2"/>
        </w:numPr>
        <w:jc w:val="both"/>
        <w:rPr>
          <w:rFonts w:hint="default" w:eastAsia="宋体"/>
          <w:lang w:val="en-US" w:eastAsia="zh-CN"/>
        </w:rPr>
      </w:pPr>
      <w:r>
        <w:rPr>
          <w:rFonts w:hint="default" w:eastAsia="宋体"/>
          <w:lang w:val="en-US" w:eastAsia="zh-CN"/>
        </w:rPr>
        <w:t xml:space="preserve">Strong interpretability </w:t>
      </w:r>
    </w:p>
    <w:p>
      <w:pPr>
        <w:widowControl w:val="0"/>
        <w:numPr>
          <w:ilvl w:val="0"/>
          <w:numId w:val="0"/>
        </w:numPr>
        <w:jc w:val="both"/>
        <w:rPr>
          <w:rFonts w:hint="default" w:eastAsia="宋体"/>
          <w:lang w:val="en-US" w:eastAsia="zh-CN"/>
        </w:rPr>
      </w:pPr>
      <w:r>
        <w:rPr>
          <w:rFonts w:hint="default" w:eastAsia="宋体"/>
          <w:lang w:val="en-US" w:eastAsia="zh-CN"/>
        </w:rPr>
        <w:t xml:space="preserve">Main disadvantages of K-Means: </w:t>
      </w:r>
    </w:p>
    <w:p>
      <w:pPr>
        <w:widowControl w:val="0"/>
        <w:numPr>
          <w:ilvl w:val="0"/>
          <w:numId w:val="3"/>
        </w:numPr>
        <w:jc w:val="both"/>
        <w:rPr>
          <w:rFonts w:hint="default" w:eastAsia="宋体"/>
          <w:lang w:val="en-US" w:eastAsia="zh-CN"/>
        </w:rPr>
      </w:pPr>
      <w:r>
        <w:rPr>
          <w:rFonts w:hint="default" w:eastAsia="宋体"/>
          <w:lang w:val="en-US" w:eastAsia="zh-CN"/>
        </w:rPr>
        <w:t xml:space="preserve">K-values are difficult to determine </w:t>
      </w:r>
    </w:p>
    <w:p>
      <w:pPr>
        <w:widowControl w:val="0"/>
        <w:numPr>
          <w:ilvl w:val="0"/>
          <w:numId w:val="3"/>
        </w:numPr>
        <w:jc w:val="both"/>
        <w:rPr>
          <w:rFonts w:hint="default" w:eastAsia="宋体"/>
          <w:lang w:val="en-US" w:eastAsia="zh-CN"/>
        </w:rPr>
      </w:pPr>
      <w:r>
        <w:rPr>
          <w:rFonts w:hint="default" w:eastAsia="宋体"/>
          <w:lang w:val="en-US" w:eastAsia="zh-CN"/>
        </w:rPr>
        <w:t xml:space="preserve">Local optimum </w:t>
      </w:r>
    </w:p>
    <w:p>
      <w:pPr>
        <w:widowControl w:val="0"/>
        <w:numPr>
          <w:ilvl w:val="0"/>
          <w:numId w:val="3"/>
        </w:numPr>
        <w:jc w:val="both"/>
        <w:rPr>
          <w:rFonts w:hint="default" w:eastAsia="宋体"/>
          <w:lang w:val="en-US" w:eastAsia="zh-CN"/>
        </w:rPr>
      </w:pPr>
      <w:r>
        <w:rPr>
          <w:rFonts w:hint="default" w:eastAsia="宋体"/>
          <w:lang w:val="en-US" w:eastAsia="zh-CN"/>
        </w:rPr>
        <w:t xml:space="preserve">Sensitive to noise and outliers </w:t>
      </w:r>
    </w:p>
    <w:p>
      <w:pPr>
        <w:widowControl w:val="0"/>
        <w:numPr>
          <w:ilvl w:val="0"/>
          <w:numId w:val="0"/>
        </w:numPr>
        <w:jc w:val="both"/>
        <w:rPr>
          <w:rFonts w:asciiTheme="majorBidi" w:hAnsiTheme="majorBidi" w:cstheme="majorBidi"/>
          <w:b/>
          <w:sz w:val="28"/>
        </w:rPr>
      </w:pPr>
      <w:r>
        <w:rPr>
          <w:rFonts w:asciiTheme="majorBidi" w:hAnsiTheme="majorBidi" w:cstheme="majorBidi"/>
          <w:b/>
          <w:sz w:val="28"/>
        </w:rPr>
        <w:t>Question three:</w:t>
      </w:r>
    </w:p>
    <w:p>
      <w:pPr>
        <w:widowControl w:val="0"/>
        <w:numPr>
          <w:ilvl w:val="0"/>
          <w:numId w:val="0"/>
        </w:numPr>
        <w:jc w:val="both"/>
        <w:rPr>
          <w:rFonts w:hint="eastAsia" w:asciiTheme="majorBidi" w:hAnsiTheme="majorBidi" w:cstheme="majorBidi"/>
          <w:b/>
          <w:sz w:val="28"/>
          <w:lang w:val="en-US" w:eastAsia="zh-CN"/>
        </w:rPr>
      </w:pPr>
      <w:r>
        <w:rPr>
          <w:rFonts w:hint="eastAsia" w:asciiTheme="majorBidi" w:hAnsiTheme="majorBidi" w:cstheme="majorBidi"/>
          <w:b/>
          <w:sz w:val="28"/>
          <w:lang w:val="en-US" w:eastAsia="zh-CN"/>
        </w:rPr>
        <w:t>4b)</w:t>
      </w:r>
    </w:p>
    <w:p>
      <w:pPr>
        <w:widowControl w:val="0"/>
        <w:numPr>
          <w:ilvl w:val="0"/>
          <w:numId w:val="4"/>
        </w:numPr>
        <w:autoSpaceDE/>
        <w:autoSpaceDN/>
        <w:spacing w:before="0" w:after="0" w:line="240" w:lineRule="auto"/>
        <w:ind w:right="0" w:rightChars="0"/>
        <w:jc w:val="both"/>
        <w:rPr>
          <w:rFonts w:hint="default" w:eastAsia="宋体"/>
          <w:lang w:val="en-US" w:eastAsia="zh-CN"/>
        </w:rPr>
      </w:pPr>
      <w:r>
        <w:rPr>
          <w:rFonts w:hint="default" w:eastAsia="宋体"/>
          <w:lang w:val="en-US" w:eastAsia="zh-CN"/>
        </w:rPr>
        <w:t>Increasing the size of the training set is likely to improve the model’s performance on new data. Increasing the size of the training set tends to add more variability to the data. More variability tends to make it easier to detect which features are truly correlated with the target class and which features are not. If we had only five training instances, for example, it would be nearly impossible to determine which features are truly correlated.</w:t>
      </w:r>
    </w:p>
    <w:p>
      <w:pPr>
        <w:widowControl w:val="0"/>
        <w:numPr>
          <w:ilvl w:val="0"/>
          <w:numId w:val="4"/>
        </w:numPr>
        <w:autoSpaceDE/>
        <w:autoSpaceDN/>
        <w:spacing w:before="0" w:after="0" w:line="240" w:lineRule="auto"/>
        <w:ind w:left="0" w:leftChars="0" w:right="0" w:rightChars="0" w:firstLine="0" w:firstLineChars="0"/>
        <w:jc w:val="both"/>
        <w:rPr>
          <w:rFonts w:hint="default" w:eastAsia="宋体" w:asciiTheme="minorHAnsi" w:hAnsiTheme="minorHAnsi" w:cstheme="minorBidi"/>
          <w:kern w:val="2"/>
          <w:sz w:val="21"/>
          <w:szCs w:val="24"/>
          <w:lang w:val="en-US" w:eastAsia="zh-CN"/>
        </w:rPr>
      </w:pPr>
      <w:r>
        <w:rPr>
          <w:rFonts w:hint="default" w:eastAsia="宋体" w:asciiTheme="minorHAnsi" w:hAnsiTheme="minorHAnsi" w:cstheme="minorBidi"/>
          <w:kern w:val="2"/>
          <w:sz w:val="21"/>
          <w:szCs w:val="24"/>
          <w:lang w:val="en-US" w:eastAsia="zh-CN"/>
        </w:rPr>
        <w:t>Reducing the number of features to those that are most correlated with the target class is usually a good thing. It reduces the risk that the model will catch on to regularities in the training data that seem important only due to limited training data.</w:t>
      </w:r>
    </w:p>
    <w:p>
      <w:pPr>
        <w:widowControl w:val="0"/>
        <w:numPr>
          <w:ilvl w:val="0"/>
          <w:numId w:val="0"/>
        </w:numPr>
        <w:jc w:val="both"/>
        <w:rPr>
          <w:rFonts w:hint="default" w:eastAsia="宋体"/>
          <w:lang w:val="en-US" w:eastAsia="zh-CN"/>
        </w:rPr>
      </w:pPr>
    </w:p>
    <w:p>
      <w:pPr>
        <w:rPr>
          <w:rFonts w:asciiTheme="majorBidi" w:hAnsiTheme="majorBidi" w:cstheme="majorBidi"/>
          <w:b/>
          <w:sz w:val="28"/>
        </w:rPr>
      </w:pPr>
      <w:r>
        <w:rPr>
          <w:rFonts w:asciiTheme="majorBidi" w:hAnsiTheme="majorBidi" w:cstheme="majorBidi"/>
          <w:b/>
          <w:sz w:val="28"/>
        </w:rPr>
        <w:t xml:space="preserve">Question four: </w:t>
      </w:r>
    </w:p>
    <w:p>
      <w:pPr>
        <w:numPr>
          <w:ilvl w:val="0"/>
          <w:numId w:val="0"/>
        </w:numPr>
        <w:rPr>
          <w:rFonts w:hint="eastAsia" w:asciiTheme="majorBidi" w:hAnsiTheme="majorBidi" w:cstheme="majorBidi"/>
          <w:b/>
          <w:sz w:val="28"/>
          <w:lang w:val="en-US" w:eastAsia="zh-CN"/>
        </w:rPr>
      </w:pPr>
      <w:r>
        <w:rPr>
          <w:rFonts w:hint="eastAsia" w:asciiTheme="majorBidi" w:hAnsiTheme="majorBidi" w:cstheme="majorBidi"/>
          <w:b/>
          <w:sz w:val="28"/>
          <w:lang w:val="en-US" w:eastAsia="zh-CN"/>
        </w:rPr>
        <w:t>4a)</w:t>
      </w:r>
    </w:p>
    <w:p>
      <w:pPr>
        <w:widowControl w:val="0"/>
        <w:numPr>
          <w:ilvl w:val="0"/>
          <w:numId w:val="5"/>
        </w:numPr>
        <w:jc w:val="both"/>
        <w:rPr>
          <w:rFonts w:hint="eastAsia" w:eastAsia="宋体"/>
          <w:lang w:val="en-US" w:eastAsia="zh-CN"/>
        </w:rPr>
      </w:pPr>
      <w:r>
        <w:rPr>
          <w:rFonts w:hint="eastAsia" w:eastAsia="宋体"/>
          <w:lang w:val="en-US" w:eastAsia="zh-CN"/>
        </w:rPr>
        <w:t>(70 + 330)/(70 +330 + 70 +30) = 80%</w:t>
      </w:r>
    </w:p>
    <w:p>
      <w:pPr>
        <w:widowControl w:val="0"/>
        <w:numPr>
          <w:ilvl w:val="0"/>
          <w:numId w:val="5"/>
        </w:numPr>
        <w:ind w:left="0" w:leftChars="0" w:firstLine="0" w:firstLineChars="0"/>
        <w:jc w:val="both"/>
        <w:rPr>
          <w:rFonts w:hint="default" w:eastAsia="宋体"/>
          <w:lang w:val="en-US" w:eastAsia="zh-CN"/>
        </w:rPr>
      </w:pPr>
      <w:r>
        <w:rPr>
          <w:rFonts w:hint="eastAsia" w:eastAsia="宋体"/>
          <w:lang w:val="en-US" w:eastAsia="zh-CN"/>
        </w:rPr>
        <w:t>70/(70 + 30) = 70%</w:t>
      </w:r>
    </w:p>
    <w:p>
      <w:pPr>
        <w:widowControl w:val="0"/>
        <w:numPr>
          <w:ilvl w:val="0"/>
          <w:numId w:val="5"/>
        </w:numPr>
        <w:ind w:left="0" w:leftChars="0" w:firstLine="0" w:firstLineChars="0"/>
        <w:jc w:val="both"/>
        <w:rPr>
          <w:rFonts w:hint="default" w:eastAsia="宋体"/>
          <w:lang w:val="en-US" w:eastAsia="zh-CN"/>
        </w:rPr>
      </w:pPr>
      <w:r>
        <w:rPr>
          <w:rFonts w:hint="eastAsia" w:eastAsia="宋体"/>
          <w:lang w:val="en-US" w:eastAsia="zh-CN"/>
        </w:rPr>
        <w:t>70/(70 + 70) = 50%</w:t>
      </w:r>
    </w:p>
    <w:p>
      <w:pPr>
        <w:widowControl w:val="0"/>
        <w:numPr>
          <w:ilvl w:val="0"/>
          <w:numId w:val="0"/>
        </w:numPr>
        <w:jc w:val="both"/>
        <w:rPr>
          <w:rFonts w:hint="eastAsia" w:asciiTheme="majorBidi" w:hAnsiTheme="majorBidi" w:cstheme="majorBidi"/>
          <w:b/>
          <w:sz w:val="28"/>
          <w:lang w:val="en-US" w:eastAsia="zh-CN"/>
        </w:rPr>
      </w:pPr>
      <w:r>
        <w:rPr>
          <w:rFonts w:hint="eastAsia" w:asciiTheme="majorBidi" w:hAnsiTheme="majorBidi" w:cstheme="majorBidi"/>
          <w:b/>
          <w:sz w:val="28"/>
          <w:lang w:val="en-US" w:eastAsia="zh-CN"/>
        </w:rPr>
        <w:t>4c)</w:t>
      </w:r>
    </w:p>
    <w:p>
      <w:pPr>
        <w:widowControl w:val="0"/>
        <w:numPr>
          <w:ilvl w:val="0"/>
          <w:numId w:val="6"/>
        </w:numPr>
        <w:ind w:leftChars="0"/>
        <w:jc w:val="both"/>
        <w:rPr>
          <w:rFonts w:hint="eastAsia" w:eastAsia="宋体"/>
          <w:lang w:val="en-US" w:eastAsia="zh-CN"/>
        </w:rPr>
      </w:pPr>
      <w:r>
        <w:rPr>
          <w:rFonts w:hint="eastAsia" w:eastAsia="宋体"/>
          <w:lang w:val="en-US" w:eastAsia="zh-CN"/>
        </w:rPr>
        <w:t>For K=1, this test instance would be predicted negative because it’s single nearest neighbor is negative.</w:t>
      </w:r>
    </w:p>
    <w:p>
      <w:pPr>
        <w:widowControl w:val="0"/>
        <w:numPr>
          <w:ilvl w:val="0"/>
          <w:numId w:val="6"/>
        </w:numPr>
        <w:ind w:leftChars="0"/>
        <w:jc w:val="both"/>
        <w:rPr>
          <w:rFonts w:hint="eastAsia" w:eastAsia="宋体"/>
          <w:lang w:val="en-US" w:eastAsia="zh-CN"/>
        </w:rPr>
      </w:pPr>
      <w:r>
        <w:rPr>
          <w:rFonts w:hint="eastAsia" w:eastAsia="宋体"/>
          <w:lang w:val="en-US" w:eastAsia="zh-CN"/>
        </w:rPr>
        <w:t>For K=3, this test instance would be predicted negative. Out of its three nearest neighbors, two are negative and one is positive.</w:t>
      </w:r>
    </w:p>
    <w:p>
      <w:pPr>
        <w:widowControl w:val="0"/>
        <w:numPr>
          <w:ilvl w:val="0"/>
          <w:numId w:val="6"/>
        </w:numPr>
        <w:ind w:leftChars="0"/>
        <w:jc w:val="both"/>
        <w:rPr>
          <w:rFonts w:hint="eastAsia" w:eastAsia="宋体"/>
          <w:lang w:val="en-US" w:eastAsia="zh-CN"/>
        </w:rPr>
      </w:pPr>
      <w:r>
        <w:rPr>
          <w:rFonts w:hint="eastAsia" w:eastAsia="宋体"/>
          <w:lang w:val="en-US" w:eastAsia="zh-CN"/>
        </w:rPr>
        <w:t>For K=5, this test instance would be predicted negative. Out of its five nearest neighbors, two are negative and three are positive</w:t>
      </w:r>
    </w:p>
    <w:p>
      <w:pPr>
        <w:widowControl w:val="0"/>
        <w:numPr>
          <w:ilvl w:val="0"/>
          <w:numId w:val="6"/>
        </w:numPr>
        <w:ind w:leftChars="0"/>
        <w:jc w:val="both"/>
        <w:rPr>
          <w:rFonts w:hint="eastAsia" w:eastAsia="宋体"/>
          <w:lang w:val="en-US" w:eastAsia="zh-CN"/>
        </w:rPr>
      </w:pPr>
      <w:r>
        <w:rPr>
          <w:rFonts w:hint="eastAsia" w:eastAsia="宋体"/>
          <w:lang w:val="en-US" w:eastAsia="zh-CN"/>
        </w:rPr>
        <w:t>There are only 5 negative instances in the training set. Therefore, any value of K &gt; 10 would have a majority of positive instances.</w:t>
      </w:r>
    </w:p>
    <w:p>
      <w:pPr>
        <w:numPr>
          <w:ilvl w:val="0"/>
          <w:numId w:val="0"/>
        </w:numPr>
        <w:rPr>
          <w:rFonts w:hint="default" w:asciiTheme="majorBidi" w:hAnsiTheme="majorBidi" w:eastAsiaTheme="minorEastAsia" w:cstheme="majorBidi"/>
          <w:b/>
          <w:sz w:val="28"/>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6315461"/>
    <w:multiLevelType w:val="singleLevel"/>
    <w:tmpl w:val="86315461"/>
    <w:lvl w:ilvl="0" w:tentative="0">
      <w:start w:val="1"/>
      <w:numFmt w:val="decimal"/>
      <w:suff w:val="space"/>
      <w:lvlText w:val="%1."/>
      <w:lvlJc w:val="left"/>
    </w:lvl>
  </w:abstractNum>
  <w:abstractNum w:abstractNumId="1">
    <w:nsid w:val="978BF2A2"/>
    <w:multiLevelType w:val="singleLevel"/>
    <w:tmpl w:val="978BF2A2"/>
    <w:lvl w:ilvl="0" w:tentative="0">
      <w:start w:val="1"/>
      <w:numFmt w:val="decimal"/>
      <w:suff w:val="space"/>
      <w:lvlText w:val="%1)"/>
      <w:lvlJc w:val="left"/>
    </w:lvl>
  </w:abstractNum>
  <w:abstractNum w:abstractNumId="2">
    <w:nsid w:val="E7A613D7"/>
    <w:multiLevelType w:val="singleLevel"/>
    <w:tmpl w:val="E7A613D7"/>
    <w:lvl w:ilvl="0" w:tentative="0">
      <w:start w:val="1"/>
      <w:numFmt w:val="decimal"/>
      <w:suff w:val="space"/>
      <w:lvlText w:val="%1-"/>
      <w:lvlJc w:val="left"/>
    </w:lvl>
  </w:abstractNum>
  <w:abstractNum w:abstractNumId="3">
    <w:nsid w:val="FCDDA44E"/>
    <w:multiLevelType w:val="singleLevel"/>
    <w:tmpl w:val="FCDDA44E"/>
    <w:lvl w:ilvl="0" w:tentative="0">
      <w:start w:val="1"/>
      <w:numFmt w:val="decimal"/>
      <w:suff w:val="space"/>
      <w:lvlText w:val="%1."/>
      <w:lvlJc w:val="left"/>
    </w:lvl>
  </w:abstractNum>
  <w:abstractNum w:abstractNumId="4">
    <w:nsid w:val="28D4F180"/>
    <w:multiLevelType w:val="singleLevel"/>
    <w:tmpl w:val="28D4F180"/>
    <w:lvl w:ilvl="0" w:tentative="0">
      <w:start w:val="1"/>
      <w:numFmt w:val="decimal"/>
      <w:suff w:val="space"/>
      <w:lvlText w:val="%1)"/>
      <w:lvlJc w:val="left"/>
    </w:lvl>
  </w:abstractNum>
  <w:abstractNum w:abstractNumId="5">
    <w:nsid w:val="70DBA1F7"/>
    <w:multiLevelType w:val="singleLevel"/>
    <w:tmpl w:val="70DBA1F7"/>
    <w:lvl w:ilvl="0" w:tentative="0">
      <w:start w:val="1"/>
      <w:numFmt w:val="upperLetter"/>
      <w:suff w:val="space"/>
      <w:lvlText w:val="%1-"/>
      <w:lvlJc w:val="left"/>
    </w:lvl>
  </w:abstractNum>
  <w:num w:numId="1">
    <w:abstractNumId w:val="5"/>
  </w:num>
  <w:num w:numId="2">
    <w:abstractNumId w:val="1"/>
  </w:num>
  <w:num w:numId="3">
    <w:abstractNumId w:val="4"/>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473F74"/>
    <w:rsid w:val="014D61C7"/>
    <w:rsid w:val="643B7972"/>
    <w:rsid w:val="78E212AA"/>
    <w:rsid w:val="7F473F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Body Text"/>
    <w:basedOn w:val="1"/>
    <w:qFormat/>
    <w:uiPriority w:val="1"/>
    <w:rPr>
      <w:rFonts w:ascii="Times New Roman" w:hAnsi="Times New Roman" w:eastAsia="Times New Roman" w:cs="Times New Roman"/>
      <w:sz w:val="24"/>
      <w:szCs w:val="24"/>
      <w:lang w:val="en-US" w:eastAsia="en-US" w:bidi="ar-SA"/>
    </w:rPr>
  </w:style>
  <w:style w:type="paragraph" w:customStyle="1" w:styleId="5">
    <w:name w:val="Table Paragraph"/>
    <w:basedOn w:val="1"/>
    <w:qFormat/>
    <w:uiPriority w:val="1"/>
    <w:pPr>
      <w:spacing w:line="256" w:lineRule="exact"/>
      <w:jc w:val="center"/>
    </w:pPr>
    <w:rPr>
      <w:rFonts w:ascii="Times New Roman" w:hAnsi="Times New Roman" w:eastAsia="Times New Roman" w:cs="Times New Roman"/>
      <w:lang w:val="en-US" w:eastAsia="en-US" w:bidi="ar-SA"/>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Office_11.1.0.11194_F1E327BC-269C-435d-A152-05C5408002CA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2022-01-11T11:53:00Z</dcterms:created>
  <dc:creator>梦一场</dc:creator>
  <cp:lastModifiedBy>梦一场</cp:lastModifiedBy>
  <dcterms:modified xsi:type="dcterms:W3CDTF">2022-01-11T12:41:23Z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2052-11.1.0.11194</vt:lpwstr>
  </property>
  <property fmtid="{D5CDD505-2E9C-101B-9397-08002B2CF9AE}" pid="3" name="ICV">
    <vt:lpwstr>FD37A73238B444949734397620DF1947</vt:lpwstr>
  </property>
</Properties>
</file>