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ED3007" w14:textId="653BD84B" w:rsidR="002E22FD" w:rsidRDefault="004A7FE0">
      <w:pPr>
        <w:rPr>
          <w:rFonts w:ascii="Tahoma" w:hAnsi="Tahoma" w:cs="Tahoma"/>
        </w:rPr>
      </w:pPr>
      <w:r>
        <w:rPr>
          <w:rFonts w:ascii="Tahoma" w:hAnsi="Tahoma" w:cs="Tahoma"/>
        </w:rPr>
        <w:t>Damion Richards</w:t>
      </w:r>
    </w:p>
    <w:p w14:paraId="59670863" w14:textId="74155E3D" w:rsidR="004A7FE0" w:rsidRPr="00102545" w:rsidRDefault="004A7FE0">
      <w:pPr>
        <w:rPr>
          <w:rFonts w:ascii="Tahoma" w:hAnsi="Tahoma" w:cs="Tahoma"/>
        </w:rPr>
      </w:pPr>
      <w:r w:rsidRPr="004A7FE0">
        <w:rPr>
          <w:rFonts w:ascii="Tahoma" w:hAnsi="Tahoma" w:cs="Tahoma"/>
          <w:u w:val="single"/>
        </w:rPr>
        <w:t xml:space="preserve">CIPD Number: </w:t>
      </w:r>
      <w:r w:rsidR="00406B37">
        <w:rPr>
          <w:rFonts w:ascii="Tahoma" w:hAnsi="Tahoma" w:cs="Tahoma"/>
        </w:rPr>
        <w:t>87220203</w:t>
      </w:r>
    </w:p>
    <w:p w14:paraId="684FB562" w14:textId="5CF557E3" w:rsidR="004C196A" w:rsidRPr="00411F25" w:rsidRDefault="004C196A">
      <w:pPr>
        <w:rPr>
          <w:rFonts w:ascii="Tahoma" w:hAnsi="Tahoma" w:cs="Tahoma"/>
        </w:rPr>
      </w:pPr>
      <w:r>
        <w:rPr>
          <w:rFonts w:ascii="Tahoma" w:hAnsi="Tahoma" w:cs="Tahoma"/>
          <w:u w:val="single"/>
        </w:rPr>
        <w:t>Total Word Count:</w:t>
      </w:r>
      <w:r w:rsidR="00411F25">
        <w:rPr>
          <w:rFonts w:ascii="Tahoma" w:hAnsi="Tahoma" w:cs="Tahoma"/>
          <w:u w:val="single"/>
        </w:rPr>
        <w:t xml:space="preserve"> </w:t>
      </w:r>
      <w:r w:rsidR="00023A6E">
        <w:rPr>
          <w:rFonts w:ascii="Tahoma" w:hAnsi="Tahoma" w:cs="Tahoma"/>
        </w:rPr>
        <w:t>3</w:t>
      </w:r>
      <w:r w:rsidR="00C32E05">
        <w:rPr>
          <w:rFonts w:ascii="Tahoma" w:hAnsi="Tahoma" w:cs="Tahoma"/>
        </w:rPr>
        <w:t>8</w:t>
      </w:r>
      <w:r w:rsidR="006E3A4F">
        <w:rPr>
          <w:rFonts w:ascii="Tahoma" w:hAnsi="Tahoma" w:cs="Tahoma"/>
        </w:rPr>
        <w:t>39</w:t>
      </w:r>
    </w:p>
    <w:p w14:paraId="446C146B" w14:textId="7C09FE0C" w:rsidR="00C62D2E" w:rsidRDefault="00C62D2E">
      <w:pPr>
        <w:rPr>
          <w:rFonts w:ascii="Tahoma" w:hAnsi="Tahoma" w:cs="Tahoma"/>
        </w:rPr>
      </w:pPr>
      <w:r>
        <w:rPr>
          <w:rFonts w:ascii="Tahoma" w:hAnsi="Tahoma" w:cs="Tahoma"/>
        </w:rPr>
        <w:br w:type="page"/>
      </w:r>
    </w:p>
    <w:p w14:paraId="26640992" w14:textId="3D6EA2C8" w:rsidR="00406B37" w:rsidRDefault="009B4637">
      <w:pPr>
        <w:rPr>
          <w:rFonts w:ascii="Tahoma" w:hAnsi="Tahoma" w:cs="Tahoma"/>
        </w:rPr>
      </w:pPr>
      <w:r>
        <w:rPr>
          <w:rFonts w:ascii="Tahoma" w:hAnsi="Tahoma" w:cs="Tahoma"/>
        </w:rPr>
        <w:lastRenderedPageBreak/>
        <w:t>Damion Richards</w:t>
      </w:r>
    </w:p>
    <w:p w14:paraId="1A93C9DB" w14:textId="413A8425" w:rsidR="009B4637" w:rsidRPr="006A7F6C" w:rsidRDefault="009B4637">
      <w:pPr>
        <w:rPr>
          <w:rFonts w:ascii="Tahoma" w:hAnsi="Tahoma" w:cs="Tahoma"/>
        </w:rPr>
      </w:pPr>
      <w:r w:rsidRPr="0033401F">
        <w:rPr>
          <w:rFonts w:ascii="Tahoma" w:hAnsi="Tahoma" w:cs="Tahoma"/>
          <w:u w:val="single"/>
        </w:rPr>
        <w:t>CIPD Number:</w:t>
      </w:r>
      <w:r w:rsidR="006A7F6C">
        <w:rPr>
          <w:rFonts w:ascii="Tahoma" w:hAnsi="Tahoma" w:cs="Tahoma"/>
        </w:rPr>
        <w:t xml:space="preserve"> 87220203</w:t>
      </w:r>
    </w:p>
    <w:p w14:paraId="6857EE34" w14:textId="6C32106D" w:rsidR="0033401F" w:rsidRDefault="0033401F">
      <w:pPr>
        <w:rPr>
          <w:rFonts w:ascii="Tahoma" w:hAnsi="Tahoma" w:cs="Tahoma"/>
        </w:rPr>
      </w:pPr>
      <w:r>
        <w:rPr>
          <w:rFonts w:ascii="Tahoma" w:hAnsi="Tahoma" w:cs="Tahoma"/>
          <w:u w:val="single"/>
        </w:rPr>
        <w:t xml:space="preserve">Total Word Count: </w:t>
      </w:r>
      <w:r w:rsidR="00023A6E">
        <w:rPr>
          <w:rFonts w:ascii="Tahoma" w:hAnsi="Tahoma" w:cs="Tahoma"/>
        </w:rPr>
        <w:t>29</w:t>
      </w:r>
      <w:r w:rsidR="003C4DD2">
        <w:rPr>
          <w:rFonts w:ascii="Tahoma" w:hAnsi="Tahoma" w:cs="Tahoma"/>
        </w:rPr>
        <w:t>0</w:t>
      </w:r>
      <w:r w:rsidR="00023A6E">
        <w:rPr>
          <w:rFonts w:ascii="Tahoma" w:hAnsi="Tahoma" w:cs="Tahoma"/>
        </w:rPr>
        <w:t>6</w:t>
      </w:r>
    </w:p>
    <w:p w14:paraId="5A237D8B" w14:textId="691277BB" w:rsidR="00E75C72" w:rsidRDefault="00CC3F1C" w:rsidP="00E75C72">
      <w:pPr>
        <w:jc w:val="center"/>
        <w:rPr>
          <w:rFonts w:ascii="Tahoma" w:hAnsi="Tahoma" w:cs="Tahoma"/>
          <w:u w:val="single"/>
        </w:rPr>
      </w:pPr>
      <w:r w:rsidRPr="00CC3F1C">
        <w:rPr>
          <w:rFonts w:ascii="Tahoma" w:hAnsi="Tahoma" w:cs="Tahoma"/>
          <w:u w:val="single"/>
        </w:rPr>
        <w:t>Task One</w:t>
      </w:r>
    </w:p>
    <w:p w14:paraId="771E5114" w14:textId="77777777" w:rsidR="00CC3F1C" w:rsidRDefault="00CC3F1C" w:rsidP="00E75C72">
      <w:pPr>
        <w:jc w:val="center"/>
        <w:rPr>
          <w:rFonts w:ascii="Tahoma" w:hAnsi="Tahoma" w:cs="Tahoma"/>
          <w:u w:val="single"/>
        </w:rPr>
      </w:pPr>
    </w:p>
    <w:p w14:paraId="461821CD" w14:textId="3B2E624F" w:rsidR="006A7F6C" w:rsidRDefault="006A7F6C" w:rsidP="00CC3F1C">
      <w:pPr>
        <w:rPr>
          <w:rFonts w:ascii="Tahoma" w:hAnsi="Tahoma" w:cs="Tahoma"/>
          <w:u w:val="single"/>
        </w:rPr>
      </w:pPr>
      <w:r w:rsidRPr="006A7F6C">
        <w:rPr>
          <w:rFonts w:ascii="Tahoma" w:hAnsi="Tahoma" w:cs="Tahoma"/>
          <w:u w:val="single"/>
        </w:rPr>
        <w:t>Introduction</w:t>
      </w:r>
    </w:p>
    <w:p w14:paraId="4927FE52" w14:textId="3632338D" w:rsidR="00583D7C" w:rsidRDefault="00C75DF6" w:rsidP="00CC3F1C">
      <w:pPr>
        <w:rPr>
          <w:rFonts w:ascii="Tahoma" w:hAnsi="Tahoma" w:cs="Tahoma"/>
        </w:rPr>
      </w:pPr>
      <w:r>
        <w:rPr>
          <w:rFonts w:ascii="Tahoma" w:hAnsi="Tahoma" w:cs="Tahoma"/>
        </w:rPr>
        <w:t xml:space="preserve">This report aims to provide a comprehensive overview of evidence-based practice, drawing on the perspectives of several academic authors to enhance understanding of the key concepts and ethical principles that underpin this approach. It will examine the theoretical foundations of evidence-based practice and explore the ethical considerations that influence its application within organisational contexts. Furthermore, the report will outline a range of analytical thinking methods that support effective decision-making and critically assess an analytical technique that organisations can apply to anticipate and address future people-related challenges. In addition, the report will demonstrate how the adoption of evidence-based practices contributes tangible value to organisations by improving performance, supporting strategic objectives, and enhancing workforce outcomes. It will explain the purpose of people analytics, highlighting how systematic analysis of workforce data enables organisations to address business challenges, improve organisational effectiveness, and generate measurable value (CIPD, 2022).  </w:t>
      </w:r>
    </w:p>
    <w:p w14:paraId="25F80796" w14:textId="5C2A6510" w:rsidR="00583D7C" w:rsidRDefault="00236DAD" w:rsidP="00CC3F1C">
      <w:pPr>
        <w:rPr>
          <w:rFonts w:ascii="Tahoma" w:hAnsi="Tahoma" w:cs="Tahoma"/>
          <w:u w:val="single"/>
        </w:rPr>
      </w:pPr>
      <w:bookmarkStart w:id="0" w:name="_Hlk220853795"/>
      <w:r w:rsidRPr="006324BA">
        <w:rPr>
          <w:rFonts w:ascii="Tahoma" w:hAnsi="Tahoma" w:cs="Tahoma"/>
          <w:u w:val="single"/>
        </w:rPr>
        <w:t>AC</w:t>
      </w:r>
      <w:r w:rsidR="00E257F5" w:rsidRPr="006324BA">
        <w:rPr>
          <w:rFonts w:ascii="Tahoma" w:hAnsi="Tahoma" w:cs="Tahoma"/>
          <w:u w:val="single"/>
        </w:rPr>
        <w:t xml:space="preserve"> 1.1 </w:t>
      </w:r>
      <w:r w:rsidR="00A00AC7" w:rsidRPr="006324BA">
        <w:rPr>
          <w:rFonts w:ascii="Tahoma" w:hAnsi="Tahoma" w:cs="Tahoma"/>
          <w:u w:val="single"/>
        </w:rPr>
        <w:t>–</w:t>
      </w:r>
      <w:r w:rsidR="00E257F5" w:rsidRPr="006324BA">
        <w:rPr>
          <w:rFonts w:ascii="Tahoma" w:hAnsi="Tahoma" w:cs="Tahoma"/>
          <w:u w:val="single"/>
        </w:rPr>
        <w:t xml:space="preserve"> </w:t>
      </w:r>
      <w:r w:rsidR="00A00AC7" w:rsidRPr="006324BA">
        <w:rPr>
          <w:rFonts w:ascii="Tahoma" w:hAnsi="Tahoma" w:cs="Tahoma"/>
          <w:u w:val="single"/>
        </w:rPr>
        <w:t xml:space="preserve">Evaluate the concept of Evidence-Based </w:t>
      </w:r>
      <w:r w:rsidR="002F26AD" w:rsidRPr="006324BA">
        <w:rPr>
          <w:rFonts w:ascii="Tahoma" w:hAnsi="Tahoma" w:cs="Tahoma"/>
          <w:u w:val="single"/>
        </w:rPr>
        <w:t>Pra</w:t>
      </w:r>
      <w:r w:rsidR="006324BA" w:rsidRPr="006324BA">
        <w:rPr>
          <w:rFonts w:ascii="Tahoma" w:hAnsi="Tahoma" w:cs="Tahoma"/>
          <w:u w:val="single"/>
        </w:rPr>
        <w:t>ctice</w:t>
      </w:r>
    </w:p>
    <w:bookmarkEnd w:id="0"/>
    <w:p w14:paraId="30313D66" w14:textId="25578077" w:rsidR="004C196A" w:rsidRDefault="00F94A21">
      <w:pPr>
        <w:rPr>
          <w:rFonts w:ascii="Tahoma" w:hAnsi="Tahoma" w:cs="Tahoma"/>
        </w:rPr>
      </w:pPr>
      <w:r>
        <w:rPr>
          <w:rFonts w:ascii="Tahoma" w:hAnsi="Tahoma" w:cs="Tahoma"/>
        </w:rPr>
        <w:t>Within Human Resource Management (HRM), evidence-based practice refers to the process of making informed decisions by integrating the best available research</w:t>
      </w:r>
      <w:r w:rsidR="00970061">
        <w:rPr>
          <w:rFonts w:ascii="Tahoma" w:hAnsi="Tahoma" w:cs="Tahoma"/>
        </w:rPr>
        <w:t xml:space="preserve"> evidence, organisational data, professional expertise, and stakeholder values (Rousseau, 2006). As organisations operate in increasingly complex environments, the importance of EBP has grown, enabling HR professionals to enhance workforce performance, promote ethical standards, and ensure accountability within people management practices. </w:t>
      </w:r>
    </w:p>
    <w:p w14:paraId="3719923A" w14:textId="4AA0AF96" w:rsidR="00970061" w:rsidRDefault="00970061">
      <w:pPr>
        <w:rPr>
          <w:rFonts w:ascii="Tahoma" w:hAnsi="Tahoma" w:cs="Tahoma"/>
        </w:rPr>
      </w:pPr>
      <w:r>
        <w:rPr>
          <w:rFonts w:ascii="Tahoma" w:hAnsi="Tahoma" w:cs="Tahoma"/>
        </w:rPr>
        <w:t xml:space="preserve">A key strength of evidence-based practice in HRM is its ability to improve the quality of decision-making. Research demonstrates that evidence-based recruitment and selection techniques, such as structured interviews and validated assessment tools, are more effective predictors of job performance than traditional methods (Pfeffer and Sutton, 2006). Furthermore, EBP supports HR’s strategic role by enabling the systematic evaluation of HR interventions using organisational data, thereby strengthening HR’s credibility and influence within organisations (Briner, Denyer and Rousseau, 2009). However, while the benefits of EBP are significant, its effectiveness depends upon thoughtful and context-sensitive application, rather than </w:t>
      </w:r>
      <w:r>
        <w:rPr>
          <w:rFonts w:ascii="Tahoma" w:hAnsi="Tahoma" w:cs="Tahoma"/>
        </w:rPr>
        <w:lastRenderedPageBreak/>
        <w:t>rigid adherence to evidence alone. Practitioners must consider</w:t>
      </w:r>
      <w:r w:rsidR="00756B06">
        <w:rPr>
          <w:rFonts w:ascii="Tahoma" w:hAnsi="Tahoma" w:cs="Tahoma"/>
        </w:rPr>
        <w:t xml:space="preserve"> organisational culture, ethical implications, and stakeholder needs when applying evidence to decision-making.</w:t>
      </w:r>
    </w:p>
    <w:p w14:paraId="01D181E3" w14:textId="5FF365B9" w:rsidR="00756B06" w:rsidRDefault="00756B06">
      <w:pPr>
        <w:rPr>
          <w:rFonts w:ascii="Tahoma" w:hAnsi="Tahoma" w:cs="Tahoma"/>
        </w:rPr>
      </w:pPr>
      <w:proofErr w:type="spellStart"/>
      <w:r>
        <w:rPr>
          <w:rFonts w:ascii="Tahoma" w:hAnsi="Tahoma" w:cs="Tahoma"/>
        </w:rPr>
        <w:t>Technivara</w:t>
      </w:r>
      <w:proofErr w:type="spellEnd"/>
      <w:r>
        <w:rPr>
          <w:rFonts w:ascii="Tahoma" w:hAnsi="Tahoma" w:cs="Tahoma"/>
        </w:rPr>
        <w:t xml:space="preserve"> could further enhance its decision-making by adopting the six-step approach to evidence-based practice. Since the 1990’s, this structured framework has become an established standard across multiple professions, providing a consistent method for integrating evidence into professional judgement (CIPD, 2025).</w:t>
      </w:r>
    </w:p>
    <w:p w14:paraId="60CDB797" w14:textId="0E692053" w:rsidR="00756B06" w:rsidRDefault="00756B06">
      <w:pPr>
        <w:rPr>
          <w:rFonts w:ascii="Tahoma" w:hAnsi="Tahoma" w:cs="Tahoma"/>
        </w:rPr>
      </w:pPr>
      <w:r>
        <w:rPr>
          <w:rFonts w:ascii="Tahoma" w:hAnsi="Tahoma" w:cs="Tahoma"/>
        </w:rPr>
        <w:t xml:space="preserve">Additionally, </w:t>
      </w:r>
      <w:proofErr w:type="spellStart"/>
      <w:r>
        <w:rPr>
          <w:rFonts w:ascii="Tahoma" w:hAnsi="Tahoma" w:cs="Tahoma"/>
        </w:rPr>
        <w:t>Techinvara</w:t>
      </w:r>
      <w:proofErr w:type="spellEnd"/>
      <w:r>
        <w:rPr>
          <w:rFonts w:ascii="Tahoma" w:hAnsi="Tahoma" w:cs="Tahoma"/>
        </w:rPr>
        <w:t xml:space="preserve"> could strengthen its approach by systematically evaluating the four sources of evidence for people professionals: research evidence, organisational data, professional expertise, and stakeholder perspectives (CIPD, 2025). By critically assessing and intergrading these sources, HR practitioners can develop a balanced and comprehensive understanding of organisational challenges. This approach is underpinned by strong analytical and critical thinking skills, which enable professionals to evaluate the reliability and relevance of evidence and avoid being influenced by unsubstantiated trends and superficial solutions.</w:t>
      </w:r>
    </w:p>
    <w:p w14:paraId="7A4CB88C" w14:textId="1AB2C03C" w:rsidR="00756B06" w:rsidRDefault="00756B06">
      <w:pPr>
        <w:rPr>
          <w:rFonts w:ascii="Tahoma" w:hAnsi="Tahoma" w:cs="Tahoma"/>
        </w:rPr>
      </w:pPr>
      <w:r>
        <w:rPr>
          <w:rFonts w:ascii="Tahoma" w:hAnsi="Tahoma" w:cs="Tahoma"/>
        </w:rPr>
        <w:t>In summary, people professionals play a central role in addressing complex organisational challenges. By applying evidence-based practices effectively, they can support informed, ethical, and strategically aligned decisions that generate sustainable value and positive organisational outcomes.</w:t>
      </w:r>
    </w:p>
    <w:p w14:paraId="180FA579" w14:textId="19E233B8" w:rsidR="005766AC" w:rsidRDefault="00AC4E53">
      <w:pPr>
        <w:rPr>
          <w:rFonts w:ascii="Tahoma" w:hAnsi="Tahoma" w:cs="Tahoma"/>
          <w:u w:val="single"/>
        </w:rPr>
      </w:pPr>
      <w:r w:rsidRPr="006B4CF2">
        <w:rPr>
          <w:rFonts w:ascii="Tahoma" w:hAnsi="Tahoma" w:cs="Tahoma"/>
          <w:u w:val="single"/>
        </w:rPr>
        <w:t xml:space="preserve">AC 1.2 </w:t>
      </w:r>
      <w:r w:rsidR="00EA1A62" w:rsidRPr="006B4CF2">
        <w:rPr>
          <w:rFonts w:ascii="Tahoma" w:hAnsi="Tahoma" w:cs="Tahoma"/>
          <w:u w:val="single"/>
        </w:rPr>
        <w:t xml:space="preserve">Evaluate one </w:t>
      </w:r>
      <w:r w:rsidR="006B4CF2" w:rsidRPr="006B4CF2">
        <w:rPr>
          <w:rFonts w:ascii="Tahoma" w:hAnsi="Tahoma" w:cs="Tahoma"/>
          <w:u w:val="single"/>
        </w:rPr>
        <w:t>analysis tool and one analysis method</w:t>
      </w:r>
    </w:p>
    <w:p w14:paraId="59ADEBC8" w14:textId="3E4392C0" w:rsidR="00E6208B" w:rsidRDefault="00E414D7">
      <w:pPr>
        <w:rPr>
          <w:rFonts w:ascii="Tahoma" w:hAnsi="Tahoma" w:cs="Tahoma"/>
        </w:rPr>
      </w:pPr>
      <w:r>
        <w:rPr>
          <w:rFonts w:ascii="Tahoma" w:hAnsi="Tahoma" w:cs="Tahoma"/>
        </w:rPr>
        <w:t xml:space="preserve">This report aims to support </w:t>
      </w:r>
      <w:proofErr w:type="spellStart"/>
      <w:r>
        <w:rPr>
          <w:rFonts w:ascii="Tahoma" w:hAnsi="Tahoma" w:cs="Tahoma"/>
        </w:rPr>
        <w:t>Technivara</w:t>
      </w:r>
      <w:proofErr w:type="spellEnd"/>
      <w:r>
        <w:rPr>
          <w:rFonts w:ascii="Tahoma" w:hAnsi="Tahoma" w:cs="Tahoma"/>
        </w:rPr>
        <w:t xml:space="preserve"> in evaluating an analytical tool and method that can be applied effectively within organisational decision-making processes. Taylor and Woodhams (2022, pp.45-46) Identify several strategic models and tools commonly used by organisations to inform policy development and strategic planning, including SWOT analysis, PESTLE analysis, Porter’s Five Forces framework (Porter, 1980), and horizontal integration strategies. Along these, this report will focus on the application of the PESTLE framework to assess the reliability and relevance of evidence used in organisational decision-making. </w:t>
      </w:r>
    </w:p>
    <w:p w14:paraId="59E4E0D6" w14:textId="4B854052" w:rsidR="00E414D7" w:rsidRDefault="00E414D7">
      <w:pPr>
        <w:rPr>
          <w:rFonts w:ascii="Tahoma" w:hAnsi="Tahoma" w:cs="Tahoma"/>
        </w:rPr>
      </w:pPr>
      <w:r>
        <w:rPr>
          <w:rFonts w:ascii="Tahoma" w:hAnsi="Tahoma" w:cs="Tahoma"/>
        </w:rPr>
        <w:t>The PESTLE model facilitates structured evaluation of external influences, encompassing political, economic, social, technological, legal and environmental factors. In business contexts, this includes analysing political</w:t>
      </w:r>
      <w:r w:rsidR="0053749A">
        <w:rPr>
          <w:rFonts w:ascii="Tahoma" w:hAnsi="Tahoma" w:cs="Tahoma"/>
        </w:rPr>
        <w:t xml:space="preserve"> stability, economic performance, social trends, legal regulations, technological advancement, and environmental sustainability. These external forces shape organisational operations and strategic direction, particularly </w:t>
      </w:r>
      <w:r w:rsidR="000C047E">
        <w:rPr>
          <w:rFonts w:ascii="Tahoma" w:hAnsi="Tahoma" w:cs="Tahoma"/>
        </w:rPr>
        <w:t>considering</w:t>
      </w:r>
      <w:r w:rsidR="0053749A">
        <w:rPr>
          <w:rFonts w:ascii="Tahoma" w:hAnsi="Tahoma" w:cs="Tahoma"/>
        </w:rPr>
        <w:t xml:space="preserve"> rapid legislative change and increasing environmental responsibility. The framework enables decision-makers to anticipate external developments, assess potential impacts, and develop proactive responses that enhance organisational resilience. Battista (CIPD, 2019) highlights </w:t>
      </w:r>
      <w:r w:rsidR="0053749A">
        <w:rPr>
          <w:rFonts w:ascii="Tahoma" w:hAnsi="Tahoma" w:cs="Tahoma"/>
        </w:rPr>
        <w:lastRenderedPageBreak/>
        <w:t>that the systematic gathering of external information through this method enables organisations to maximise opportunities and minimise risks by responding effectively to emerging challenges.</w:t>
      </w:r>
    </w:p>
    <w:p w14:paraId="0B5D96CD" w14:textId="0FF597DA" w:rsidR="0053749A" w:rsidRDefault="0053749A">
      <w:pPr>
        <w:rPr>
          <w:rFonts w:ascii="Tahoma" w:hAnsi="Tahoma" w:cs="Tahoma"/>
        </w:rPr>
      </w:pPr>
      <w:r>
        <w:rPr>
          <w:rFonts w:ascii="Tahoma" w:hAnsi="Tahoma" w:cs="Tahoma"/>
        </w:rPr>
        <w:t xml:space="preserve">Similarly, Porter’s Five Forces framework examine the competitive environment by analysing industry rivalry, the threat of new entrants, supplier and customer bargaining power, and the availability of substitute products (Porter, 1980). Unlike SWOT analysis, which considers both internal and external influences, PESTLE and Five Forces focus primarily on environmental pressures. This external </w:t>
      </w:r>
      <w:r w:rsidR="00C866A2">
        <w:rPr>
          <w:rFonts w:ascii="Tahoma" w:hAnsi="Tahoma" w:cs="Tahoma"/>
        </w:rPr>
        <w:t>orientation enables organisations to adapt strategically to market changes and competitive dynamics (Goyal, 2020).</w:t>
      </w:r>
    </w:p>
    <w:p w14:paraId="372F354E" w14:textId="07BE90DC" w:rsidR="00C866A2" w:rsidRDefault="00C866A2">
      <w:pPr>
        <w:rPr>
          <w:rFonts w:ascii="Tahoma" w:hAnsi="Tahoma" w:cs="Tahoma"/>
        </w:rPr>
      </w:pPr>
      <w:r>
        <w:rPr>
          <w:rFonts w:ascii="Tahoma" w:hAnsi="Tahoma" w:cs="Tahoma"/>
        </w:rPr>
        <w:t xml:space="preserve">However, Tingsager and Smith (2020) argue that analytical tools alone are insufficient for effective strategy formation, as they may rely on uncertain assumptions. Instead, the emphasise that organisational strategy must be tailored to context, organisational size, and sector-specific challenges to ensure sustainable success. </w:t>
      </w:r>
    </w:p>
    <w:p w14:paraId="1FD79812" w14:textId="430AA1CC" w:rsidR="002C6BAE" w:rsidRDefault="002C6BAE">
      <w:pPr>
        <w:rPr>
          <w:rFonts w:ascii="Tahoma" w:hAnsi="Tahoma" w:cs="Tahoma"/>
          <w:u w:val="single"/>
        </w:rPr>
      </w:pPr>
      <w:r w:rsidRPr="002C6BAE">
        <w:rPr>
          <w:rFonts w:ascii="Tahoma" w:hAnsi="Tahoma" w:cs="Tahoma"/>
          <w:u w:val="single"/>
        </w:rPr>
        <w:t>Method</w:t>
      </w:r>
    </w:p>
    <w:p w14:paraId="455FD6C9" w14:textId="1D68A34A" w:rsidR="00B76DB0" w:rsidRDefault="00C866A2">
      <w:pPr>
        <w:rPr>
          <w:rFonts w:ascii="Tahoma" w:hAnsi="Tahoma" w:cs="Tahoma"/>
        </w:rPr>
      </w:pPr>
      <w:r>
        <w:rPr>
          <w:rFonts w:ascii="Tahoma" w:hAnsi="Tahoma" w:cs="Tahoma"/>
        </w:rPr>
        <w:t xml:space="preserve">This report examines methods that can support </w:t>
      </w:r>
      <w:proofErr w:type="spellStart"/>
      <w:r>
        <w:rPr>
          <w:rFonts w:ascii="Tahoma" w:hAnsi="Tahoma" w:cs="Tahoma"/>
        </w:rPr>
        <w:t>Technivara’s</w:t>
      </w:r>
      <w:proofErr w:type="spellEnd"/>
      <w:r>
        <w:rPr>
          <w:rFonts w:ascii="Tahoma" w:hAnsi="Tahoma" w:cs="Tahoma"/>
        </w:rPr>
        <w:t xml:space="preserve"> decision-making, with particular emphasis on employee engagement and the use of surveys and colleague interviews to generate internal evidence regarding motivation and wellbeing. Engagement is widely recognised as essential for enhancing workforce commitment and performance (CIPD, 2021). While engagement surveys provide valuable insight, findings may be influenced by response bias and concerns surrounding confidentiality. Management increasingly </w:t>
      </w:r>
      <w:r w:rsidR="00710324">
        <w:rPr>
          <w:rFonts w:ascii="Tahoma" w:hAnsi="Tahoma" w:cs="Tahoma"/>
        </w:rPr>
        <w:t xml:space="preserve">expects high levels of participation and cooperation within high-performance work systems (Gaille et al, 2017). Furthermore, clear communication regarding how data is used promotes trust organisationally. </w:t>
      </w:r>
    </w:p>
    <w:p w14:paraId="3C139BE6" w14:textId="6DD13678" w:rsidR="00B76DB0" w:rsidRDefault="006846F4">
      <w:pPr>
        <w:rPr>
          <w:rFonts w:ascii="Tahoma" w:hAnsi="Tahoma" w:cs="Tahoma"/>
          <w:u w:val="single"/>
        </w:rPr>
      </w:pPr>
      <w:r w:rsidRPr="006846F4">
        <w:rPr>
          <w:rFonts w:ascii="Tahoma" w:hAnsi="Tahoma" w:cs="Tahoma"/>
          <w:u w:val="single"/>
        </w:rPr>
        <w:t>AC 1.3 Main Principles of Critical Thinking</w:t>
      </w:r>
    </w:p>
    <w:p w14:paraId="11CF6833" w14:textId="47F3E692" w:rsidR="00E12547" w:rsidRDefault="00E12547">
      <w:pPr>
        <w:rPr>
          <w:rFonts w:ascii="Tahoma" w:hAnsi="Tahoma" w:cs="Tahoma"/>
        </w:rPr>
      </w:pPr>
      <w:r>
        <w:rPr>
          <w:rFonts w:ascii="Tahoma" w:hAnsi="Tahoma" w:cs="Tahoma"/>
        </w:rPr>
        <w:t xml:space="preserve">This report examines the core principles of critical thinking, including analysis, evaluation, reflection, and reasoned judgment, and explains why these capabilities are fundamental to effective and informed decision-making. Critical thinking enables individuals to question information, assess the strength of evidence, and recognise the influence of assumptions, bias, and logical reasoning on the quality of arguments and conclusions. By applying structured reasoning and credible evidence, decision-makers are better equipped to evaluate differing viewpoints objectively and avoid unsupported or emotionally driven claims. Within the context of </w:t>
      </w:r>
      <w:proofErr w:type="spellStart"/>
      <w:r>
        <w:rPr>
          <w:rFonts w:ascii="Tahoma" w:hAnsi="Tahoma" w:cs="Tahoma"/>
        </w:rPr>
        <w:t>Technivara</w:t>
      </w:r>
      <w:proofErr w:type="spellEnd"/>
      <w:r>
        <w:rPr>
          <w:rFonts w:ascii="Tahoma" w:hAnsi="Tahoma" w:cs="Tahoma"/>
        </w:rPr>
        <w:t>, the application of critical thinking supports balanced debate, rational discussion, and fair consideration of alternative perspectives, ultimately leading to more reliable defensible outcomes.</w:t>
      </w:r>
    </w:p>
    <w:p w14:paraId="46FAD9D1" w14:textId="28678FB1" w:rsidR="00E12547" w:rsidRDefault="00DD790F">
      <w:pPr>
        <w:rPr>
          <w:rFonts w:ascii="Tahoma" w:hAnsi="Tahoma" w:cs="Tahoma"/>
        </w:rPr>
      </w:pPr>
      <w:r>
        <w:rPr>
          <w:rFonts w:ascii="Tahoma" w:hAnsi="Tahoma" w:cs="Tahoma"/>
        </w:rPr>
        <w:lastRenderedPageBreak/>
        <w:t xml:space="preserve">Critical thinking is recognised as an essential skill in Human Resource practice, particularly in the collection, evaluation, and interpretation of evidence used to inform people-related decisions. The CIPD (2019) defines critical thinking as the ability to analyse information objectively and assess the arguments and viewpoints of others before reaching reasoned conclusions. Sternberg (1985, p.194) proposes that critical thinking can be understood through three distinct perspectives. The psychological perspective examines how arguments are constructed, including logic, clarity, and coherence of viewpoints presented. The educational perspective concentrates on the evaluation and critique of ideas and concepts, particularly in learning and professional development contexts. </w:t>
      </w:r>
    </w:p>
    <w:p w14:paraId="2A9196A8" w14:textId="3D0A72F0" w:rsidR="00DD790F" w:rsidRDefault="00DD790F">
      <w:pPr>
        <w:rPr>
          <w:rFonts w:ascii="Tahoma" w:hAnsi="Tahoma" w:cs="Tahoma"/>
        </w:rPr>
      </w:pPr>
      <w:r>
        <w:rPr>
          <w:rFonts w:ascii="Tahoma" w:hAnsi="Tahoma" w:cs="Tahoma"/>
        </w:rPr>
        <w:t>However, Lewis and Smith (1993, p.134) challenge Sternberg’s three-perspective model, suggesting instead that critical thinking can be explained through two primary</w:t>
      </w:r>
      <w:r w:rsidR="00767C1E">
        <w:rPr>
          <w:rFonts w:ascii="Tahoma" w:hAnsi="Tahoma" w:cs="Tahoma"/>
        </w:rPr>
        <w:t xml:space="preserve"> schools of thought: philosophy and psychology. Their argument places emphasis on cognitive processes and observable behaviours that enable individuals to analyse evidence effectively and make informed judgements. In contrast, McPeck (1981) argues that critical thinking is closely linked to the intelligence and subject-specific knowledge of the practitioner, suggesting that the ability to evaluate evidence cannot be separated from expertise in a particular domain. </w:t>
      </w:r>
    </w:p>
    <w:p w14:paraId="6CAEA765" w14:textId="73B24401" w:rsidR="00767C1E" w:rsidRPr="00E12547" w:rsidRDefault="00767C1E">
      <w:pPr>
        <w:rPr>
          <w:rFonts w:ascii="Tahoma" w:hAnsi="Tahoma" w:cs="Tahoma"/>
        </w:rPr>
      </w:pPr>
      <w:r>
        <w:rPr>
          <w:rFonts w:ascii="Tahoma" w:hAnsi="Tahoma" w:cs="Tahoma"/>
        </w:rPr>
        <w:t xml:space="preserve">Drawing on these perspectives, a critical thinker is better positioned to make sound decisions by systematically assessing the evidence available to them. Armstrong and Taylor (2017) further reinforce this view by defining critical thinking as a problem-solving process that evaluates quality, relevance, and credible ideas. Schraw (2011, p.327) supports the value of multiple theoretical perspectives when analysing evidence, while Huitt (1998) argues that critical thinking is best developed within specific subject areas rather than as a standalone skill. Overall, critical thinking enhances understanding, supports ethical and accountable decision-making, and strengthens communication and problem-solving within organisations such as </w:t>
      </w:r>
      <w:proofErr w:type="spellStart"/>
      <w:r>
        <w:rPr>
          <w:rFonts w:ascii="Tahoma" w:hAnsi="Tahoma" w:cs="Tahoma"/>
        </w:rPr>
        <w:t>Technivara</w:t>
      </w:r>
      <w:proofErr w:type="spellEnd"/>
      <w:r>
        <w:rPr>
          <w:rFonts w:ascii="Tahoma" w:hAnsi="Tahoma" w:cs="Tahoma"/>
        </w:rPr>
        <w:t xml:space="preserve"> (CIPD, 2019). </w:t>
      </w:r>
    </w:p>
    <w:p w14:paraId="1F820951" w14:textId="77777777" w:rsidR="00165301" w:rsidRDefault="00B9407B">
      <w:pPr>
        <w:rPr>
          <w:rFonts w:ascii="Tahoma" w:hAnsi="Tahoma" w:cs="Tahoma"/>
          <w:u w:val="single"/>
        </w:rPr>
      </w:pPr>
      <w:r w:rsidRPr="00B9407B">
        <w:rPr>
          <w:rFonts w:ascii="Tahoma" w:hAnsi="Tahoma" w:cs="Tahoma"/>
          <w:u w:val="single"/>
        </w:rPr>
        <w:t>AC 1.4 Decision making processes</w:t>
      </w:r>
    </w:p>
    <w:p w14:paraId="7797815F" w14:textId="437A7F1B" w:rsidR="00B96F7A" w:rsidRDefault="00B96F7A">
      <w:pPr>
        <w:rPr>
          <w:rFonts w:ascii="Tahoma" w:hAnsi="Tahoma" w:cs="Tahoma"/>
        </w:rPr>
      </w:pPr>
      <w:r>
        <w:rPr>
          <w:rFonts w:ascii="Tahoma" w:hAnsi="Tahoma" w:cs="Tahoma"/>
        </w:rPr>
        <w:t xml:space="preserve">This </w:t>
      </w:r>
      <w:r w:rsidR="00702CE7">
        <w:rPr>
          <w:rFonts w:ascii="Tahoma" w:hAnsi="Tahoma" w:cs="Tahoma"/>
        </w:rPr>
        <w:t xml:space="preserve">paper explores a range of decision-making processes that aim to support </w:t>
      </w:r>
      <w:proofErr w:type="spellStart"/>
      <w:r w:rsidR="00702CE7">
        <w:rPr>
          <w:rFonts w:ascii="Tahoma" w:hAnsi="Tahoma" w:cs="Tahoma"/>
        </w:rPr>
        <w:t>Tech</w:t>
      </w:r>
      <w:r w:rsidR="00555FA7">
        <w:rPr>
          <w:rFonts w:ascii="Tahoma" w:hAnsi="Tahoma" w:cs="Tahoma"/>
        </w:rPr>
        <w:t>nivara</w:t>
      </w:r>
      <w:proofErr w:type="spellEnd"/>
      <w:r w:rsidR="00555FA7">
        <w:rPr>
          <w:rFonts w:ascii="Tahoma" w:hAnsi="Tahoma" w:cs="Tahoma"/>
        </w:rPr>
        <w:t xml:space="preserve"> in achieving effective and informed outcomes. Decision-making</w:t>
      </w:r>
      <w:r w:rsidR="007B3BBF">
        <w:rPr>
          <w:rFonts w:ascii="Tahoma" w:hAnsi="Tahoma" w:cs="Tahoma"/>
        </w:rPr>
        <w:t xml:space="preserve"> models provide structured frameworks that enable organisations and practitioners to approach complex</w:t>
      </w:r>
      <w:r w:rsidR="00F918A7">
        <w:rPr>
          <w:rFonts w:ascii="Tahoma" w:hAnsi="Tahoma" w:cs="Tahoma"/>
        </w:rPr>
        <w:t xml:space="preserve"> problems logically, analytically and creatively. </w:t>
      </w:r>
    </w:p>
    <w:p w14:paraId="42EDB1CA" w14:textId="2BACD54E" w:rsidR="00554450" w:rsidRDefault="00554450">
      <w:pPr>
        <w:rPr>
          <w:rFonts w:ascii="Tahoma" w:hAnsi="Tahoma" w:cs="Tahoma"/>
        </w:rPr>
      </w:pPr>
      <w:r>
        <w:rPr>
          <w:rFonts w:ascii="Tahoma" w:hAnsi="Tahoma" w:cs="Tahoma"/>
        </w:rPr>
        <w:t xml:space="preserve">One widely recognised approach is Edward de Bono’s </w:t>
      </w:r>
      <w:r w:rsidR="00344AC3">
        <w:rPr>
          <w:rFonts w:ascii="Tahoma" w:hAnsi="Tahoma" w:cs="Tahoma"/>
        </w:rPr>
        <w:t>Six Thinking Hats model, which promotes creative and structured problem-solving</w:t>
      </w:r>
      <w:r w:rsidR="00811F38">
        <w:rPr>
          <w:rFonts w:ascii="Tahoma" w:hAnsi="Tahoma" w:cs="Tahoma"/>
        </w:rPr>
        <w:t>. This framework encourages individuals and teams to explore issues from</w:t>
      </w:r>
      <w:r w:rsidR="00FA359C">
        <w:rPr>
          <w:rFonts w:ascii="Tahoma" w:hAnsi="Tahoma" w:cs="Tahoma"/>
        </w:rPr>
        <w:t xml:space="preserve"> multiple perspectives, reducing the likelihood of bias or premature judgement. The model categorises </w:t>
      </w:r>
      <w:r w:rsidR="005D3FE0">
        <w:rPr>
          <w:rFonts w:ascii="Tahoma" w:hAnsi="Tahoma" w:cs="Tahoma"/>
        </w:rPr>
        <w:t>thinking into six distinct models, each represented by a coloured hat</w:t>
      </w:r>
      <w:r w:rsidR="003A2992">
        <w:rPr>
          <w:rFonts w:ascii="Tahoma" w:hAnsi="Tahoma" w:cs="Tahoma"/>
        </w:rPr>
        <w:t>. The blue hat focuses on planning, organisation, and the overall management</w:t>
      </w:r>
      <w:r w:rsidR="00E837C3">
        <w:rPr>
          <w:rFonts w:ascii="Tahoma" w:hAnsi="Tahoma" w:cs="Tahoma"/>
        </w:rPr>
        <w:t xml:space="preserve"> of the thinking </w:t>
      </w:r>
      <w:r w:rsidR="00E837C3">
        <w:rPr>
          <w:rFonts w:ascii="Tahoma" w:hAnsi="Tahoma" w:cs="Tahoma"/>
        </w:rPr>
        <w:lastRenderedPageBreak/>
        <w:t>process. The green hat encourages creative thinking and the generation of new ideas</w:t>
      </w:r>
      <w:r w:rsidR="00B51FB5">
        <w:rPr>
          <w:rFonts w:ascii="Tahoma" w:hAnsi="Tahoma" w:cs="Tahoma"/>
        </w:rPr>
        <w:t xml:space="preserve">, while the red hat allows individuals to express emotions, intuition, </w:t>
      </w:r>
      <w:r w:rsidR="0013594D">
        <w:rPr>
          <w:rFonts w:ascii="Tahoma" w:hAnsi="Tahoma" w:cs="Tahoma"/>
        </w:rPr>
        <w:t>and feelings related to the issue. The yellow hat concentrates on identifying ben</w:t>
      </w:r>
      <w:r w:rsidR="005A786E">
        <w:rPr>
          <w:rFonts w:ascii="Tahoma" w:hAnsi="Tahoma" w:cs="Tahoma"/>
        </w:rPr>
        <w:t>efits and positive outcomes, whereas the black hat is used to highlight risks</w:t>
      </w:r>
      <w:r w:rsidR="00693948">
        <w:rPr>
          <w:rFonts w:ascii="Tahoma" w:hAnsi="Tahoma" w:cs="Tahoma"/>
        </w:rPr>
        <w:t xml:space="preserve">, challenges, and potential </w:t>
      </w:r>
      <w:r w:rsidR="00AC39E1">
        <w:rPr>
          <w:rFonts w:ascii="Tahoma" w:hAnsi="Tahoma" w:cs="Tahoma"/>
        </w:rPr>
        <w:t>problems</w:t>
      </w:r>
      <w:r w:rsidR="00C864DC">
        <w:rPr>
          <w:rFonts w:ascii="Tahoma" w:hAnsi="Tahoma" w:cs="Tahoma"/>
        </w:rPr>
        <w:t xml:space="preserve">. Finally, the white hat emphasises </w:t>
      </w:r>
      <w:r w:rsidR="000C047E">
        <w:rPr>
          <w:rFonts w:ascii="Tahoma" w:hAnsi="Tahoma" w:cs="Tahoma"/>
        </w:rPr>
        <w:t>information</w:t>
      </w:r>
      <w:r w:rsidR="00C864DC">
        <w:rPr>
          <w:rFonts w:ascii="Tahoma" w:hAnsi="Tahoma" w:cs="Tahoma"/>
        </w:rPr>
        <w:t>, data, and evidence-based anal</w:t>
      </w:r>
      <w:r w:rsidR="00841EA8">
        <w:rPr>
          <w:rFonts w:ascii="Tahoma" w:hAnsi="Tahoma" w:cs="Tahoma"/>
        </w:rPr>
        <w:t xml:space="preserve">ysis (De Bono, 2019). </w:t>
      </w:r>
    </w:p>
    <w:p w14:paraId="3B53807C" w14:textId="37D0235D" w:rsidR="00841EA8" w:rsidRDefault="00841EA8">
      <w:pPr>
        <w:rPr>
          <w:rFonts w:ascii="Tahoma" w:hAnsi="Tahoma" w:cs="Tahoma"/>
        </w:rPr>
      </w:pPr>
      <w:r>
        <w:rPr>
          <w:rFonts w:ascii="Tahoma" w:hAnsi="Tahoma" w:cs="Tahoma"/>
        </w:rPr>
        <w:t xml:space="preserve">De Bono suggests that simplifying </w:t>
      </w:r>
      <w:r w:rsidR="006A36D7">
        <w:rPr>
          <w:rFonts w:ascii="Tahoma" w:hAnsi="Tahoma" w:cs="Tahoma"/>
        </w:rPr>
        <w:t xml:space="preserve">complex situations into distinct models of thinking </w:t>
      </w:r>
      <w:r w:rsidR="00E337F6">
        <w:rPr>
          <w:rFonts w:ascii="Tahoma" w:hAnsi="Tahoma" w:cs="Tahoma"/>
        </w:rPr>
        <w:t xml:space="preserve">enables practitioners to engage more effectively with information and avoid becoming overwhelmed by excessive </w:t>
      </w:r>
      <w:r w:rsidR="00052EC1">
        <w:rPr>
          <w:rFonts w:ascii="Tahoma" w:hAnsi="Tahoma" w:cs="Tahoma"/>
        </w:rPr>
        <w:t>detail. This structured simpl</w:t>
      </w:r>
      <w:r w:rsidR="00290065">
        <w:rPr>
          <w:rFonts w:ascii="Tahoma" w:hAnsi="Tahoma" w:cs="Tahoma"/>
        </w:rPr>
        <w:t>icity allows individuals to approach problems systematically, thereby enhancing clarity</w:t>
      </w:r>
      <w:r w:rsidR="004453C5">
        <w:rPr>
          <w:rFonts w:ascii="Tahoma" w:hAnsi="Tahoma" w:cs="Tahoma"/>
        </w:rPr>
        <w:t xml:space="preserve"> and focus. </w:t>
      </w:r>
      <w:proofErr w:type="spellStart"/>
      <w:r w:rsidR="004453C5">
        <w:rPr>
          <w:rFonts w:ascii="Tahoma" w:hAnsi="Tahoma" w:cs="Tahoma"/>
        </w:rPr>
        <w:t>Kivunja</w:t>
      </w:r>
      <w:proofErr w:type="spellEnd"/>
      <w:r w:rsidR="004453C5">
        <w:rPr>
          <w:rFonts w:ascii="Tahoma" w:hAnsi="Tahoma" w:cs="Tahoma"/>
        </w:rPr>
        <w:t xml:space="preserve"> (2015) supports this view, </w:t>
      </w:r>
      <w:r w:rsidR="00866929">
        <w:rPr>
          <w:rFonts w:ascii="Tahoma" w:hAnsi="Tahoma" w:cs="Tahoma"/>
        </w:rPr>
        <w:t xml:space="preserve">arguing that the Six Thinking Hats model facilitates critical thinking by allowing individuals to examine </w:t>
      </w:r>
      <w:r w:rsidR="00EB7E99">
        <w:rPr>
          <w:rFonts w:ascii="Tahoma" w:hAnsi="Tahoma" w:cs="Tahoma"/>
        </w:rPr>
        <w:t>problems from multiple</w:t>
      </w:r>
      <w:r w:rsidR="009868CA">
        <w:rPr>
          <w:rFonts w:ascii="Tahoma" w:hAnsi="Tahoma" w:cs="Tahoma"/>
        </w:rPr>
        <w:t xml:space="preserve"> </w:t>
      </w:r>
      <w:r w:rsidR="00EB7E99">
        <w:rPr>
          <w:rFonts w:ascii="Tahoma" w:hAnsi="Tahoma" w:cs="Tahoma"/>
        </w:rPr>
        <w:t xml:space="preserve">angles. </w:t>
      </w:r>
      <w:r w:rsidR="0010464E">
        <w:rPr>
          <w:rFonts w:ascii="Tahoma" w:hAnsi="Tahoma" w:cs="Tahoma"/>
        </w:rPr>
        <w:t xml:space="preserve">The flexibility of switching between different </w:t>
      </w:r>
      <w:r w:rsidR="009868CA">
        <w:rPr>
          <w:rFonts w:ascii="Tahoma" w:hAnsi="Tahoma" w:cs="Tahoma"/>
        </w:rPr>
        <w:t>‘hats’ encourages deeper ana</w:t>
      </w:r>
      <w:r w:rsidR="00C63157">
        <w:rPr>
          <w:rFonts w:ascii="Tahoma" w:hAnsi="Tahoma" w:cs="Tahoma"/>
        </w:rPr>
        <w:t>lysis and adaptability, particularly when one approach proves ineffective. This process</w:t>
      </w:r>
      <w:r w:rsidR="00E3392A">
        <w:rPr>
          <w:rFonts w:ascii="Tahoma" w:hAnsi="Tahoma" w:cs="Tahoma"/>
        </w:rPr>
        <w:t xml:space="preserve"> supports reflective thinking and continuous evaluation</w:t>
      </w:r>
      <w:r w:rsidR="00CA6E53">
        <w:rPr>
          <w:rFonts w:ascii="Tahoma" w:hAnsi="Tahoma" w:cs="Tahoma"/>
        </w:rPr>
        <w:t>, both of which are essential in professional</w:t>
      </w:r>
      <w:r w:rsidR="00951BA4">
        <w:rPr>
          <w:rFonts w:ascii="Tahoma" w:hAnsi="Tahoma" w:cs="Tahoma"/>
        </w:rPr>
        <w:t xml:space="preserve"> decision-making contexts. </w:t>
      </w:r>
    </w:p>
    <w:p w14:paraId="054BFF12" w14:textId="3D52BB07" w:rsidR="00951BA4" w:rsidRDefault="00951BA4">
      <w:pPr>
        <w:rPr>
          <w:rFonts w:ascii="Tahoma" w:hAnsi="Tahoma" w:cs="Tahoma"/>
        </w:rPr>
      </w:pPr>
      <w:r>
        <w:rPr>
          <w:rFonts w:ascii="Tahoma" w:hAnsi="Tahoma" w:cs="Tahoma"/>
        </w:rPr>
        <w:t xml:space="preserve">Similarly, </w:t>
      </w:r>
      <w:r w:rsidR="00DD43FF">
        <w:rPr>
          <w:rFonts w:ascii="Tahoma" w:hAnsi="Tahoma" w:cs="Tahoma"/>
        </w:rPr>
        <w:t>the Kepner and Tregoe decision-making model provides</w:t>
      </w:r>
      <w:r w:rsidR="00607BF3">
        <w:rPr>
          <w:rFonts w:ascii="Tahoma" w:hAnsi="Tahoma" w:cs="Tahoma"/>
        </w:rPr>
        <w:t xml:space="preserve"> a structured method for analysing problems by dividing them into five core compo</w:t>
      </w:r>
      <w:r w:rsidR="004C50E2">
        <w:rPr>
          <w:rFonts w:ascii="Tahoma" w:hAnsi="Tahoma" w:cs="Tahoma"/>
        </w:rPr>
        <w:t>nents: who, what, when, where and why. This framework</w:t>
      </w:r>
      <w:r w:rsidR="009655BD">
        <w:rPr>
          <w:rFonts w:ascii="Tahoma" w:hAnsi="Tahoma" w:cs="Tahoma"/>
        </w:rPr>
        <w:t xml:space="preserve"> promotes logical reasoning and syste</w:t>
      </w:r>
      <w:r w:rsidR="00F75172">
        <w:rPr>
          <w:rFonts w:ascii="Tahoma" w:hAnsi="Tahoma" w:cs="Tahoma"/>
        </w:rPr>
        <w:t>matic inquiry, helping practitioners identify root causes and potential solutions</w:t>
      </w:r>
      <w:r w:rsidR="00657B6A">
        <w:rPr>
          <w:rFonts w:ascii="Tahoma" w:hAnsi="Tahoma" w:cs="Tahoma"/>
        </w:rPr>
        <w:t>. By focusing on these key elements, decision-makers are better able to evaluate the impact of issues and select approp</w:t>
      </w:r>
      <w:r w:rsidR="00F42AAF">
        <w:rPr>
          <w:rFonts w:ascii="Tahoma" w:hAnsi="Tahoma" w:cs="Tahoma"/>
        </w:rPr>
        <w:t xml:space="preserve">riate courses of action (Kepner &amp; Tregoe, 2019. This </w:t>
      </w:r>
      <w:r w:rsidR="00617878">
        <w:rPr>
          <w:rFonts w:ascii="Tahoma" w:hAnsi="Tahoma" w:cs="Tahoma"/>
        </w:rPr>
        <w:t xml:space="preserve">structured approach supports consistency, transparency, and accountability within organisational decision-making. </w:t>
      </w:r>
      <w:r>
        <w:rPr>
          <w:rFonts w:ascii="Tahoma" w:hAnsi="Tahoma" w:cs="Tahoma"/>
        </w:rPr>
        <w:t xml:space="preserve"> </w:t>
      </w:r>
    </w:p>
    <w:p w14:paraId="2A03AF1D" w14:textId="580527A9" w:rsidR="00657E34" w:rsidRDefault="00657E34">
      <w:pPr>
        <w:rPr>
          <w:rFonts w:ascii="Tahoma" w:hAnsi="Tahoma" w:cs="Tahoma"/>
        </w:rPr>
      </w:pPr>
      <w:r>
        <w:rPr>
          <w:rFonts w:ascii="Tahoma" w:hAnsi="Tahoma" w:cs="Tahoma"/>
        </w:rPr>
        <w:t>However, Mulej et al</w:t>
      </w:r>
      <w:r w:rsidR="00B12829">
        <w:rPr>
          <w:rFonts w:ascii="Tahoma" w:hAnsi="Tahoma" w:cs="Tahoma"/>
        </w:rPr>
        <w:t xml:space="preserve"> (2012), caution that while </w:t>
      </w:r>
      <w:r w:rsidR="003D5B84">
        <w:rPr>
          <w:rFonts w:ascii="Tahoma" w:hAnsi="Tahoma" w:cs="Tahoma"/>
        </w:rPr>
        <w:t>such frameworks are valuable, they may become overly simplistic</w:t>
      </w:r>
      <w:r w:rsidR="00B83749">
        <w:rPr>
          <w:rFonts w:ascii="Tahoma" w:hAnsi="Tahoma" w:cs="Tahoma"/>
        </w:rPr>
        <w:t xml:space="preserve"> if applied without sufficient depth. Oversimplification</w:t>
      </w:r>
      <w:r w:rsidR="00DB603B">
        <w:rPr>
          <w:rFonts w:ascii="Tahoma" w:hAnsi="Tahoma" w:cs="Tahoma"/>
        </w:rPr>
        <w:t xml:space="preserve"> can limit understanding and lead to incomplete or ineffective solutions. To address this, </w:t>
      </w:r>
      <w:r w:rsidR="004C04BE">
        <w:rPr>
          <w:rFonts w:ascii="Tahoma" w:hAnsi="Tahoma" w:cs="Tahoma"/>
        </w:rPr>
        <w:t>we can combine both quan</w:t>
      </w:r>
      <w:r w:rsidR="00B12BBA">
        <w:rPr>
          <w:rFonts w:ascii="Tahoma" w:hAnsi="Tahoma" w:cs="Tahoma"/>
        </w:rPr>
        <w:t>titative</w:t>
      </w:r>
      <w:r w:rsidR="004C04BE">
        <w:rPr>
          <w:rFonts w:ascii="Tahoma" w:hAnsi="Tahoma" w:cs="Tahoma"/>
        </w:rPr>
        <w:t xml:space="preserve"> and</w:t>
      </w:r>
      <w:r w:rsidR="00B12BBA">
        <w:rPr>
          <w:rFonts w:ascii="Tahoma" w:hAnsi="Tahoma" w:cs="Tahoma"/>
        </w:rPr>
        <w:t xml:space="preserve"> qualitative approaches to ensure </w:t>
      </w:r>
      <w:r w:rsidR="009F5833">
        <w:rPr>
          <w:rFonts w:ascii="Tahoma" w:hAnsi="Tahoma" w:cs="Tahoma"/>
        </w:rPr>
        <w:t>decision-making processes that remain comprehensive and balanced. This integrated approach</w:t>
      </w:r>
      <w:r w:rsidR="0079308D">
        <w:rPr>
          <w:rFonts w:ascii="Tahoma" w:hAnsi="Tahoma" w:cs="Tahoma"/>
        </w:rPr>
        <w:t xml:space="preserve"> enables practitioners to consider both measurable data and contextual </w:t>
      </w:r>
      <w:r w:rsidR="001D757A">
        <w:rPr>
          <w:rFonts w:ascii="Tahoma" w:hAnsi="Tahoma" w:cs="Tahoma"/>
        </w:rPr>
        <w:t>factors, enhancing the overall quality of decisions.</w:t>
      </w:r>
    </w:p>
    <w:p w14:paraId="16956E48" w14:textId="0D8E8DAD" w:rsidR="001167DA" w:rsidRDefault="00517089">
      <w:pPr>
        <w:rPr>
          <w:rFonts w:ascii="Tahoma" w:hAnsi="Tahoma" w:cs="Tahoma"/>
          <w:u w:val="single"/>
        </w:rPr>
      </w:pPr>
      <w:r w:rsidRPr="00A55510">
        <w:rPr>
          <w:rFonts w:ascii="Tahoma" w:hAnsi="Tahoma" w:cs="Tahoma"/>
          <w:u w:val="single"/>
        </w:rPr>
        <w:t>AC1.5 Ethical Theories and P</w:t>
      </w:r>
      <w:r w:rsidR="00A55510" w:rsidRPr="00A55510">
        <w:rPr>
          <w:rFonts w:ascii="Tahoma" w:hAnsi="Tahoma" w:cs="Tahoma"/>
          <w:u w:val="single"/>
        </w:rPr>
        <w:t>erspectives</w:t>
      </w:r>
    </w:p>
    <w:p w14:paraId="6DD4C6E0" w14:textId="74571B11" w:rsidR="004D0CB3" w:rsidRDefault="00686022">
      <w:pPr>
        <w:rPr>
          <w:rFonts w:ascii="Tahoma" w:hAnsi="Tahoma" w:cs="Tahoma"/>
        </w:rPr>
      </w:pPr>
      <w:r>
        <w:rPr>
          <w:rFonts w:ascii="Tahoma" w:hAnsi="Tahoma" w:cs="Tahoma"/>
        </w:rPr>
        <w:t xml:space="preserve">This paper explores two ethical perspectives that </w:t>
      </w:r>
      <w:proofErr w:type="spellStart"/>
      <w:r>
        <w:rPr>
          <w:rFonts w:ascii="Tahoma" w:hAnsi="Tahoma" w:cs="Tahoma"/>
        </w:rPr>
        <w:t>Technivara</w:t>
      </w:r>
      <w:proofErr w:type="spellEnd"/>
      <w:r>
        <w:rPr>
          <w:rFonts w:ascii="Tahoma" w:hAnsi="Tahoma" w:cs="Tahoma"/>
        </w:rPr>
        <w:t xml:space="preserve"> could use to guide and shape organisational decision-making. Ethical practice involves applying more principles to ensure decisions are fair, responsible and transparent (CIPD, 2023). These principles apply across the organisation, including social responsibility, employee wellbeing, and governance. When ethics are embedded within organisational culture, they can enhance employee morale, improve </w:t>
      </w:r>
      <w:r w:rsidR="00BF7697">
        <w:rPr>
          <w:rFonts w:ascii="Tahoma" w:hAnsi="Tahoma" w:cs="Tahoma"/>
        </w:rPr>
        <w:t xml:space="preserve">performance, </w:t>
      </w:r>
      <w:r w:rsidR="00BF7697">
        <w:rPr>
          <w:rFonts w:ascii="Tahoma" w:hAnsi="Tahoma" w:cs="Tahoma"/>
        </w:rPr>
        <w:lastRenderedPageBreak/>
        <w:t>support long-term sustainability, and help organisations distinguish from competitors.</w:t>
      </w:r>
      <w:r w:rsidR="0008745E">
        <w:rPr>
          <w:rFonts w:ascii="Tahoma" w:hAnsi="Tahoma" w:cs="Tahoma"/>
        </w:rPr>
        <w:t xml:space="preserve"> </w:t>
      </w:r>
    </w:p>
    <w:p w14:paraId="1A2FF0B6" w14:textId="77777777" w:rsidR="00B33AB9" w:rsidRDefault="00B33AB9">
      <w:pPr>
        <w:rPr>
          <w:rFonts w:ascii="Tahoma" w:hAnsi="Tahoma" w:cs="Tahoma"/>
        </w:rPr>
      </w:pPr>
      <w:r>
        <w:rPr>
          <w:rFonts w:ascii="Tahoma" w:hAnsi="Tahoma" w:cs="Tahoma"/>
        </w:rPr>
        <w:t>The CIPD (2015) identifies eight ethical lenses that organisations can use to guide ethical decision-making. These include the fairness lens, merit lens, market lens, democracy lens, wellbeing lens, rights and duties lens, character lens, and the handing-down lens. Applying these perspectives enables organisations to consider the broader implications of their decisions on shareholders, stakeholders, and employees. Using ethical lenses supports the development of policies that are not only legally compliant but morally sound, while also encouraging reflection on the potential consequences of decisions if ethical considerations are overlooked. Russell (CIPD) reinforces this view by emphasising that organisations which act with integrity and transparency are more likely to achieve higher levels of trust, reward, and organisational success.</w:t>
      </w:r>
    </w:p>
    <w:p w14:paraId="3C43D8C0" w14:textId="472CA7CD" w:rsidR="0008745E" w:rsidRDefault="00B33AB9">
      <w:pPr>
        <w:rPr>
          <w:rFonts w:ascii="Tahoma" w:hAnsi="Tahoma" w:cs="Tahoma"/>
        </w:rPr>
      </w:pPr>
      <w:r>
        <w:rPr>
          <w:rFonts w:ascii="Tahoma" w:hAnsi="Tahoma" w:cs="Tahoma"/>
        </w:rPr>
        <w:t xml:space="preserve">Two prominent ethical theories that can further ethical decision-making are deontological theory and utilitarianism. Deontological ethics focus on duty-based and rights-based reasoning, proposing that certain moral obligations should be upheld regardless of outcomes. This approach priorities respect for individual rights and adherence to ethical </w:t>
      </w:r>
      <w:r w:rsidR="00C03910">
        <w:rPr>
          <w:rFonts w:ascii="Tahoma" w:hAnsi="Tahoma" w:cs="Tahoma"/>
        </w:rPr>
        <w:t>principles, ensuring that decisions are morally justified even if they do not produce the most beneficial outcomes. In contrast, utilitarianism assess the morality of actions based on their consequences, with decisions judged according to their ability to maximise overall benefit or happiness for the greatest number of people (Bentham, 1830, p.4), Foot (1985) argues that ethical acceptability can therefore be determined by evaluating the outcomes of actions, particularly in relation to</w:t>
      </w:r>
      <w:r>
        <w:rPr>
          <w:rFonts w:ascii="Tahoma" w:hAnsi="Tahoma" w:cs="Tahoma"/>
        </w:rPr>
        <w:t xml:space="preserve"> </w:t>
      </w:r>
      <w:r w:rsidR="00C03910">
        <w:rPr>
          <w:rFonts w:ascii="Tahoma" w:hAnsi="Tahoma" w:cs="Tahoma"/>
        </w:rPr>
        <w:t>collective wellbeing.</w:t>
      </w:r>
    </w:p>
    <w:p w14:paraId="618EB347" w14:textId="44DD3E9D" w:rsidR="00C03910" w:rsidRPr="004D0CB3" w:rsidRDefault="00C03910">
      <w:pPr>
        <w:rPr>
          <w:rFonts w:ascii="Tahoma" w:hAnsi="Tahoma" w:cs="Tahoma"/>
        </w:rPr>
      </w:pPr>
      <w:r>
        <w:rPr>
          <w:rFonts w:ascii="Tahoma" w:hAnsi="Tahoma" w:cs="Tahoma"/>
        </w:rPr>
        <w:t>Bench-Capon (2020) suggests that deontological reasoning provides a structured approach by applying established moral rules and excluding actions that violate ethical standards. Despite their differences, both ethical frameworks can be applied to organisational practices such as recruitment and selection, learning and development, and people management policies. By drawing on these ethical perspectives, organisations can promote ethically informed decision-making and reinforce a commitment to fairness and responsibility. Ultimately, effective managerial decision-making requires careful evaluation of available options and the application of sound judgment to select ethically appropriate courses of action (CIPD,2021c).</w:t>
      </w:r>
    </w:p>
    <w:p w14:paraId="0EB790C7" w14:textId="15C997EB" w:rsidR="00153B75" w:rsidRDefault="00952D01">
      <w:pPr>
        <w:rPr>
          <w:rFonts w:ascii="Tahoma" w:hAnsi="Tahoma" w:cs="Tahoma"/>
          <w:u w:val="single"/>
        </w:rPr>
      </w:pPr>
      <w:r w:rsidRPr="00446442">
        <w:rPr>
          <w:rFonts w:ascii="Tahoma" w:hAnsi="Tahoma" w:cs="Tahoma"/>
          <w:u w:val="single"/>
        </w:rPr>
        <w:t xml:space="preserve">AC3.1 </w:t>
      </w:r>
      <w:r w:rsidR="00446442" w:rsidRPr="00446442">
        <w:rPr>
          <w:rFonts w:ascii="Tahoma" w:hAnsi="Tahoma" w:cs="Tahoma"/>
          <w:u w:val="single"/>
        </w:rPr>
        <w:t>–</w:t>
      </w:r>
      <w:r w:rsidRPr="00446442">
        <w:rPr>
          <w:rFonts w:ascii="Tahoma" w:hAnsi="Tahoma" w:cs="Tahoma"/>
          <w:u w:val="single"/>
        </w:rPr>
        <w:t xml:space="preserve"> </w:t>
      </w:r>
      <w:r w:rsidR="00446442" w:rsidRPr="00446442">
        <w:rPr>
          <w:rFonts w:ascii="Tahoma" w:hAnsi="Tahoma" w:cs="Tahoma"/>
          <w:u w:val="single"/>
        </w:rPr>
        <w:t>Financial and Non-Financial Performance</w:t>
      </w:r>
    </w:p>
    <w:p w14:paraId="4A137BDC" w14:textId="162FE630" w:rsidR="00D90A0C" w:rsidRPr="008A1BA1" w:rsidRDefault="008F26A6">
      <w:pPr>
        <w:rPr>
          <w:rFonts w:ascii="Tahoma" w:hAnsi="Tahoma" w:cs="Tahoma"/>
        </w:rPr>
      </w:pPr>
      <w:proofErr w:type="spellStart"/>
      <w:r>
        <w:rPr>
          <w:rFonts w:ascii="Tahoma" w:hAnsi="Tahoma" w:cs="Tahoma"/>
        </w:rPr>
        <w:t>Tec</w:t>
      </w:r>
      <w:r w:rsidR="003B4F12">
        <w:rPr>
          <w:rFonts w:ascii="Tahoma" w:hAnsi="Tahoma" w:cs="Tahoma"/>
        </w:rPr>
        <w:t>hnivara</w:t>
      </w:r>
      <w:proofErr w:type="spellEnd"/>
      <w:r w:rsidR="000C047E">
        <w:rPr>
          <w:rFonts w:ascii="Tahoma" w:hAnsi="Tahoma" w:cs="Tahoma"/>
        </w:rPr>
        <w:t xml:space="preserve"> could </w:t>
      </w:r>
      <w:r w:rsidR="003B4F12">
        <w:rPr>
          <w:rFonts w:ascii="Tahoma" w:hAnsi="Tahoma" w:cs="Tahoma"/>
        </w:rPr>
        <w:t>explo</w:t>
      </w:r>
      <w:r w:rsidR="000C047E">
        <w:rPr>
          <w:rFonts w:ascii="Tahoma" w:hAnsi="Tahoma" w:cs="Tahoma"/>
        </w:rPr>
        <w:t xml:space="preserve">re </w:t>
      </w:r>
      <w:r w:rsidR="003B4F12">
        <w:rPr>
          <w:rFonts w:ascii="Tahoma" w:hAnsi="Tahoma" w:cs="Tahoma"/>
        </w:rPr>
        <w:t xml:space="preserve">effective methods for measuring both its financial and non-financial performance. </w:t>
      </w:r>
      <w:r w:rsidR="002E2D8D">
        <w:rPr>
          <w:rFonts w:ascii="Tahoma" w:hAnsi="Tahoma" w:cs="Tahoma"/>
        </w:rPr>
        <w:t>By examining a range of performance indicators, the report will highlight how quantitative financial data</w:t>
      </w:r>
      <w:r w:rsidR="007C3F0C">
        <w:rPr>
          <w:rFonts w:ascii="Tahoma" w:hAnsi="Tahoma" w:cs="Tahoma"/>
        </w:rPr>
        <w:t>, such as revenue, costs, and profitability, can be used alongside qual</w:t>
      </w:r>
      <w:r w:rsidR="00454539">
        <w:rPr>
          <w:rFonts w:ascii="Tahoma" w:hAnsi="Tahoma" w:cs="Tahoma"/>
        </w:rPr>
        <w:t xml:space="preserve">itative and non-financial measures, including </w:t>
      </w:r>
      <w:r w:rsidR="00454539">
        <w:rPr>
          <w:rFonts w:ascii="Tahoma" w:hAnsi="Tahoma" w:cs="Tahoma"/>
        </w:rPr>
        <w:lastRenderedPageBreak/>
        <w:t>employee engagement, customer satisfaction</w:t>
      </w:r>
      <w:r w:rsidR="009C447A">
        <w:rPr>
          <w:rFonts w:ascii="Tahoma" w:hAnsi="Tahoma" w:cs="Tahoma"/>
        </w:rPr>
        <w:t>, and organisational satisfaction, to gain a balanced view of overall performance.</w:t>
      </w:r>
      <w:r w:rsidR="00AE526D">
        <w:rPr>
          <w:rFonts w:ascii="Tahoma" w:hAnsi="Tahoma" w:cs="Tahoma"/>
        </w:rPr>
        <w:t xml:space="preserve"> </w:t>
      </w:r>
      <w:proofErr w:type="spellStart"/>
      <w:r w:rsidR="00AE526D">
        <w:rPr>
          <w:rFonts w:ascii="Tahoma" w:hAnsi="Tahoma" w:cs="Tahoma"/>
        </w:rPr>
        <w:t>Technivara</w:t>
      </w:r>
      <w:proofErr w:type="spellEnd"/>
      <w:r w:rsidR="00AE526D">
        <w:rPr>
          <w:rFonts w:ascii="Tahoma" w:hAnsi="Tahoma" w:cs="Tahoma"/>
        </w:rPr>
        <w:t xml:space="preserve"> could use a range of resources and tools to measure </w:t>
      </w:r>
      <w:r w:rsidR="00BF44B1">
        <w:rPr>
          <w:rFonts w:ascii="Tahoma" w:hAnsi="Tahoma" w:cs="Tahoma"/>
        </w:rPr>
        <w:t>its</w:t>
      </w:r>
      <w:r w:rsidR="00AE526D">
        <w:rPr>
          <w:rFonts w:ascii="Tahoma" w:hAnsi="Tahoma" w:cs="Tahoma"/>
        </w:rPr>
        <w:t xml:space="preserve"> non-financial performance as mentioned above such as, employee engagement surveys or customer satisfaction surveys. These would help identify any easy warning signs and enable </w:t>
      </w:r>
      <w:proofErr w:type="spellStart"/>
      <w:r w:rsidR="00AE526D">
        <w:rPr>
          <w:rFonts w:ascii="Tahoma" w:hAnsi="Tahoma" w:cs="Tahoma"/>
        </w:rPr>
        <w:t>Technivara</w:t>
      </w:r>
      <w:proofErr w:type="spellEnd"/>
      <w:r w:rsidR="00AE526D">
        <w:rPr>
          <w:rFonts w:ascii="Tahoma" w:hAnsi="Tahoma" w:cs="Tahoma"/>
        </w:rPr>
        <w:t xml:space="preserve"> to put measures in place to prevent such issues in the future. It is important to note that these surveys should be kept short to help avoid bias or </w:t>
      </w:r>
      <w:r w:rsidR="000D027A">
        <w:rPr>
          <w:rFonts w:ascii="Tahoma" w:hAnsi="Tahoma" w:cs="Tahoma"/>
        </w:rPr>
        <w:t>number</w:t>
      </w:r>
      <w:r w:rsidR="00AE526D">
        <w:rPr>
          <w:rFonts w:ascii="Tahoma" w:hAnsi="Tahoma" w:cs="Tahoma"/>
        </w:rPr>
        <w:t xml:space="preserve">-chasing. </w:t>
      </w:r>
      <w:r w:rsidR="00BF44B1">
        <w:rPr>
          <w:rFonts w:ascii="Tahoma" w:hAnsi="Tahoma" w:cs="Tahoma"/>
        </w:rPr>
        <w:t xml:space="preserve">On looking at the financial performance at </w:t>
      </w:r>
      <w:proofErr w:type="spellStart"/>
      <w:r w:rsidR="00BF44B1">
        <w:rPr>
          <w:rFonts w:ascii="Tahoma" w:hAnsi="Tahoma" w:cs="Tahoma"/>
        </w:rPr>
        <w:t>Techinvara</w:t>
      </w:r>
      <w:proofErr w:type="spellEnd"/>
      <w:r w:rsidR="00BF44B1">
        <w:rPr>
          <w:rFonts w:ascii="Tahoma" w:hAnsi="Tahoma" w:cs="Tahoma"/>
        </w:rPr>
        <w:t xml:space="preserve">, the business could look at its balance sheet which would show areas such as, assets, liabilities and equity. These are normally supported by simple ratios like gross margins and the current ratio providing reliable evidence for future planning and investment. The downside to such reports is that they are normally in the past and can cause the organisation to create short-term business decisions and hide potential operational issues. </w:t>
      </w:r>
      <w:r w:rsidR="00FD48F7">
        <w:rPr>
          <w:rFonts w:ascii="Tahoma" w:hAnsi="Tahoma" w:cs="Tahoma"/>
        </w:rPr>
        <w:t xml:space="preserve">In my current organisation, Key Performance Indicators (KPI’s) are used to measure each site’s financial performance, including, labour, sales, shrink, CSAT, and employee engagement. While useful, these indicators can be unrealistic. Targets based on the previous financial year fail to account for external challenges such as new competitors, the cost-of-living crisis, or local roadworks. </w:t>
      </w:r>
    </w:p>
    <w:p w14:paraId="31B4425D" w14:textId="77777777" w:rsidR="00471C16" w:rsidRDefault="001A688F">
      <w:pPr>
        <w:rPr>
          <w:rFonts w:ascii="Tahoma" w:hAnsi="Tahoma" w:cs="Tahoma"/>
        </w:rPr>
      </w:pPr>
      <w:r>
        <w:rPr>
          <w:rFonts w:ascii="Tahoma" w:hAnsi="Tahoma" w:cs="Tahoma"/>
        </w:rPr>
        <w:t>Notably, the public sector often adopts a more b</w:t>
      </w:r>
      <w:r w:rsidR="00A00E43">
        <w:rPr>
          <w:rFonts w:ascii="Tahoma" w:hAnsi="Tahoma" w:cs="Tahoma"/>
        </w:rPr>
        <w:t>ureaucratic approach, which can result in reduced flexibility in processes such as employment tribunals (Woodhams, 2022,</w:t>
      </w:r>
      <w:r w:rsidR="00F24239">
        <w:rPr>
          <w:rFonts w:ascii="Tahoma" w:hAnsi="Tahoma" w:cs="Tahoma"/>
        </w:rPr>
        <w:t xml:space="preserve"> p.26). Furthermore, HR practice within the public sector is freq</w:t>
      </w:r>
      <w:r w:rsidR="002D0907">
        <w:rPr>
          <w:rFonts w:ascii="Tahoma" w:hAnsi="Tahoma" w:cs="Tahoma"/>
        </w:rPr>
        <w:t xml:space="preserve">uently criticised for being outdated and overly bureaucratic, thereby </w:t>
      </w:r>
      <w:r w:rsidR="001E4295">
        <w:rPr>
          <w:rFonts w:ascii="Tahoma" w:hAnsi="Tahoma" w:cs="Tahoma"/>
        </w:rPr>
        <w:t>limiting the value it contributes to organisational effectiveness (Woodhams and Taylor, 2022, P.25)</w:t>
      </w:r>
      <w:r w:rsidR="00471C16">
        <w:rPr>
          <w:rFonts w:ascii="Tahoma" w:hAnsi="Tahoma" w:cs="Tahoma"/>
        </w:rPr>
        <w:t>.</w:t>
      </w:r>
    </w:p>
    <w:p w14:paraId="286B18ED" w14:textId="0CAA30E9" w:rsidR="001A688F" w:rsidRDefault="00471C16">
      <w:pPr>
        <w:rPr>
          <w:rFonts w:ascii="Tahoma" w:hAnsi="Tahoma" w:cs="Tahoma"/>
        </w:rPr>
      </w:pPr>
      <w:r>
        <w:rPr>
          <w:rFonts w:ascii="Tahoma" w:hAnsi="Tahoma" w:cs="Tahoma"/>
        </w:rPr>
        <w:t xml:space="preserve">Benchmarking is important in both the public and private sectors. As highlighted by the CIPD (2022), benchmarking </w:t>
      </w:r>
      <w:r w:rsidR="004407B5">
        <w:rPr>
          <w:rFonts w:ascii="Tahoma" w:hAnsi="Tahoma" w:cs="Tahoma"/>
        </w:rPr>
        <w:t>training activity and expenditure can help organisations refine their use of key per</w:t>
      </w:r>
      <w:r w:rsidR="00F93D0C">
        <w:rPr>
          <w:rFonts w:ascii="Tahoma" w:hAnsi="Tahoma" w:cs="Tahoma"/>
        </w:rPr>
        <w:t xml:space="preserve">formance indicators (KPIs) by identifying areas where resources are deployed efficiently </w:t>
      </w:r>
      <w:r w:rsidR="00853B36">
        <w:rPr>
          <w:rFonts w:ascii="Tahoma" w:hAnsi="Tahoma" w:cs="Tahoma"/>
        </w:rPr>
        <w:t xml:space="preserve">and in ways that add value. In addition, collecting both customer and employee data is crucial, as this </w:t>
      </w:r>
      <w:r w:rsidR="003F6C36">
        <w:rPr>
          <w:rFonts w:ascii="Tahoma" w:hAnsi="Tahoma" w:cs="Tahoma"/>
        </w:rPr>
        <w:t xml:space="preserve">evidence can help explain organisational performance. Through initiatives </w:t>
      </w:r>
      <w:r w:rsidR="005B31BA">
        <w:rPr>
          <w:rFonts w:ascii="Tahoma" w:hAnsi="Tahoma" w:cs="Tahoma"/>
        </w:rPr>
        <w:t xml:space="preserve">such as employee engagement events and listening groups, organisations can focus on the development </w:t>
      </w:r>
      <w:r w:rsidR="00600B33">
        <w:rPr>
          <w:rFonts w:ascii="Tahoma" w:hAnsi="Tahoma" w:cs="Tahoma"/>
        </w:rPr>
        <w:t xml:space="preserve">of softer skills that support employee performance, ultimately contributing to the achievement of </w:t>
      </w:r>
      <w:r w:rsidR="00434FAC">
        <w:rPr>
          <w:rFonts w:ascii="Tahoma" w:hAnsi="Tahoma" w:cs="Tahoma"/>
        </w:rPr>
        <w:t>financial targets and efficiency savings.</w:t>
      </w:r>
      <w:r w:rsidR="00F24239">
        <w:rPr>
          <w:rFonts w:ascii="Tahoma" w:hAnsi="Tahoma" w:cs="Tahoma"/>
        </w:rPr>
        <w:t xml:space="preserve"> </w:t>
      </w:r>
    </w:p>
    <w:p w14:paraId="5FE0B4AB" w14:textId="76EEE794" w:rsidR="001A688F" w:rsidRPr="00A55510" w:rsidRDefault="001A688F">
      <w:pPr>
        <w:rPr>
          <w:rFonts w:ascii="Tahoma" w:hAnsi="Tahoma" w:cs="Tahoma"/>
        </w:rPr>
      </w:pPr>
    </w:p>
    <w:p w14:paraId="234914EC" w14:textId="52CE8720" w:rsidR="00053EE4" w:rsidRDefault="00230D1B">
      <w:pPr>
        <w:rPr>
          <w:rFonts w:ascii="Tahoma" w:hAnsi="Tahoma" w:cs="Tahoma"/>
          <w:u w:val="single"/>
        </w:rPr>
      </w:pPr>
      <w:r w:rsidRPr="00B15532">
        <w:rPr>
          <w:rFonts w:ascii="Tahoma" w:hAnsi="Tahoma" w:cs="Tahoma"/>
          <w:u w:val="single"/>
        </w:rPr>
        <w:t xml:space="preserve">AC 3.2 </w:t>
      </w:r>
      <w:r w:rsidR="00B15532" w:rsidRPr="00B15532">
        <w:rPr>
          <w:rFonts w:ascii="Tahoma" w:hAnsi="Tahoma" w:cs="Tahoma"/>
          <w:u w:val="single"/>
        </w:rPr>
        <w:t>Value added and ways of measuring impact</w:t>
      </w:r>
    </w:p>
    <w:p w14:paraId="7716AF66" w14:textId="69F20B32" w:rsidR="00A96A26" w:rsidRPr="008105A6" w:rsidRDefault="008105A6">
      <w:pPr>
        <w:rPr>
          <w:rFonts w:ascii="Tahoma" w:hAnsi="Tahoma" w:cs="Tahoma"/>
        </w:rPr>
      </w:pPr>
      <w:r>
        <w:rPr>
          <w:rFonts w:ascii="Tahoma" w:hAnsi="Tahoma" w:cs="Tahoma"/>
        </w:rPr>
        <w:t xml:space="preserve">People practitioners at </w:t>
      </w:r>
      <w:proofErr w:type="spellStart"/>
      <w:r>
        <w:rPr>
          <w:rFonts w:ascii="Tahoma" w:hAnsi="Tahoma" w:cs="Tahoma"/>
        </w:rPr>
        <w:t>Technivara</w:t>
      </w:r>
      <w:proofErr w:type="spellEnd"/>
      <w:r>
        <w:rPr>
          <w:rFonts w:ascii="Tahoma" w:hAnsi="Tahoma" w:cs="Tahoma"/>
        </w:rPr>
        <w:t xml:space="preserve"> could use both quantitative and qualitative methods in measuring impact. Quantitative methods would be things such as, employee turnover</w:t>
      </w:r>
      <w:r w:rsidR="00A96A26">
        <w:rPr>
          <w:rFonts w:ascii="Tahoma" w:hAnsi="Tahoma" w:cs="Tahoma"/>
        </w:rPr>
        <w:t xml:space="preserve"> and absence rates, engagement survey scores, performance outcomes, productivity levels, and progression or retention statistics. These metrics allow trends to be tracked over time and linked directly to organisational outcomes </w:t>
      </w:r>
      <w:r w:rsidR="00A96A26">
        <w:rPr>
          <w:rFonts w:ascii="Tahoma" w:hAnsi="Tahoma" w:cs="Tahoma"/>
        </w:rPr>
        <w:lastRenderedPageBreak/>
        <w:t xml:space="preserve">like profitability or customer satisfaction. Qualitative methods would be exploring employee experiences and perceptions through tools such as, interviews, focus groups, pulse surveys, and feedback forums. These methods provide deeper insight into engagement, wellbeing, and organisational culture, helping to explain the reasons behind numerical data and inform effective people strategies. This data could then be a link between people metrics and business outcomes such as customer satisfaction and profitability. </w:t>
      </w:r>
    </w:p>
    <w:p w14:paraId="2AD7D117" w14:textId="2CB22EA3" w:rsidR="005A1705" w:rsidRDefault="00E43E67">
      <w:pPr>
        <w:rPr>
          <w:rFonts w:ascii="Tahoma" w:hAnsi="Tahoma" w:cs="Tahoma"/>
        </w:rPr>
      </w:pPr>
      <w:r>
        <w:rPr>
          <w:rFonts w:ascii="Tahoma" w:hAnsi="Tahoma" w:cs="Tahoma"/>
        </w:rPr>
        <w:t xml:space="preserve">Effective and achievable HR strategies must be developed, communicated, and implemented for organisations to </w:t>
      </w:r>
      <w:r w:rsidR="00607886">
        <w:rPr>
          <w:rFonts w:ascii="Tahoma" w:hAnsi="Tahoma" w:cs="Tahoma"/>
        </w:rPr>
        <w:t xml:space="preserve">successfully achieve their strategic objectives. As Taylor and Woodhams (2022, p135) suggest, organisations must </w:t>
      </w:r>
      <w:r w:rsidR="00FA1739">
        <w:rPr>
          <w:rFonts w:ascii="Tahoma" w:hAnsi="Tahoma" w:cs="Tahoma"/>
        </w:rPr>
        <w:t xml:space="preserve">remain agile and well prepared to respond to future challenges. People practitioners therefore </w:t>
      </w:r>
      <w:r w:rsidR="00C95414">
        <w:rPr>
          <w:rFonts w:ascii="Tahoma" w:hAnsi="Tahoma" w:cs="Tahoma"/>
        </w:rPr>
        <w:t>need to undertake their strategic roles within an increasingly volatile, competitive, and complex business environment.</w:t>
      </w:r>
    </w:p>
    <w:p w14:paraId="74F19FE9" w14:textId="2FF67D4B" w:rsidR="00C95414" w:rsidRDefault="00D56DC1">
      <w:pPr>
        <w:rPr>
          <w:rFonts w:ascii="Tahoma" w:hAnsi="Tahoma" w:cs="Tahoma"/>
        </w:rPr>
      </w:pPr>
      <w:r>
        <w:rPr>
          <w:rFonts w:ascii="Tahoma" w:hAnsi="Tahoma" w:cs="Tahoma"/>
        </w:rPr>
        <w:t>However, organisational value extends be</w:t>
      </w:r>
      <w:r w:rsidR="00636C7D">
        <w:rPr>
          <w:rFonts w:ascii="Tahoma" w:hAnsi="Tahoma" w:cs="Tahoma"/>
        </w:rPr>
        <w:t xml:space="preserve">yond purely economic outcomes. The CIPD (2017) argues that value-based considerations are central to not only to </w:t>
      </w:r>
      <w:r w:rsidR="00A5736C">
        <w:rPr>
          <w:rFonts w:ascii="Tahoma" w:hAnsi="Tahoma" w:cs="Tahoma"/>
        </w:rPr>
        <w:t xml:space="preserve">organisational success, but also to how businesses engage with their workforce and the wider community. Value can be measured in several ways within </w:t>
      </w:r>
      <w:r w:rsidR="00D57C92">
        <w:rPr>
          <w:rFonts w:ascii="Tahoma" w:hAnsi="Tahoma" w:cs="Tahoma"/>
        </w:rPr>
        <w:t xml:space="preserve">organisations. While shareholder value is often linked to business models and strategic planning, the </w:t>
      </w:r>
      <w:r w:rsidR="00A26AA9">
        <w:rPr>
          <w:rFonts w:ascii="Tahoma" w:hAnsi="Tahoma" w:cs="Tahoma"/>
        </w:rPr>
        <w:t>CIPD (2018) highlights that value is also created through people, as higher levels of employee</w:t>
      </w:r>
      <w:r w:rsidR="001D1A3F">
        <w:rPr>
          <w:rFonts w:ascii="Tahoma" w:hAnsi="Tahoma" w:cs="Tahoma"/>
        </w:rPr>
        <w:t xml:space="preserve"> satisfaction contribute to improved growth and healthier working environments. </w:t>
      </w:r>
    </w:p>
    <w:p w14:paraId="69511D17" w14:textId="05A6ADB8" w:rsidR="001D1A3F" w:rsidRDefault="001D1A3F">
      <w:pPr>
        <w:rPr>
          <w:rFonts w:ascii="Tahoma" w:hAnsi="Tahoma" w:cs="Tahoma"/>
        </w:rPr>
      </w:pPr>
      <w:r>
        <w:rPr>
          <w:rFonts w:ascii="Tahoma" w:hAnsi="Tahoma" w:cs="Tahoma"/>
        </w:rPr>
        <w:t>By strengthening</w:t>
      </w:r>
      <w:r w:rsidR="00EF5D55">
        <w:rPr>
          <w:rFonts w:ascii="Tahoma" w:hAnsi="Tahoma" w:cs="Tahoma"/>
        </w:rPr>
        <w:t xml:space="preserve"> organisational capability within HR, practitioners can support strategy implementation and add va</w:t>
      </w:r>
      <w:r w:rsidR="0032041F">
        <w:rPr>
          <w:rFonts w:ascii="Tahoma" w:hAnsi="Tahoma" w:cs="Tahoma"/>
        </w:rPr>
        <w:t xml:space="preserve">lue to the organisation. This value arises from a deep understanding of current organisational capabilities </w:t>
      </w:r>
      <w:r w:rsidR="00AB4BC2">
        <w:rPr>
          <w:rFonts w:ascii="Tahoma" w:hAnsi="Tahoma" w:cs="Tahoma"/>
        </w:rPr>
        <w:t xml:space="preserve">and business strategies, encompassing maintenance, </w:t>
      </w:r>
      <w:r w:rsidR="009500C0">
        <w:rPr>
          <w:rFonts w:ascii="Tahoma" w:hAnsi="Tahoma" w:cs="Tahoma"/>
        </w:rPr>
        <w:t>risk mitigation, and continuous improvement activities</w:t>
      </w:r>
      <w:r w:rsidR="00A470F7">
        <w:rPr>
          <w:rFonts w:ascii="Tahoma" w:hAnsi="Tahoma" w:cs="Tahoma"/>
        </w:rPr>
        <w:t xml:space="preserve">, </w:t>
      </w:r>
      <w:r w:rsidR="009500C0">
        <w:rPr>
          <w:rFonts w:ascii="Tahoma" w:hAnsi="Tahoma" w:cs="Tahoma"/>
        </w:rPr>
        <w:t>(Havard Business Review</w:t>
      </w:r>
      <w:r w:rsidR="00A470F7">
        <w:rPr>
          <w:rFonts w:ascii="Tahoma" w:hAnsi="Tahoma" w:cs="Tahoma"/>
        </w:rPr>
        <w:t>, 1992). Nevertheless, the CIPD (2017) n</w:t>
      </w:r>
      <w:r w:rsidR="00D578B8">
        <w:rPr>
          <w:rFonts w:ascii="Tahoma" w:hAnsi="Tahoma" w:cs="Tahoma"/>
        </w:rPr>
        <w:t>otes that organisational value can be assessed in diverse ways, influenced</w:t>
      </w:r>
      <w:r w:rsidR="00377646">
        <w:rPr>
          <w:rFonts w:ascii="Tahoma" w:hAnsi="Tahoma" w:cs="Tahoma"/>
        </w:rPr>
        <w:t xml:space="preserve"> by social, institutional, and stakeholder perspectives. </w:t>
      </w:r>
      <w:r w:rsidR="00E17C50">
        <w:rPr>
          <w:rFonts w:ascii="Tahoma" w:hAnsi="Tahoma" w:cs="Tahoma"/>
        </w:rPr>
        <w:t>Business models and frameworks are not always aligned, and corporate strategies may demonstrate imbalances in governance and stakeholder focus due to differing approaches to value creation and measurement.</w:t>
      </w:r>
    </w:p>
    <w:p w14:paraId="010C1D1E" w14:textId="5B46CE87" w:rsidR="00E17C50" w:rsidRDefault="00E17C50">
      <w:pPr>
        <w:rPr>
          <w:rFonts w:ascii="Tahoma" w:hAnsi="Tahoma" w:cs="Tahoma"/>
        </w:rPr>
      </w:pPr>
      <w:r>
        <w:rPr>
          <w:rFonts w:ascii="Tahoma" w:hAnsi="Tahoma" w:cs="Tahoma"/>
        </w:rPr>
        <w:t>Furthermore, the CIPD (202</w:t>
      </w:r>
      <w:r w:rsidR="00056894">
        <w:rPr>
          <w:rFonts w:ascii="Tahoma" w:hAnsi="Tahoma" w:cs="Tahoma"/>
        </w:rPr>
        <w:t xml:space="preserve">1), suggests that establishing clear links between organisational performance and effectiveness remains challenging, although evaluation outcomes can be supported through </w:t>
      </w:r>
      <w:r w:rsidR="004444FC">
        <w:rPr>
          <w:rFonts w:ascii="Tahoma" w:hAnsi="Tahoma" w:cs="Tahoma"/>
        </w:rPr>
        <w:t xml:space="preserve">empirical evidence such as employee engagement survey data. </w:t>
      </w:r>
    </w:p>
    <w:p w14:paraId="18BF4C46" w14:textId="77777777" w:rsidR="00F656F3" w:rsidRDefault="00F656F3">
      <w:pPr>
        <w:rPr>
          <w:rFonts w:ascii="Tahoma" w:hAnsi="Tahoma" w:cs="Tahoma"/>
          <w:u w:val="single"/>
        </w:rPr>
      </w:pPr>
    </w:p>
    <w:p w14:paraId="40473ABF" w14:textId="77777777" w:rsidR="00F656F3" w:rsidRDefault="00F656F3">
      <w:pPr>
        <w:rPr>
          <w:rFonts w:ascii="Tahoma" w:hAnsi="Tahoma" w:cs="Tahoma"/>
          <w:u w:val="single"/>
        </w:rPr>
      </w:pPr>
    </w:p>
    <w:p w14:paraId="768FEE15" w14:textId="77777777" w:rsidR="00F656F3" w:rsidRDefault="00F656F3">
      <w:pPr>
        <w:rPr>
          <w:rFonts w:ascii="Tahoma" w:hAnsi="Tahoma" w:cs="Tahoma"/>
          <w:u w:val="single"/>
        </w:rPr>
      </w:pPr>
    </w:p>
    <w:p w14:paraId="3F4BE2A1" w14:textId="77777777" w:rsidR="00F656F3" w:rsidRDefault="00F656F3">
      <w:pPr>
        <w:rPr>
          <w:rFonts w:ascii="Tahoma" w:hAnsi="Tahoma" w:cs="Tahoma"/>
          <w:u w:val="single"/>
        </w:rPr>
      </w:pPr>
    </w:p>
    <w:p w14:paraId="4A46955F" w14:textId="77777777" w:rsidR="00F656F3" w:rsidRDefault="00F656F3">
      <w:pPr>
        <w:rPr>
          <w:rFonts w:ascii="Tahoma" w:hAnsi="Tahoma" w:cs="Tahoma"/>
          <w:u w:val="single"/>
        </w:rPr>
      </w:pPr>
    </w:p>
    <w:p w14:paraId="0F6B02D9" w14:textId="77777777" w:rsidR="00F656F3" w:rsidRDefault="00F656F3">
      <w:pPr>
        <w:rPr>
          <w:rFonts w:ascii="Tahoma" w:hAnsi="Tahoma" w:cs="Tahoma"/>
          <w:u w:val="single"/>
        </w:rPr>
      </w:pPr>
    </w:p>
    <w:p w14:paraId="4B31E86A" w14:textId="77777777" w:rsidR="00F656F3" w:rsidRDefault="00F656F3">
      <w:pPr>
        <w:rPr>
          <w:rFonts w:ascii="Tahoma" w:hAnsi="Tahoma" w:cs="Tahoma"/>
          <w:u w:val="single"/>
        </w:rPr>
      </w:pPr>
    </w:p>
    <w:p w14:paraId="3148CEC2" w14:textId="77777777" w:rsidR="00F656F3" w:rsidRDefault="00F656F3">
      <w:pPr>
        <w:rPr>
          <w:rFonts w:ascii="Tahoma" w:hAnsi="Tahoma" w:cs="Tahoma"/>
          <w:u w:val="single"/>
        </w:rPr>
      </w:pPr>
    </w:p>
    <w:p w14:paraId="541A6BF0" w14:textId="77777777" w:rsidR="00F656F3" w:rsidRDefault="00F656F3">
      <w:pPr>
        <w:rPr>
          <w:rFonts w:ascii="Tahoma" w:hAnsi="Tahoma" w:cs="Tahoma"/>
          <w:u w:val="single"/>
        </w:rPr>
      </w:pPr>
    </w:p>
    <w:p w14:paraId="193971F8" w14:textId="77777777" w:rsidR="00F656F3" w:rsidRDefault="00F656F3">
      <w:pPr>
        <w:rPr>
          <w:rFonts w:ascii="Tahoma" w:hAnsi="Tahoma" w:cs="Tahoma"/>
          <w:u w:val="single"/>
        </w:rPr>
      </w:pPr>
    </w:p>
    <w:p w14:paraId="1230D369" w14:textId="77777777" w:rsidR="00A96A26" w:rsidRDefault="00A96A26">
      <w:pPr>
        <w:rPr>
          <w:rFonts w:ascii="Tahoma" w:hAnsi="Tahoma" w:cs="Tahoma"/>
          <w:u w:val="single"/>
        </w:rPr>
      </w:pPr>
    </w:p>
    <w:p w14:paraId="6ED8DA61" w14:textId="77777777" w:rsidR="00A96A26" w:rsidRDefault="00A96A26">
      <w:pPr>
        <w:rPr>
          <w:rFonts w:ascii="Tahoma" w:hAnsi="Tahoma" w:cs="Tahoma"/>
          <w:u w:val="single"/>
        </w:rPr>
      </w:pPr>
    </w:p>
    <w:p w14:paraId="4E9BD2F9" w14:textId="77777777" w:rsidR="00A96A26" w:rsidRDefault="00A96A26">
      <w:pPr>
        <w:rPr>
          <w:rFonts w:ascii="Tahoma" w:hAnsi="Tahoma" w:cs="Tahoma"/>
          <w:u w:val="single"/>
        </w:rPr>
      </w:pPr>
    </w:p>
    <w:p w14:paraId="612B5F8B" w14:textId="77777777" w:rsidR="00A96A26" w:rsidRDefault="00A96A26">
      <w:pPr>
        <w:rPr>
          <w:rFonts w:ascii="Tahoma" w:hAnsi="Tahoma" w:cs="Tahoma"/>
          <w:u w:val="single"/>
        </w:rPr>
      </w:pPr>
    </w:p>
    <w:p w14:paraId="2ADE3970" w14:textId="77777777" w:rsidR="00A96A26" w:rsidRDefault="00A96A26">
      <w:pPr>
        <w:rPr>
          <w:rFonts w:ascii="Tahoma" w:hAnsi="Tahoma" w:cs="Tahoma"/>
          <w:u w:val="single"/>
        </w:rPr>
      </w:pPr>
    </w:p>
    <w:p w14:paraId="037C75E6" w14:textId="57FD48C9" w:rsidR="004444FC" w:rsidRDefault="00926D00">
      <w:pPr>
        <w:rPr>
          <w:rFonts w:ascii="Tahoma" w:hAnsi="Tahoma" w:cs="Tahoma"/>
        </w:rPr>
      </w:pPr>
      <w:r w:rsidRPr="00926D00">
        <w:rPr>
          <w:rFonts w:ascii="Tahoma" w:hAnsi="Tahoma" w:cs="Tahoma"/>
          <w:u w:val="single"/>
        </w:rPr>
        <w:t>Name:</w:t>
      </w:r>
      <w:r>
        <w:rPr>
          <w:rFonts w:ascii="Tahoma" w:hAnsi="Tahoma" w:cs="Tahoma"/>
        </w:rPr>
        <w:t xml:space="preserve"> Damion Richards</w:t>
      </w:r>
    </w:p>
    <w:p w14:paraId="70014ECF" w14:textId="750DD390" w:rsidR="00926D00" w:rsidRPr="00926D00" w:rsidRDefault="00926D00">
      <w:pPr>
        <w:rPr>
          <w:rFonts w:ascii="Tahoma" w:hAnsi="Tahoma" w:cs="Tahoma"/>
        </w:rPr>
      </w:pPr>
      <w:r w:rsidRPr="00926D00">
        <w:rPr>
          <w:rFonts w:ascii="Tahoma" w:hAnsi="Tahoma" w:cs="Tahoma"/>
          <w:u w:val="single"/>
        </w:rPr>
        <w:t xml:space="preserve">CIPD Number: </w:t>
      </w:r>
      <w:r>
        <w:rPr>
          <w:rFonts w:ascii="Tahoma" w:hAnsi="Tahoma" w:cs="Tahoma"/>
        </w:rPr>
        <w:t>87220203</w:t>
      </w:r>
    </w:p>
    <w:p w14:paraId="1F48BE8B" w14:textId="3A03F4A2" w:rsidR="00926D00" w:rsidRDefault="00926D00">
      <w:pPr>
        <w:rPr>
          <w:rFonts w:ascii="Tahoma" w:hAnsi="Tahoma" w:cs="Tahoma"/>
        </w:rPr>
      </w:pPr>
      <w:r w:rsidRPr="00926D00">
        <w:rPr>
          <w:rFonts w:ascii="Tahoma" w:hAnsi="Tahoma" w:cs="Tahoma"/>
          <w:u w:val="single"/>
        </w:rPr>
        <w:t xml:space="preserve">Word Count: </w:t>
      </w:r>
      <w:r w:rsidR="00411F25">
        <w:rPr>
          <w:rFonts w:ascii="Tahoma" w:hAnsi="Tahoma" w:cs="Tahoma"/>
        </w:rPr>
        <w:t>9</w:t>
      </w:r>
      <w:r w:rsidR="006E3A4F">
        <w:rPr>
          <w:rFonts w:ascii="Tahoma" w:hAnsi="Tahoma" w:cs="Tahoma"/>
        </w:rPr>
        <w:t>33</w:t>
      </w:r>
    </w:p>
    <w:p w14:paraId="08CC5BF7" w14:textId="77777777" w:rsidR="009F3342" w:rsidRDefault="009F3342">
      <w:pPr>
        <w:rPr>
          <w:rFonts w:ascii="Tahoma" w:hAnsi="Tahoma" w:cs="Tahoma"/>
        </w:rPr>
      </w:pPr>
    </w:p>
    <w:p w14:paraId="099D54AE" w14:textId="05FD4F20" w:rsidR="009F3342" w:rsidRDefault="003B669C" w:rsidP="003B669C">
      <w:pPr>
        <w:jc w:val="center"/>
        <w:rPr>
          <w:rFonts w:ascii="Tahoma" w:hAnsi="Tahoma" w:cs="Tahoma"/>
          <w:u w:val="single"/>
        </w:rPr>
      </w:pPr>
      <w:r w:rsidRPr="003B669C">
        <w:rPr>
          <w:rFonts w:ascii="Tahoma" w:hAnsi="Tahoma" w:cs="Tahoma"/>
          <w:u w:val="single"/>
        </w:rPr>
        <w:t>Task Two</w:t>
      </w:r>
    </w:p>
    <w:p w14:paraId="1B199677" w14:textId="494907FE" w:rsidR="00090DB9" w:rsidRDefault="00090DB9" w:rsidP="00090DB9">
      <w:pPr>
        <w:rPr>
          <w:rFonts w:ascii="Tahoma" w:hAnsi="Tahoma" w:cs="Tahoma"/>
          <w:u w:val="single"/>
        </w:rPr>
      </w:pPr>
      <w:r>
        <w:rPr>
          <w:rFonts w:ascii="Tahoma" w:hAnsi="Tahoma" w:cs="Tahoma"/>
          <w:u w:val="single"/>
        </w:rPr>
        <w:t>Executive Summary</w:t>
      </w:r>
    </w:p>
    <w:p w14:paraId="3912A81B" w14:textId="3C8C35B2" w:rsidR="00090DB9" w:rsidRDefault="0032302E" w:rsidP="00090DB9">
      <w:pPr>
        <w:rPr>
          <w:rFonts w:ascii="Tahoma" w:hAnsi="Tahoma" w:cs="Tahoma"/>
        </w:rPr>
      </w:pPr>
      <w:r>
        <w:rPr>
          <w:rFonts w:ascii="Tahoma" w:hAnsi="Tahoma" w:cs="Tahoma"/>
        </w:rPr>
        <w:t xml:space="preserve">This report discusses the </w:t>
      </w:r>
      <w:r w:rsidR="003705FF">
        <w:rPr>
          <w:rFonts w:ascii="Tahoma" w:hAnsi="Tahoma" w:cs="Tahoma"/>
        </w:rPr>
        <w:t xml:space="preserve">importance of </w:t>
      </w:r>
      <w:r w:rsidR="002C4C08">
        <w:rPr>
          <w:rFonts w:ascii="Tahoma" w:hAnsi="Tahoma" w:cs="Tahoma"/>
        </w:rPr>
        <w:t>decision</w:t>
      </w:r>
      <w:r w:rsidR="00D37AA7">
        <w:rPr>
          <w:rFonts w:ascii="Tahoma" w:hAnsi="Tahoma" w:cs="Tahoma"/>
        </w:rPr>
        <w:t>-</w:t>
      </w:r>
      <w:r w:rsidR="002C4C08">
        <w:rPr>
          <w:rFonts w:ascii="Tahoma" w:hAnsi="Tahoma" w:cs="Tahoma"/>
        </w:rPr>
        <w:t>making techniques in the analysis of both quantitative and qualitative data, as well as how people practitioners ma</w:t>
      </w:r>
      <w:r w:rsidR="00D37AA7">
        <w:rPr>
          <w:rFonts w:ascii="Tahoma" w:hAnsi="Tahoma" w:cs="Tahoma"/>
        </w:rPr>
        <w:t xml:space="preserve">y </w:t>
      </w:r>
      <w:r w:rsidR="002C4C08">
        <w:rPr>
          <w:rFonts w:ascii="Tahoma" w:hAnsi="Tahoma" w:cs="Tahoma"/>
        </w:rPr>
        <w:t xml:space="preserve">utilise </w:t>
      </w:r>
      <w:r w:rsidR="00D37AA7">
        <w:rPr>
          <w:rFonts w:ascii="Tahoma" w:hAnsi="Tahoma" w:cs="Tahoma"/>
        </w:rPr>
        <w:t>these strategies to address problems in people practice and guide informed decision-making.</w:t>
      </w:r>
    </w:p>
    <w:p w14:paraId="2A054C78" w14:textId="265BF809" w:rsidR="00BE5EA8" w:rsidRDefault="00BE5EA8" w:rsidP="00090DB9">
      <w:pPr>
        <w:rPr>
          <w:rFonts w:ascii="Tahoma" w:hAnsi="Tahoma" w:cs="Tahoma"/>
          <w:u w:val="single"/>
        </w:rPr>
      </w:pPr>
      <w:r w:rsidRPr="00BE5EA8">
        <w:rPr>
          <w:rFonts w:ascii="Tahoma" w:hAnsi="Tahoma" w:cs="Tahoma"/>
          <w:u w:val="single"/>
        </w:rPr>
        <w:t>Introduction</w:t>
      </w:r>
    </w:p>
    <w:p w14:paraId="13BAE9A5" w14:textId="36451302" w:rsidR="00BE5EA8" w:rsidRDefault="001F5826" w:rsidP="00090DB9">
      <w:pPr>
        <w:rPr>
          <w:rFonts w:ascii="Tahoma" w:hAnsi="Tahoma" w:cs="Tahoma"/>
        </w:rPr>
      </w:pPr>
      <w:r>
        <w:rPr>
          <w:rFonts w:ascii="Tahoma" w:hAnsi="Tahoma" w:cs="Tahoma"/>
        </w:rPr>
        <w:t xml:space="preserve">This paper will analyse the </w:t>
      </w:r>
      <w:r w:rsidR="00FA63D0">
        <w:rPr>
          <w:rFonts w:ascii="Tahoma" w:hAnsi="Tahoma" w:cs="Tahoma"/>
        </w:rPr>
        <w:t xml:space="preserve">data at </w:t>
      </w:r>
      <w:proofErr w:type="spellStart"/>
      <w:r w:rsidR="00FA63D0">
        <w:rPr>
          <w:rFonts w:ascii="Tahoma" w:hAnsi="Tahoma" w:cs="Tahoma"/>
        </w:rPr>
        <w:t>Technivara</w:t>
      </w:r>
      <w:proofErr w:type="spellEnd"/>
      <w:r w:rsidR="00025772">
        <w:rPr>
          <w:rFonts w:ascii="Tahoma" w:hAnsi="Tahoma" w:cs="Tahoma"/>
        </w:rPr>
        <w:t xml:space="preserve"> paying particular attention to the percentages of Leavers, Vacancies</w:t>
      </w:r>
      <w:r w:rsidR="00D40EB0">
        <w:rPr>
          <w:rFonts w:ascii="Tahoma" w:hAnsi="Tahoma" w:cs="Tahoma"/>
        </w:rPr>
        <w:t xml:space="preserve"> and positions filled. This data </w:t>
      </w:r>
      <w:r w:rsidR="000E6945">
        <w:rPr>
          <w:rFonts w:ascii="Tahoma" w:hAnsi="Tahoma" w:cs="Tahoma"/>
        </w:rPr>
        <w:t>has</w:t>
      </w:r>
      <w:r w:rsidR="00D40EB0">
        <w:rPr>
          <w:rFonts w:ascii="Tahoma" w:hAnsi="Tahoma" w:cs="Tahoma"/>
        </w:rPr>
        <w:t xml:space="preserve"> been converted </w:t>
      </w:r>
      <w:r w:rsidR="000E6945">
        <w:rPr>
          <w:rFonts w:ascii="Tahoma" w:hAnsi="Tahoma" w:cs="Tahoma"/>
        </w:rPr>
        <w:t xml:space="preserve">into percentage form for each of the departments. </w:t>
      </w:r>
    </w:p>
    <w:p w14:paraId="4F001CF0" w14:textId="77777777" w:rsidR="007A2A9E" w:rsidRDefault="007A2A9E" w:rsidP="00090DB9">
      <w:pPr>
        <w:rPr>
          <w:rFonts w:ascii="Tahoma" w:hAnsi="Tahoma" w:cs="Tahoma"/>
        </w:rPr>
      </w:pPr>
    </w:p>
    <w:p w14:paraId="3BB9D9E5" w14:textId="53BC547C" w:rsidR="007A2A9E" w:rsidRDefault="007A2A9E" w:rsidP="00090DB9">
      <w:pPr>
        <w:rPr>
          <w:rFonts w:ascii="Tahoma" w:hAnsi="Tahoma" w:cs="Tahoma"/>
          <w:u w:val="single"/>
        </w:rPr>
      </w:pPr>
      <w:r w:rsidRPr="00CB6464">
        <w:rPr>
          <w:rFonts w:ascii="Tahoma" w:hAnsi="Tahoma" w:cs="Tahoma"/>
          <w:u w:val="single"/>
        </w:rPr>
        <w:t>AC 2.1 Interp</w:t>
      </w:r>
      <w:r w:rsidR="00CB6464" w:rsidRPr="00CB6464">
        <w:rPr>
          <w:rFonts w:ascii="Tahoma" w:hAnsi="Tahoma" w:cs="Tahoma"/>
          <w:u w:val="single"/>
        </w:rPr>
        <w:t>ret analytical data using appropriate analysis tools and methods</w:t>
      </w:r>
    </w:p>
    <w:p w14:paraId="741356FB" w14:textId="13417864" w:rsidR="00074842" w:rsidRPr="00585F9C" w:rsidRDefault="00074842" w:rsidP="00090DB9">
      <w:pPr>
        <w:rPr>
          <w:rFonts w:ascii="Tahoma" w:hAnsi="Tahoma" w:cs="Tahoma"/>
        </w:rPr>
      </w:pPr>
    </w:p>
    <w:tbl>
      <w:tblPr>
        <w:tblpPr w:leftFromText="180" w:rightFromText="180" w:horzAnchor="page" w:tblpX="1005" w:tblpY="240"/>
        <w:tblW w:w="10896" w:type="dxa"/>
        <w:tblLook w:val="04A0" w:firstRow="1" w:lastRow="0" w:firstColumn="1" w:lastColumn="0" w:noHBand="0" w:noVBand="1"/>
      </w:tblPr>
      <w:tblGrid>
        <w:gridCol w:w="1531"/>
        <w:gridCol w:w="1332"/>
        <w:gridCol w:w="1271"/>
        <w:gridCol w:w="1332"/>
        <w:gridCol w:w="1272"/>
        <w:gridCol w:w="1332"/>
        <w:gridCol w:w="1272"/>
        <w:gridCol w:w="1332"/>
        <w:gridCol w:w="222"/>
      </w:tblGrid>
      <w:tr w:rsidR="003D21C4" w:rsidRPr="003D21C4" w14:paraId="1F96A2FC" w14:textId="77777777" w:rsidTr="003D21C4">
        <w:trPr>
          <w:gridAfter w:val="1"/>
          <w:wAfter w:w="222" w:type="dxa"/>
          <w:trHeight w:val="426"/>
        </w:trPr>
        <w:tc>
          <w:tcPr>
            <w:tcW w:w="10674" w:type="dxa"/>
            <w:gridSpan w:val="8"/>
            <w:vMerge w:val="restart"/>
            <w:tcBorders>
              <w:top w:val="single" w:sz="4" w:space="0" w:color="auto"/>
              <w:left w:val="single" w:sz="4" w:space="0" w:color="auto"/>
              <w:bottom w:val="single" w:sz="4" w:space="0" w:color="auto"/>
              <w:right w:val="single" w:sz="4" w:space="0" w:color="auto"/>
            </w:tcBorders>
            <w:shd w:val="clear" w:color="000000" w:fill="B3D7DB"/>
            <w:vAlign w:val="center"/>
            <w:hideMark/>
          </w:tcPr>
          <w:p w14:paraId="4307DC2E" w14:textId="77777777" w:rsidR="003D21C4" w:rsidRPr="003D21C4" w:rsidRDefault="003D21C4" w:rsidP="003D21C4">
            <w:pPr>
              <w:spacing w:after="0" w:line="240" w:lineRule="auto"/>
              <w:jc w:val="center"/>
              <w:rPr>
                <w:rFonts w:ascii="Trebuchet MS" w:eastAsia="Times New Roman" w:hAnsi="Trebuchet MS" w:cs="Calibri"/>
                <w:b/>
                <w:bCs/>
                <w:color w:val="004147"/>
                <w:kern w:val="0"/>
                <w:sz w:val="20"/>
                <w:szCs w:val="20"/>
                <w:lang w:eastAsia="en-GB"/>
                <w14:ligatures w14:val="none"/>
              </w:rPr>
            </w:pPr>
            <w:r w:rsidRPr="003D21C4">
              <w:rPr>
                <w:rFonts w:ascii="Trebuchet MS" w:eastAsia="Times New Roman" w:hAnsi="Trebuchet MS" w:cs="Calibri"/>
                <w:b/>
                <w:bCs/>
                <w:color w:val="004147"/>
                <w:kern w:val="0"/>
                <w:sz w:val="20"/>
                <w:szCs w:val="20"/>
                <w:lang w:eastAsia="en-GB"/>
                <w14:ligatures w14:val="none"/>
              </w:rPr>
              <w:lastRenderedPageBreak/>
              <w:t xml:space="preserve">Turnover and recruitment take up for </w:t>
            </w:r>
            <w:proofErr w:type="spellStart"/>
            <w:r w:rsidRPr="003D21C4">
              <w:rPr>
                <w:rFonts w:ascii="Trebuchet MS" w:eastAsia="Times New Roman" w:hAnsi="Trebuchet MS" w:cs="Calibri"/>
                <w:b/>
                <w:bCs/>
                <w:color w:val="004147"/>
                <w:kern w:val="0"/>
                <w:sz w:val="20"/>
                <w:szCs w:val="20"/>
                <w:lang w:eastAsia="en-GB"/>
                <w14:ligatures w14:val="none"/>
              </w:rPr>
              <w:t>Technivara</w:t>
            </w:r>
            <w:proofErr w:type="spellEnd"/>
            <w:r w:rsidRPr="003D21C4">
              <w:rPr>
                <w:rFonts w:ascii="Trebuchet MS" w:eastAsia="Times New Roman" w:hAnsi="Trebuchet MS" w:cs="Calibri"/>
                <w:b/>
                <w:bCs/>
                <w:color w:val="004147"/>
                <w:kern w:val="0"/>
                <w:sz w:val="20"/>
                <w:szCs w:val="20"/>
                <w:lang w:eastAsia="en-GB"/>
                <w14:ligatures w14:val="none"/>
              </w:rPr>
              <w:t xml:space="preserve"> 2024 </w:t>
            </w:r>
          </w:p>
        </w:tc>
      </w:tr>
      <w:tr w:rsidR="003D21C4" w:rsidRPr="003D21C4" w14:paraId="0A7813E1" w14:textId="77777777" w:rsidTr="003D21C4">
        <w:trPr>
          <w:trHeight w:val="270"/>
        </w:trPr>
        <w:tc>
          <w:tcPr>
            <w:tcW w:w="10674" w:type="dxa"/>
            <w:gridSpan w:val="8"/>
            <w:vMerge/>
            <w:tcBorders>
              <w:top w:val="single" w:sz="4" w:space="0" w:color="auto"/>
              <w:left w:val="single" w:sz="4" w:space="0" w:color="auto"/>
              <w:bottom w:val="single" w:sz="4" w:space="0" w:color="auto"/>
              <w:right w:val="single" w:sz="4" w:space="0" w:color="auto"/>
            </w:tcBorders>
            <w:vAlign w:val="center"/>
            <w:hideMark/>
          </w:tcPr>
          <w:p w14:paraId="70F761F4" w14:textId="77777777" w:rsidR="003D21C4" w:rsidRPr="003D21C4" w:rsidRDefault="003D21C4" w:rsidP="003D21C4">
            <w:pPr>
              <w:spacing w:after="0" w:line="240" w:lineRule="auto"/>
              <w:rPr>
                <w:rFonts w:ascii="Trebuchet MS" w:eastAsia="Times New Roman" w:hAnsi="Trebuchet MS" w:cs="Calibri"/>
                <w:b/>
                <w:bCs/>
                <w:color w:val="004147"/>
                <w:kern w:val="0"/>
                <w:sz w:val="20"/>
                <w:szCs w:val="20"/>
                <w:lang w:eastAsia="en-GB"/>
                <w14:ligatures w14:val="none"/>
              </w:rPr>
            </w:pPr>
          </w:p>
        </w:tc>
        <w:tc>
          <w:tcPr>
            <w:tcW w:w="222" w:type="dxa"/>
            <w:tcBorders>
              <w:top w:val="nil"/>
              <w:left w:val="nil"/>
              <w:bottom w:val="nil"/>
              <w:right w:val="nil"/>
            </w:tcBorders>
            <w:noWrap/>
            <w:vAlign w:val="bottom"/>
            <w:hideMark/>
          </w:tcPr>
          <w:p w14:paraId="5D75C79F" w14:textId="77777777" w:rsidR="003D21C4" w:rsidRPr="003D21C4" w:rsidRDefault="003D21C4" w:rsidP="003D21C4">
            <w:pPr>
              <w:spacing w:after="0" w:line="240" w:lineRule="auto"/>
              <w:jc w:val="center"/>
              <w:rPr>
                <w:rFonts w:ascii="Trebuchet MS" w:eastAsia="Times New Roman" w:hAnsi="Trebuchet MS" w:cs="Calibri"/>
                <w:b/>
                <w:bCs/>
                <w:color w:val="004147"/>
                <w:kern w:val="0"/>
                <w:sz w:val="20"/>
                <w:szCs w:val="20"/>
                <w:lang w:eastAsia="en-GB"/>
                <w14:ligatures w14:val="none"/>
              </w:rPr>
            </w:pPr>
          </w:p>
        </w:tc>
      </w:tr>
      <w:tr w:rsidR="003D21C4" w:rsidRPr="003D21C4" w14:paraId="7747DE2E" w14:textId="77777777" w:rsidTr="003D21C4">
        <w:trPr>
          <w:trHeight w:val="1590"/>
        </w:trPr>
        <w:tc>
          <w:tcPr>
            <w:tcW w:w="1531" w:type="dxa"/>
            <w:tcBorders>
              <w:top w:val="nil"/>
              <w:left w:val="single" w:sz="4" w:space="0" w:color="auto"/>
              <w:bottom w:val="single" w:sz="4" w:space="0" w:color="auto"/>
              <w:right w:val="single" w:sz="4" w:space="0" w:color="auto"/>
            </w:tcBorders>
            <w:shd w:val="clear" w:color="000000" w:fill="B3D7DB"/>
            <w:noWrap/>
            <w:vAlign w:val="bottom"/>
            <w:hideMark/>
          </w:tcPr>
          <w:p w14:paraId="3B9F4E8B" w14:textId="77777777" w:rsidR="003D21C4" w:rsidRPr="003D21C4" w:rsidRDefault="003D21C4" w:rsidP="003D21C4">
            <w:pPr>
              <w:spacing w:after="0" w:line="240" w:lineRule="auto"/>
              <w:rPr>
                <w:rFonts w:ascii="Trebuchet MS" w:eastAsia="Times New Roman" w:hAnsi="Trebuchet MS" w:cs="Calibri"/>
                <w:b/>
                <w:bCs/>
                <w:color w:val="004147"/>
                <w:kern w:val="0"/>
                <w:sz w:val="20"/>
                <w:szCs w:val="20"/>
                <w:lang w:eastAsia="en-GB"/>
                <w14:ligatures w14:val="none"/>
              </w:rPr>
            </w:pPr>
            <w:r w:rsidRPr="003D21C4">
              <w:rPr>
                <w:rFonts w:ascii="Trebuchet MS" w:eastAsia="Times New Roman" w:hAnsi="Trebuchet MS" w:cs="Calibri"/>
                <w:b/>
                <w:bCs/>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B3D7DB"/>
            <w:vAlign w:val="center"/>
            <w:hideMark/>
          </w:tcPr>
          <w:p w14:paraId="6994FFFD" w14:textId="77777777" w:rsidR="003D21C4" w:rsidRPr="003D21C4" w:rsidRDefault="003D21C4" w:rsidP="003D21C4">
            <w:pPr>
              <w:spacing w:after="0" w:line="240" w:lineRule="auto"/>
              <w:rPr>
                <w:rFonts w:ascii="Trebuchet MS" w:eastAsia="Times New Roman" w:hAnsi="Trebuchet MS" w:cs="Calibri"/>
                <w:b/>
                <w:bCs/>
                <w:color w:val="004147"/>
                <w:kern w:val="0"/>
                <w:sz w:val="20"/>
                <w:szCs w:val="20"/>
                <w:lang w:eastAsia="en-GB"/>
                <w14:ligatures w14:val="none"/>
              </w:rPr>
            </w:pPr>
            <w:r w:rsidRPr="003D21C4">
              <w:rPr>
                <w:rFonts w:ascii="Trebuchet MS" w:eastAsia="Times New Roman" w:hAnsi="Trebuchet MS" w:cs="Calibri"/>
                <w:b/>
                <w:bCs/>
                <w:color w:val="004147"/>
                <w:kern w:val="0"/>
                <w:sz w:val="20"/>
                <w:szCs w:val="20"/>
                <w:lang w:eastAsia="en-GB"/>
                <w14:ligatures w14:val="none"/>
              </w:rPr>
              <w:t>Total in Department 2024</w:t>
            </w:r>
          </w:p>
        </w:tc>
        <w:tc>
          <w:tcPr>
            <w:tcW w:w="1271" w:type="dxa"/>
            <w:tcBorders>
              <w:top w:val="nil"/>
              <w:left w:val="nil"/>
              <w:bottom w:val="single" w:sz="4" w:space="0" w:color="auto"/>
              <w:right w:val="single" w:sz="4" w:space="0" w:color="auto"/>
            </w:tcBorders>
            <w:shd w:val="clear" w:color="000000" w:fill="B3D7DB"/>
            <w:vAlign w:val="center"/>
            <w:hideMark/>
          </w:tcPr>
          <w:p w14:paraId="142D706B" w14:textId="77777777" w:rsidR="003D21C4" w:rsidRPr="003D21C4" w:rsidRDefault="003D21C4" w:rsidP="003D21C4">
            <w:pPr>
              <w:spacing w:after="0" w:line="240" w:lineRule="auto"/>
              <w:rPr>
                <w:rFonts w:ascii="Trebuchet MS" w:eastAsia="Times New Roman" w:hAnsi="Trebuchet MS" w:cs="Calibri"/>
                <w:b/>
                <w:bCs/>
                <w:color w:val="004147"/>
                <w:kern w:val="0"/>
                <w:sz w:val="20"/>
                <w:szCs w:val="20"/>
                <w:lang w:eastAsia="en-GB"/>
                <w14:ligatures w14:val="none"/>
              </w:rPr>
            </w:pPr>
            <w:r w:rsidRPr="003D21C4">
              <w:rPr>
                <w:rFonts w:ascii="Trebuchet MS" w:eastAsia="Times New Roman" w:hAnsi="Trebuchet MS" w:cs="Calibri"/>
                <w:b/>
                <w:bCs/>
                <w:color w:val="004147"/>
                <w:kern w:val="0"/>
                <w:sz w:val="20"/>
                <w:szCs w:val="20"/>
                <w:lang w:eastAsia="en-GB"/>
                <w14:ligatures w14:val="none"/>
              </w:rPr>
              <w:t>Leavers for 2024</w:t>
            </w:r>
          </w:p>
        </w:tc>
        <w:tc>
          <w:tcPr>
            <w:tcW w:w="1332" w:type="dxa"/>
            <w:tcBorders>
              <w:top w:val="nil"/>
              <w:left w:val="nil"/>
              <w:bottom w:val="single" w:sz="4" w:space="0" w:color="auto"/>
              <w:right w:val="single" w:sz="4" w:space="0" w:color="auto"/>
            </w:tcBorders>
            <w:shd w:val="clear" w:color="000000" w:fill="B3D7DB"/>
            <w:vAlign w:val="center"/>
            <w:hideMark/>
          </w:tcPr>
          <w:p w14:paraId="2E3E74BD" w14:textId="77777777" w:rsidR="003D21C4" w:rsidRPr="003D21C4" w:rsidRDefault="003D21C4" w:rsidP="003D21C4">
            <w:pPr>
              <w:spacing w:after="0" w:line="240" w:lineRule="auto"/>
              <w:rPr>
                <w:rFonts w:ascii="Trebuchet MS" w:eastAsia="Times New Roman" w:hAnsi="Trebuchet MS" w:cs="Calibri"/>
                <w:b/>
                <w:bCs/>
                <w:color w:val="004147"/>
                <w:kern w:val="0"/>
                <w:sz w:val="20"/>
                <w:szCs w:val="20"/>
                <w:lang w:eastAsia="en-GB"/>
                <w14:ligatures w14:val="none"/>
              </w:rPr>
            </w:pPr>
            <w:r w:rsidRPr="003D21C4">
              <w:rPr>
                <w:rFonts w:ascii="Trebuchet MS" w:eastAsia="Times New Roman" w:hAnsi="Trebuchet MS" w:cs="Calibri"/>
                <w:b/>
                <w:bCs/>
                <w:color w:val="004147"/>
                <w:kern w:val="0"/>
                <w:sz w:val="20"/>
                <w:szCs w:val="20"/>
                <w:lang w:eastAsia="en-GB"/>
                <w14:ligatures w14:val="none"/>
              </w:rPr>
              <w:t>Leavers as a % against total in each Department</w:t>
            </w:r>
          </w:p>
        </w:tc>
        <w:tc>
          <w:tcPr>
            <w:tcW w:w="1272" w:type="dxa"/>
            <w:tcBorders>
              <w:top w:val="nil"/>
              <w:left w:val="nil"/>
              <w:bottom w:val="single" w:sz="4" w:space="0" w:color="auto"/>
              <w:right w:val="single" w:sz="4" w:space="0" w:color="auto"/>
            </w:tcBorders>
            <w:shd w:val="clear" w:color="000000" w:fill="B3D7DB"/>
            <w:vAlign w:val="center"/>
            <w:hideMark/>
          </w:tcPr>
          <w:p w14:paraId="2D115585" w14:textId="77777777" w:rsidR="003D21C4" w:rsidRPr="003D21C4" w:rsidRDefault="003D21C4" w:rsidP="003D21C4">
            <w:pPr>
              <w:spacing w:after="0" w:line="240" w:lineRule="auto"/>
              <w:rPr>
                <w:rFonts w:ascii="Trebuchet MS" w:eastAsia="Times New Roman" w:hAnsi="Trebuchet MS" w:cs="Calibri"/>
                <w:b/>
                <w:bCs/>
                <w:color w:val="004147"/>
                <w:kern w:val="0"/>
                <w:sz w:val="20"/>
                <w:szCs w:val="20"/>
                <w:lang w:eastAsia="en-GB"/>
                <w14:ligatures w14:val="none"/>
              </w:rPr>
            </w:pPr>
            <w:r w:rsidRPr="003D21C4">
              <w:rPr>
                <w:rFonts w:ascii="Trebuchet MS" w:eastAsia="Times New Roman" w:hAnsi="Trebuchet MS" w:cs="Calibri"/>
                <w:b/>
                <w:bCs/>
                <w:color w:val="004147"/>
                <w:kern w:val="0"/>
                <w:sz w:val="20"/>
                <w:szCs w:val="20"/>
                <w:lang w:eastAsia="en-GB"/>
                <w14:ligatures w14:val="none"/>
              </w:rPr>
              <w:t xml:space="preserve">Positions vacant </w:t>
            </w:r>
          </w:p>
        </w:tc>
        <w:tc>
          <w:tcPr>
            <w:tcW w:w="1332" w:type="dxa"/>
            <w:tcBorders>
              <w:top w:val="nil"/>
              <w:left w:val="nil"/>
              <w:bottom w:val="single" w:sz="4" w:space="0" w:color="auto"/>
              <w:right w:val="single" w:sz="4" w:space="0" w:color="auto"/>
            </w:tcBorders>
            <w:shd w:val="clear" w:color="000000" w:fill="B3D7DB"/>
            <w:vAlign w:val="center"/>
            <w:hideMark/>
          </w:tcPr>
          <w:p w14:paraId="0D0AA783" w14:textId="77777777" w:rsidR="003D21C4" w:rsidRPr="003D21C4" w:rsidRDefault="003D21C4" w:rsidP="003D21C4">
            <w:pPr>
              <w:spacing w:after="0" w:line="240" w:lineRule="auto"/>
              <w:rPr>
                <w:rFonts w:ascii="Trebuchet MS" w:eastAsia="Times New Roman" w:hAnsi="Trebuchet MS" w:cs="Calibri"/>
                <w:b/>
                <w:bCs/>
                <w:color w:val="004147"/>
                <w:kern w:val="0"/>
                <w:sz w:val="20"/>
                <w:szCs w:val="20"/>
                <w:lang w:eastAsia="en-GB"/>
                <w14:ligatures w14:val="none"/>
              </w:rPr>
            </w:pPr>
            <w:r w:rsidRPr="003D21C4">
              <w:rPr>
                <w:rFonts w:ascii="Trebuchet MS" w:eastAsia="Times New Roman" w:hAnsi="Trebuchet MS" w:cs="Calibri"/>
                <w:b/>
                <w:bCs/>
                <w:color w:val="004147"/>
                <w:kern w:val="0"/>
                <w:sz w:val="20"/>
                <w:szCs w:val="20"/>
                <w:lang w:eastAsia="en-GB"/>
                <w14:ligatures w14:val="none"/>
              </w:rPr>
              <w:t>Vacancies as a % against total in each Department</w:t>
            </w:r>
          </w:p>
        </w:tc>
        <w:tc>
          <w:tcPr>
            <w:tcW w:w="1272" w:type="dxa"/>
            <w:tcBorders>
              <w:top w:val="nil"/>
              <w:left w:val="nil"/>
              <w:bottom w:val="single" w:sz="4" w:space="0" w:color="auto"/>
              <w:right w:val="single" w:sz="4" w:space="0" w:color="auto"/>
            </w:tcBorders>
            <w:shd w:val="clear" w:color="000000" w:fill="B3D7DB"/>
            <w:vAlign w:val="center"/>
            <w:hideMark/>
          </w:tcPr>
          <w:p w14:paraId="6CC8F80C" w14:textId="77777777" w:rsidR="003D21C4" w:rsidRPr="003D21C4" w:rsidRDefault="003D21C4" w:rsidP="003D21C4">
            <w:pPr>
              <w:spacing w:after="0" w:line="240" w:lineRule="auto"/>
              <w:rPr>
                <w:rFonts w:ascii="Trebuchet MS" w:eastAsia="Times New Roman" w:hAnsi="Trebuchet MS" w:cs="Calibri"/>
                <w:b/>
                <w:bCs/>
                <w:color w:val="004147"/>
                <w:kern w:val="0"/>
                <w:sz w:val="20"/>
                <w:szCs w:val="20"/>
                <w:lang w:eastAsia="en-GB"/>
                <w14:ligatures w14:val="none"/>
              </w:rPr>
            </w:pPr>
            <w:r w:rsidRPr="003D21C4">
              <w:rPr>
                <w:rFonts w:ascii="Trebuchet MS" w:eastAsia="Times New Roman" w:hAnsi="Trebuchet MS" w:cs="Calibri"/>
                <w:b/>
                <w:bCs/>
                <w:color w:val="004147"/>
                <w:kern w:val="0"/>
                <w:sz w:val="20"/>
                <w:szCs w:val="20"/>
                <w:lang w:eastAsia="en-GB"/>
                <w14:ligatures w14:val="none"/>
              </w:rPr>
              <w:t xml:space="preserve">Positions filled </w:t>
            </w:r>
          </w:p>
        </w:tc>
        <w:tc>
          <w:tcPr>
            <w:tcW w:w="1332" w:type="dxa"/>
            <w:tcBorders>
              <w:top w:val="nil"/>
              <w:left w:val="nil"/>
              <w:bottom w:val="single" w:sz="4" w:space="0" w:color="auto"/>
              <w:right w:val="single" w:sz="4" w:space="0" w:color="auto"/>
            </w:tcBorders>
            <w:shd w:val="clear" w:color="000000" w:fill="B3D7DB"/>
            <w:vAlign w:val="center"/>
            <w:hideMark/>
          </w:tcPr>
          <w:p w14:paraId="74E0CBAF" w14:textId="77777777" w:rsidR="003D21C4" w:rsidRPr="003D21C4" w:rsidRDefault="003D21C4" w:rsidP="003D21C4">
            <w:pPr>
              <w:spacing w:after="0" w:line="240" w:lineRule="auto"/>
              <w:rPr>
                <w:rFonts w:ascii="Trebuchet MS" w:eastAsia="Times New Roman" w:hAnsi="Trebuchet MS" w:cs="Calibri"/>
                <w:b/>
                <w:bCs/>
                <w:color w:val="004147"/>
                <w:kern w:val="0"/>
                <w:sz w:val="20"/>
                <w:szCs w:val="20"/>
                <w:lang w:eastAsia="en-GB"/>
                <w14:ligatures w14:val="none"/>
              </w:rPr>
            </w:pPr>
            <w:r w:rsidRPr="003D21C4">
              <w:rPr>
                <w:rFonts w:ascii="Trebuchet MS" w:eastAsia="Times New Roman" w:hAnsi="Trebuchet MS" w:cs="Calibri"/>
                <w:b/>
                <w:bCs/>
                <w:color w:val="004147"/>
                <w:kern w:val="0"/>
                <w:sz w:val="20"/>
                <w:szCs w:val="20"/>
                <w:lang w:eastAsia="en-GB"/>
                <w14:ligatures w14:val="none"/>
              </w:rPr>
              <w:t>Positions filled as a % of total in each Department</w:t>
            </w:r>
          </w:p>
        </w:tc>
        <w:tc>
          <w:tcPr>
            <w:tcW w:w="222" w:type="dxa"/>
            <w:vAlign w:val="center"/>
            <w:hideMark/>
          </w:tcPr>
          <w:p w14:paraId="6EF2E4FE" w14:textId="77777777" w:rsidR="003D21C4" w:rsidRPr="003D21C4" w:rsidRDefault="003D21C4" w:rsidP="003D21C4">
            <w:pPr>
              <w:spacing w:after="0" w:line="240" w:lineRule="auto"/>
              <w:rPr>
                <w:rFonts w:ascii="Times New Roman" w:eastAsia="Times New Roman" w:hAnsi="Times New Roman" w:cs="Times New Roman"/>
                <w:kern w:val="0"/>
                <w:sz w:val="20"/>
                <w:szCs w:val="20"/>
                <w:lang w:eastAsia="en-GB"/>
                <w14:ligatures w14:val="none"/>
              </w:rPr>
            </w:pPr>
          </w:p>
        </w:tc>
      </w:tr>
      <w:tr w:rsidR="003D21C4" w:rsidRPr="003D21C4" w14:paraId="44CF4CA2" w14:textId="77777777" w:rsidTr="003D21C4">
        <w:trPr>
          <w:trHeight w:val="540"/>
        </w:trPr>
        <w:tc>
          <w:tcPr>
            <w:tcW w:w="1531" w:type="dxa"/>
            <w:tcBorders>
              <w:top w:val="nil"/>
              <w:left w:val="single" w:sz="4" w:space="0" w:color="auto"/>
              <w:bottom w:val="single" w:sz="4" w:space="0" w:color="auto"/>
              <w:right w:val="single" w:sz="4" w:space="0" w:color="auto"/>
            </w:tcBorders>
            <w:shd w:val="clear" w:color="000000" w:fill="FFFFFF"/>
            <w:vAlign w:val="bottom"/>
            <w:hideMark/>
          </w:tcPr>
          <w:p w14:paraId="1B2378EF" w14:textId="77777777" w:rsidR="003D21C4" w:rsidRPr="003D21C4" w:rsidRDefault="003D21C4" w:rsidP="003D21C4">
            <w:pPr>
              <w:spacing w:after="0" w:line="240" w:lineRule="auto"/>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Audio technical Department</w:t>
            </w:r>
          </w:p>
        </w:tc>
        <w:tc>
          <w:tcPr>
            <w:tcW w:w="1332" w:type="dxa"/>
            <w:tcBorders>
              <w:top w:val="nil"/>
              <w:left w:val="nil"/>
              <w:bottom w:val="single" w:sz="4" w:space="0" w:color="auto"/>
              <w:right w:val="single" w:sz="4" w:space="0" w:color="auto"/>
            </w:tcBorders>
            <w:shd w:val="clear" w:color="000000" w:fill="FFFFFF"/>
            <w:noWrap/>
            <w:vAlign w:val="bottom"/>
            <w:hideMark/>
          </w:tcPr>
          <w:p w14:paraId="3AE323CB"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26</w:t>
            </w:r>
          </w:p>
        </w:tc>
        <w:tc>
          <w:tcPr>
            <w:tcW w:w="1271" w:type="dxa"/>
            <w:tcBorders>
              <w:top w:val="nil"/>
              <w:left w:val="nil"/>
              <w:bottom w:val="single" w:sz="4" w:space="0" w:color="auto"/>
              <w:right w:val="single" w:sz="4" w:space="0" w:color="auto"/>
            </w:tcBorders>
            <w:shd w:val="clear" w:color="000000" w:fill="FFFFFF"/>
            <w:noWrap/>
            <w:vAlign w:val="bottom"/>
            <w:hideMark/>
          </w:tcPr>
          <w:p w14:paraId="36E0FAB6"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6</w:t>
            </w:r>
          </w:p>
        </w:tc>
        <w:tc>
          <w:tcPr>
            <w:tcW w:w="1332" w:type="dxa"/>
            <w:tcBorders>
              <w:top w:val="nil"/>
              <w:left w:val="nil"/>
              <w:bottom w:val="single" w:sz="4" w:space="0" w:color="auto"/>
              <w:right w:val="single" w:sz="4" w:space="0" w:color="auto"/>
            </w:tcBorders>
            <w:shd w:val="clear" w:color="000000" w:fill="FFFFFF"/>
            <w:noWrap/>
            <w:vAlign w:val="bottom"/>
            <w:hideMark/>
          </w:tcPr>
          <w:p w14:paraId="6FFEFB65" w14:textId="77777777" w:rsidR="003D21C4" w:rsidRPr="003D21C4" w:rsidRDefault="003D21C4" w:rsidP="003D21C4">
            <w:pPr>
              <w:spacing w:after="0" w:line="240" w:lineRule="auto"/>
              <w:jc w:val="right"/>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23%</w:t>
            </w:r>
          </w:p>
        </w:tc>
        <w:tc>
          <w:tcPr>
            <w:tcW w:w="1272" w:type="dxa"/>
            <w:tcBorders>
              <w:top w:val="nil"/>
              <w:left w:val="nil"/>
              <w:bottom w:val="single" w:sz="4" w:space="0" w:color="auto"/>
              <w:right w:val="single" w:sz="4" w:space="0" w:color="auto"/>
            </w:tcBorders>
            <w:shd w:val="clear" w:color="000000" w:fill="FFFFFF"/>
            <w:noWrap/>
            <w:vAlign w:val="bottom"/>
            <w:hideMark/>
          </w:tcPr>
          <w:p w14:paraId="23FF4562"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8</w:t>
            </w:r>
          </w:p>
        </w:tc>
        <w:tc>
          <w:tcPr>
            <w:tcW w:w="1332" w:type="dxa"/>
            <w:tcBorders>
              <w:top w:val="nil"/>
              <w:left w:val="nil"/>
              <w:bottom w:val="single" w:sz="4" w:space="0" w:color="auto"/>
              <w:right w:val="single" w:sz="4" w:space="0" w:color="auto"/>
            </w:tcBorders>
            <w:shd w:val="clear" w:color="000000" w:fill="FFFFFF"/>
            <w:noWrap/>
            <w:vAlign w:val="bottom"/>
            <w:hideMark/>
          </w:tcPr>
          <w:p w14:paraId="13158577" w14:textId="77777777" w:rsidR="003D21C4" w:rsidRPr="003D21C4" w:rsidRDefault="003D21C4" w:rsidP="003D21C4">
            <w:pPr>
              <w:spacing w:after="0" w:line="240" w:lineRule="auto"/>
              <w:jc w:val="right"/>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31%</w:t>
            </w:r>
          </w:p>
        </w:tc>
        <w:tc>
          <w:tcPr>
            <w:tcW w:w="1272" w:type="dxa"/>
            <w:tcBorders>
              <w:top w:val="nil"/>
              <w:left w:val="nil"/>
              <w:bottom w:val="single" w:sz="4" w:space="0" w:color="auto"/>
              <w:right w:val="single" w:sz="4" w:space="0" w:color="auto"/>
            </w:tcBorders>
            <w:shd w:val="clear" w:color="000000" w:fill="FFFFFF"/>
            <w:noWrap/>
            <w:vAlign w:val="bottom"/>
            <w:hideMark/>
          </w:tcPr>
          <w:p w14:paraId="3BADD6EF"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3</w:t>
            </w:r>
          </w:p>
        </w:tc>
        <w:tc>
          <w:tcPr>
            <w:tcW w:w="1332" w:type="dxa"/>
            <w:tcBorders>
              <w:top w:val="nil"/>
              <w:left w:val="nil"/>
              <w:bottom w:val="single" w:sz="4" w:space="0" w:color="auto"/>
              <w:right w:val="single" w:sz="4" w:space="0" w:color="auto"/>
            </w:tcBorders>
            <w:shd w:val="clear" w:color="000000" w:fill="FFFFFF"/>
            <w:noWrap/>
            <w:vAlign w:val="bottom"/>
            <w:hideMark/>
          </w:tcPr>
          <w:p w14:paraId="171B6B37" w14:textId="77777777" w:rsidR="003D21C4" w:rsidRPr="003D21C4" w:rsidRDefault="003D21C4" w:rsidP="003D21C4">
            <w:pPr>
              <w:spacing w:after="0" w:line="240" w:lineRule="auto"/>
              <w:jc w:val="right"/>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12%</w:t>
            </w:r>
          </w:p>
        </w:tc>
        <w:tc>
          <w:tcPr>
            <w:tcW w:w="222" w:type="dxa"/>
            <w:vAlign w:val="center"/>
            <w:hideMark/>
          </w:tcPr>
          <w:p w14:paraId="11ECCF09" w14:textId="77777777" w:rsidR="003D21C4" w:rsidRPr="003D21C4" w:rsidRDefault="003D21C4" w:rsidP="003D21C4">
            <w:pPr>
              <w:spacing w:after="0" w:line="240" w:lineRule="auto"/>
              <w:rPr>
                <w:rFonts w:ascii="Times New Roman" w:eastAsia="Times New Roman" w:hAnsi="Times New Roman" w:cs="Times New Roman"/>
                <w:kern w:val="0"/>
                <w:sz w:val="20"/>
                <w:szCs w:val="20"/>
                <w:lang w:eastAsia="en-GB"/>
                <w14:ligatures w14:val="none"/>
              </w:rPr>
            </w:pPr>
          </w:p>
        </w:tc>
      </w:tr>
      <w:tr w:rsidR="003D21C4" w:rsidRPr="003D21C4" w14:paraId="080E8A3D" w14:textId="77777777" w:rsidTr="003D21C4">
        <w:trPr>
          <w:trHeight w:val="270"/>
        </w:trPr>
        <w:tc>
          <w:tcPr>
            <w:tcW w:w="1531" w:type="dxa"/>
            <w:tcBorders>
              <w:top w:val="nil"/>
              <w:left w:val="single" w:sz="4" w:space="0" w:color="auto"/>
              <w:bottom w:val="single" w:sz="4" w:space="0" w:color="auto"/>
              <w:right w:val="single" w:sz="4" w:space="0" w:color="auto"/>
            </w:tcBorders>
            <w:shd w:val="clear" w:color="000000" w:fill="D0E0E2"/>
            <w:noWrap/>
            <w:vAlign w:val="bottom"/>
            <w:hideMark/>
          </w:tcPr>
          <w:p w14:paraId="5FBBBDD0" w14:textId="77777777" w:rsidR="003D21C4" w:rsidRPr="003D21C4" w:rsidRDefault="003D21C4" w:rsidP="003D21C4">
            <w:pPr>
              <w:spacing w:after="0" w:line="240" w:lineRule="auto"/>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406DC208"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271" w:type="dxa"/>
            <w:tcBorders>
              <w:top w:val="nil"/>
              <w:left w:val="nil"/>
              <w:bottom w:val="single" w:sz="4" w:space="0" w:color="auto"/>
              <w:right w:val="single" w:sz="4" w:space="0" w:color="auto"/>
            </w:tcBorders>
            <w:shd w:val="clear" w:color="000000" w:fill="D0E0E2"/>
            <w:noWrap/>
            <w:vAlign w:val="bottom"/>
            <w:hideMark/>
          </w:tcPr>
          <w:p w14:paraId="4DB99535"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639DE619" w14:textId="77777777" w:rsidR="003D21C4" w:rsidRPr="003D21C4" w:rsidRDefault="003D21C4" w:rsidP="003D21C4">
            <w:pPr>
              <w:spacing w:after="0" w:line="240" w:lineRule="auto"/>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272" w:type="dxa"/>
            <w:tcBorders>
              <w:top w:val="nil"/>
              <w:left w:val="nil"/>
              <w:bottom w:val="single" w:sz="4" w:space="0" w:color="auto"/>
              <w:right w:val="single" w:sz="4" w:space="0" w:color="auto"/>
            </w:tcBorders>
            <w:shd w:val="clear" w:color="000000" w:fill="D0E0E2"/>
            <w:noWrap/>
            <w:vAlign w:val="bottom"/>
            <w:hideMark/>
          </w:tcPr>
          <w:p w14:paraId="3B9130BD"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4C078C77" w14:textId="77777777" w:rsidR="003D21C4" w:rsidRPr="003D21C4" w:rsidRDefault="003D21C4" w:rsidP="003D21C4">
            <w:pPr>
              <w:spacing w:after="0" w:line="240" w:lineRule="auto"/>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272" w:type="dxa"/>
            <w:tcBorders>
              <w:top w:val="nil"/>
              <w:left w:val="nil"/>
              <w:bottom w:val="single" w:sz="4" w:space="0" w:color="auto"/>
              <w:right w:val="single" w:sz="4" w:space="0" w:color="auto"/>
            </w:tcBorders>
            <w:shd w:val="clear" w:color="000000" w:fill="D0E0E2"/>
            <w:noWrap/>
            <w:vAlign w:val="bottom"/>
            <w:hideMark/>
          </w:tcPr>
          <w:p w14:paraId="58A487D9"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3AFC68C6" w14:textId="77777777" w:rsidR="003D21C4" w:rsidRPr="003D21C4" w:rsidRDefault="003D21C4" w:rsidP="003D21C4">
            <w:pPr>
              <w:spacing w:after="0" w:line="240" w:lineRule="auto"/>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222" w:type="dxa"/>
            <w:vAlign w:val="center"/>
            <w:hideMark/>
          </w:tcPr>
          <w:p w14:paraId="004C3EB6" w14:textId="77777777" w:rsidR="003D21C4" w:rsidRPr="003D21C4" w:rsidRDefault="003D21C4" w:rsidP="003D21C4">
            <w:pPr>
              <w:spacing w:after="0" w:line="240" w:lineRule="auto"/>
              <w:rPr>
                <w:rFonts w:ascii="Times New Roman" w:eastAsia="Times New Roman" w:hAnsi="Times New Roman" w:cs="Times New Roman"/>
                <w:kern w:val="0"/>
                <w:sz w:val="20"/>
                <w:szCs w:val="20"/>
                <w:lang w:eastAsia="en-GB"/>
                <w14:ligatures w14:val="none"/>
              </w:rPr>
            </w:pPr>
          </w:p>
        </w:tc>
      </w:tr>
      <w:tr w:rsidR="003D21C4" w:rsidRPr="003D21C4" w14:paraId="56A9DA65" w14:textId="77777777" w:rsidTr="003D21C4">
        <w:trPr>
          <w:trHeight w:val="270"/>
        </w:trPr>
        <w:tc>
          <w:tcPr>
            <w:tcW w:w="1531" w:type="dxa"/>
            <w:tcBorders>
              <w:top w:val="nil"/>
              <w:left w:val="single" w:sz="4" w:space="0" w:color="auto"/>
              <w:bottom w:val="single" w:sz="4" w:space="0" w:color="auto"/>
              <w:right w:val="single" w:sz="4" w:space="0" w:color="auto"/>
            </w:tcBorders>
            <w:shd w:val="clear" w:color="000000" w:fill="FFFFFF"/>
            <w:noWrap/>
            <w:vAlign w:val="bottom"/>
            <w:hideMark/>
          </w:tcPr>
          <w:p w14:paraId="30D9E987" w14:textId="77777777" w:rsidR="003D21C4" w:rsidRPr="003D21C4" w:rsidRDefault="003D21C4" w:rsidP="003D21C4">
            <w:pPr>
              <w:spacing w:after="0" w:line="240" w:lineRule="auto"/>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Offices and Administration</w:t>
            </w:r>
          </w:p>
        </w:tc>
        <w:tc>
          <w:tcPr>
            <w:tcW w:w="1332" w:type="dxa"/>
            <w:tcBorders>
              <w:top w:val="nil"/>
              <w:left w:val="nil"/>
              <w:bottom w:val="single" w:sz="4" w:space="0" w:color="auto"/>
              <w:right w:val="single" w:sz="4" w:space="0" w:color="auto"/>
            </w:tcBorders>
            <w:shd w:val="clear" w:color="000000" w:fill="FFFFFF"/>
            <w:noWrap/>
            <w:vAlign w:val="bottom"/>
            <w:hideMark/>
          </w:tcPr>
          <w:p w14:paraId="32E0BE12"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15</w:t>
            </w:r>
          </w:p>
        </w:tc>
        <w:tc>
          <w:tcPr>
            <w:tcW w:w="1271" w:type="dxa"/>
            <w:tcBorders>
              <w:top w:val="nil"/>
              <w:left w:val="nil"/>
              <w:bottom w:val="single" w:sz="4" w:space="0" w:color="auto"/>
              <w:right w:val="single" w:sz="4" w:space="0" w:color="auto"/>
            </w:tcBorders>
            <w:shd w:val="clear" w:color="000000" w:fill="FFFFFF"/>
            <w:noWrap/>
            <w:vAlign w:val="bottom"/>
            <w:hideMark/>
          </w:tcPr>
          <w:p w14:paraId="72E8818E"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4</w:t>
            </w:r>
          </w:p>
        </w:tc>
        <w:tc>
          <w:tcPr>
            <w:tcW w:w="1332" w:type="dxa"/>
            <w:tcBorders>
              <w:top w:val="nil"/>
              <w:left w:val="nil"/>
              <w:bottom w:val="single" w:sz="4" w:space="0" w:color="auto"/>
              <w:right w:val="single" w:sz="4" w:space="0" w:color="auto"/>
            </w:tcBorders>
            <w:shd w:val="clear" w:color="000000" w:fill="FFFFFF"/>
            <w:noWrap/>
            <w:vAlign w:val="bottom"/>
            <w:hideMark/>
          </w:tcPr>
          <w:p w14:paraId="5CBF11F1" w14:textId="77777777" w:rsidR="003D21C4" w:rsidRPr="003D21C4" w:rsidRDefault="003D21C4" w:rsidP="003D21C4">
            <w:pPr>
              <w:spacing w:after="0" w:line="240" w:lineRule="auto"/>
              <w:jc w:val="right"/>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27%</w:t>
            </w:r>
          </w:p>
        </w:tc>
        <w:tc>
          <w:tcPr>
            <w:tcW w:w="1272" w:type="dxa"/>
            <w:tcBorders>
              <w:top w:val="nil"/>
              <w:left w:val="nil"/>
              <w:bottom w:val="single" w:sz="4" w:space="0" w:color="auto"/>
              <w:right w:val="single" w:sz="4" w:space="0" w:color="auto"/>
            </w:tcBorders>
            <w:shd w:val="clear" w:color="000000" w:fill="FFFFFF"/>
            <w:noWrap/>
            <w:vAlign w:val="bottom"/>
            <w:hideMark/>
          </w:tcPr>
          <w:p w14:paraId="29203B9F"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5</w:t>
            </w:r>
          </w:p>
        </w:tc>
        <w:tc>
          <w:tcPr>
            <w:tcW w:w="1332" w:type="dxa"/>
            <w:tcBorders>
              <w:top w:val="nil"/>
              <w:left w:val="nil"/>
              <w:bottom w:val="single" w:sz="4" w:space="0" w:color="auto"/>
              <w:right w:val="single" w:sz="4" w:space="0" w:color="auto"/>
            </w:tcBorders>
            <w:shd w:val="clear" w:color="000000" w:fill="FFFFFF"/>
            <w:noWrap/>
            <w:vAlign w:val="bottom"/>
            <w:hideMark/>
          </w:tcPr>
          <w:p w14:paraId="549BF9E8" w14:textId="77777777" w:rsidR="003D21C4" w:rsidRPr="003D21C4" w:rsidRDefault="003D21C4" w:rsidP="003D21C4">
            <w:pPr>
              <w:spacing w:after="0" w:line="240" w:lineRule="auto"/>
              <w:jc w:val="right"/>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33%</w:t>
            </w:r>
          </w:p>
        </w:tc>
        <w:tc>
          <w:tcPr>
            <w:tcW w:w="1272" w:type="dxa"/>
            <w:tcBorders>
              <w:top w:val="nil"/>
              <w:left w:val="nil"/>
              <w:bottom w:val="single" w:sz="4" w:space="0" w:color="auto"/>
              <w:right w:val="single" w:sz="4" w:space="0" w:color="auto"/>
            </w:tcBorders>
            <w:shd w:val="clear" w:color="000000" w:fill="FFFFFF"/>
            <w:noWrap/>
            <w:vAlign w:val="bottom"/>
            <w:hideMark/>
          </w:tcPr>
          <w:p w14:paraId="7ECF2D7E"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5</w:t>
            </w:r>
          </w:p>
        </w:tc>
        <w:tc>
          <w:tcPr>
            <w:tcW w:w="1332" w:type="dxa"/>
            <w:tcBorders>
              <w:top w:val="nil"/>
              <w:left w:val="nil"/>
              <w:bottom w:val="single" w:sz="4" w:space="0" w:color="auto"/>
              <w:right w:val="single" w:sz="4" w:space="0" w:color="auto"/>
            </w:tcBorders>
            <w:shd w:val="clear" w:color="000000" w:fill="FFFFFF"/>
            <w:noWrap/>
            <w:vAlign w:val="bottom"/>
            <w:hideMark/>
          </w:tcPr>
          <w:p w14:paraId="6D113069" w14:textId="77777777" w:rsidR="003D21C4" w:rsidRPr="003D21C4" w:rsidRDefault="003D21C4" w:rsidP="003D21C4">
            <w:pPr>
              <w:spacing w:after="0" w:line="240" w:lineRule="auto"/>
              <w:jc w:val="right"/>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33%</w:t>
            </w:r>
          </w:p>
        </w:tc>
        <w:tc>
          <w:tcPr>
            <w:tcW w:w="222" w:type="dxa"/>
            <w:vAlign w:val="center"/>
            <w:hideMark/>
          </w:tcPr>
          <w:p w14:paraId="477B0CE0" w14:textId="77777777" w:rsidR="003D21C4" w:rsidRPr="003D21C4" w:rsidRDefault="003D21C4" w:rsidP="003D21C4">
            <w:pPr>
              <w:spacing w:after="0" w:line="240" w:lineRule="auto"/>
              <w:rPr>
                <w:rFonts w:ascii="Times New Roman" w:eastAsia="Times New Roman" w:hAnsi="Times New Roman" w:cs="Times New Roman"/>
                <w:kern w:val="0"/>
                <w:sz w:val="20"/>
                <w:szCs w:val="20"/>
                <w:lang w:eastAsia="en-GB"/>
                <w14:ligatures w14:val="none"/>
              </w:rPr>
            </w:pPr>
          </w:p>
        </w:tc>
      </w:tr>
      <w:tr w:rsidR="003D21C4" w:rsidRPr="003D21C4" w14:paraId="472EB97D" w14:textId="77777777" w:rsidTr="003D21C4">
        <w:trPr>
          <w:trHeight w:val="270"/>
        </w:trPr>
        <w:tc>
          <w:tcPr>
            <w:tcW w:w="1531" w:type="dxa"/>
            <w:tcBorders>
              <w:top w:val="nil"/>
              <w:left w:val="single" w:sz="4" w:space="0" w:color="auto"/>
              <w:bottom w:val="single" w:sz="4" w:space="0" w:color="auto"/>
              <w:right w:val="single" w:sz="4" w:space="0" w:color="auto"/>
            </w:tcBorders>
            <w:shd w:val="clear" w:color="000000" w:fill="D0E0E2"/>
            <w:noWrap/>
            <w:vAlign w:val="bottom"/>
            <w:hideMark/>
          </w:tcPr>
          <w:p w14:paraId="4D2C398B" w14:textId="77777777" w:rsidR="003D21C4" w:rsidRPr="003D21C4" w:rsidRDefault="003D21C4" w:rsidP="003D21C4">
            <w:pPr>
              <w:spacing w:after="0" w:line="240" w:lineRule="auto"/>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34A87611"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271" w:type="dxa"/>
            <w:tcBorders>
              <w:top w:val="nil"/>
              <w:left w:val="nil"/>
              <w:bottom w:val="single" w:sz="4" w:space="0" w:color="auto"/>
              <w:right w:val="single" w:sz="4" w:space="0" w:color="auto"/>
            </w:tcBorders>
            <w:shd w:val="clear" w:color="000000" w:fill="D0E0E2"/>
            <w:noWrap/>
            <w:vAlign w:val="bottom"/>
            <w:hideMark/>
          </w:tcPr>
          <w:p w14:paraId="3DC64B95"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7B4E720F" w14:textId="77777777" w:rsidR="003D21C4" w:rsidRPr="003D21C4" w:rsidRDefault="003D21C4" w:rsidP="003D21C4">
            <w:pPr>
              <w:spacing w:after="0" w:line="240" w:lineRule="auto"/>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272" w:type="dxa"/>
            <w:tcBorders>
              <w:top w:val="nil"/>
              <w:left w:val="nil"/>
              <w:bottom w:val="single" w:sz="4" w:space="0" w:color="auto"/>
              <w:right w:val="single" w:sz="4" w:space="0" w:color="auto"/>
            </w:tcBorders>
            <w:shd w:val="clear" w:color="000000" w:fill="D0E0E2"/>
            <w:noWrap/>
            <w:vAlign w:val="bottom"/>
            <w:hideMark/>
          </w:tcPr>
          <w:p w14:paraId="0B7AAEFA"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7C97544E" w14:textId="77777777" w:rsidR="003D21C4" w:rsidRPr="003D21C4" w:rsidRDefault="003D21C4" w:rsidP="003D21C4">
            <w:pPr>
              <w:spacing w:after="0" w:line="240" w:lineRule="auto"/>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272" w:type="dxa"/>
            <w:tcBorders>
              <w:top w:val="nil"/>
              <w:left w:val="nil"/>
              <w:bottom w:val="single" w:sz="4" w:space="0" w:color="auto"/>
              <w:right w:val="single" w:sz="4" w:space="0" w:color="auto"/>
            </w:tcBorders>
            <w:shd w:val="clear" w:color="000000" w:fill="D0E0E2"/>
            <w:noWrap/>
            <w:vAlign w:val="bottom"/>
            <w:hideMark/>
          </w:tcPr>
          <w:p w14:paraId="548A29F9"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53791630" w14:textId="77777777" w:rsidR="003D21C4" w:rsidRPr="003D21C4" w:rsidRDefault="003D21C4" w:rsidP="003D21C4">
            <w:pPr>
              <w:spacing w:after="0" w:line="240" w:lineRule="auto"/>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222" w:type="dxa"/>
            <w:vAlign w:val="center"/>
            <w:hideMark/>
          </w:tcPr>
          <w:p w14:paraId="67551C62" w14:textId="77777777" w:rsidR="003D21C4" w:rsidRPr="003D21C4" w:rsidRDefault="003D21C4" w:rsidP="003D21C4">
            <w:pPr>
              <w:spacing w:after="0" w:line="240" w:lineRule="auto"/>
              <w:rPr>
                <w:rFonts w:ascii="Times New Roman" w:eastAsia="Times New Roman" w:hAnsi="Times New Roman" w:cs="Times New Roman"/>
                <w:kern w:val="0"/>
                <w:sz w:val="20"/>
                <w:szCs w:val="20"/>
                <w:lang w:eastAsia="en-GB"/>
                <w14:ligatures w14:val="none"/>
              </w:rPr>
            </w:pPr>
          </w:p>
        </w:tc>
      </w:tr>
      <w:tr w:rsidR="003D21C4" w:rsidRPr="003D21C4" w14:paraId="2BF2BF85" w14:textId="77777777" w:rsidTr="003D21C4">
        <w:trPr>
          <w:trHeight w:val="270"/>
        </w:trPr>
        <w:tc>
          <w:tcPr>
            <w:tcW w:w="1531" w:type="dxa"/>
            <w:tcBorders>
              <w:top w:val="nil"/>
              <w:left w:val="single" w:sz="4" w:space="0" w:color="auto"/>
              <w:bottom w:val="single" w:sz="4" w:space="0" w:color="auto"/>
              <w:right w:val="single" w:sz="4" w:space="0" w:color="auto"/>
            </w:tcBorders>
            <w:shd w:val="clear" w:color="000000" w:fill="FFFFFF"/>
            <w:noWrap/>
            <w:vAlign w:val="bottom"/>
            <w:hideMark/>
          </w:tcPr>
          <w:p w14:paraId="668EBABD" w14:textId="77777777" w:rsidR="003D21C4" w:rsidRPr="003D21C4" w:rsidRDefault="003D21C4" w:rsidP="003D21C4">
            <w:pPr>
              <w:spacing w:after="0" w:line="240" w:lineRule="auto"/>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Research and Development</w:t>
            </w:r>
          </w:p>
        </w:tc>
        <w:tc>
          <w:tcPr>
            <w:tcW w:w="1332" w:type="dxa"/>
            <w:tcBorders>
              <w:top w:val="nil"/>
              <w:left w:val="nil"/>
              <w:bottom w:val="single" w:sz="4" w:space="0" w:color="auto"/>
              <w:right w:val="single" w:sz="4" w:space="0" w:color="auto"/>
            </w:tcBorders>
            <w:shd w:val="clear" w:color="000000" w:fill="FFFFFF"/>
            <w:noWrap/>
            <w:vAlign w:val="bottom"/>
            <w:hideMark/>
          </w:tcPr>
          <w:p w14:paraId="0C9EC5B2"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8</w:t>
            </w:r>
          </w:p>
        </w:tc>
        <w:tc>
          <w:tcPr>
            <w:tcW w:w="1271" w:type="dxa"/>
            <w:tcBorders>
              <w:top w:val="nil"/>
              <w:left w:val="nil"/>
              <w:bottom w:val="single" w:sz="4" w:space="0" w:color="auto"/>
              <w:right w:val="single" w:sz="4" w:space="0" w:color="auto"/>
            </w:tcBorders>
            <w:shd w:val="clear" w:color="000000" w:fill="FFFFFF"/>
            <w:noWrap/>
            <w:vAlign w:val="bottom"/>
            <w:hideMark/>
          </w:tcPr>
          <w:p w14:paraId="4212F9C2"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1</w:t>
            </w:r>
          </w:p>
        </w:tc>
        <w:tc>
          <w:tcPr>
            <w:tcW w:w="1332" w:type="dxa"/>
            <w:tcBorders>
              <w:top w:val="nil"/>
              <w:left w:val="nil"/>
              <w:bottom w:val="single" w:sz="4" w:space="0" w:color="auto"/>
              <w:right w:val="single" w:sz="4" w:space="0" w:color="auto"/>
            </w:tcBorders>
            <w:shd w:val="clear" w:color="000000" w:fill="FFFFFF"/>
            <w:noWrap/>
            <w:vAlign w:val="bottom"/>
            <w:hideMark/>
          </w:tcPr>
          <w:p w14:paraId="6D0454E0" w14:textId="77777777" w:rsidR="003D21C4" w:rsidRPr="003D21C4" w:rsidRDefault="003D21C4" w:rsidP="003D21C4">
            <w:pPr>
              <w:spacing w:after="0" w:line="240" w:lineRule="auto"/>
              <w:jc w:val="right"/>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13%</w:t>
            </w:r>
          </w:p>
        </w:tc>
        <w:tc>
          <w:tcPr>
            <w:tcW w:w="1272" w:type="dxa"/>
            <w:tcBorders>
              <w:top w:val="nil"/>
              <w:left w:val="nil"/>
              <w:bottom w:val="single" w:sz="4" w:space="0" w:color="auto"/>
              <w:right w:val="single" w:sz="4" w:space="0" w:color="auto"/>
            </w:tcBorders>
            <w:shd w:val="clear" w:color="000000" w:fill="FFFFFF"/>
            <w:noWrap/>
            <w:vAlign w:val="bottom"/>
            <w:hideMark/>
          </w:tcPr>
          <w:p w14:paraId="5A390790"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4</w:t>
            </w:r>
          </w:p>
        </w:tc>
        <w:tc>
          <w:tcPr>
            <w:tcW w:w="1332" w:type="dxa"/>
            <w:tcBorders>
              <w:top w:val="nil"/>
              <w:left w:val="nil"/>
              <w:bottom w:val="single" w:sz="4" w:space="0" w:color="auto"/>
              <w:right w:val="single" w:sz="4" w:space="0" w:color="auto"/>
            </w:tcBorders>
            <w:shd w:val="clear" w:color="000000" w:fill="FFFFFF"/>
            <w:noWrap/>
            <w:vAlign w:val="bottom"/>
            <w:hideMark/>
          </w:tcPr>
          <w:p w14:paraId="58E4189F" w14:textId="77777777" w:rsidR="003D21C4" w:rsidRPr="003D21C4" w:rsidRDefault="003D21C4" w:rsidP="003D21C4">
            <w:pPr>
              <w:spacing w:after="0" w:line="240" w:lineRule="auto"/>
              <w:jc w:val="right"/>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50%</w:t>
            </w:r>
          </w:p>
        </w:tc>
        <w:tc>
          <w:tcPr>
            <w:tcW w:w="1272" w:type="dxa"/>
            <w:tcBorders>
              <w:top w:val="nil"/>
              <w:left w:val="nil"/>
              <w:bottom w:val="single" w:sz="4" w:space="0" w:color="auto"/>
              <w:right w:val="single" w:sz="4" w:space="0" w:color="auto"/>
            </w:tcBorders>
            <w:shd w:val="clear" w:color="000000" w:fill="FFFFFF"/>
            <w:noWrap/>
            <w:vAlign w:val="bottom"/>
            <w:hideMark/>
          </w:tcPr>
          <w:p w14:paraId="41916886"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4</w:t>
            </w:r>
          </w:p>
        </w:tc>
        <w:tc>
          <w:tcPr>
            <w:tcW w:w="1332" w:type="dxa"/>
            <w:tcBorders>
              <w:top w:val="nil"/>
              <w:left w:val="nil"/>
              <w:bottom w:val="single" w:sz="4" w:space="0" w:color="auto"/>
              <w:right w:val="single" w:sz="4" w:space="0" w:color="auto"/>
            </w:tcBorders>
            <w:shd w:val="clear" w:color="000000" w:fill="FFFFFF"/>
            <w:noWrap/>
            <w:vAlign w:val="bottom"/>
            <w:hideMark/>
          </w:tcPr>
          <w:p w14:paraId="0263B194" w14:textId="77777777" w:rsidR="003D21C4" w:rsidRPr="003D21C4" w:rsidRDefault="003D21C4" w:rsidP="003D21C4">
            <w:pPr>
              <w:spacing w:after="0" w:line="240" w:lineRule="auto"/>
              <w:jc w:val="right"/>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50%</w:t>
            </w:r>
          </w:p>
        </w:tc>
        <w:tc>
          <w:tcPr>
            <w:tcW w:w="222" w:type="dxa"/>
            <w:vAlign w:val="center"/>
            <w:hideMark/>
          </w:tcPr>
          <w:p w14:paraId="45A02686" w14:textId="77777777" w:rsidR="003D21C4" w:rsidRPr="003D21C4" w:rsidRDefault="003D21C4" w:rsidP="003D21C4">
            <w:pPr>
              <w:spacing w:after="0" w:line="240" w:lineRule="auto"/>
              <w:rPr>
                <w:rFonts w:ascii="Times New Roman" w:eastAsia="Times New Roman" w:hAnsi="Times New Roman" w:cs="Times New Roman"/>
                <w:kern w:val="0"/>
                <w:sz w:val="20"/>
                <w:szCs w:val="20"/>
                <w:lang w:eastAsia="en-GB"/>
                <w14:ligatures w14:val="none"/>
              </w:rPr>
            </w:pPr>
          </w:p>
        </w:tc>
      </w:tr>
      <w:tr w:rsidR="003D21C4" w:rsidRPr="003D21C4" w14:paraId="78A62227" w14:textId="77777777" w:rsidTr="003D21C4">
        <w:trPr>
          <w:trHeight w:val="270"/>
        </w:trPr>
        <w:tc>
          <w:tcPr>
            <w:tcW w:w="1531" w:type="dxa"/>
            <w:tcBorders>
              <w:top w:val="nil"/>
              <w:left w:val="single" w:sz="4" w:space="0" w:color="auto"/>
              <w:bottom w:val="single" w:sz="4" w:space="0" w:color="auto"/>
              <w:right w:val="single" w:sz="4" w:space="0" w:color="auto"/>
            </w:tcBorders>
            <w:shd w:val="clear" w:color="000000" w:fill="D0E0E2"/>
            <w:noWrap/>
            <w:vAlign w:val="bottom"/>
            <w:hideMark/>
          </w:tcPr>
          <w:p w14:paraId="1AAA1DD2" w14:textId="77777777" w:rsidR="003D21C4" w:rsidRPr="003D21C4" w:rsidRDefault="003D21C4" w:rsidP="003D21C4">
            <w:pPr>
              <w:spacing w:after="0" w:line="240" w:lineRule="auto"/>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0B46C63A"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271" w:type="dxa"/>
            <w:tcBorders>
              <w:top w:val="nil"/>
              <w:left w:val="nil"/>
              <w:bottom w:val="single" w:sz="4" w:space="0" w:color="auto"/>
              <w:right w:val="single" w:sz="4" w:space="0" w:color="auto"/>
            </w:tcBorders>
            <w:shd w:val="clear" w:color="000000" w:fill="D0E0E2"/>
            <w:noWrap/>
            <w:vAlign w:val="bottom"/>
            <w:hideMark/>
          </w:tcPr>
          <w:p w14:paraId="352F56BE"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741F8F49" w14:textId="77777777" w:rsidR="003D21C4" w:rsidRPr="003D21C4" w:rsidRDefault="003D21C4" w:rsidP="003D21C4">
            <w:pPr>
              <w:spacing w:after="0" w:line="240" w:lineRule="auto"/>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272" w:type="dxa"/>
            <w:tcBorders>
              <w:top w:val="nil"/>
              <w:left w:val="nil"/>
              <w:bottom w:val="single" w:sz="4" w:space="0" w:color="auto"/>
              <w:right w:val="single" w:sz="4" w:space="0" w:color="auto"/>
            </w:tcBorders>
            <w:shd w:val="clear" w:color="000000" w:fill="D0E0E2"/>
            <w:noWrap/>
            <w:vAlign w:val="bottom"/>
            <w:hideMark/>
          </w:tcPr>
          <w:p w14:paraId="79C8E2AB"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2AACC3C4" w14:textId="77777777" w:rsidR="003D21C4" w:rsidRPr="003D21C4" w:rsidRDefault="003D21C4" w:rsidP="003D21C4">
            <w:pPr>
              <w:spacing w:after="0" w:line="240" w:lineRule="auto"/>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272" w:type="dxa"/>
            <w:tcBorders>
              <w:top w:val="nil"/>
              <w:left w:val="nil"/>
              <w:bottom w:val="single" w:sz="4" w:space="0" w:color="auto"/>
              <w:right w:val="single" w:sz="4" w:space="0" w:color="auto"/>
            </w:tcBorders>
            <w:shd w:val="clear" w:color="000000" w:fill="D0E0E2"/>
            <w:noWrap/>
            <w:vAlign w:val="bottom"/>
            <w:hideMark/>
          </w:tcPr>
          <w:p w14:paraId="40DF039B"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469A1D23" w14:textId="77777777" w:rsidR="003D21C4" w:rsidRPr="003D21C4" w:rsidRDefault="003D21C4" w:rsidP="003D21C4">
            <w:pPr>
              <w:spacing w:after="0" w:line="240" w:lineRule="auto"/>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222" w:type="dxa"/>
            <w:vAlign w:val="center"/>
            <w:hideMark/>
          </w:tcPr>
          <w:p w14:paraId="215C9AAA" w14:textId="77777777" w:rsidR="003D21C4" w:rsidRPr="003D21C4" w:rsidRDefault="003D21C4" w:rsidP="003D21C4">
            <w:pPr>
              <w:spacing w:after="0" w:line="240" w:lineRule="auto"/>
              <w:rPr>
                <w:rFonts w:ascii="Times New Roman" w:eastAsia="Times New Roman" w:hAnsi="Times New Roman" w:cs="Times New Roman"/>
                <w:kern w:val="0"/>
                <w:sz w:val="20"/>
                <w:szCs w:val="20"/>
                <w:lang w:eastAsia="en-GB"/>
                <w14:ligatures w14:val="none"/>
              </w:rPr>
            </w:pPr>
          </w:p>
        </w:tc>
      </w:tr>
      <w:tr w:rsidR="003D21C4" w:rsidRPr="003D21C4" w14:paraId="093E635C" w14:textId="77777777" w:rsidTr="003D21C4">
        <w:trPr>
          <w:trHeight w:val="270"/>
        </w:trPr>
        <w:tc>
          <w:tcPr>
            <w:tcW w:w="1531" w:type="dxa"/>
            <w:tcBorders>
              <w:top w:val="nil"/>
              <w:left w:val="single" w:sz="4" w:space="0" w:color="auto"/>
              <w:bottom w:val="single" w:sz="4" w:space="0" w:color="auto"/>
              <w:right w:val="single" w:sz="4" w:space="0" w:color="auto"/>
            </w:tcBorders>
            <w:shd w:val="clear" w:color="000000" w:fill="FFFFFF"/>
            <w:noWrap/>
            <w:vAlign w:val="bottom"/>
            <w:hideMark/>
          </w:tcPr>
          <w:p w14:paraId="18792D6E" w14:textId="77777777" w:rsidR="003D21C4" w:rsidRPr="003D21C4" w:rsidRDefault="003D21C4" w:rsidP="003D21C4">
            <w:pPr>
              <w:spacing w:after="0" w:line="240" w:lineRule="auto"/>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Quality control</w:t>
            </w:r>
          </w:p>
        </w:tc>
        <w:tc>
          <w:tcPr>
            <w:tcW w:w="1332" w:type="dxa"/>
            <w:tcBorders>
              <w:top w:val="nil"/>
              <w:left w:val="nil"/>
              <w:bottom w:val="single" w:sz="4" w:space="0" w:color="auto"/>
              <w:right w:val="single" w:sz="4" w:space="0" w:color="auto"/>
            </w:tcBorders>
            <w:shd w:val="clear" w:color="000000" w:fill="FFFFFF"/>
            <w:noWrap/>
            <w:vAlign w:val="bottom"/>
            <w:hideMark/>
          </w:tcPr>
          <w:p w14:paraId="7BD080CA"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4</w:t>
            </w:r>
          </w:p>
        </w:tc>
        <w:tc>
          <w:tcPr>
            <w:tcW w:w="1271" w:type="dxa"/>
            <w:tcBorders>
              <w:top w:val="nil"/>
              <w:left w:val="nil"/>
              <w:bottom w:val="single" w:sz="4" w:space="0" w:color="auto"/>
              <w:right w:val="single" w:sz="4" w:space="0" w:color="auto"/>
            </w:tcBorders>
            <w:shd w:val="clear" w:color="000000" w:fill="FFFFFF"/>
            <w:noWrap/>
            <w:vAlign w:val="bottom"/>
            <w:hideMark/>
          </w:tcPr>
          <w:p w14:paraId="08E9CF8E"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2</w:t>
            </w:r>
          </w:p>
        </w:tc>
        <w:tc>
          <w:tcPr>
            <w:tcW w:w="1332" w:type="dxa"/>
            <w:tcBorders>
              <w:top w:val="nil"/>
              <w:left w:val="nil"/>
              <w:bottom w:val="single" w:sz="4" w:space="0" w:color="auto"/>
              <w:right w:val="single" w:sz="4" w:space="0" w:color="auto"/>
            </w:tcBorders>
            <w:shd w:val="clear" w:color="000000" w:fill="FFFFFF"/>
            <w:noWrap/>
            <w:vAlign w:val="bottom"/>
            <w:hideMark/>
          </w:tcPr>
          <w:p w14:paraId="0CCC2BF8" w14:textId="77777777" w:rsidR="003D21C4" w:rsidRPr="003D21C4" w:rsidRDefault="003D21C4" w:rsidP="003D21C4">
            <w:pPr>
              <w:spacing w:after="0" w:line="240" w:lineRule="auto"/>
              <w:jc w:val="right"/>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50%</w:t>
            </w:r>
          </w:p>
        </w:tc>
        <w:tc>
          <w:tcPr>
            <w:tcW w:w="1272" w:type="dxa"/>
            <w:tcBorders>
              <w:top w:val="nil"/>
              <w:left w:val="nil"/>
              <w:bottom w:val="single" w:sz="4" w:space="0" w:color="auto"/>
              <w:right w:val="single" w:sz="4" w:space="0" w:color="auto"/>
            </w:tcBorders>
            <w:shd w:val="clear" w:color="000000" w:fill="FFFFFF"/>
            <w:noWrap/>
            <w:vAlign w:val="bottom"/>
            <w:hideMark/>
          </w:tcPr>
          <w:p w14:paraId="0FBF711C"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3</w:t>
            </w:r>
          </w:p>
        </w:tc>
        <w:tc>
          <w:tcPr>
            <w:tcW w:w="1332" w:type="dxa"/>
            <w:tcBorders>
              <w:top w:val="nil"/>
              <w:left w:val="nil"/>
              <w:bottom w:val="single" w:sz="4" w:space="0" w:color="auto"/>
              <w:right w:val="single" w:sz="4" w:space="0" w:color="auto"/>
            </w:tcBorders>
            <w:shd w:val="clear" w:color="000000" w:fill="FFFFFF"/>
            <w:noWrap/>
            <w:vAlign w:val="bottom"/>
            <w:hideMark/>
          </w:tcPr>
          <w:p w14:paraId="3E62F280" w14:textId="77777777" w:rsidR="003D21C4" w:rsidRPr="003D21C4" w:rsidRDefault="003D21C4" w:rsidP="003D21C4">
            <w:pPr>
              <w:spacing w:after="0" w:line="240" w:lineRule="auto"/>
              <w:jc w:val="right"/>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75%</w:t>
            </w:r>
          </w:p>
        </w:tc>
        <w:tc>
          <w:tcPr>
            <w:tcW w:w="1272" w:type="dxa"/>
            <w:tcBorders>
              <w:top w:val="nil"/>
              <w:left w:val="nil"/>
              <w:bottom w:val="single" w:sz="4" w:space="0" w:color="auto"/>
              <w:right w:val="single" w:sz="4" w:space="0" w:color="auto"/>
            </w:tcBorders>
            <w:shd w:val="clear" w:color="000000" w:fill="FFFFFF"/>
            <w:noWrap/>
            <w:vAlign w:val="bottom"/>
            <w:hideMark/>
          </w:tcPr>
          <w:p w14:paraId="74FDDC3B"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3</w:t>
            </w:r>
          </w:p>
        </w:tc>
        <w:tc>
          <w:tcPr>
            <w:tcW w:w="1332" w:type="dxa"/>
            <w:tcBorders>
              <w:top w:val="nil"/>
              <w:left w:val="nil"/>
              <w:bottom w:val="single" w:sz="4" w:space="0" w:color="auto"/>
              <w:right w:val="single" w:sz="4" w:space="0" w:color="auto"/>
            </w:tcBorders>
            <w:shd w:val="clear" w:color="000000" w:fill="FFFFFF"/>
            <w:noWrap/>
            <w:vAlign w:val="bottom"/>
            <w:hideMark/>
          </w:tcPr>
          <w:p w14:paraId="49F6CB6E" w14:textId="77777777" w:rsidR="003D21C4" w:rsidRPr="003D21C4" w:rsidRDefault="003D21C4" w:rsidP="003D21C4">
            <w:pPr>
              <w:spacing w:after="0" w:line="240" w:lineRule="auto"/>
              <w:jc w:val="right"/>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75%</w:t>
            </w:r>
          </w:p>
        </w:tc>
        <w:tc>
          <w:tcPr>
            <w:tcW w:w="222" w:type="dxa"/>
            <w:vAlign w:val="center"/>
            <w:hideMark/>
          </w:tcPr>
          <w:p w14:paraId="1BE70884" w14:textId="77777777" w:rsidR="003D21C4" w:rsidRPr="003D21C4" w:rsidRDefault="003D21C4" w:rsidP="003D21C4">
            <w:pPr>
              <w:spacing w:after="0" w:line="240" w:lineRule="auto"/>
              <w:rPr>
                <w:rFonts w:ascii="Times New Roman" w:eastAsia="Times New Roman" w:hAnsi="Times New Roman" w:cs="Times New Roman"/>
                <w:kern w:val="0"/>
                <w:sz w:val="20"/>
                <w:szCs w:val="20"/>
                <w:lang w:eastAsia="en-GB"/>
                <w14:ligatures w14:val="none"/>
              </w:rPr>
            </w:pPr>
          </w:p>
        </w:tc>
      </w:tr>
      <w:tr w:rsidR="003D21C4" w:rsidRPr="003D21C4" w14:paraId="63B823F2" w14:textId="77777777" w:rsidTr="003D21C4">
        <w:trPr>
          <w:trHeight w:val="270"/>
        </w:trPr>
        <w:tc>
          <w:tcPr>
            <w:tcW w:w="1531" w:type="dxa"/>
            <w:tcBorders>
              <w:top w:val="nil"/>
              <w:left w:val="single" w:sz="4" w:space="0" w:color="auto"/>
              <w:bottom w:val="single" w:sz="4" w:space="0" w:color="auto"/>
              <w:right w:val="single" w:sz="4" w:space="0" w:color="auto"/>
            </w:tcBorders>
            <w:shd w:val="clear" w:color="000000" w:fill="D0E0E2"/>
            <w:noWrap/>
            <w:vAlign w:val="bottom"/>
            <w:hideMark/>
          </w:tcPr>
          <w:p w14:paraId="397664C3" w14:textId="77777777" w:rsidR="003D21C4" w:rsidRPr="003D21C4" w:rsidRDefault="003D21C4" w:rsidP="003D21C4">
            <w:pPr>
              <w:spacing w:after="0" w:line="240" w:lineRule="auto"/>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0E046A5B"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271" w:type="dxa"/>
            <w:tcBorders>
              <w:top w:val="nil"/>
              <w:left w:val="nil"/>
              <w:bottom w:val="single" w:sz="4" w:space="0" w:color="auto"/>
              <w:right w:val="single" w:sz="4" w:space="0" w:color="auto"/>
            </w:tcBorders>
            <w:shd w:val="clear" w:color="000000" w:fill="D0E0E2"/>
            <w:noWrap/>
            <w:vAlign w:val="bottom"/>
            <w:hideMark/>
          </w:tcPr>
          <w:p w14:paraId="5A70CC8B"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3463E622" w14:textId="77777777" w:rsidR="003D21C4" w:rsidRPr="003D21C4" w:rsidRDefault="003D21C4" w:rsidP="003D21C4">
            <w:pPr>
              <w:spacing w:after="0" w:line="240" w:lineRule="auto"/>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272" w:type="dxa"/>
            <w:tcBorders>
              <w:top w:val="nil"/>
              <w:left w:val="nil"/>
              <w:bottom w:val="single" w:sz="4" w:space="0" w:color="auto"/>
              <w:right w:val="single" w:sz="4" w:space="0" w:color="auto"/>
            </w:tcBorders>
            <w:shd w:val="clear" w:color="000000" w:fill="D0E0E2"/>
            <w:noWrap/>
            <w:vAlign w:val="bottom"/>
            <w:hideMark/>
          </w:tcPr>
          <w:p w14:paraId="778086EE"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18C55DD6" w14:textId="77777777" w:rsidR="003D21C4" w:rsidRPr="003D21C4" w:rsidRDefault="003D21C4" w:rsidP="003D21C4">
            <w:pPr>
              <w:spacing w:after="0" w:line="240" w:lineRule="auto"/>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272" w:type="dxa"/>
            <w:tcBorders>
              <w:top w:val="nil"/>
              <w:left w:val="nil"/>
              <w:bottom w:val="single" w:sz="4" w:space="0" w:color="auto"/>
              <w:right w:val="single" w:sz="4" w:space="0" w:color="auto"/>
            </w:tcBorders>
            <w:shd w:val="clear" w:color="000000" w:fill="D0E0E2"/>
            <w:noWrap/>
            <w:vAlign w:val="bottom"/>
            <w:hideMark/>
          </w:tcPr>
          <w:p w14:paraId="66AD9A81"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2D0D36CF" w14:textId="77777777" w:rsidR="003D21C4" w:rsidRPr="003D21C4" w:rsidRDefault="003D21C4" w:rsidP="003D21C4">
            <w:pPr>
              <w:spacing w:after="0" w:line="240" w:lineRule="auto"/>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222" w:type="dxa"/>
            <w:vAlign w:val="center"/>
            <w:hideMark/>
          </w:tcPr>
          <w:p w14:paraId="6EFC64E9" w14:textId="77777777" w:rsidR="003D21C4" w:rsidRPr="003D21C4" w:rsidRDefault="003D21C4" w:rsidP="003D21C4">
            <w:pPr>
              <w:spacing w:after="0" w:line="240" w:lineRule="auto"/>
              <w:rPr>
                <w:rFonts w:ascii="Times New Roman" w:eastAsia="Times New Roman" w:hAnsi="Times New Roman" w:cs="Times New Roman"/>
                <w:kern w:val="0"/>
                <w:sz w:val="20"/>
                <w:szCs w:val="20"/>
                <w:lang w:eastAsia="en-GB"/>
                <w14:ligatures w14:val="none"/>
              </w:rPr>
            </w:pPr>
          </w:p>
        </w:tc>
      </w:tr>
      <w:tr w:rsidR="003D21C4" w:rsidRPr="003D21C4" w14:paraId="24541302" w14:textId="77777777" w:rsidTr="003D21C4">
        <w:trPr>
          <w:trHeight w:val="270"/>
        </w:trPr>
        <w:tc>
          <w:tcPr>
            <w:tcW w:w="1531" w:type="dxa"/>
            <w:tcBorders>
              <w:top w:val="nil"/>
              <w:left w:val="single" w:sz="4" w:space="0" w:color="auto"/>
              <w:bottom w:val="single" w:sz="4" w:space="0" w:color="auto"/>
              <w:right w:val="single" w:sz="4" w:space="0" w:color="auto"/>
            </w:tcBorders>
            <w:shd w:val="clear" w:color="000000" w:fill="FFFFFF"/>
            <w:noWrap/>
            <w:vAlign w:val="bottom"/>
            <w:hideMark/>
          </w:tcPr>
          <w:p w14:paraId="2A47EAEF" w14:textId="77777777" w:rsidR="003D21C4" w:rsidRPr="003D21C4" w:rsidRDefault="003D21C4" w:rsidP="003D21C4">
            <w:pPr>
              <w:spacing w:after="0" w:line="240" w:lineRule="auto"/>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xml:space="preserve">Dispatch </w:t>
            </w:r>
          </w:p>
        </w:tc>
        <w:tc>
          <w:tcPr>
            <w:tcW w:w="1332" w:type="dxa"/>
            <w:tcBorders>
              <w:top w:val="nil"/>
              <w:left w:val="nil"/>
              <w:bottom w:val="single" w:sz="4" w:space="0" w:color="auto"/>
              <w:right w:val="single" w:sz="4" w:space="0" w:color="auto"/>
            </w:tcBorders>
            <w:shd w:val="clear" w:color="000000" w:fill="FFFFFF"/>
            <w:noWrap/>
            <w:vAlign w:val="bottom"/>
            <w:hideMark/>
          </w:tcPr>
          <w:p w14:paraId="240C9B82"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15</w:t>
            </w:r>
          </w:p>
        </w:tc>
        <w:tc>
          <w:tcPr>
            <w:tcW w:w="1271" w:type="dxa"/>
            <w:tcBorders>
              <w:top w:val="nil"/>
              <w:left w:val="nil"/>
              <w:bottom w:val="single" w:sz="4" w:space="0" w:color="auto"/>
              <w:right w:val="single" w:sz="4" w:space="0" w:color="auto"/>
            </w:tcBorders>
            <w:shd w:val="clear" w:color="000000" w:fill="FFFFFF"/>
            <w:noWrap/>
            <w:vAlign w:val="bottom"/>
            <w:hideMark/>
          </w:tcPr>
          <w:p w14:paraId="12B6850C"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4</w:t>
            </w:r>
          </w:p>
        </w:tc>
        <w:tc>
          <w:tcPr>
            <w:tcW w:w="1332" w:type="dxa"/>
            <w:tcBorders>
              <w:top w:val="nil"/>
              <w:left w:val="nil"/>
              <w:bottom w:val="single" w:sz="4" w:space="0" w:color="auto"/>
              <w:right w:val="single" w:sz="4" w:space="0" w:color="auto"/>
            </w:tcBorders>
            <w:shd w:val="clear" w:color="000000" w:fill="FFFFFF"/>
            <w:noWrap/>
            <w:vAlign w:val="bottom"/>
            <w:hideMark/>
          </w:tcPr>
          <w:p w14:paraId="7F1AE763" w14:textId="77777777" w:rsidR="003D21C4" w:rsidRPr="003D21C4" w:rsidRDefault="003D21C4" w:rsidP="003D21C4">
            <w:pPr>
              <w:spacing w:after="0" w:line="240" w:lineRule="auto"/>
              <w:jc w:val="right"/>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27%</w:t>
            </w:r>
          </w:p>
        </w:tc>
        <w:tc>
          <w:tcPr>
            <w:tcW w:w="1272" w:type="dxa"/>
            <w:tcBorders>
              <w:top w:val="nil"/>
              <w:left w:val="nil"/>
              <w:bottom w:val="single" w:sz="4" w:space="0" w:color="auto"/>
              <w:right w:val="single" w:sz="4" w:space="0" w:color="auto"/>
            </w:tcBorders>
            <w:shd w:val="clear" w:color="000000" w:fill="FFFFFF"/>
            <w:noWrap/>
            <w:vAlign w:val="bottom"/>
            <w:hideMark/>
          </w:tcPr>
          <w:p w14:paraId="462BAC7D"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6</w:t>
            </w:r>
          </w:p>
        </w:tc>
        <w:tc>
          <w:tcPr>
            <w:tcW w:w="1332" w:type="dxa"/>
            <w:tcBorders>
              <w:top w:val="nil"/>
              <w:left w:val="nil"/>
              <w:bottom w:val="single" w:sz="4" w:space="0" w:color="auto"/>
              <w:right w:val="single" w:sz="4" w:space="0" w:color="auto"/>
            </w:tcBorders>
            <w:shd w:val="clear" w:color="000000" w:fill="FFFFFF"/>
            <w:noWrap/>
            <w:vAlign w:val="bottom"/>
            <w:hideMark/>
          </w:tcPr>
          <w:p w14:paraId="14850411" w14:textId="77777777" w:rsidR="003D21C4" w:rsidRPr="003D21C4" w:rsidRDefault="003D21C4" w:rsidP="003D21C4">
            <w:pPr>
              <w:spacing w:after="0" w:line="240" w:lineRule="auto"/>
              <w:jc w:val="right"/>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40%</w:t>
            </w:r>
          </w:p>
        </w:tc>
        <w:tc>
          <w:tcPr>
            <w:tcW w:w="1272" w:type="dxa"/>
            <w:tcBorders>
              <w:top w:val="nil"/>
              <w:left w:val="nil"/>
              <w:bottom w:val="single" w:sz="4" w:space="0" w:color="auto"/>
              <w:right w:val="single" w:sz="4" w:space="0" w:color="auto"/>
            </w:tcBorders>
            <w:shd w:val="clear" w:color="000000" w:fill="FFFFFF"/>
            <w:noWrap/>
            <w:vAlign w:val="bottom"/>
            <w:hideMark/>
          </w:tcPr>
          <w:p w14:paraId="4DF9ACAF"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6</w:t>
            </w:r>
          </w:p>
        </w:tc>
        <w:tc>
          <w:tcPr>
            <w:tcW w:w="1332" w:type="dxa"/>
            <w:tcBorders>
              <w:top w:val="nil"/>
              <w:left w:val="nil"/>
              <w:bottom w:val="single" w:sz="4" w:space="0" w:color="auto"/>
              <w:right w:val="single" w:sz="4" w:space="0" w:color="auto"/>
            </w:tcBorders>
            <w:shd w:val="clear" w:color="000000" w:fill="FFFFFF"/>
            <w:noWrap/>
            <w:vAlign w:val="bottom"/>
            <w:hideMark/>
          </w:tcPr>
          <w:p w14:paraId="7E628B5D" w14:textId="77777777" w:rsidR="003D21C4" w:rsidRPr="003D21C4" w:rsidRDefault="003D21C4" w:rsidP="003D21C4">
            <w:pPr>
              <w:spacing w:after="0" w:line="240" w:lineRule="auto"/>
              <w:jc w:val="right"/>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40%</w:t>
            </w:r>
          </w:p>
        </w:tc>
        <w:tc>
          <w:tcPr>
            <w:tcW w:w="222" w:type="dxa"/>
            <w:vAlign w:val="center"/>
            <w:hideMark/>
          </w:tcPr>
          <w:p w14:paraId="25896E2A" w14:textId="77777777" w:rsidR="003D21C4" w:rsidRPr="003D21C4" w:rsidRDefault="003D21C4" w:rsidP="003D21C4">
            <w:pPr>
              <w:spacing w:after="0" w:line="240" w:lineRule="auto"/>
              <w:rPr>
                <w:rFonts w:ascii="Times New Roman" w:eastAsia="Times New Roman" w:hAnsi="Times New Roman" w:cs="Times New Roman"/>
                <w:kern w:val="0"/>
                <w:sz w:val="20"/>
                <w:szCs w:val="20"/>
                <w:lang w:eastAsia="en-GB"/>
                <w14:ligatures w14:val="none"/>
              </w:rPr>
            </w:pPr>
          </w:p>
        </w:tc>
      </w:tr>
      <w:tr w:rsidR="003D21C4" w:rsidRPr="003D21C4" w14:paraId="0855E6A2" w14:textId="77777777" w:rsidTr="003D21C4">
        <w:trPr>
          <w:trHeight w:val="270"/>
        </w:trPr>
        <w:tc>
          <w:tcPr>
            <w:tcW w:w="1531" w:type="dxa"/>
            <w:tcBorders>
              <w:top w:val="nil"/>
              <w:left w:val="single" w:sz="4" w:space="0" w:color="auto"/>
              <w:bottom w:val="single" w:sz="4" w:space="0" w:color="auto"/>
              <w:right w:val="single" w:sz="4" w:space="0" w:color="auto"/>
            </w:tcBorders>
            <w:shd w:val="clear" w:color="000000" w:fill="D0E0E2"/>
            <w:noWrap/>
            <w:vAlign w:val="bottom"/>
            <w:hideMark/>
          </w:tcPr>
          <w:p w14:paraId="4869EDB9" w14:textId="77777777" w:rsidR="003D21C4" w:rsidRPr="003D21C4" w:rsidRDefault="003D21C4" w:rsidP="003D21C4">
            <w:pPr>
              <w:spacing w:after="0" w:line="240" w:lineRule="auto"/>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22D19C50"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271" w:type="dxa"/>
            <w:tcBorders>
              <w:top w:val="nil"/>
              <w:left w:val="nil"/>
              <w:bottom w:val="single" w:sz="4" w:space="0" w:color="auto"/>
              <w:right w:val="single" w:sz="4" w:space="0" w:color="auto"/>
            </w:tcBorders>
            <w:shd w:val="clear" w:color="000000" w:fill="D0E0E2"/>
            <w:noWrap/>
            <w:vAlign w:val="bottom"/>
            <w:hideMark/>
          </w:tcPr>
          <w:p w14:paraId="5E667530"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1BAAA142" w14:textId="77777777" w:rsidR="003D21C4" w:rsidRPr="003D21C4" w:rsidRDefault="003D21C4" w:rsidP="003D21C4">
            <w:pPr>
              <w:spacing w:after="0" w:line="240" w:lineRule="auto"/>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272" w:type="dxa"/>
            <w:tcBorders>
              <w:top w:val="nil"/>
              <w:left w:val="nil"/>
              <w:bottom w:val="single" w:sz="4" w:space="0" w:color="auto"/>
              <w:right w:val="single" w:sz="4" w:space="0" w:color="auto"/>
            </w:tcBorders>
            <w:shd w:val="clear" w:color="000000" w:fill="D0E0E2"/>
            <w:noWrap/>
            <w:vAlign w:val="bottom"/>
            <w:hideMark/>
          </w:tcPr>
          <w:p w14:paraId="7BF92D40"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2149ED02" w14:textId="77777777" w:rsidR="003D21C4" w:rsidRPr="003D21C4" w:rsidRDefault="003D21C4" w:rsidP="003D21C4">
            <w:pPr>
              <w:spacing w:after="0" w:line="240" w:lineRule="auto"/>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272" w:type="dxa"/>
            <w:tcBorders>
              <w:top w:val="nil"/>
              <w:left w:val="nil"/>
              <w:bottom w:val="single" w:sz="4" w:space="0" w:color="auto"/>
              <w:right w:val="single" w:sz="4" w:space="0" w:color="auto"/>
            </w:tcBorders>
            <w:shd w:val="clear" w:color="000000" w:fill="D0E0E2"/>
            <w:noWrap/>
            <w:vAlign w:val="bottom"/>
            <w:hideMark/>
          </w:tcPr>
          <w:p w14:paraId="2C1629D7"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694FD4DA" w14:textId="77777777" w:rsidR="003D21C4" w:rsidRPr="003D21C4" w:rsidRDefault="003D21C4" w:rsidP="003D21C4">
            <w:pPr>
              <w:spacing w:after="0" w:line="240" w:lineRule="auto"/>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222" w:type="dxa"/>
            <w:vAlign w:val="center"/>
            <w:hideMark/>
          </w:tcPr>
          <w:p w14:paraId="36A58E6E" w14:textId="77777777" w:rsidR="003D21C4" w:rsidRPr="003D21C4" w:rsidRDefault="003D21C4" w:rsidP="003D21C4">
            <w:pPr>
              <w:spacing w:after="0" w:line="240" w:lineRule="auto"/>
              <w:rPr>
                <w:rFonts w:ascii="Times New Roman" w:eastAsia="Times New Roman" w:hAnsi="Times New Roman" w:cs="Times New Roman"/>
                <w:kern w:val="0"/>
                <w:sz w:val="20"/>
                <w:szCs w:val="20"/>
                <w:lang w:eastAsia="en-GB"/>
                <w14:ligatures w14:val="none"/>
              </w:rPr>
            </w:pPr>
          </w:p>
        </w:tc>
      </w:tr>
      <w:tr w:rsidR="003D21C4" w:rsidRPr="003D21C4" w14:paraId="40DC0563" w14:textId="77777777" w:rsidTr="003D21C4">
        <w:trPr>
          <w:trHeight w:val="270"/>
        </w:trPr>
        <w:tc>
          <w:tcPr>
            <w:tcW w:w="1531" w:type="dxa"/>
            <w:tcBorders>
              <w:top w:val="nil"/>
              <w:left w:val="single" w:sz="4" w:space="0" w:color="auto"/>
              <w:bottom w:val="single" w:sz="4" w:space="0" w:color="auto"/>
              <w:right w:val="single" w:sz="4" w:space="0" w:color="auto"/>
            </w:tcBorders>
            <w:shd w:val="clear" w:color="000000" w:fill="FFFFFF"/>
            <w:noWrap/>
            <w:vAlign w:val="bottom"/>
            <w:hideMark/>
          </w:tcPr>
          <w:p w14:paraId="627D9211" w14:textId="77777777" w:rsidR="003D21C4" w:rsidRPr="003D21C4" w:rsidRDefault="003D21C4" w:rsidP="003D21C4">
            <w:pPr>
              <w:spacing w:after="0" w:line="240" w:lineRule="auto"/>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xml:space="preserve">Engineering </w:t>
            </w:r>
          </w:p>
        </w:tc>
        <w:tc>
          <w:tcPr>
            <w:tcW w:w="1332" w:type="dxa"/>
            <w:tcBorders>
              <w:top w:val="nil"/>
              <w:left w:val="nil"/>
              <w:bottom w:val="single" w:sz="4" w:space="0" w:color="auto"/>
              <w:right w:val="single" w:sz="4" w:space="0" w:color="auto"/>
            </w:tcBorders>
            <w:shd w:val="clear" w:color="000000" w:fill="FFFFFF"/>
            <w:noWrap/>
            <w:vAlign w:val="bottom"/>
            <w:hideMark/>
          </w:tcPr>
          <w:p w14:paraId="06597F61"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35</w:t>
            </w:r>
          </w:p>
        </w:tc>
        <w:tc>
          <w:tcPr>
            <w:tcW w:w="1271" w:type="dxa"/>
            <w:tcBorders>
              <w:top w:val="nil"/>
              <w:left w:val="nil"/>
              <w:bottom w:val="single" w:sz="4" w:space="0" w:color="auto"/>
              <w:right w:val="single" w:sz="4" w:space="0" w:color="auto"/>
            </w:tcBorders>
            <w:shd w:val="clear" w:color="000000" w:fill="FFFFFF"/>
            <w:noWrap/>
            <w:vAlign w:val="bottom"/>
            <w:hideMark/>
          </w:tcPr>
          <w:p w14:paraId="3278609D"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8</w:t>
            </w:r>
          </w:p>
        </w:tc>
        <w:tc>
          <w:tcPr>
            <w:tcW w:w="1332" w:type="dxa"/>
            <w:tcBorders>
              <w:top w:val="nil"/>
              <w:left w:val="nil"/>
              <w:bottom w:val="single" w:sz="4" w:space="0" w:color="auto"/>
              <w:right w:val="single" w:sz="4" w:space="0" w:color="auto"/>
            </w:tcBorders>
            <w:shd w:val="clear" w:color="000000" w:fill="FFFFFF"/>
            <w:noWrap/>
            <w:vAlign w:val="bottom"/>
            <w:hideMark/>
          </w:tcPr>
          <w:p w14:paraId="4F1F3F9A" w14:textId="77777777" w:rsidR="003D21C4" w:rsidRPr="003D21C4" w:rsidRDefault="003D21C4" w:rsidP="003D21C4">
            <w:pPr>
              <w:spacing w:after="0" w:line="240" w:lineRule="auto"/>
              <w:jc w:val="right"/>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23%</w:t>
            </w:r>
          </w:p>
        </w:tc>
        <w:tc>
          <w:tcPr>
            <w:tcW w:w="1272" w:type="dxa"/>
            <w:tcBorders>
              <w:top w:val="nil"/>
              <w:left w:val="nil"/>
              <w:bottom w:val="single" w:sz="4" w:space="0" w:color="auto"/>
              <w:right w:val="single" w:sz="4" w:space="0" w:color="auto"/>
            </w:tcBorders>
            <w:shd w:val="clear" w:color="000000" w:fill="FFFFFF"/>
            <w:noWrap/>
            <w:vAlign w:val="bottom"/>
            <w:hideMark/>
          </w:tcPr>
          <w:p w14:paraId="7CD7C53E"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8</w:t>
            </w:r>
          </w:p>
        </w:tc>
        <w:tc>
          <w:tcPr>
            <w:tcW w:w="1332" w:type="dxa"/>
            <w:tcBorders>
              <w:top w:val="nil"/>
              <w:left w:val="nil"/>
              <w:bottom w:val="single" w:sz="4" w:space="0" w:color="auto"/>
              <w:right w:val="single" w:sz="4" w:space="0" w:color="auto"/>
            </w:tcBorders>
            <w:shd w:val="clear" w:color="000000" w:fill="FFFFFF"/>
            <w:noWrap/>
            <w:vAlign w:val="bottom"/>
            <w:hideMark/>
          </w:tcPr>
          <w:p w14:paraId="7CB6D49B" w14:textId="77777777" w:rsidR="003D21C4" w:rsidRPr="003D21C4" w:rsidRDefault="003D21C4" w:rsidP="003D21C4">
            <w:pPr>
              <w:spacing w:after="0" w:line="240" w:lineRule="auto"/>
              <w:jc w:val="right"/>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23%</w:t>
            </w:r>
          </w:p>
        </w:tc>
        <w:tc>
          <w:tcPr>
            <w:tcW w:w="1272" w:type="dxa"/>
            <w:tcBorders>
              <w:top w:val="nil"/>
              <w:left w:val="nil"/>
              <w:bottom w:val="single" w:sz="4" w:space="0" w:color="auto"/>
              <w:right w:val="single" w:sz="4" w:space="0" w:color="auto"/>
            </w:tcBorders>
            <w:shd w:val="clear" w:color="000000" w:fill="FFFFFF"/>
            <w:noWrap/>
            <w:vAlign w:val="bottom"/>
            <w:hideMark/>
          </w:tcPr>
          <w:p w14:paraId="0D072C88"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3</w:t>
            </w:r>
          </w:p>
        </w:tc>
        <w:tc>
          <w:tcPr>
            <w:tcW w:w="1332" w:type="dxa"/>
            <w:tcBorders>
              <w:top w:val="nil"/>
              <w:left w:val="nil"/>
              <w:bottom w:val="single" w:sz="4" w:space="0" w:color="auto"/>
              <w:right w:val="single" w:sz="4" w:space="0" w:color="auto"/>
            </w:tcBorders>
            <w:shd w:val="clear" w:color="000000" w:fill="FFFFFF"/>
            <w:noWrap/>
            <w:vAlign w:val="bottom"/>
            <w:hideMark/>
          </w:tcPr>
          <w:p w14:paraId="6744185F" w14:textId="77777777" w:rsidR="003D21C4" w:rsidRPr="003D21C4" w:rsidRDefault="003D21C4" w:rsidP="003D21C4">
            <w:pPr>
              <w:spacing w:after="0" w:line="240" w:lineRule="auto"/>
              <w:jc w:val="right"/>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9%</w:t>
            </w:r>
          </w:p>
        </w:tc>
        <w:tc>
          <w:tcPr>
            <w:tcW w:w="222" w:type="dxa"/>
            <w:vAlign w:val="center"/>
            <w:hideMark/>
          </w:tcPr>
          <w:p w14:paraId="3A67F2D7" w14:textId="77777777" w:rsidR="003D21C4" w:rsidRPr="003D21C4" w:rsidRDefault="003D21C4" w:rsidP="003D21C4">
            <w:pPr>
              <w:spacing w:after="0" w:line="240" w:lineRule="auto"/>
              <w:rPr>
                <w:rFonts w:ascii="Times New Roman" w:eastAsia="Times New Roman" w:hAnsi="Times New Roman" w:cs="Times New Roman"/>
                <w:kern w:val="0"/>
                <w:sz w:val="20"/>
                <w:szCs w:val="20"/>
                <w:lang w:eastAsia="en-GB"/>
                <w14:ligatures w14:val="none"/>
              </w:rPr>
            </w:pPr>
          </w:p>
        </w:tc>
      </w:tr>
      <w:tr w:rsidR="003D21C4" w:rsidRPr="003D21C4" w14:paraId="209614E5" w14:textId="77777777" w:rsidTr="003D21C4">
        <w:trPr>
          <w:trHeight w:val="270"/>
        </w:trPr>
        <w:tc>
          <w:tcPr>
            <w:tcW w:w="1531" w:type="dxa"/>
            <w:tcBorders>
              <w:top w:val="nil"/>
              <w:left w:val="single" w:sz="4" w:space="0" w:color="auto"/>
              <w:bottom w:val="single" w:sz="4" w:space="0" w:color="auto"/>
              <w:right w:val="single" w:sz="4" w:space="0" w:color="auto"/>
            </w:tcBorders>
            <w:shd w:val="clear" w:color="000000" w:fill="D0E0E2"/>
            <w:noWrap/>
            <w:vAlign w:val="bottom"/>
            <w:hideMark/>
          </w:tcPr>
          <w:p w14:paraId="53C7744A" w14:textId="77777777" w:rsidR="003D21C4" w:rsidRPr="003D21C4" w:rsidRDefault="003D21C4" w:rsidP="003D21C4">
            <w:pPr>
              <w:spacing w:after="0" w:line="240" w:lineRule="auto"/>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25C5261B"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271" w:type="dxa"/>
            <w:tcBorders>
              <w:top w:val="nil"/>
              <w:left w:val="nil"/>
              <w:bottom w:val="single" w:sz="4" w:space="0" w:color="auto"/>
              <w:right w:val="single" w:sz="4" w:space="0" w:color="auto"/>
            </w:tcBorders>
            <w:shd w:val="clear" w:color="000000" w:fill="D0E0E2"/>
            <w:noWrap/>
            <w:vAlign w:val="bottom"/>
            <w:hideMark/>
          </w:tcPr>
          <w:p w14:paraId="1753B0E1"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00B55DC4" w14:textId="77777777" w:rsidR="003D21C4" w:rsidRPr="003D21C4" w:rsidRDefault="003D21C4" w:rsidP="003D21C4">
            <w:pPr>
              <w:spacing w:after="0" w:line="240" w:lineRule="auto"/>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272" w:type="dxa"/>
            <w:tcBorders>
              <w:top w:val="nil"/>
              <w:left w:val="nil"/>
              <w:bottom w:val="single" w:sz="4" w:space="0" w:color="auto"/>
              <w:right w:val="single" w:sz="4" w:space="0" w:color="auto"/>
            </w:tcBorders>
            <w:shd w:val="clear" w:color="000000" w:fill="D0E0E2"/>
            <w:noWrap/>
            <w:vAlign w:val="bottom"/>
            <w:hideMark/>
          </w:tcPr>
          <w:p w14:paraId="48DADA41"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0EF3D658" w14:textId="77777777" w:rsidR="003D21C4" w:rsidRPr="003D21C4" w:rsidRDefault="003D21C4" w:rsidP="003D21C4">
            <w:pPr>
              <w:spacing w:after="0" w:line="240" w:lineRule="auto"/>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272" w:type="dxa"/>
            <w:tcBorders>
              <w:top w:val="nil"/>
              <w:left w:val="nil"/>
              <w:bottom w:val="single" w:sz="4" w:space="0" w:color="auto"/>
              <w:right w:val="single" w:sz="4" w:space="0" w:color="auto"/>
            </w:tcBorders>
            <w:shd w:val="clear" w:color="000000" w:fill="D0E0E2"/>
            <w:noWrap/>
            <w:vAlign w:val="bottom"/>
            <w:hideMark/>
          </w:tcPr>
          <w:p w14:paraId="3B72AE08"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398B4E5C" w14:textId="77777777" w:rsidR="003D21C4" w:rsidRPr="003D21C4" w:rsidRDefault="003D21C4" w:rsidP="003D21C4">
            <w:pPr>
              <w:spacing w:after="0" w:line="240" w:lineRule="auto"/>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222" w:type="dxa"/>
            <w:vAlign w:val="center"/>
            <w:hideMark/>
          </w:tcPr>
          <w:p w14:paraId="3049F704" w14:textId="77777777" w:rsidR="003D21C4" w:rsidRPr="003D21C4" w:rsidRDefault="003D21C4" w:rsidP="003D21C4">
            <w:pPr>
              <w:spacing w:after="0" w:line="240" w:lineRule="auto"/>
              <w:rPr>
                <w:rFonts w:ascii="Times New Roman" w:eastAsia="Times New Roman" w:hAnsi="Times New Roman" w:cs="Times New Roman"/>
                <w:kern w:val="0"/>
                <w:sz w:val="20"/>
                <w:szCs w:val="20"/>
                <w:lang w:eastAsia="en-GB"/>
                <w14:ligatures w14:val="none"/>
              </w:rPr>
            </w:pPr>
          </w:p>
        </w:tc>
      </w:tr>
      <w:tr w:rsidR="003D21C4" w:rsidRPr="003D21C4" w14:paraId="7F4F3BEB" w14:textId="77777777" w:rsidTr="003D21C4">
        <w:trPr>
          <w:trHeight w:val="270"/>
        </w:trPr>
        <w:tc>
          <w:tcPr>
            <w:tcW w:w="1531" w:type="dxa"/>
            <w:tcBorders>
              <w:top w:val="nil"/>
              <w:left w:val="single" w:sz="4" w:space="0" w:color="auto"/>
              <w:bottom w:val="single" w:sz="4" w:space="0" w:color="auto"/>
              <w:right w:val="single" w:sz="4" w:space="0" w:color="auto"/>
            </w:tcBorders>
            <w:shd w:val="clear" w:color="000000" w:fill="FFFFFF"/>
            <w:noWrap/>
            <w:vAlign w:val="bottom"/>
            <w:hideMark/>
          </w:tcPr>
          <w:p w14:paraId="38AC50C3" w14:textId="77777777" w:rsidR="003D21C4" w:rsidRPr="003D21C4" w:rsidRDefault="003D21C4" w:rsidP="003D21C4">
            <w:pPr>
              <w:spacing w:after="0" w:line="240" w:lineRule="auto"/>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xml:space="preserve">Casting Department </w:t>
            </w:r>
          </w:p>
        </w:tc>
        <w:tc>
          <w:tcPr>
            <w:tcW w:w="1332" w:type="dxa"/>
            <w:tcBorders>
              <w:top w:val="nil"/>
              <w:left w:val="nil"/>
              <w:bottom w:val="single" w:sz="4" w:space="0" w:color="auto"/>
              <w:right w:val="single" w:sz="4" w:space="0" w:color="auto"/>
            </w:tcBorders>
            <w:shd w:val="clear" w:color="000000" w:fill="FFFFFF"/>
            <w:noWrap/>
            <w:vAlign w:val="bottom"/>
            <w:hideMark/>
          </w:tcPr>
          <w:p w14:paraId="45A30BD3"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6</w:t>
            </w:r>
          </w:p>
        </w:tc>
        <w:tc>
          <w:tcPr>
            <w:tcW w:w="1271" w:type="dxa"/>
            <w:tcBorders>
              <w:top w:val="nil"/>
              <w:left w:val="nil"/>
              <w:bottom w:val="single" w:sz="4" w:space="0" w:color="auto"/>
              <w:right w:val="single" w:sz="4" w:space="0" w:color="auto"/>
            </w:tcBorders>
            <w:shd w:val="clear" w:color="000000" w:fill="FFFFFF"/>
            <w:noWrap/>
            <w:vAlign w:val="bottom"/>
            <w:hideMark/>
          </w:tcPr>
          <w:p w14:paraId="1B098654"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3</w:t>
            </w:r>
          </w:p>
        </w:tc>
        <w:tc>
          <w:tcPr>
            <w:tcW w:w="1332" w:type="dxa"/>
            <w:tcBorders>
              <w:top w:val="nil"/>
              <w:left w:val="nil"/>
              <w:bottom w:val="single" w:sz="4" w:space="0" w:color="auto"/>
              <w:right w:val="single" w:sz="4" w:space="0" w:color="auto"/>
            </w:tcBorders>
            <w:shd w:val="clear" w:color="000000" w:fill="FFFFFF"/>
            <w:noWrap/>
            <w:vAlign w:val="bottom"/>
            <w:hideMark/>
          </w:tcPr>
          <w:p w14:paraId="577314D6" w14:textId="77777777" w:rsidR="003D21C4" w:rsidRPr="003D21C4" w:rsidRDefault="003D21C4" w:rsidP="003D21C4">
            <w:pPr>
              <w:spacing w:after="0" w:line="240" w:lineRule="auto"/>
              <w:jc w:val="right"/>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50%</w:t>
            </w:r>
          </w:p>
        </w:tc>
        <w:tc>
          <w:tcPr>
            <w:tcW w:w="1272" w:type="dxa"/>
            <w:tcBorders>
              <w:top w:val="nil"/>
              <w:left w:val="nil"/>
              <w:bottom w:val="single" w:sz="4" w:space="0" w:color="auto"/>
              <w:right w:val="single" w:sz="4" w:space="0" w:color="auto"/>
            </w:tcBorders>
            <w:shd w:val="clear" w:color="000000" w:fill="FFFFFF"/>
            <w:noWrap/>
            <w:vAlign w:val="bottom"/>
            <w:hideMark/>
          </w:tcPr>
          <w:p w14:paraId="74F34B27"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5</w:t>
            </w:r>
          </w:p>
        </w:tc>
        <w:tc>
          <w:tcPr>
            <w:tcW w:w="1332" w:type="dxa"/>
            <w:tcBorders>
              <w:top w:val="nil"/>
              <w:left w:val="nil"/>
              <w:bottom w:val="single" w:sz="4" w:space="0" w:color="auto"/>
              <w:right w:val="single" w:sz="4" w:space="0" w:color="auto"/>
            </w:tcBorders>
            <w:shd w:val="clear" w:color="000000" w:fill="FFFFFF"/>
            <w:noWrap/>
            <w:vAlign w:val="bottom"/>
            <w:hideMark/>
          </w:tcPr>
          <w:p w14:paraId="34970936" w14:textId="77777777" w:rsidR="003D21C4" w:rsidRPr="003D21C4" w:rsidRDefault="003D21C4" w:rsidP="003D21C4">
            <w:pPr>
              <w:spacing w:after="0" w:line="240" w:lineRule="auto"/>
              <w:jc w:val="right"/>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83%</w:t>
            </w:r>
          </w:p>
        </w:tc>
        <w:tc>
          <w:tcPr>
            <w:tcW w:w="1272" w:type="dxa"/>
            <w:tcBorders>
              <w:top w:val="nil"/>
              <w:left w:val="nil"/>
              <w:bottom w:val="single" w:sz="4" w:space="0" w:color="auto"/>
              <w:right w:val="single" w:sz="4" w:space="0" w:color="auto"/>
            </w:tcBorders>
            <w:shd w:val="clear" w:color="000000" w:fill="FFFFFF"/>
            <w:noWrap/>
            <w:vAlign w:val="bottom"/>
            <w:hideMark/>
          </w:tcPr>
          <w:p w14:paraId="214921C7"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2</w:t>
            </w:r>
          </w:p>
        </w:tc>
        <w:tc>
          <w:tcPr>
            <w:tcW w:w="1332" w:type="dxa"/>
            <w:tcBorders>
              <w:top w:val="nil"/>
              <w:left w:val="nil"/>
              <w:bottom w:val="single" w:sz="4" w:space="0" w:color="auto"/>
              <w:right w:val="single" w:sz="4" w:space="0" w:color="auto"/>
            </w:tcBorders>
            <w:shd w:val="clear" w:color="000000" w:fill="FFFFFF"/>
            <w:noWrap/>
            <w:vAlign w:val="bottom"/>
            <w:hideMark/>
          </w:tcPr>
          <w:p w14:paraId="0DA19BE0" w14:textId="77777777" w:rsidR="003D21C4" w:rsidRPr="003D21C4" w:rsidRDefault="003D21C4" w:rsidP="003D21C4">
            <w:pPr>
              <w:spacing w:after="0" w:line="240" w:lineRule="auto"/>
              <w:jc w:val="right"/>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33%</w:t>
            </w:r>
          </w:p>
        </w:tc>
        <w:tc>
          <w:tcPr>
            <w:tcW w:w="222" w:type="dxa"/>
            <w:vAlign w:val="center"/>
            <w:hideMark/>
          </w:tcPr>
          <w:p w14:paraId="0BE585EB" w14:textId="77777777" w:rsidR="003D21C4" w:rsidRPr="003D21C4" w:rsidRDefault="003D21C4" w:rsidP="003D21C4">
            <w:pPr>
              <w:spacing w:after="0" w:line="240" w:lineRule="auto"/>
              <w:rPr>
                <w:rFonts w:ascii="Times New Roman" w:eastAsia="Times New Roman" w:hAnsi="Times New Roman" w:cs="Times New Roman"/>
                <w:kern w:val="0"/>
                <w:sz w:val="20"/>
                <w:szCs w:val="20"/>
                <w:lang w:eastAsia="en-GB"/>
                <w14:ligatures w14:val="none"/>
              </w:rPr>
            </w:pPr>
          </w:p>
        </w:tc>
      </w:tr>
      <w:tr w:rsidR="003D21C4" w:rsidRPr="003D21C4" w14:paraId="36610CEF" w14:textId="77777777" w:rsidTr="003D21C4">
        <w:trPr>
          <w:trHeight w:val="270"/>
        </w:trPr>
        <w:tc>
          <w:tcPr>
            <w:tcW w:w="1531" w:type="dxa"/>
            <w:tcBorders>
              <w:top w:val="nil"/>
              <w:left w:val="single" w:sz="4" w:space="0" w:color="auto"/>
              <w:bottom w:val="single" w:sz="4" w:space="0" w:color="auto"/>
              <w:right w:val="single" w:sz="4" w:space="0" w:color="auto"/>
            </w:tcBorders>
            <w:shd w:val="clear" w:color="000000" w:fill="D0E0E2"/>
            <w:noWrap/>
            <w:vAlign w:val="bottom"/>
            <w:hideMark/>
          </w:tcPr>
          <w:p w14:paraId="1DBAA561" w14:textId="77777777" w:rsidR="003D21C4" w:rsidRPr="003D21C4" w:rsidRDefault="003D21C4" w:rsidP="003D21C4">
            <w:pPr>
              <w:spacing w:after="0" w:line="240" w:lineRule="auto"/>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1C672939"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271" w:type="dxa"/>
            <w:tcBorders>
              <w:top w:val="nil"/>
              <w:left w:val="nil"/>
              <w:bottom w:val="single" w:sz="4" w:space="0" w:color="auto"/>
              <w:right w:val="single" w:sz="4" w:space="0" w:color="auto"/>
            </w:tcBorders>
            <w:shd w:val="clear" w:color="000000" w:fill="D0E0E2"/>
            <w:noWrap/>
            <w:vAlign w:val="bottom"/>
            <w:hideMark/>
          </w:tcPr>
          <w:p w14:paraId="3CA51EEA"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259FBB1F" w14:textId="77777777" w:rsidR="003D21C4" w:rsidRPr="003D21C4" w:rsidRDefault="003D21C4" w:rsidP="003D21C4">
            <w:pPr>
              <w:spacing w:after="0" w:line="240" w:lineRule="auto"/>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272" w:type="dxa"/>
            <w:tcBorders>
              <w:top w:val="nil"/>
              <w:left w:val="nil"/>
              <w:bottom w:val="single" w:sz="4" w:space="0" w:color="auto"/>
              <w:right w:val="single" w:sz="4" w:space="0" w:color="auto"/>
            </w:tcBorders>
            <w:shd w:val="clear" w:color="000000" w:fill="D0E0E2"/>
            <w:noWrap/>
            <w:vAlign w:val="bottom"/>
            <w:hideMark/>
          </w:tcPr>
          <w:p w14:paraId="7BDA4C01"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00A2C7F7" w14:textId="77777777" w:rsidR="003D21C4" w:rsidRPr="003D21C4" w:rsidRDefault="003D21C4" w:rsidP="003D21C4">
            <w:pPr>
              <w:spacing w:after="0" w:line="240" w:lineRule="auto"/>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272" w:type="dxa"/>
            <w:tcBorders>
              <w:top w:val="nil"/>
              <w:left w:val="nil"/>
              <w:bottom w:val="single" w:sz="4" w:space="0" w:color="auto"/>
              <w:right w:val="single" w:sz="4" w:space="0" w:color="auto"/>
            </w:tcBorders>
            <w:shd w:val="clear" w:color="000000" w:fill="D0E0E2"/>
            <w:noWrap/>
            <w:vAlign w:val="bottom"/>
            <w:hideMark/>
          </w:tcPr>
          <w:p w14:paraId="7FDDFD1C"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024405BA" w14:textId="77777777" w:rsidR="003D21C4" w:rsidRPr="003D21C4" w:rsidRDefault="003D21C4" w:rsidP="003D21C4">
            <w:pPr>
              <w:spacing w:after="0" w:line="240" w:lineRule="auto"/>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222" w:type="dxa"/>
            <w:vAlign w:val="center"/>
            <w:hideMark/>
          </w:tcPr>
          <w:p w14:paraId="069C5477" w14:textId="77777777" w:rsidR="003D21C4" w:rsidRPr="003D21C4" w:rsidRDefault="003D21C4" w:rsidP="003D21C4">
            <w:pPr>
              <w:spacing w:after="0" w:line="240" w:lineRule="auto"/>
              <w:rPr>
                <w:rFonts w:ascii="Times New Roman" w:eastAsia="Times New Roman" w:hAnsi="Times New Roman" w:cs="Times New Roman"/>
                <w:kern w:val="0"/>
                <w:sz w:val="20"/>
                <w:szCs w:val="20"/>
                <w:lang w:eastAsia="en-GB"/>
                <w14:ligatures w14:val="none"/>
              </w:rPr>
            </w:pPr>
          </w:p>
        </w:tc>
      </w:tr>
      <w:tr w:rsidR="003D21C4" w:rsidRPr="003D21C4" w14:paraId="15A93E00" w14:textId="77777777" w:rsidTr="003D21C4">
        <w:trPr>
          <w:trHeight w:val="270"/>
        </w:trPr>
        <w:tc>
          <w:tcPr>
            <w:tcW w:w="1531" w:type="dxa"/>
            <w:tcBorders>
              <w:top w:val="nil"/>
              <w:left w:val="single" w:sz="4" w:space="0" w:color="auto"/>
              <w:bottom w:val="single" w:sz="4" w:space="0" w:color="auto"/>
              <w:right w:val="single" w:sz="4" w:space="0" w:color="auto"/>
            </w:tcBorders>
            <w:shd w:val="clear" w:color="000000" w:fill="FFFFFF"/>
            <w:noWrap/>
            <w:vAlign w:val="bottom"/>
            <w:hideMark/>
          </w:tcPr>
          <w:p w14:paraId="443A0408" w14:textId="77777777" w:rsidR="003D21C4" w:rsidRPr="003D21C4" w:rsidRDefault="003D21C4" w:rsidP="003D21C4">
            <w:pPr>
              <w:spacing w:after="0" w:line="240" w:lineRule="auto"/>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xml:space="preserve">Sales &amp; Marketing </w:t>
            </w:r>
          </w:p>
        </w:tc>
        <w:tc>
          <w:tcPr>
            <w:tcW w:w="1332" w:type="dxa"/>
            <w:tcBorders>
              <w:top w:val="nil"/>
              <w:left w:val="nil"/>
              <w:bottom w:val="single" w:sz="4" w:space="0" w:color="auto"/>
              <w:right w:val="single" w:sz="4" w:space="0" w:color="auto"/>
            </w:tcBorders>
            <w:shd w:val="clear" w:color="000000" w:fill="FFFFFF"/>
            <w:noWrap/>
            <w:vAlign w:val="bottom"/>
            <w:hideMark/>
          </w:tcPr>
          <w:p w14:paraId="00B981F3"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12</w:t>
            </w:r>
          </w:p>
        </w:tc>
        <w:tc>
          <w:tcPr>
            <w:tcW w:w="1271" w:type="dxa"/>
            <w:tcBorders>
              <w:top w:val="nil"/>
              <w:left w:val="nil"/>
              <w:bottom w:val="single" w:sz="4" w:space="0" w:color="auto"/>
              <w:right w:val="single" w:sz="4" w:space="0" w:color="auto"/>
            </w:tcBorders>
            <w:shd w:val="clear" w:color="000000" w:fill="FFFFFF"/>
            <w:noWrap/>
            <w:vAlign w:val="bottom"/>
            <w:hideMark/>
          </w:tcPr>
          <w:p w14:paraId="67BAEEFD"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4</w:t>
            </w:r>
          </w:p>
        </w:tc>
        <w:tc>
          <w:tcPr>
            <w:tcW w:w="1332" w:type="dxa"/>
            <w:tcBorders>
              <w:top w:val="nil"/>
              <w:left w:val="nil"/>
              <w:bottom w:val="single" w:sz="4" w:space="0" w:color="auto"/>
              <w:right w:val="single" w:sz="4" w:space="0" w:color="auto"/>
            </w:tcBorders>
            <w:shd w:val="clear" w:color="000000" w:fill="FFFFFF"/>
            <w:noWrap/>
            <w:vAlign w:val="bottom"/>
            <w:hideMark/>
          </w:tcPr>
          <w:p w14:paraId="096F4418" w14:textId="77777777" w:rsidR="003D21C4" w:rsidRPr="003D21C4" w:rsidRDefault="003D21C4" w:rsidP="003D21C4">
            <w:pPr>
              <w:spacing w:after="0" w:line="240" w:lineRule="auto"/>
              <w:jc w:val="right"/>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33%</w:t>
            </w:r>
          </w:p>
        </w:tc>
        <w:tc>
          <w:tcPr>
            <w:tcW w:w="1272" w:type="dxa"/>
            <w:tcBorders>
              <w:top w:val="nil"/>
              <w:left w:val="nil"/>
              <w:bottom w:val="single" w:sz="4" w:space="0" w:color="auto"/>
              <w:right w:val="single" w:sz="4" w:space="0" w:color="auto"/>
            </w:tcBorders>
            <w:shd w:val="clear" w:color="000000" w:fill="FFFFFF"/>
            <w:noWrap/>
            <w:vAlign w:val="bottom"/>
            <w:hideMark/>
          </w:tcPr>
          <w:p w14:paraId="0C94060B"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3</w:t>
            </w:r>
          </w:p>
        </w:tc>
        <w:tc>
          <w:tcPr>
            <w:tcW w:w="1332" w:type="dxa"/>
            <w:tcBorders>
              <w:top w:val="nil"/>
              <w:left w:val="nil"/>
              <w:bottom w:val="single" w:sz="4" w:space="0" w:color="auto"/>
              <w:right w:val="single" w:sz="4" w:space="0" w:color="auto"/>
            </w:tcBorders>
            <w:shd w:val="clear" w:color="000000" w:fill="FFFFFF"/>
            <w:noWrap/>
            <w:vAlign w:val="bottom"/>
            <w:hideMark/>
          </w:tcPr>
          <w:p w14:paraId="25B885C0" w14:textId="77777777" w:rsidR="003D21C4" w:rsidRPr="003D21C4" w:rsidRDefault="003D21C4" w:rsidP="003D21C4">
            <w:pPr>
              <w:spacing w:after="0" w:line="240" w:lineRule="auto"/>
              <w:jc w:val="right"/>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25%</w:t>
            </w:r>
          </w:p>
        </w:tc>
        <w:tc>
          <w:tcPr>
            <w:tcW w:w="1272" w:type="dxa"/>
            <w:tcBorders>
              <w:top w:val="nil"/>
              <w:left w:val="nil"/>
              <w:bottom w:val="single" w:sz="4" w:space="0" w:color="auto"/>
              <w:right w:val="single" w:sz="4" w:space="0" w:color="auto"/>
            </w:tcBorders>
            <w:shd w:val="clear" w:color="000000" w:fill="FFFFFF"/>
            <w:noWrap/>
            <w:vAlign w:val="bottom"/>
            <w:hideMark/>
          </w:tcPr>
          <w:p w14:paraId="32EFE19B"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3</w:t>
            </w:r>
          </w:p>
        </w:tc>
        <w:tc>
          <w:tcPr>
            <w:tcW w:w="1332" w:type="dxa"/>
            <w:tcBorders>
              <w:top w:val="nil"/>
              <w:left w:val="nil"/>
              <w:bottom w:val="single" w:sz="4" w:space="0" w:color="auto"/>
              <w:right w:val="single" w:sz="4" w:space="0" w:color="auto"/>
            </w:tcBorders>
            <w:shd w:val="clear" w:color="000000" w:fill="FFFFFF"/>
            <w:noWrap/>
            <w:vAlign w:val="bottom"/>
            <w:hideMark/>
          </w:tcPr>
          <w:p w14:paraId="37AEBC65" w14:textId="77777777" w:rsidR="003D21C4" w:rsidRPr="003D21C4" w:rsidRDefault="003D21C4" w:rsidP="003D21C4">
            <w:pPr>
              <w:spacing w:after="0" w:line="240" w:lineRule="auto"/>
              <w:jc w:val="right"/>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25%</w:t>
            </w:r>
          </w:p>
        </w:tc>
        <w:tc>
          <w:tcPr>
            <w:tcW w:w="222" w:type="dxa"/>
            <w:vAlign w:val="center"/>
            <w:hideMark/>
          </w:tcPr>
          <w:p w14:paraId="457E344D" w14:textId="77777777" w:rsidR="003D21C4" w:rsidRPr="003D21C4" w:rsidRDefault="003D21C4" w:rsidP="003D21C4">
            <w:pPr>
              <w:spacing w:after="0" w:line="240" w:lineRule="auto"/>
              <w:rPr>
                <w:rFonts w:ascii="Times New Roman" w:eastAsia="Times New Roman" w:hAnsi="Times New Roman" w:cs="Times New Roman"/>
                <w:kern w:val="0"/>
                <w:sz w:val="20"/>
                <w:szCs w:val="20"/>
                <w:lang w:eastAsia="en-GB"/>
                <w14:ligatures w14:val="none"/>
              </w:rPr>
            </w:pPr>
          </w:p>
        </w:tc>
      </w:tr>
      <w:tr w:rsidR="003D21C4" w:rsidRPr="003D21C4" w14:paraId="3275A358" w14:textId="77777777" w:rsidTr="003D21C4">
        <w:trPr>
          <w:trHeight w:val="270"/>
        </w:trPr>
        <w:tc>
          <w:tcPr>
            <w:tcW w:w="1531" w:type="dxa"/>
            <w:tcBorders>
              <w:top w:val="nil"/>
              <w:left w:val="single" w:sz="4" w:space="0" w:color="auto"/>
              <w:bottom w:val="single" w:sz="4" w:space="0" w:color="auto"/>
              <w:right w:val="single" w:sz="4" w:space="0" w:color="auto"/>
            </w:tcBorders>
            <w:shd w:val="clear" w:color="000000" w:fill="D0E0E2"/>
            <w:noWrap/>
            <w:vAlign w:val="bottom"/>
            <w:hideMark/>
          </w:tcPr>
          <w:p w14:paraId="18BC392E" w14:textId="77777777" w:rsidR="003D21C4" w:rsidRPr="003D21C4" w:rsidRDefault="003D21C4" w:rsidP="003D21C4">
            <w:pPr>
              <w:spacing w:after="0" w:line="240" w:lineRule="auto"/>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07EA4F83"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271" w:type="dxa"/>
            <w:tcBorders>
              <w:top w:val="nil"/>
              <w:left w:val="nil"/>
              <w:bottom w:val="single" w:sz="4" w:space="0" w:color="auto"/>
              <w:right w:val="single" w:sz="4" w:space="0" w:color="auto"/>
            </w:tcBorders>
            <w:shd w:val="clear" w:color="000000" w:fill="D0E0E2"/>
            <w:noWrap/>
            <w:vAlign w:val="bottom"/>
            <w:hideMark/>
          </w:tcPr>
          <w:p w14:paraId="42F9181A"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691E6A2B" w14:textId="77777777" w:rsidR="003D21C4" w:rsidRPr="003D21C4" w:rsidRDefault="003D21C4" w:rsidP="003D21C4">
            <w:pPr>
              <w:spacing w:after="0" w:line="240" w:lineRule="auto"/>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272" w:type="dxa"/>
            <w:tcBorders>
              <w:top w:val="nil"/>
              <w:left w:val="nil"/>
              <w:bottom w:val="single" w:sz="4" w:space="0" w:color="auto"/>
              <w:right w:val="single" w:sz="4" w:space="0" w:color="auto"/>
            </w:tcBorders>
            <w:shd w:val="clear" w:color="000000" w:fill="D0E0E2"/>
            <w:noWrap/>
            <w:vAlign w:val="bottom"/>
            <w:hideMark/>
          </w:tcPr>
          <w:p w14:paraId="4EDBF3D3"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6725B752" w14:textId="77777777" w:rsidR="003D21C4" w:rsidRPr="003D21C4" w:rsidRDefault="003D21C4" w:rsidP="003D21C4">
            <w:pPr>
              <w:spacing w:after="0" w:line="240" w:lineRule="auto"/>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272" w:type="dxa"/>
            <w:tcBorders>
              <w:top w:val="nil"/>
              <w:left w:val="nil"/>
              <w:bottom w:val="single" w:sz="4" w:space="0" w:color="auto"/>
              <w:right w:val="single" w:sz="4" w:space="0" w:color="auto"/>
            </w:tcBorders>
            <w:shd w:val="clear" w:color="000000" w:fill="D0E0E2"/>
            <w:noWrap/>
            <w:vAlign w:val="bottom"/>
            <w:hideMark/>
          </w:tcPr>
          <w:p w14:paraId="2CF6C48B"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11DED6B9" w14:textId="77777777" w:rsidR="003D21C4" w:rsidRPr="003D21C4" w:rsidRDefault="003D21C4" w:rsidP="003D21C4">
            <w:pPr>
              <w:spacing w:after="0" w:line="240" w:lineRule="auto"/>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222" w:type="dxa"/>
            <w:vAlign w:val="center"/>
            <w:hideMark/>
          </w:tcPr>
          <w:p w14:paraId="2CE042F6" w14:textId="77777777" w:rsidR="003D21C4" w:rsidRPr="003D21C4" w:rsidRDefault="003D21C4" w:rsidP="003D21C4">
            <w:pPr>
              <w:spacing w:after="0" w:line="240" w:lineRule="auto"/>
              <w:rPr>
                <w:rFonts w:ascii="Times New Roman" w:eastAsia="Times New Roman" w:hAnsi="Times New Roman" w:cs="Times New Roman"/>
                <w:kern w:val="0"/>
                <w:sz w:val="20"/>
                <w:szCs w:val="20"/>
                <w:lang w:eastAsia="en-GB"/>
                <w14:ligatures w14:val="none"/>
              </w:rPr>
            </w:pPr>
          </w:p>
        </w:tc>
      </w:tr>
      <w:tr w:rsidR="003D21C4" w:rsidRPr="003D21C4" w14:paraId="1D477C41" w14:textId="77777777" w:rsidTr="003D21C4">
        <w:trPr>
          <w:trHeight w:val="270"/>
        </w:trPr>
        <w:tc>
          <w:tcPr>
            <w:tcW w:w="1531" w:type="dxa"/>
            <w:tcBorders>
              <w:top w:val="nil"/>
              <w:left w:val="single" w:sz="4" w:space="0" w:color="auto"/>
              <w:bottom w:val="single" w:sz="4" w:space="0" w:color="auto"/>
              <w:right w:val="single" w:sz="4" w:space="0" w:color="auto"/>
            </w:tcBorders>
            <w:shd w:val="clear" w:color="000000" w:fill="FFFFFF"/>
            <w:noWrap/>
            <w:vAlign w:val="bottom"/>
            <w:hideMark/>
          </w:tcPr>
          <w:p w14:paraId="660847D9" w14:textId="77777777" w:rsidR="003D21C4" w:rsidRPr="003D21C4" w:rsidRDefault="003D21C4" w:rsidP="003D21C4">
            <w:pPr>
              <w:spacing w:after="0" w:line="240" w:lineRule="auto"/>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xml:space="preserve">Human Resources </w:t>
            </w:r>
          </w:p>
        </w:tc>
        <w:tc>
          <w:tcPr>
            <w:tcW w:w="1332" w:type="dxa"/>
            <w:tcBorders>
              <w:top w:val="nil"/>
              <w:left w:val="nil"/>
              <w:bottom w:val="single" w:sz="4" w:space="0" w:color="auto"/>
              <w:right w:val="single" w:sz="4" w:space="0" w:color="auto"/>
            </w:tcBorders>
            <w:shd w:val="clear" w:color="000000" w:fill="FFFFFF"/>
            <w:noWrap/>
            <w:vAlign w:val="bottom"/>
            <w:hideMark/>
          </w:tcPr>
          <w:p w14:paraId="66B94AB6"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4</w:t>
            </w:r>
          </w:p>
        </w:tc>
        <w:tc>
          <w:tcPr>
            <w:tcW w:w="1271" w:type="dxa"/>
            <w:tcBorders>
              <w:top w:val="nil"/>
              <w:left w:val="nil"/>
              <w:bottom w:val="single" w:sz="4" w:space="0" w:color="auto"/>
              <w:right w:val="single" w:sz="4" w:space="0" w:color="auto"/>
            </w:tcBorders>
            <w:shd w:val="clear" w:color="000000" w:fill="FFFFFF"/>
            <w:noWrap/>
            <w:vAlign w:val="bottom"/>
            <w:hideMark/>
          </w:tcPr>
          <w:p w14:paraId="6D74241F"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1</w:t>
            </w:r>
          </w:p>
        </w:tc>
        <w:tc>
          <w:tcPr>
            <w:tcW w:w="1332" w:type="dxa"/>
            <w:tcBorders>
              <w:top w:val="nil"/>
              <w:left w:val="nil"/>
              <w:bottom w:val="single" w:sz="4" w:space="0" w:color="auto"/>
              <w:right w:val="single" w:sz="4" w:space="0" w:color="auto"/>
            </w:tcBorders>
            <w:shd w:val="clear" w:color="000000" w:fill="FFFFFF"/>
            <w:noWrap/>
            <w:vAlign w:val="bottom"/>
            <w:hideMark/>
          </w:tcPr>
          <w:p w14:paraId="1B9AAAB5" w14:textId="77777777" w:rsidR="003D21C4" w:rsidRPr="003D21C4" w:rsidRDefault="003D21C4" w:rsidP="003D21C4">
            <w:pPr>
              <w:spacing w:after="0" w:line="240" w:lineRule="auto"/>
              <w:jc w:val="right"/>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25%</w:t>
            </w:r>
          </w:p>
        </w:tc>
        <w:tc>
          <w:tcPr>
            <w:tcW w:w="1272" w:type="dxa"/>
            <w:tcBorders>
              <w:top w:val="nil"/>
              <w:left w:val="nil"/>
              <w:bottom w:val="single" w:sz="4" w:space="0" w:color="auto"/>
              <w:right w:val="single" w:sz="4" w:space="0" w:color="auto"/>
            </w:tcBorders>
            <w:shd w:val="clear" w:color="000000" w:fill="FFFFFF"/>
            <w:noWrap/>
            <w:vAlign w:val="bottom"/>
            <w:hideMark/>
          </w:tcPr>
          <w:p w14:paraId="17939588"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1</w:t>
            </w:r>
          </w:p>
        </w:tc>
        <w:tc>
          <w:tcPr>
            <w:tcW w:w="1332" w:type="dxa"/>
            <w:tcBorders>
              <w:top w:val="nil"/>
              <w:left w:val="nil"/>
              <w:bottom w:val="single" w:sz="4" w:space="0" w:color="auto"/>
              <w:right w:val="single" w:sz="4" w:space="0" w:color="auto"/>
            </w:tcBorders>
            <w:shd w:val="clear" w:color="000000" w:fill="FFFFFF"/>
            <w:noWrap/>
            <w:vAlign w:val="bottom"/>
            <w:hideMark/>
          </w:tcPr>
          <w:p w14:paraId="13DC4997" w14:textId="77777777" w:rsidR="003D21C4" w:rsidRPr="003D21C4" w:rsidRDefault="003D21C4" w:rsidP="003D21C4">
            <w:pPr>
              <w:spacing w:after="0" w:line="240" w:lineRule="auto"/>
              <w:jc w:val="right"/>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25%</w:t>
            </w:r>
          </w:p>
        </w:tc>
        <w:tc>
          <w:tcPr>
            <w:tcW w:w="1272" w:type="dxa"/>
            <w:tcBorders>
              <w:top w:val="nil"/>
              <w:left w:val="nil"/>
              <w:bottom w:val="single" w:sz="4" w:space="0" w:color="auto"/>
              <w:right w:val="single" w:sz="4" w:space="0" w:color="auto"/>
            </w:tcBorders>
            <w:shd w:val="clear" w:color="000000" w:fill="FFFFFF"/>
            <w:noWrap/>
            <w:vAlign w:val="bottom"/>
            <w:hideMark/>
          </w:tcPr>
          <w:p w14:paraId="04FFEEC4" w14:textId="77777777" w:rsidR="003D21C4" w:rsidRPr="003D21C4" w:rsidRDefault="003D21C4" w:rsidP="003D21C4">
            <w:pPr>
              <w:spacing w:after="0" w:line="240" w:lineRule="auto"/>
              <w:jc w:val="center"/>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1</w:t>
            </w:r>
          </w:p>
        </w:tc>
        <w:tc>
          <w:tcPr>
            <w:tcW w:w="1332" w:type="dxa"/>
            <w:tcBorders>
              <w:top w:val="nil"/>
              <w:left w:val="nil"/>
              <w:bottom w:val="single" w:sz="4" w:space="0" w:color="auto"/>
              <w:right w:val="single" w:sz="4" w:space="0" w:color="auto"/>
            </w:tcBorders>
            <w:shd w:val="clear" w:color="000000" w:fill="FFFFFF"/>
            <w:noWrap/>
            <w:vAlign w:val="bottom"/>
            <w:hideMark/>
          </w:tcPr>
          <w:p w14:paraId="69777E90" w14:textId="77777777" w:rsidR="003D21C4" w:rsidRPr="003D21C4" w:rsidRDefault="003D21C4" w:rsidP="003D21C4">
            <w:pPr>
              <w:spacing w:after="0" w:line="240" w:lineRule="auto"/>
              <w:jc w:val="right"/>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25%</w:t>
            </w:r>
          </w:p>
        </w:tc>
        <w:tc>
          <w:tcPr>
            <w:tcW w:w="222" w:type="dxa"/>
            <w:vAlign w:val="center"/>
            <w:hideMark/>
          </w:tcPr>
          <w:p w14:paraId="283F3E58" w14:textId="77777777" w:rsidR="003D21C4" w:rsidRPr="003D21C4" w:rsidRDefault="003D21C4" w:rsidP="003D21C4">
            <w:pPr>
              <w:spacing w:after="0" w:line="240" w:lineRule="auto"/>
              <w:rPr>
                <w:rFonts w:ascii="Times New Roman" w:eastAsia="Times New Roman" w:hAnsi="Times New Roman" w:cs="Times New Roman"/>
                <w:kern w:val="0"/>
                <w:sz w:val="20"/>
                <w:szCs w:val="20"/>
                <w:lang w:eastAsia="en-GB"/>
                <w14:ligatures w14:val="none"/>
              </w:rPr>
            </w:pPr>
          </w:p>
        </w:tc>
      </w:tr>
      <w:tr w:rsidR="003D21C4" w:rsidRPr="003D21C4" w14:paraId="310D0536" w14:textId="77777777" w:rsidTr="003D21C4">
        <w:trPr>
          <w:trHeight w:val="270"/>
        </w:trPr>
        <w:tc>
          <w:tcPr>
            <w:tcW w:w="1531" w:type="dxa"/>
            <w:tcBorders>
              <w:top w:val="nil"/>
              <w:left w:val="single" w:sz="4" w:space="0" w:color="auto"/>
              <w:bottom w:val="single" w:sz="4" w:space="0" w:color="auto"/>
              <w:right w:val="single" w:sz="4" w:space="0" w:color="auto"/>
            </w:tcBorders>
            <w:shd w:val="clear" w:color="000000" w:fill="D0E0E2"/>
            <w:noWrap/>
            <w:vAlign w:val="bottom"/>
            <w:hideMark/>
          </w:tcPr>
          <w:p w14:paraId="5A768BA0" w14:textId="77777777" w:rsidR="003D21C4" w:rsidRPr="003D21C4" w:rsidRDefault="003D21C4" w:rsidP="003D21C4">
            <w:pPr>
              <w:spacing w:after="0" w:line="240" w:lineRule="auto"/>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10D753F1" w14:textId="77777777" w:rsidR="003D21C4" w:rsidRPr="003D21C4" w:rsidRDefault="003D21C4" w:rsidP="003D21C4">
            <w:pPr>
              <w:spacing w:after="0" w:line="240" w:lineRule="auto"/>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271" w:type="dxa"/>
            <w:tcBorders>
              <w:top w:val="nil"/>
              <w:left w:val="nil"/>
              <w:bottom w:val="single" w:sz="4" w:space="0" w:color="auto"/>
              <w:right w:val="single" w:sz="4" w:space="0" w:color="auto"/>
            </w:tcBorders>
            <w:shd w:val="clear" w:color="000000" w:fill="D0E0E2"/>
            <w:noWrap/>
            <w:vAlign w:val="bottom"/>
            <w:hideMark/>
          </w:tcPr>
          <w:p w14:paraId="2FBBFDB9" w14:textId="77777777" w:rsidR="003D21C4" w:rsidRPr="003D21C4" w:rsidRDefault="003D21C4" w:rsidP="003D21C4">
            <w:pPr>
              <w:spacing w:after="0" w:line="240" w:lineRule="auto"/>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5A016C63" w14:textId="77777777" w:rsidR="003D21C4" w:rsidRPr="003D21C4" w:rsidRDefault="003D21C4" w:rsidP="003D21C4">
            <w:pPr>
              <w:spacing w:after="0" w:line="240" w:lineRule="auto"/>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272" w:type="dxa"/>
            <w:tcBorders>
              <w:top w:val="nil"/>
              <w:left w:val="nil"/>
              <w:bottom w:val="single" w:sz="4" w:space="0" w:color="auto"/>
              <w:right w:val="single" w:sz="4" w:space="0" w:color="auto"/>
            </w:tcBorders>
            <w:shd w:val="clear" w:color="000000" w:fill="D0E0E2"/>
            <w:noWrap/>
            <w:vAlign w:val="bottom"/>
            <w:hideMark/>
          </w:tcPr>
          <w:p w14:paraId="03A7E510" w14:textId="77777777" w:rsidR="003D21C4" w:rsidRPr="003D21C4" w:rsidRDefault="003D21C4" w:rsidP="003D21C4">
            <w:pPr>
              <w:spacing w:after="0" w:line="240" w:lineRule="auto"/>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5B0B5B25" w14:textId="77777777" w:rsidR="003D21C4" w:rsidRPr="003D21C4" w:rsidRDefault="003D21C4" w:rsidP="003D21C4">
            <w:pPr>
              <w:spacing w:after="0" w:line="240" w:lineRule="auto"/>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272" w:type="dxa"/>
            <w:tcBorders>
              <w:top w:val="nil"/>
              <w:left w:val="nil"/>
              <w:bottom w:val="single" w:sz="4" w:space="0" w:color="auto"/>
              <w:right w:val="single" w:sz="4" w:space="0" w:color="auto"/>
            </w:tcBorders>
            <w:shd w:val="clear" w:color="000000" w:fill="D0E0E2"/>
            <w:noWrap/>
            <w:vAlign w:val="bottom"/>
            <w:hideMark/>
          </w:tcPr>
          <w:p w14:paraId="5DB48D74" w14:textId="77777777" w:rsidR="003D21C4" w:rsidRPr="003D21C4" w:rsidRDefault="003D21C4" w:rsidP="003D21C4">
            <w:pPr>
              <w:spacing w:after="0" w:line="240" w:lineRule="auto"/>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72A3945F" w14:textId="77777777" w:rsidR="003D21C4" w:rsidRPr="003D21C4" w:rsidRDefault="003D21C4" w:rsidP="003D21C4">
            <w:pPr>
              <w:spacing w:after="0" w:line="240" w:lineRule="auto"/>
              <w:rPr>
                <w:rFonts w:ascii="Trebuchet MS" w:eastAsia="Times New Roman" w:hAnsi="Trebuchet MS" w:cs="Calibri"/>
                <w:color w:val="004147"/>
                <w:kern w:val="0"/>
                <w:sz w:val="20"/>
                <w:szCs w:val="20"/>
                <w:lang w:eastAsia="en-GB"/>
                <w14:ligatures w14:val="none"/>
              </w:rPr>
            </w:pPr>
            <w:r w:rsidRPr="003D21C4">
              <w:rPr>
                <w:rFonts w:ascii="Trebuchet MS" w:eastAsia="Times New Roman" w:hAnsi="Trebuchet MS" w:cs="Calibri"/>
                <w:color w:val="004147"/>
                <w:kern w:val="0"/>
                <w:sz w:val="20"/>
                <w:szCs w:val="20"/>
                <w:lang w:eastAsia="en-GB"/>
                <w14:ligatures w14:val="none"/>
              </w:rPr>
              <w:t> </w:t>
            </w:r>
          </w:p>
        </w:tc>
        <w:tc>
          <w:tcPr>
            <w:tcW w:w="222" w:type="dxa"/>
            <w:vAlign w:val="center"/>
            <w:hideMark/>
          </w:tcPr>
          <w:p w14:paraId="087FFCAC" w14:textId="77777777" w:rsidR="003D21C4" w:rsidRPr="003D21C4" w:rsidRDefault="003D21C4" w:rsidP="003D21C4">
            <w:pPr>
              <w:spacing w:after="0" w:line="240" w:lineRule="auto"/>
              <w:rPr>
                <w:rFonts w:ascii="Times New Roman" w:eastAsia="Times New Roman" w:hAnsi="Times New Roman" w:cs="Times New Roman"/>
                <w:kern w:val="0"/>
                <w:sz w:val="20"/>
                <w:szCs w:val="20"/>
                <w:lang w:eastAsia="en-GB"/>
                <w14:ligatures w14:val="none"/>
              </w:rPr>
            </w:pPr>
          </w:p>
        </w:tc>
      </w:tr>
    </w:tbl>
    <w:p w14:paraId="16DDC879" w14:textId="77777777" w:rsidR="00CB6464" w:rsidRDefault="00CB6464" w:rsidP="00090DB9">
      <w:pPr>
        <w:rPr>
          <w:rFonts w:ascii="Tahoma" w:hAnsi="Tahoma" w:cs="Tahoma"/>
          <w:u w:val="single"/>
        </w:rPr>
      </w:pPr>
    </w:p>
    <w:p w14:paraId="73A18702" w14:textId="77777777" w:rsidR="00CB6464" w:rsidRPr="00CB6464" w:rsidRDefault="00CB6464" w:rsidP="00090DB9">
      <w:pPr>
        <w:rPr>
          <w:rFonts w:ascii="Tahoma" w:hAnsi="Tahoma" w:cs="Tahoma"/>
          <w:u w:val="single"/>
        </w:rPr>
      </w:pPr>
    </w:p>
    <w:p w14:paraId="3378AA3A" w14:textId="77777777" w:rsidR="003B669C" w:rsidRDefault="003B669C" w:rsidP="003B669C">
      <w:pPr>
        <w:jc w:val="center"/>
        <w:rPr>
          <w:rFonts w:ascii="Tahoma" w:hAnsi="Tahoma" w:cs="Tahoma"/>
          <w:u w:val="single"/>
        </w:rPr>
      </w:pPr>
    </w:p>
    <w:p w14:paraId="759605C3" w14:textId="77777777" w:rsidR="00971380" w:rsidRDefault="00971380" w:rsidP="00971380">
      <w:pPr>
        <w:rPr>
          <w:rFonts w:ascii="Tahoma" w:hAnsi="Tahoma" w:cs="Tahoma"/>
          <w:u w:val="single"/>
        </w:rPr>
      </w:pPr>
      <w:r w:rsidRPr="00A347AB">
        <w:rPr>
          <w:rFonts w:ascii="Tahoma" w:hAnsi="Tahoma" w:cs="Tahoma"/>
          <w:u w:val="single"/>
        </w:rPr>
        <w:t>AC 2.2 Present key findings for stakeholders from people practice activities and initiatives</w:t>
      </w:r>
    </w:p>
    <w:p w14:paraId="43FFB52C" w14:textId="0642B6F0" w:rsidR="0023339B" w:rsidRDefault="0023339B" w:rsidP="0023339B">
      <w:pPr>
        <w:jc w:val="center"/>
        <w:rPr>
          <w:rFonts w:ascii="Tahoma" w:hAnsi="Tahoma" w:cs="Tahoma"/>
        </w:rPr>
      </w:pPr>
      <w:r>
        <w:rPr>
          <w:noProof/>
        </w:rPr>
        <w:lastRenderedPageBreak/>
        <w:drawing>
          <wp:inline distT="0" distB="0" distL="0" distR="0" wp14:anchorId="4870BC99" wp14:editId="28002841">
            <wp:extent cx="4908550" cy="2952750"/>
            <wp:effectExtent l="0" t="0" r="6350" b="0"/>
            <wp:docPr id="498859147" name="Chart 1">
              <a:extLst xmlns:a="http://schemas.openxmlformats.org/drawingml/2006/main">
                <a:ext uri="{FF2B5EF4-FFF2-40B4-BE49-F238E27FC236}">
                  <a16:creationId xmlns:a16="http://schemas.microsoft.com/office/drawing/2014/main" id="{C5DAFD58-7DE2-CC53-F606-DBEFAE19C79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26E18C9D" w14:textId="356D949E" w:rsidR="006A075F" w:rsidRDefault="006A075F" w:rsidP="006A075F">
      <w:pPr>
        <w:rPr>
          <w:rFonts w:ascii="Tahoma" w:hAnsi="Tahoma" w:cs="Tahoma"/>
        </w:rPr>
      </w:pPr>
    </w:p>
    <w:p w14:paraId="1E960742" w14:textId="3D133B84" w:rsidR="008501F3" w:rsidRDefault="00D461EE" w:rsidP="008501F3">
      <w:pPr>
        <w:jc w:val="center"/>
        <w:rPr>
          <w:rFonts w:ascii="Tahoma" w:hAnsi="Tahoma" w:cs="Tahoma"/>
        </w:rPr>
      </w:pPr>
      <w:r>
        <w:rPr>
          <w:noProof/>
        </w:rPr>
        <w:drawing>
          <wp:inline distT="0" distB="0" distL="0" distR="0" wp14:anchorId="25DF1703" wp14:editId="7A82A2AE">
            <wp:extent cx="4832350" cy="3187700"/>
            <wp:effectExtent l="0" t="0" r="6350" b="12700"/>
            <wp:docPr id="1595004536" name="Chart 1">
              <a:extLst xmlns:a="http://schemas.openxmlformats.org/drawingml/2006/main">
                <a:ext uri="{FF2B5EF4-FFF2-40B4-BE49-F238E27FC236}">
                  <a16:creationId xmlns:a16="http://schemas.microsoft.com/office/drawing/2014/main" id="{3E5AD906-4CB8-85AC-890A-432E9290B84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721B4CB0" w14:textId="77777777" w:rsidR="00D461EE" w:rsidRDefault="00D461EE" w:rsidP="008501F3">
      <w:pPr>
        <w:jc w:val="center"/>
        <w:rPr>
          <w:rFonts w:ascii="Tahoma" w:hAnsi="Tahoma" w:cs="Tahoma"/>
        </w:rPr>
      </w:pPr>
    </w:p>
    <w:p w14:paraId="3EF7CA1F" w14:textId="4CA8B102" w:rsidR="00D461EE" w:rsidRDefault="001A0D7B" w:rsidP="008501F3">
      <w:pPr>
        <w:jc w:val="center"/>
        <w:rPr>
          <w:rFonts w:ascii="Tahoma" w:hAnsi="Tahoma" w:cs="Tahoma"/>
        </w:rPr>
      </w:pPr>
      <w:r>
        <w:rPr>
          <w:noProof/>
        </w:rPr>
        <w:lastRenderedPageBreak/>
        <w:drawing>
          <wp:inline distT="0" distB="0" distL="0" distR="0" wp14:anchorId="7E9B84CC" wp14:editId="2F42759B">
            <wp:extent cx="5016500" cy="3251200"/>
            <wp:effectExtent l="0" t="0" r="12700" b="6350"/>
            <wp:docPr id="1303612503" name="Chart 1">
              <a:extLst xmlns:a="http://schemas.openxmlformats.org/drawingml/2006/main">
                <a:ext uri="{FF2B5EF4-FFF2-40B4-BE49-F238E27FC236}">
                  <a16:creationId xmlns:a16="http://schemas.microsoft.com/office/drawing/2014/main" id="{23F4864B-6400-995B-8BA3-7A813110FD5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68A9AE86" w14:textId="77777777" w:rsidR="00AC73D4" w:rsidRDefault="00AC73D4" w:rsidP="008501F3">
      <w:pPr>
        <w:jc w:val="center"/>
        <w:rPr>
          <w:rFonts w:ascii="Tahoma" w:hAnsi="Tahoma" w:cs="Tahoma"/>
        </w:rPr>
      </w:pPr>
    </w:p>
    <w:p w14:paraId="74A52BBF" w14:textId="3F6990A5" w:rsidR="00A347AB" w:rsidRDefault="00961402" w:rsidP="00AC73D4">
      <w:pPr>
        <w:rPr>
          <w:rFonts w:ascii="Tahoma" w:hAnsi="Tahoma" w:cs="Tahoma"/>
          <w:u w:val="single"/>
        </w:rPr>
      </w:pPr>
      <w:r w:rsidRPr="0071641A">
        <w:rPr>
          <w:rFonts w:ascii="Tahoma" w:hAnsi="Tahoma" w:cs="Tahoma"/>
          <w:u w:val="single"/>
        </w:rPr>
        <w:t xml:space="preserve">AC 2.3 </w:t>
      </w:r>
      <w:r w:rsidR="0071641A" w:rsidRPr="0071641A">
        <w:rPr>
          <w:rFonts w:ascii="Tahoma" w:hAnsi="Tahoma" w:cs="Tahoma"/>
          <w:u w:val="single"/>
        </w:rPr>
        <w:t>Recommendations</w:t>
      </w:r>
    </w:p>
    <w:p w14:paraId="0DD29008" w14:textId="42FE2632" w:rsidR="00DC0EED" w:rsidRDefault="006064D4" w:rsidP="00AC73D4">
      <w:pPr>
        <w:rPr>
          <w:rFonts w:ascii="Tahoma" w:hAnsi="Tahoma" w:cs="Tahoma"/>
        </w:rPr>
      </w:pPr>
      <w:r>
        <w:rPr>
          <w:rFonts w:ascii="Tahoma" w:hAnsi="Tahoma" w:cs="Tahoma"/>
        </w:rPr>
        <w:t xml:space="preserve">Through the analysis of the </w:t>
      </w:r>
      <w:r w:rsidR="00A54148">
        <w:rPr>
          <w:rFonts w:ascii="Tahoma" w:hAnsi="Tahoma" w:cs="Tahoma"/>
        </w:rPr>
        <w:t>data,</w:t>
      </w:r>
      <w:r w:rsidR="00073C4A">
        <w:rPr>
          <w:rFonts w:ascii="Tahoma" w:hAnsi="Tahoma" w:cs="Tahoma"/>
        </w:rPr>
        <w:t xml:space="preserve"> </w:t>
      </w:r>
      <w:r>
        <w:rPr>
          <w:rFonts w:ascii="Tahoma" w:hAnsi="Tahoma" w:cs="Tahoma"/>
        </w:rPr>
        <w:t>it has been highlighted that</w:t>
      </w:r>
      <w:r w:rsidR="00073C4A">
        <w:rPr>
          <w:rFonts w:ascii="Tahoma" w:hAnsi="Tahoma" w:cs="Tahoma"/>
        </w:rPr>
        <w:t xml:space="preserve"> while facilitator competence and learning </w:t>
      </w:r>
      <w:r w:rsidR="00D33A65">
        <w:rPr>
          <w:rFonts w:ascii="Tahoma" w:hAnsi="Tahoma" w:cs="Tahoma"/>
        </w:rPr>
        <w:t xml:space="preserve">resources were rated highly, significant weakness </w:t>
      </w:r>
      <w:r w:rsidR="00811F8D">
        <w:rPr>
          <w:rFonts w:ascii="Tahoma" w:hAnsi="Tahoma" w:cs="Tahoma"/>
        </w:rPr>
        <w:t>exists</w:t>
      </w:r>
      <w:r w:rsidR="00D33A65">
        <w:rPr>
          <w:rFonts w:ascii="Tahoma" w:hAnsi="Tahoma" w:cs="Tahoma"/>
        </w:rPr>
        <w:t xml:space="preserve"> in learner engagement</w:t>
      </w:r>
      <w:r w:rsidR="009C7D7D">
        <w:rPr>
          <w:rFonts w:ascii="Tahoma" w:hAnsi="Tahoma" w:cs="Tahoma"/>
        </w:rPr>
        <w:t xml:space="preserve">, achievement of learning outcomes, and the transfer of learning outcomes in the workplace. Over 75% </w:t>
      </w:r>
      <w:r w:rsidR="00811F8D">
        <w:rPr>
          <w:rFonts w:ascii="Tahoma" w:hAnsi="Tahoma" w:cs="Tahoma"/>
        </w:rPr>
        <w:t>of respondents disagreed that they were able to engage meaningfully during session, and over 80% reported diff</w:t>
      </w:r>
      <w:r w:rsidR="009349B1">
        <w:rPr>
          <w:rFonts w:ascii="Tahoma" w:hAnsi="Tahoma" w:cs="Tahoma"/>
        </w:rPr>
        <w:t>iculty applying learning to their role.</w:t>
      </w:r>
      <w:r w:rsidR="003B4B5D">
        <w:rPr>
          <w:rFonts w:ascii="Tahoma" w:hAnsi="Tahoma" w:cs="Tahoma"/>
        </w:rPr>
        <w:t xml:space="preserve"> This indicates a disconnect between learning</w:t>
      </w:r>
      <w:r w:rsidR="00A54148">
        <w:rPr>
          <w:rFonts w:ascii="Tahoma" w:hAnsi="Tahoma" w:cs="Tahoma"/>
        </w:rPr>
        <w:t xml:space="preserve"> design and organisational performance objectives. </w:t>
      </w:r>
      <w:r w:rsidR="00B070FB">
        <w:rPr>
          <w:rFonts w:ascii="Tahoma" w:hAnsi="Tahoma" w:cs="Tahoma"/>
        </w:rPr>
        <w:t xml:space="preserve">According to research carried out by the </w:t>
      </w:r>
      <w:r w:rsidR="00F059BE">
        <w:rPr>
          <w:rFonts w:ascii="Tahoma" w:hAnsi="Tahoma" w:cs="Tahoma"/>
        </w:rPr>
        <w:t>(CIPD, 2025</w:t>
      </w:r>
      <w:r w:rsidR="00F15AED">
        <w:rPr>
          <w:rFonts w:ascii="Tahoma" w:hAnsi="Tahoma" w:cs="Tahoma"/>
        </w:rPr>
        <w:t>c</w:t>
      </w:r>
      <w:r w:rsidR="00F059BE">
        <w:rPr>
          <w:rFonts w:ascii="Tahoma" w:hAnsi="Tahoma" w:cs="Tahoma"/>
        </w:rPr>
        <w:t xml:space="preserve">) </w:t>
      </w:r>
      <w:r w:rsidR="00355DCF">
        <w:rPr>
          <w:rFonts w:ascii="Tahoma" w:hAnsi="Tahoma" w:cs="Tahoma"/>
        </w:rPr>
        <w:t xml:space="preserve">organisations are increasingly turning to </w:t>
      </w:r>
      <w:r w:rsidR="00B7348A">
        <w:rPr>
          <w:rFonts w:ascii="Tahoma" w:hAnsi="Tahoma" w:cs="Tahoma"/>
        </w:rPr>
        <w:t xml:space="preserve">internal learning and development (L&amp;D) to meet their </w:t>
      </w:r>
      <w:r w:rsidR="00404F32">
        <w:rPr>
          <w:rFonts w:ascii="Tahoma" w:hAnsi="Tahoma" w:cs="Tahoma"/>
        </w:rPr>
        <w:t xml:space="preserve">talent </w:t>
      </w:r>
      <w:r w:rsidR="00B7348A">
        <w:rPr>
          <w:rFonts w:ascii="Tahoma" w:hAnsi="Tahoma" w:cs="Tahoma"/>
        </w:rPr>
        <w:t>requirements</w:t>
      </w:r>
      <w:r w:rsidR="00404F32">
        <w:rPr>
          <w:rFonts w:ascii="Tahoma" w:hAnsi="Tahoma" w:cs="Tahoma"/>
        </w:rPr>
        <w:t xml:space="preserve">, and to retain employees. It is also noted that, employers are facing a complex </w:t>
      </w:r>
      <w:r w:rsidR="00C94FD9">
        <w:rPr>
          <w:rFonts w:ascii="Tahoma" w:hAnsi="Tahoma" w:cs="Tahoma"/>
        </w:rPr>
        <w:t xml:space="preserve">landscape of evolving skills requirements alongside growing AI adoption. As automation </w:t>
      </w:r>
      <w:r w:rsidR="00DB57E1">
        <w:rPr>
          <w:rFonts w:ascii="Tahoma" w:hAnsi="Tahoma" w:cs="Tahoma"/>
        </w:rPr>
        <w:t xml:space="preserve">changes job roles, people professionals must address widening skill gaps and foster </w:t>
      </w:r>
      <w:r w:rsidR="00B407F6">
        <w:rPr>
          <w:rFonts w:ascii="Tahoma" w:hAnsi="Tahoma" w:cs="Tahoma"/>
        </w:rPr>
        <w:t xml:space="preserve">continuous learning to ensure organisational success. </w:t>
      </w:r>
      <w:r w:rsidR="00DC0EED">
        <w:rPr>
          <w:rFonts w:ascii="Tahoma" w:hAnsi="Tahoma" w:cs="Tahoma"/>
        </w:rPr>
        <w:t xml:space="preserve">Applying the </w:t>
      </w:r>
      <w:r w:rsidR="00E96910">
        <w:rPr>
          <w:rFonts w:ascii="Tahoma" w:hAnsi="Tahoma" w:cs="Tahoma"/>
        </w:rPr>
        <w:t xml:space="preserve">AMO model and </w:t>
      </w:r>
      <w:r w:rsidR="00AC6AFD">
        <w:rPr>
          <w:rFonts w:ascii="Tahoma" w:hAnsi="Tahoma" w:cs="Tahoma"/>
        </w:rPr>
        <w:t xml:space="preserve">(Kirkpatrick,1959) </w:t>
      </w:r>
      <w:r w:rsidR="009901C1">
        <w:rPr>
          <w:rFonts w:ascii="Tahoma" w:hAnsi="Tahoma" w:cs="Tahoma"/>
        </w:rPr>
        <w:t xml:space="preserve">evaluation framework suggest </w:t>
      </w:r>
      <w:r w:rsidR="006F0489">
        <w:rPr>
          <w:rFonts w:ascii="Tahoma" w:hAnsi="Tahoma" w:cs="Tahoma"/>
        </w:rPr>
        <w:t>that although capability is developed, insufficient attention is given to motivation and opp</w:t>
      </w:r>
      <w:r w:rsidR="00316B2D">
        <w:rPr>
          <w:rFonts w:ascii="Tahoma" w:hAnsi="Tahoma" w:cs="Tahoma"/>
        </w:rPr>
        <w:t xml:space="preserve">ortunity, limiting behavioural change and return on investment. Consequently, redesigning </w:t>
      </w:r>
      <w:r w:rsidR="0019513C">
        <w:rPr>
          <w:rFonts w:ascii="Tahoma" w:hAnsi="Tahoma" w:cs="Tahoma"/>
        </w:rPr>
        <w:t>learning interventions to incorporate interactive methods, improved alignment</w:t>
      </w:r>
      <w:r w:rsidR="0067765F">
        <w:rPr>
          <w:rFonts w:ascii="Tahoma" w:hAnsi="Tahoma" w:cs="Tahoma"/>
        </w:rPr>
        <w:t xml:space="preserve"> with performance management and structured post training support is essential to enhance effectiveness. </w:t>
      </w:r>
      <w:r w:rsidR="005315A1">
        <w:rPr>
          <w:rFonts w:ascii="Tahoma" w:hAnsi="Tahoma" w:cs="Tahoma"/>
        </w:rPr>
        <w:t xml:space="preserve">(CIPD,2024) suggests that effective skills utilisation begins with a clear understanding of the capabilities within the workforce. Conducting a skills audit provides a strong starting point, helping to identify employees existing skills, including those gained outside of the workforce. The process should begin by </w:t>
      </w:r>
      <w:r w:rsidR="005315A1">
        <w:rPr>
          <w:rFonts w:ascii="Tahoma" w:hAnsi="Tahoma" w:cs="Tahoma"/>
        </w:rPr>
        <w:lastRenderedPageBreak/>
        <w:t xml:space="preserve">defining the objectives and scope of the audit. Once this established, the organisation can identify the skills it needs. Starting with the learning team, organisations can recognise additional capabilities, such as digital or community management skills, and build on existing strengths to shape future development. </w:t>
      </w:r>
      <w:r w:rsidR="008E55AC">
        <w:rPr>
          <w:rFonts w:ascii="Tahoma" w:hAnsi="Tahoma" w:cs="Tahoma"/>
        </w:rPr>
        <w:t xml:space="preserve">The planning of a skills audit takes time and deliberate action. There are some key elements to consider in the planning stage which must be completed to the make the audit successful and future proof. These steps would be to define purpose, scope and strategic alignment, set timelines and budgets, engage with stakeholders, and define a measurement </w:t>
      </w:r>
      <w:r w:rsidR="00A733EA">
        <w:rPr>
          <w:rFonts w:ascii="Tahoma" w:hAnsi="Tahoma" w:cs="Tahoma"/>
        </w:rPr>
        <w:t>criterion</w:t>
      </w:r>
      <w:r w:rsidR="008E55AC">
        <w:rPr>
          <w:rFonts w:ascii="Tahoma" w:hAnsi="Tahoma" w:cs="Tahoma"/>
        </w:rPr>
        <w:t xml:space="preserve">. </w:t>
      </w:r>
    </w:p>
    <w:p w14:paraId="5859C02F" w14:textId="2226594F" w:rsidR="008E55AC" w:rsidRDefault="008E55AC" w:rsidP="00AC73D4">
      <w:pPr>
        <w:rPr>
          <w:rFonts w:ascii="Tahoma" w:hAnsi="Tahoma" w:cs="Tahoma"/>
        </w:rPr>
      </w:pPr>
      <w:r>
        <w:rPr>
          <w:rFonts w:ascii="Tahoma" w:hAnsi="Tahoma" w:cs="Tahoma"/>
        </w:rPr>
        <w:t xml:space="preserve">Research conduct by the (CIPD) has found that just over half of line managers thought they received enough support (via training and information) to carry out their people management responsibilities well, and with the same research showing clear links between line manager quality and employee </w:t>
      </w:r>
      <w:r w:rsidR="008800E6">
        <w:rPr>
          <w:rFonts w:ascii="Tahoma" w:hAnsi="Tahoma" w:cs="Tahoma"/>
        </w:rPr>
        <w:t xml:space="preserve">health (specifically mental health) it is something that needs to be addressed. Effective managers are instrumental in identifying skill gaps with there teams. By training and developing manager skills in this area, organisations will be better prepared. </w:t>
      </w:r>
    </w:p>
    <w:p w14:paraId="23387270" w14:textId="710BF1B8" w:rsidR="00A733EA" w:rsidRDefault="00A733EA" w:rsidP="00AC73D4">
      <w:pPr>
        <w:rPr>
          <w:rFonts w:ascii="Tahoma" w:hAnsi="Tahoma" w:cs="Tahoma"/>
          <w:color w:val="000000"/>
          <w:shd w:val="clear" w:color="auto" w:fill="FFFFFF"/>
        </w:rPr>
      </w:pPr>
      <w:r w:rsidRPr="00A733EA">
        <w:rPr>
          <w:rFonts w:ascii="Tahoma" w:hAnsi="Tahoma" w:cs="Tahoma"/>
          <w:color w:val="000000"/>
          <w:shd w:val="clear" w:color="auto" w:fill="FFFFFF"/>
        </w:rPr>
        <w:t>(Barnett)</w:t>
      </w:r>
      <w:r>
        <w:rPr>
          <w:rFonts w:ascii="Tahoma" w:hAnsi="Tahoma" w:cs="Tahoma"/>
          <w:color w:val="000000"/>
          <w:shd w:val="clear" w:color="auto" w:fill="FFFFFF"/>
        </w:rPr>
        <w:t>, suggests</w:t>
      </w:r>
      <w:r w:rsidR="003C68BC">
        <w:rPr>
          <w:rFonts w:ascii="Tahoma" w:hAnsi="Tahoma" w:cs="Tahoma"/>
          <w:color w:val="000000"/>
          <w:shd w:val="clear" w:color="auto" w:fill="FFFFFF"/>
        </w:rPr>
        <w:t xml:space="preserve"> that to be successful in the role of Learning and development, you would likely be strong in all forms of communication and positive negotiation skills would be highly important. You would also need to be organised, be able to prioritise your tasks to meet deadlines and be a supportive team player within the L&amp;D department. Be confident in your own ability to find the right solutions for subject matter experts and try not to be precious about your project proposals, being accurate of other people’s ideas. </w:t>
      </w:r>
    </w:p>
    <w:p w14:paraId="60E06B14" w14:textId="77777777" w:rsidR="006E3A4F" w:rsidRDefault="006E3A4F" w:rsidP="006E3A4F">
      <w:pPr>
        <w:rPr>
          <w:rFonts w:ascii="Tahoma" w:hAnsi="Tahoma" w:cs="Tahoma"/>
        </w:rPr>
      </w:pPr>
      <w:r>
        <w:rPr>
          <w:rFonts w:ascii="Tahoma" w:hAnsi="Tahoma" w:cs="Tahoma"/>
        </w:rPr>
        <w:t xml:space="preserve">Analysis of the workforce data supplied by </w:t>
      </w:r>
      <w:proofErr w:type="spellStart"/>
      <w:r>
        <w:rPr>
          <w:rFonts w:ascii="Tahoma" w:hAnsi="Tahoma" w:cs="Tahoma"/>
        </w:rPr>
        <w:t>Technivara</w:t>
      </w:r>
      <w:proofErr w:type="spellEnd"/>
      <w:r>
        <w:rPr>
          <w:rFonts w:ascii="Tahoma" w:hAnsi="Tahoma" w:cs="Tahoma"/>
        </w:rPr>
        <w:t xml:space="preserve"> reveals notably high levels of employee attrition and ongoing vacancies within the Engineering, Audio Technical, and Dispatch departments, presenting a clear strategic risk to organisational performance. Persistent turnover across these functions, combined with continued recruitment activity, suggests that the organisation is not facing difficulties in attracting new employees, but rather challenges in retaining existing talent. This pattern indicates underlying issues related to employee experience, workload, leadership effectiveness, or limited development opportunities, which require targeted intervention. </w:t>
      </w:r>
    </w:p>
    <w:p w14:paraId="1C78DA33" w14:textId="77777777" w:rsidR="006E3A4F" w:rsidRDefault="006E3A4F" w:rsidP="006E3A4F">
      <w:pPr>
        <w:rPr>
          <w:rFonts w:ascii="Tahoma" w:hAnsi="Tahoma" w:cs="Tahoma"/>
        </w:rPr>
      </w:pPr>
      <w:r>
        <w:rPr>
          <w:rFonts w:ascii="Tahoma" w:hAnsi="Tahoma" w:cs="Tahoma"/>
        </w:rPr>
        <w:t xml:space="preserve">These findings highlight the need for a strategic people practice response that goes beyond short-term recruitment solutions. A structured approach to workforce planning is essential to ensure the organisation has the right number of people, with the appropriate skills, in the right roles at the right time. Alongside this, implementing effective retention strategies, such as improved onboarding processes, enhanced reward and recognition frameworks, and regular engagement feedback mechanisms, would help address the factors contributing to employee turnover. </w:t>
      </w:r>
    </w:p>
    <w:p w14:paraId="63579AA3" w14:textId="77777777" w:rsidR="006E3A4F" w:rsidRDefault="006E3A4F" w:rsidP="006E3A4F">
      <w:pPr>
        <w:rPr>
          <w:rFonts w:ascii="Tahoma" w:hAnsi="Tahoma" w:cs="Tahoma"/>
        </w:rPr>
      </w:pPr>
      <w:r>
        <w:rPr>
          <w:rFonts w:ascii="Tahoma" w:hAnsi="Tahoma" w:cs="Tahoma"/>
        </w:rPr>
        <w:lastRenderedPageBreak/>
        <w:t>Leadership development should also be prioritised, as effective line management plays a crucial role in employee engagement, wellbeing, and job satisfaction. Investing in leadership capability can support better communication, clearer expectations, and stronger working relationships, all of which contribute to improved retention outcomes. In addition, the development of clear career pathways and progression opportunities within technical and operational roles would enable employees to see long-term value in remaining with the organisation, reducing the likelihood of premature exits.</w:t>
      </w:r>
    </w:p>
    <w:p w14:paraId="32D43D53" w14:textId="77777777" w:rsidR="006E3A4F" w:rsidRPr="00E45436" w:rsidRDefault="006E3A4F" w:rsidP="006E3A4F">
      <w:pPr>
        <w:rPr>
          <w:rFonts w:ascii="Tahoma" w:hAnsi="Tahoma" w:cs="Tahoma"/>
        </w:rPr>
      </w:pPr>
      <w:r>
        <w:rPr>
          <w:rFonts w:ascii="Tahoma" w:hAnsi="Tahoma" w:cs="Tahoma"/>
        </w:rPr>
        <w:t xml:space="preserve">By adopting these integrated people management initiatives, </w:t>
      </w:r>
      <w:proofErr w:type="spellStart"/>
      <w:r>
        <w:rPr>
          <w:rFonts w:ascii="Tahoma" w:hAnsi="Tahoma" w:cs="Tahoma"/>
        </w:rPr>
        <w:t>Technivara</w:t>
      </w:r>
      <w:proofErr w:type="spellEnd"/>
      <w:r>
        <w:rPr>
          <w:rFonts w:ascii="Tahoma" w:hAnsi="Tahoma" w:cs="Tahoma"/>
        </w:rPr>
        <w:t xml:space="preserve"> can expect to achieve greater workforce stability and continuity. Reduced employee turnover would lower recruitment and training costs, minimise disruption to operational performance, and preserve valuable organisational knowledge. Furthermore, improved engagement and retention levels are likely to enhance productivity, service quality, and employee morale. Collectively, these outcomes would support sustainable organisational performance and strengthen </w:t>
      </w:r>
      <w:proofErr w:type="spellStart"/>
      <w:r>
        <w:rPr>
          <w:rFonts w:ascii="Tahoma" w:hAnsi="Tahoma" w:cs="Tahoma"/>
        </w:rPr>
        <w:t>Technivara’s</w:t>
      </w:r>
      <w:proofErr w:type="spellEnd"/>
      <w:r>
        <w:rPr>
          <w:rFonts w:ascii="Tahoma" w:hAnsi="Tahoma" w:cs="Tahoma"/>
        </w:rPr>
        <w:t xml:space="preserve"> ability to respond effectively to future business demands and competitive pressures. This strategic focus will improve employer reputation and long-term resilience. </w:t>
      </w:r>
    </w:p>
    <w:p w14:paraId="5DDF76E1" w14:textId="77777777" w:rsidR="006E3A4F" w:rsidRPr="00A733EA" w:rsidRDefault="006E3A4F" w:rsidP="00AC73D4">
      <w:pPr>
        <w:rPr>
          <w:rFonts w:ascii="Tahoma" w:hAnsi="Tahoma" w:cs="Tahoma"/>
        </w:rPr>
      </w:pPr>
    </w:p>
    <w:p w14:paraId="7DFFF867" w14:textId="77777777" w:rsidR="005315A1" w:rsidRDefault="005315A1" w:rsidP="00AC73D4">
      <w:pPr>
        <w:rPr>
          <w:rFonts w:ascii="Tahoma" w:hAnsi="Tahoma" w:cs="Tahoma"/>
        </w:rPr>
      </w:pPr>
    </w:p>
    <w:p w14:paraId="75854E35" w14:textId="77777777" w:rsidR="008A0E02" w:rsidRDefault="008A0E02" w:rsidP="00AC73D4">
      <w:pPr>
        <w:rPr>
          <w:rFonts w:ascii="Tahoma" w:hAnsi="Tahoma" w:cs="Tahoma"/>
        </w:rPr>
      </w:pPr>
    </w:p>
    <w:p w14:paraId="7772922A" w14:textId="77777777" w:rsidR="00F15AED" w:rsidRDefault="00F15AED" w:rsidP="00AC73D4">
      <w:pPr>
        <w:rPr>
          <w:rFonts w:ascii="Tahoma" w:hAnsi="Tahoma" w:cs="Tahoma"/>
        </w:rPr>
      </w:pPr>
    </w:p>
    <w:p w14:paraId="6EF232B2" w14:textId="77777777" w:rsidR="005E16B3" w:rsidRDefault="005E16B3" w:rsidP="00AC73D4">
      <w:pPr>
        <w:rPr>
          <w:rFonts w:ascii="Tahoma" w:hAnsi="Tahoma" w:cs="Tahoma"/>
        </w:rPr>
      </w:pPr>
    </w:p>
    <w:p w14:paraId="13E56366" w14:textId="579783BC" w:rsidR="005E16B3" w:rsidRPr="00333358" w:rsidRDefault="00333358" w:rsidP="00AC73D4">
      <w:pPr>
        <w:rPr>
          <w:rFonts w:ascii="Tahoma" w:hAnsi="Tahoma" w:cs="Tahoma"/>
          <w:u w:val="single"/>
        </w:rPr>
      </w:pPr>
      <w:r w:rsidRPr="00333358">
        <w:rPr>
          <w:rFonts w:ascii="Tahoma" w:hAnsi="Tahoma" w:cs="Tahoma"/>
          <w:u w:val="single"/>
        </w:rPr>
        <w:t>Reference List – Task One</w:t>
      </w:r>
    </w:p>
    <w:p w14:paraId="6201326E" w14:textId="77777777" w:rsidR="00333358" w:rsidRPr="004A4A7F" w:rsidRDefault="00333358" w:rsidP="00333358">
      <w:r w:rsidRPr="004A4A7F">
        <w:t xml:space="preserve">Barends, E. and Rousseau, D.M. (2018a). </w:t>
      </w:r>
      <w:r w:rsidRPr="004A4A7F">
        <w:rPr>
          <w:i/>
          <w:iCs/>
        </w:rPr>
        <w:t xml:space="preserve">Evidence-based </w:t>
      </w:r>
      <w:proofErr w:type="gramStart"/>
      <w:r w:rsidRPr="004A4A7F">
        <w:rPr>
          <w:i/>
          <w:iCs/>
        </w:rPr>
        <w:t>management :</w:t>
      </w:r>
      <w:proofErr w:type="gramEnd"/>
      <w:r w:rsidRPr="004A4A7F">
        <w:rPr>
          <w:i/>
          <w:iCs/>
        </w:rPr>
        <w:t xml:space="preserve"> how to use evidence to make better organizational decisions</w:t>
      </w:r>
      <w:r w:rsidRPr="004A4A7F">
        <w:t>. New York: Kogan Page Ltd.</w:t>
      </w:r>
    </w:p>
    <w:p w14:paraId="62F894EE" w14:textId="77777777" w:rsidR="00333358" w:rsidRPr="004A4A7F" w:rsidRDefault="00333358" w:rsidP="00333358">
      <w:r w:rsidRPr="004A4A7F">
        <w:t xml:space="preserve">Barends, E. and Rousseau, D.M. (2018b). </w:t>
      </w:r>
      <w:r w:rsidRPr="004A4A7F">
        <w:rPr>
          <w:i/>
          <w:iCs/>
        </w:rPr>
        <w:t>Evidence-based Management: how to use evidence to make better organisational decisions</w:t>
      </w:r>
      <w:r w:rsidRPr="004A4A7F">
        <w:t>. Kogan Page Limited.</w:t>
      </w:r>
    </w:p>
    <w:p w14:paraId="757648AC" w14:textId="77777777" w:rsidR="00333358" w:rsidRPr="004A4A7F" w:rsidRDefault="00333358" w:rsidP="00333358">
      <w:r w:rsidRPr="004A4A7F">
        <w:t xml:space="preserve">Barends, E., Rousseau, D.M. and Briner, R. (2014). </w:t>
      </w:r>
      <w:r w:rsidRPr="004A4A7F">
        <w:rPr>
          <w:i/>
          <w:iCs/>
        </w:rPr>
        <w:t xml:space="preserve">Evidence-Based Management: </w:t>
      </w:r>
      <w:proofErr w:type="gramStart"/>
      <w:r w:rsidRPr="004A4A7F">
        <w:rPr>
          <w:i/>
          <w:iCs/>
        </w:rPr>
        <w:t>the</w:t>
      </w:r>
      <w:proofErr w:type="gramEnd"/>
      <w:r w:rsidRPr="004A4A7F">
        <w:rPr>
          <w:i/>
          <w:iCs/>
        </w:rPr>
        <w:t xml:space="preserve"> Basic Principles</w:t>
      </w:r>
      <w:r w:rsidRPr="004A4A7F">
        <w:t xml:space="preserve">. [online] </w:t>
      </w:r>
      <w:proofErr w:type="spellStart"/>
      <w:r w:rsidRPr="004A4A7F">
        <w:t>CEBMa</w:t>
      </w:r>
      <w:proofErr w:type="spellEnd"/>
      <w:r w:rsidRPr="004A4A7F">
        <w:t>. Available at: https://cebma.org/assets/Uploads/Evidence-Based-Practice-The-Basic-Principles.pdf [Accessed 17 Dec. 2025].</w:t>
      </w:r>
    </w:p>
    <w:p w14:paraId="55CEE2FF" w14:textId="77777777" w:rsidR="00333358" w:rsidRPr="004A4A7F" w:rsidRDefault="00333358" w:rsidP="00333358">
      <w:r w:rsidRPr="004A4A7F">
        <w:t xml:space="preserve">Briner, R. (2023). Evidence-based HR and people analytics are the same, right? Afraid not. </w:t>
      </w:r>
      <w:proofErr w:type="gramStart"/>
      <w:r w:rsidRPr="004A4A7F">
        <w:t>doi:https://www.peoplemanagement.co.uk/article/1851101/evidence-based-hr-people-analytics-same-right-afraid-not</w:t>
      </w:r>
      <w:proofErr w:type="gramEnd"/>
      <w:r w:rsidRPr="004A4A7F">
        <w:t>.</w:t>
      </w:r>
    </w:p>
    <w:p w14:paraId="7CE73BDB" w14:textId="77777777" w:rsidR="00333358" w:rsidRPr="004A4A7F" w:rsidRDefault="00333358" w:rsidP="00333358">
      <w:r w:rsidRPr="004A4A7F">
        <w:lastRenderedPageBreak/>
        <w:t xml:space="preserve">Cassidy, N. (2018). </w:t>
      </w:r>
      <w:r w:rsidRPr="004A4A7F">
        <w:rPr>
          <w:i/>
          <w:iCs/>
        </w:rPr>
        <w:t>CIPD | Evidence-based L&amp;D - ‘Why does evidence matter?’ | Podcast</w:t>
      </w:r>
      <w:r w:rsidRPr="004A4A7F">
        <w:t>. [online] CIPD. Available at: https://www.cipd.org/en/knowledge/podcasts/ld-why-does-evidence-matter/ [Accessed 17 Dec. 2025].</w:t>
      </w:r>
    </w:p>
    <w:p w14:paraId="4DF03DFD" w14:textId="77777777" w:rsidR="00333358" w:rsidRPr="004A4A7F" w:rsidRDefault="00333358" w:rsidP="00333358">
      <w:r w:rsidRPr="004A4A7F">
        <w:t xml:space="preserve">Chatfield, T. (2019). </w:t>
      </w:r>
      <w:r w:rsidRPr="004A4A7F">
        <w:rPr>
          <w:i/>
          <w:iCs/>
        </w:rPr>
        <w:t>Think Critically.</w:t>
      </w:r>
      <w:r w:rsidRPr="004A4A7F">
        <w:t xml:space="preserve"> S.L.: Sage Publications.</w:t>
      </w:r>
    </w:p>
    <w:p w14:paraId="1486EF73" w14:textId="77777777" w:rsidR="00333358" w:rsidRPr="004A4A7F" w:rsidRDefault="00333358" w:rsidP="00333358">
      <w:r w:rsidRPr="004A4A7F">
        <w:t xml:space="preserve">CIPD (2016). </w:t>
      </w:r>
      <w:r w:rsidRPr="004A4A7F">
        <w:rPr>
          <w:i/>
          <w:iCs/>
        </w:rPr>
        <w:t>CIPD | How to Write a Critical Review</w:t>
      </w:r>
      <w:r w:rsidRPr="004A4A7F">
        <w:t>. [online] CIPD. Available at: https://www.cipd.org/uk/learning/support-for-students/currently-studying/critical-review-writing/ [Accessed 5 Jan. 2026].</w:t>
      </w:r>
    </w:p>
    <w:p w14:paraId="179CCEC5" w14:textId="77777777" w:rsidR="00333358" w:rsidRPr="004A4A7F" w:rsidRDefault="00333358" w:rsidP="00333358">
      <w:r w:rsidRPr="004A4A7F">
        <w:t xml:space="preserve">CIPD (2019a). </w:t>
      </w:r>
      <w:r w:rsidRPr="004A4A7F">
        <w:rPr>
          <w:i/>
          <w:iCs/>
        </w:rPr>
        <w:t>CIPD | Ensuring evidence-based HR Practice</w:t>
      </w:r>
      <w:r w:rsidRPr="004A4A7F">
        <w:t>. [online] CIPD. Available at: https://www.cipd.org/uk/knowledge/bitesize-research/ensuring-evidence-hr/ [Accessed 22 Dec. 2025].</w:t>
      </w:r>
    </w:p>
    <w:p w14:paraId="75B513AF" w14:textId="77777777" w:rsidR="00333358" w:rsidRPr="004A4A7F" w:rsidRDefault="00333358" w:rsidP="00333358">
      <w:r w:rsidRPr="004A4A7F">
        <w:t xml:space="preserve">CIPD (2019b). </w:t>
      </w:r>
      <w:r w:rsidRPr="004A4A7F">
        <w:rPr>
          <w:i/>
          <w:iCs/>
        </w:rPr>
        <w:t>Rotten apples, bad barrels and sticky situations: a review of unethical workplace behaviour</w:t>
      </w:r>
      <w:r w:rsidRPr="004A4A7F">
        <w:t>. [online] CIPD. Available at: https://www.cipd.org/uk/knowledge/evidence-reviews/ethical-behaviour/ [Accessed 8 Jan. 2026].</w:t>
      </w:r>
    </w:p>
    <w:p w14:paraId="3EC122A6" w14:textId="77777777" w:rsidR="00333358" w:rsidRPr="004A4A7F" w:rsidRDefault="00333358" w:rsidP="00333358">
      <w:r w:rsidRPr="004A4A7F">
        <w:t xml:space="preserve">CIPD (2023a). </w:t>
      </w:r>
      <w:r w:rsidRPr="004A4A7F">
        <w:rPr>
          <w:i/>
          <w:iCs/>
        </w:rPr>
        <w:t>Building an evidence-based people profession</w:t>
      </w:r>
      <w:r w:rsidRPr="004A4A7F">
        <w:t>. [online] CIPD. Available at: https://www.cipd.org/uk/views-and-insights/thought-leadership/insight/evidence-based-profession/ [Accessed 7 Jan. 2026].</w:t>
      </w:r>
    </w:p>
    <w:p w14:paraId="125B20BC" w14:textId="77777777" w:rsidR="00333358" w:rsidRPr="004A4A7F" w:rsidRDefault="00333358" w:rsidP="00333358">
      <w:r w:rsidRPr="004A4A7F">
        <w:t xml:space="preserve">CIPD (2023b). </w:t>
      </w:r>
      <w:r w:rsidRPr="004A4A7F">
        <w:rPr>
          <w:i/>
          <w:iCs/>
        </w:rPr>
        <w:t>CIPD | Absence Measurement &amp; Management | Factsheets</w:t>
      </w:r>
      <w:r w:rsidRPr="004A4A7F">
        <w:t>. [online] CIPD. Available at: https://www.cipd.org/en/knowledge/factsheets/absence-factsheet/ [Accessed 5 Jan. 2026].</w:t>
      </w:r>
    </w:p>
    <w:p w14:paraId="4D038B63" w14:textId="77777777" w:rsidR="00333358" w:rsidRPr="004A4A7F" w:rsidRDefault="00333358" w:rsidP="00333358">
      <w:r w:rsidRPr="004A4A7F">
        <w:t xml:space="preserve">CIPD (2023c). </w:t>
      </w:r>
      <w:r w:rsidRPr="004A4A7F">
        <w:rPr>
          <w:i/>
          <w:iCs/>
        </w:rPr>
        <w:t>Health and wellbeing at work</w:t>
      </w:r>
      <w:r w:rsidRPr="004A4A7F">
        <w:t>. [online] CIPD. Available at: https://www.cipd.org/uk/knowledge/reports/health-well-being-work/ [Accessed 5 Jan. 2026].</w:t>
      </w:r>
    </w:p>
    <w:p w14:paraId="1C072C8F" w14:textId="77777777" w:rsidR="00333358" w:rsidRPr="004A4A7F" w:rsidRDefault="00333358" w:rsidP="00333358">
      <w:r w:rsidRPr="004A4A7F">
        <w:t xml:space="preserve">CIPD (2025a). </w:t>
      </w:r>
      <w:r w:rsidRPr="004A4A7F">
        <w:rPr>
          <w:i/>
          <w:iCs/>
        </w:rPr>
        <w:t>CIPD | Evidence-based HR: Make better decisions and step up your influence</w:t>
      </w:r>
      <w:r w:rsidRPr="004A4A7F">
        <w:t>. [online] CIPD. Available at: https://www.cipd.org/en/knowledge/guides/evidence-based-profession/#what-is-evidencebased-practice [Accessed 7 Jan. 2026].</w:t>
      </w:r>
    </w:p>
    <w:p w14:paraId="5A452A63" w14:textId="77777777" w:rsidR="00333358" w:rsidRPr="004A4A7F" w:rsidRDefault="00333358" w:rsidP="00333358">
      <w:r w:rsidRPr="004A4A7F">
        <w:t xml:space="preserve">CIPD (2025b). </w:t>
      </w:r>
      <w:r w:rsidRPr="004A4A7F">
        <w:rPr>
          <w:i/>
          <w:iCs/>
        </w:rPr>
        <w:t>CIPD | Evidence-based Practice for Effective decision-making | Factsheets</w:t>
      </w:r>
      <w:r w:rsidRPr="004A4A7F">
        <w:t>. [online] CIPD. Available at: https://www.cipd.org/uk/knowledge/factsheets/evidence-based-practice-factsheet/ [Accessed 7 Jan. 2026].</w:t>
      </w:r>
    </w:p>
    <w:p w14:paraId="2A77F9E6" w14:textId="77777777" w:rsidR="00333358" w:rsidRPr="004A4A7F" w:rsidRDefault="00333358" w:rsidP="00333358">
      <w:r w:rsidRPr="004A4A7F">
        <w:t xml:space="preserve">CIPD (2025c). </w:t>
      </w:r>
      <w:r w:rsidRPr="004A4A7F">
        <w:rPr>
          <w:i/>
          <w:iCs/>
        </w:rPr>
        <w:t>CIPD | Learning and Development for People Professionals</w:t>
      </w:r>
      <w:r w:rsidRPr="004A4A7F">
        <w:t>. [online] CIPD. Available at: https://www.cipd.org/uk/knowledge/guides/learning-and-development/ [Accessed 28 Jan. 2026].</w:t>
      </w:r>
    </w:p>
    <w:p w14:paraId="57BAAF8A" w14:textId="77777777" w:rsidR="00333358" w:rsidRPr="004A4A7F" w:rsidRDefault="00333358" w:rsidP="00333358">
      <w:r w:rsidRPr="004A4A7F">
        <w:lastRenderedPageBreak/>
        <w:t xml:space="preserve">CIPD (2025d). </w:t>
      </w:r>
      <w:r w:rsidRPr="004A4A7F">
        <w:rPr>
          <w:i/>
          <w:iCs/>
        </w:rPr>
        <w:t>PESTLE Analysis</w:t>
      </w:r>
      <w:r w:rsidRPr="004A4A7F">
        <w:t>. [online] CIPD. Available at: https://www.cipd.org/uk/knowledge/factsheets/pestle-analysis-factsheet/ [Accessed 1 Jan. 2026].</w:t>
      </w:r>
    </w:p>
    <w:p w14:paraId="2FED29CF" w14:textId="77777777" w:rsidR="00333358" w:rsidRPr="004A4A7F" w:rsidRDefault="00333358" w:rsidP="00333358">
      <w:r w:rsidRPr="004A4A7F">
        <w:t xml:space="preserve">CIPD. (2018). </w:t>
      </w:r>
      <w:r w:rsidRPr="004A4A7F">
        <w:rPr>
          <w:i/>
          <w:iCs/>
        </w:rPr>
        <w:t>CIPD | Pride in the profession: new CIPD survey finds people professionals happy and energised in meaningful careers | CIPD</w:t>
      </w:r>
      <w:r w:rsidRPr="004A4A7F">
        <w:t>. [online] Available at: https://www.cipd.org/uk/about/press-releases-archive/051118-pride-in-the-profession/ [Accessed 5 Jan. 2026].</w:t>
      </w:r>
    </w:p>
    <w:p w14:paraId="3869BA86" w14:textId="77777777" w:rsidR="00333358" w:rsidRPr="004A4A7F" w:rsidRDefault="00333358" w:rsidP="00333358">
      <w:r w:rsidRPr="004A4A7F">
        <w:t xml:space="preserve">CIPD. (2024). </w:t>
      </w:r>
      <w:r w:rsidRPr="004A4A7F">
        <w:rPr>
          <w:i/>
          <w:iCs/>
        </w:rPr>
        <w:t>CIPD | People analytics: Guide for people professionals</w:t>
      </w:r>
      <w:r w:rsidRPr="004A4A7F">
        <w:t>. [online] Available at: https://www.cipd.org/uk/knowledge/guides/analytics-practitioner-guide/#how-is-hr-using-people-analytics [Accessed 9 Jan. 2026].</w:t>
      </w:r>
    </w:p>
    <w:p w14:paraId="4B2575BB" w14:textId="77777777" w:rsidR="00333358" w:rsidRPr="004A4A7F" w:rsidRDefault="00333358" w:rsidP="00333358">
      <w:r w:rsidRPr="004A4A7F">
        <w:t xml:space="preserve">Clark, S. (2015). </w:t>
      </w:r>
      <w:r w:rsidRPr="004A4A7F">
        <w:rPr>
          <w:i/>
          <w:iCs/>
        </w:rPr>
        <w:t>Ethical decision-making: Eight Perspectives on Workplace Dilemmas</w:t>
      </w:r>
      <w:r w:rsidRPr="004A4A7F">
        <w:t>. [online] CIPD. Available at: https://www.cipd.org/globalassets/media/comms/the-people-profession/profession-map-pdfs/ethical-decision-making-2015-eight-perspectives-on-workplace-dilemmas_tcm29-9564.pdf [Accessed 8 Jan. 2026].</w:t>
      </w:r>
    </w:p>
    <w:p w14:paraId="7722529C" w14:textId="77777777" w:rsidR="00333358" w:rsidRPr="004A4A7F" w:rsidRDefault="00333358" w:rsidP="00333358">
      <w:r w:rsidRPr="004A4A7F">
        <w:t xml:space="preserve">CMI (2020). </w:t>
      </w:r>
      <w:r w:rsidRPr="004A4A7F">
        <w:rPr>
          <w:i/>
          <w:iCs/>
        </w:rPr>
        <w:t>Decision Making</w:t>
      </w:r>
      <w:r w:rsidRPr="004A4A7F">
        <w:t>. [online] CMI. Available at: https://www.managers.org.uk/knowledge-and-insights/resource/decision-making/ [Accessed 7 Jan. 2026].</w:t>
      </w:r>
    </w:p>
    <w:p w14:paraId="7AC8160A" w14:textId="77777777" w:rsidR="00333358" w:rsidRPr="004A4A7F" w:rsidRDefault="00333358" w:rsidP="00333358">
      <w:r w:rsidRPr="004A4A7F">
        <w:t xml:space="preserve">Goyal, A. (2020). </w:t>
      </w:r>
      <w:r w:rsidRPr="004A4A7F">
        <w:rPr>
          <w:i/>
          <w:iCs/>
        </w:rPr>
        <w:t>A Critical Analysis of Porter’s 5 Forces Model of Competitive Advantage</w:t>
      </w:r>
      <w:r w:rsidRPr="004A4A7F">
        <w:t>. [online] Journal of Emerging Technologies and Innovative Research. Available at: https://www.researchgate.net/publication/348550277_A_Critical_Analysis_of_Porter [Accessed 2 Jan. 2026].</w:t>
      </w:r>
    </w:p>
    <w:p w14:paraId="69028912" w14:textId="77777777" w:rsidR="00333358" w:rsidRPr="004A4A7F" w:rsidRDefault="00333358" w:rsidP="00333358">
      <w:r w:rsidRPr="004A4A7F">
        <w:t xml:space="preserve">Hopper, S. (2020). </w:t>
      </w:r>
      <w:r w:rsidRPr="004A4A7F">
        <w:rPr>
          <w:i/>
          <w:iCs/>
        </w:rPr>
        <w:t>CIPD | How can change and transformation be more ethical?</w:t>
      </w:r>
      <w:r w:rsidRPr="004A4A7F">
        <w:t xml:space="preserve"> [online] CIPD. Available at: https://www.cipd.org/uk/views-and-insights/thought-leadership/insight/transformation-ethical/ [Accessed 6 Jan. 2026].</w:t>
      </w:r>
    </w:p>
    <w:p w14:paraId="21517918" w14:textId="77777777" w:rsidR="00333358" w:rsidRPr="004A4A7F" w:rsidRDefault="00333358" w:rsidP="00333358">
      <w:r w:rsidRPr="004A4A7F">
        <w:t xml:space="preserve">Howlett, W. and Coburn, T. (2019). </w:t>
      </w:r>
      <w:r w:rsidRPr="004A4A7F">
        <w:rPr>
          <w:i/>
          <w:iCs/>
        </w:rPr>
        <w:t>CIPD | Critical thinking | Podcast</w:t>
      </w:r>
      <w:r w:rsidRPr="004A4A7F">
        <w:t>. [online] CIPD. Available at: https://www.cipd.org/uk/knowledge/podcasts/critical-thinking/ [Accessed 6 Jan. 2026].</w:t>
      </w:r>
    </w:p>
    <w:p w14:paraId="4D9F435E" w14:textId="77777777" w:rsidR="00333358" w:rsidRPr="004A4A7F" w:rsidRDefault="00333358" w:rsidP="00333358">
      <w:proofErr w:type="spellStart"/>
      <w:r w:rsidRPr="004A4A7F">
        <w:t>Hulpke</w:t>
      </w:r>
      <w:proofErr w:type="spellEnd"/>
      <w:r w:rsidRPr="004A4A7F">
        <w:t xml:space="preserve">, J.F. and </w:t>
      </w:r>
      <w:proofErr w:type="spellStart"/>
      <w:r w:rsidRPr="004A4A7F">
        <w:t>Fronmueller</w:t>
      </w:r>
      <w:proofErr w:type="spellEnd"/>
      <w:r w:rsidRPr="004A4A7F">
        <w:t xml:space="preserve">, M.P. (2020). Review of Evidence-Based Management: How to Make Better Organizational Decisions by Eric Barends and Denise Rousseau. </w:t>
      </w:r>
      <w:r w:rsidRPr="004A4A7F">
        <w:rPr>
          <w:i/>
          <w:iCs/>
        </w:rPr>
        <w:t>Journal of Business Ethics</w:t>
      </w:r>
      <w:r w:rsidRPr="004A4A7F">
        <w:t xml:space="preserve">, 164(2), pp.417–419. </w:t>
      </w:r>
      <w:proofErr w:type="spellStart"/>
      <w:proofErr w:type="gramStart"/>
      <w:r w:rsidRPr="004A4A7F">
        <w:t>doi:https</w:t>
      </w:r>
      <w:proofErr w:type="spellEnd"/>
      <w:r w:rsidRPr="004A4A7F">
        <w:t>://doi.org/10.1007/s10551-020-04488-3</w:t>
      </w:r>
      <w:proofErr w:type="gramEnd"/>
      <w:r w:rsidRPr="004A4A7F">
        <w:t>.</w:t>
      </w:r>
    </w:p>
    <w:p w14:paraId="71E84915" w14:textId="77777777" w:rsidR="00333358" w:rsidRPr="004A4A7F" w:rsidRDefault="00333358" w:rsidP="00333358">
      <w:r w:rsidRPr="004A4A7F">
        <w:t xml:space="preserve">Indeed (2024). </w:t>
      </w:r>
      <w:r w:rsidRPr="004A4A7F">
        <w:rPr>
          <w:i/>
          <w:iCs/>
        </w:rPr>
        <w:t>What is the AMO model? (Definition, importance and features)</w:t>
      </w:r>
      <w:r w:rsidRPr="004A4A7F">
        <w:t>. [online] Indeed Career Guide. Available at: https://uk.indeed.com/career-advice/career-development/amo-model [Accessed 28 Jan. 2026].</w:t>
      </w:r>
    </w:p>
    <w:p w14:paraId="7748A5F5" w14:textId="77777777" w:rsidR="00333358" w:rsidRPr="004A4A7F" w:rsidRDefault="00333358" w:rsidP="00333358">
      <w:r w:rsidRPr="004A4A7F">
        <w:lastRenderedPageBreak/>
        <w:t xml:space="preserve">Kavanagh, C. (2014). Culture of collaboration improves safety and efficiency at Travis Perkins. </w:t>
      </w:r>
      <w:r w:rsidRPr="004A4A7F">
        <w:rPr>
          <w:i/>
          <w:iCs/>
        </w:rPr>
        <w:t>Human Resource Management International Digest</w:t>
      </w:r>
      <w:r w:rsidRPr="004A4A7F">
        <w:t xml:space="preserve">, 22(4), pp.8–11. </w:t>
      </w:r>
      <w:proofErr w:type="spellStart"/>
      <w:proofErr w:type="gramStart"/>
      <w:r w:rsidRPr="004A4A7F">
        <w:t>doi:https</w:t>
      </w:r>
      <w:proofErr w:type="spellEnd"/>
      <w:r w:rsidRPr="004A4A7F">
        <w:t>://doi.org/10.1108/hrmid-07-2014-0079</w:t>
      </w:r>
      <w:proofErr w:type="gramEnd"/>
      <w:r w:rsidRPr="004A4A7F">
        <w:t>.</w:t>
      </w:r>
    </w:p>
    <w:p w14:paraId="4211CC09" w14:textId="77777777" w:rsidR="00333358" w:rsidRPr="004A4A7F" w:rsidRDefault="00333358" w:rsidP="00333358">
      <w:r w:rsidRPr="004A4A7F">
        <w:t xml:space="preserve">Pfeffer, J. and Sutton, R.I. (2006). </w:t>
      </w:r>
      <w:r w:rsidRPr="004A4A7F">
        <w:rPr>
          <w:i/>
          <w:iCs/>
        </w:rPr>
        <w:t>Evidence-Based Management</w:t>
      </w:r>
      <w:r w:rsidRPr="004A4A7F">
        <w:t>. [online] Harvard Business Review. Available at: https://hbr.org/2006/01/evidence-based-management.</w:t>
      </w:r>
    </w:p>
    <w:p w14:paraId="3FCD503C" w14:textId="77777777" w:rsidR="00333358" w:rsidRPr="004A4A7F" w:rsidRDefault="00333358" w:rsidP="00333358">
      <w:r w:rsidRPr="004A4A7F">
        <w:t xml:space="preserve">Rousseau, D.M. (2015). </w:t>
      </w:r>
      <w:r w:rsidRPr="004A4A7F">
        <w:rPr>
          <w:i/>
          <w:iCs/>
        </w:rPr>
        <w:t>Rousseau, D. M. (2006). Is There Such a Thing as ‘Evidence-Based Management’ Academy of Management Review, 31, 256-269. - References - Scientific Research Publishing</w:t>
      </w:r>
      <w:r w:rsidRPr="004A4A7F">
        <w:t>. [online] www.scirp.org. Available at: https://www.scirp.org/reference/referencespapers?referenceid=1569227 [Accessed 17 Dec. 2025].</w:t>
      </w:r>
    </w:p>
    <w:p w14:paraId="428BD4E7" w14:textId="77777777" w:rsidR="00333358" w:rsidRPr="004A4A7F" w:rsidRDefault="00333358" w:rsidP="00333358">
      <w:r w:rsidRPr="004A4A7F">
        <w:t xml:space="preserve">Stobierski, T. (2020). </w:t>
      </w:r>
      <w:r w:rsidRPr="004A4A7F">
        <w:rPr>
          <w:i/>
          <w:iCs/>
        </w:rPr>
        <w:t>13 Financial Performance Measures Managers Should Monitor</w:t>
      </w:r>
      <w:r w:rsidRPr="004A4A7F">
        <w:t>. [online] Harvard Business School Online. Available at: https://online.hbs.edu/blog/post/financial-performance-measures [Accessed 9 Jan. 2026].</w:t>
      </w:r>
    </w:p>
    <w:p w14:paraId="09738A39" w14:textId="77777777" w:rsidR="00333358" w:rsidRPr="004A4A7F" w:rsidRDefault="00333358" w:rsidP="00333358">
      <w:proofErr w:type="spellStart"/>
      <w:r w:rsidRPr="004A4A7F">
        <w:t>Suff</w:t>
      </w:r>
      <w:proofErr w:type="spellEnd"/>
      <w:r w:rsidRPr="004A4A7F">
        <w:t xml:space="preserve">, R. (2017). </w:t>
      </w:r>
      <w:r w:rsidRPr="004A4A7F">
        <w:rPr>
          <w:i/>
          <w:iCs/>
        </w:rPr>
        <w:t>CIPD | Effective leadership - it’s all in the mind</w:t>
      </w:r>
      <w:r w:rsidRPr="004A4A7F">
        <w:t>. [online] CIPD. Available at: https://www.cipd.org/uk/knowledge/bitesize-research/effective-leadership/ [Accessed 4 Jan. 2026].</w:t>
      </w:r>
    </w:p>
    <w:p w14:paraId="308A5A31" w14:textId="77777777" w:rsidR="00333358" w:rsidRPr="004A4A7F" w:rsidRDefault="00333358" w:rsidP="00333358">
      <w:r w:rsidRPr="004A4A7F">
        <w:t xml:space="preserve">Taylor, S. and Woodhams, C. (2022a). </w:t>
      </w:r>
      <w:r w:rsidRPr="004A4A7F">
        <w:rPr>
          <w:i/>
          <w:iCs/>
        </w:rPr>
        <w:t>Studying Human Resource Management</w:t>
      </w:r>
      <w:r w:rsidRPr="004A4A7F">
        <w:t>. 3rd Edition ed. Kogan Page Limited.</w:t>
      </w:r>
    </w:p>
    <w:p w14:paraId="46B2C718" w14:textId="77777777" w:rsidR="00333358" w:rsidRPr="004A4A7F" w:rsidRDefault="00333358" w:rsidP="00333358">
      <w:r w:rsidRPr="004A4A7F">
        <w:t xml:space="preserve">Taylor, S. and Woodhams, C. (2022b). </w:t>
      </w:r>
      <w:r w:rsidRPr="004A4A7F">
        <w:rPr>
          <w:i/>
          <w:iCs/>
        </w:rPr>
        <w:t>Studying Human Resource Management</w:t>
      </w:r>
      <w:r w:rsidRPr="004A4A7F">
        <w:t>. 3rd ed. London: Kogan Page, p.152.</w:t>
      </w:r>
    </w:p>
    <w:p w14:paraId="538CAD86" w14:textId="77777777" w:rsidR="00333358" w:rsidRPr="004A4A7F" w:rsidRDefault="00333358" w:rsidP="00333358">
      <w:r w:rsidRPr="004A4A7F">
        <w:t xml:space="preserve">Taylor, S. and Woodhams, C. (2022c). </w:t>
      </w:r>
      <w:r w:rsidRPr="004A4A7F">
        <w:rPr>
          <w:i/>
          <w:iCs/>
        </w:rPr>
        <w:t>Studying Human Resource Management</w:t>
      </w:r>
      <w:r w:rsidRPr="004A4A7F">
        <w:t>. 3rd ed. Kogan Page Publishers, pp.6–13.</w:t>
      </w:r>
    </w:p>
    <w:p w14:paraId="56E9C44C" w14:textId="77777777" w:rsidR="00333358" w:rsidRPr="004A4A7F" w:rsidRDefault="00333358" w:rsidP="00333358">
      <w:r w:rsidRPr="004A4A7F">
        <w:t xml:space="preserve">Taylor, S. and Woodhams, C. (2022d). </w:t>
      </w:r>
      <w:r w:rsidRPr="004A4A7F">
        <w:rPr>
          <w:i/>
          <w:iCs/>
        </w:rPr>
        <w:t>Studying Human Resource Management a Guide to the Study, Context and Practice of HR</w:t>
      </w:r>
      <w:r w:rsidRPr="004A4A7F">
        <w:t>. 3rd ed. Kogan Page, pp.45–46.</w:t>
      </w:r>
    </w:p>
    <w:p w14:paraId="611C708C" w14:textId="77777777" w:rsidR="00333358" w:rsidRPr="004A4A7F" w:rsidRDefault="00333358" w:rsidP="00333358">
      <w:r w:rsidRPr="004A4A7F">
        <w:t xml:space="preserve">The De Bono Group (2019). </w:t>
      </w:r>
      <w:r w:rsidRPr="004A4A7F">
        <w:rPr>
          <w:i/>
          <w:iCs/>
        </w:rPr>
        <w:t>Six thinking hats</w:t>
      </w:r>
      <w:r w:rsidRPr="004A4A7F">
        <w:t>. [online] The De Bono Group. Available at: https://www.debonogroup.com/services/core-programs/six-thinking-hats/ [Accessed 7 Jan. 2026].</w:t>
      </w:r>
    </w:p>
    <w:p w14:paraId="1B169C01" w14:textId="77777777" w:rsidR="00333358" w:rsidRPr="004A4A7F" w:rsidRDefault="00333358" w:rsidP="00333358">
      <w:r w:rsidRPr="004A4A7F">
        <w:t xml:space="preserve">Waite, K., Beevers, K., Small, N., Tomlinson, K. and Hussain, S. (2021a). </w:t>
      </w:r>
      <w:r w:rsidRPr="004A4A7F">
        <w:rPr>
          <w:i/>
          <w:iCs/>
        </w:rPr>
        <w:t>People Practice: A Complete Guide</w:t>
      </w:r>
      <w:r w:rsidRPr="004A4A7F">
        <w:t xml:space="preserve">. 1st ed. London, United </w:t>
      </w:r>
      <w:proofErr w:type="gramStart"/>
      <w:r w:rsidRPr="004A4A7F">
        <w:t>Kingdom :</w:t>
      </w:r>
      <w:proofErr w:type="gramEnd"/>
      <w:r w:rsidRPr="004A4A7F">
        <w:t xml:space="preserve"> Kogan Page, p.70.</w:t>
      </w:r>
    </w:p>
    <w:p w14:paraId="4D6B907A" w14:textId="77777777" w:rsidR="00333358" w:rsidRPr="004A4A7F" w:rsidRDefault="00333358" w:rsidP="00333358">
      <w:r w:rsidRPr="004A4A7F">
        <w:t xml:space="preserve">Waite, K., Beevers, K., Small, N., Tomlinson, K. and Hussain, S. (2021b). </w:t>
      </w:r>
      <w:r w:rsidRPr="004A4A7F">
        <w:rPr>
          <w:i/>
          <w:iCs/>
        </w:rPr>
        <w:t xml:space="preserve">People Practice A </w:t>
      </w:r>
      <w:proofErr w:type="gramStart"/>
      <w:r w:rsidRPr="004A4A7F">
        <w:rPr>
          <w:i/>
          <w:iCs/>
        </w:rPr>
        <w:t>complete</w:t>
      </w:r>
      <w:proofErr w:type="gramEnd"/>
      <w:r w:rsidRPr="004A4A7F">
        <w:rPr>
          <w:i/>
          <w:iCs/>
        </w:rPr>
        <w:t xml:space="preserve"> Guide</w:t>
      </w:r>
      <w:r w:rsidRPr="004A4A7F">
        <w:t>. Kogan Page Limited.</w:t>
      </w:r>
    </w:p>
    <w:p w14:paraId="3292886A" w14:textId="77777777" w:rsidR="00333358" w:rsidRPr="004A4A7F" w:rsidRDefault="00333358" w:rsidP="00333358">
      <w:r w:rsidRPr="004A4A7F">
        <w:t xml:space="preserve">Woodrow, J. (2024). </w:t>
      </w:r>
      <w:r w:rsidRPr="004A4A7F">
        <w:rPr>
          <w:i/>
          <w:iCs/>
        </w:rPr>
        <w:t>Deontological Ethics</w:t>
      </w:r>
      <w:r w:rsidRPr="004A4A7F">
        <w:t xml:space="preserve">. [online] Introduction to Ethics: Thinking Through a Moral Life. Available at: </w:t>
      </w:r>
      <w:r w:rsidRPr="004A4A7F">
        <w:lastRenderedPageBreak/>
        <w:t>https://introductiontoethics.pressbooks.tru.ca/chapter/deontological-ethics/ [Accessed 10 Jan. 2026].</w:t>
      </w:r>
    </w:p>
    <w:p w14:paraId="3A881A28" w14:textId="77777777" w:rsidR="00333358" w:rsidRPr="004A4A7F" w:rsidRDefault="00333358" w:rsidP="00333358">
      <w:r w:rsidRPr="004A4A7F">
        <w:t xml:space="preserve">www.utc.edu. (n.d.). </w:t>
      </w:r>
      <w:r w:rsidRPr="004A4A7F">
        <w:rPr>
          <w:i/>
          <w:iCs/>
        </w:rPr>
        <w:t>Basic Elements of Critical Thinking | University of Tennessee at Chattanooga</w:t>
      </w:r>
      <w:r w:rsidRPr="004A4A7F">
        <w:t>. [online] Available at: https://www.utc.edu/academic-affairs/walker-center-for-teaching-and-learning/faculty-programs/faculty-fellow-programs/faculty-fellow-program-development/basic-elements-of-critical-thinking.</w:t>
      </w:r>
    </w:p>
    <w:p w14:paraId="698CA105" w14:textId="377EC22A" w:rsidR="00F15AED" w:rsidRPr="00333358" w:rsidRDefault="00333358" w:rsidP="00333358">
      <w:r w:rsidRPr="004A4A7F">
        <w:t xml:space="preserve">Young, J. (2024). </w:t>
      </w:r>
      <w:r w:rsidRPr="004A4A7F">
        <w:rPr>
          <w:i/>
          <w:iCs/>
        </w:rPr>
        <w:t>Ethical Practice and the Role of People Professionals</w:t>
      </w:r>
      <w:r w:rsidRPr="004A4A7F">
        <w:t>. [online] CIPD. Available at: https://www.cipd.org/uk/knowledge/factsheets/ethics-role-hr-factsheet/ [Accessed 8 Jan. 2026].</w:t>
      </w:r>
    </w:p>
    <w:p w14:paraId="4A88FDDA" w14:textId="77777777" w:rsidR="00F15AED" w:rsidRDefault="00F15AED" w:rsidP="005E16B3">
      <w:pPr>
        <w:pStyle w:val="NormalWeb"/>
        <w:spacing w:before="0" w:beforeAutospacing="0" w:after="240" w:afterAutospacing="0" w:line="360" w:lineRule="auto"/>
        <w:rPr>
          <w:rFonts w:ascii="Tahoma" w:hAnsi="Tahoma" w:cs="Tahoma"/>
        </w:rPr>
      </w:pPr>
    </w:p>
    <w:p w14:paraId="2F875FFF" w14:textId="259DB0AE" w:rsidR="00F15AED" w:rsidRPr="00333358" w:rsidRDefault="00F15AED" w:rsidP="005E16B3">
      <w:pPr>
        <w:pStyle w:val="NormalWeb"/>
        <w:spacing w:before="0" w:beforeAutospacing="0" w:after="240" w:afterAutospacing="0" w:line="360" w:lineRule="auto"/>
        <w:rPr>
          <w:rFonts w:ascii="Tahoma" w:hAnsi="Tahoma" w:cs="Tahoma"/>
          <w:u w:val="single"/>
        </w:rPr>
      </w:pPr>
      <w:r>
        <w:rPr>
          <w:rFonts w:ascii="Tahoma" w:hAnsi="Tahoma" w:cs="Tahoma"/>
          <w:u w:val="single"/>
        </w:rPr>
        <w:t>Reference List – Task Two</w:t>
      </w:r>
    </w:p>
    <w:p w14:paraId="615E68E6" w14:textId="1AE1741E" w:rsidR="008A0E02" w:rsidRDefault="008A0E02" w:rsidP="008A0E02">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 xml:space="preserve">CIPD, 10 </w:t>
      </w:r>
      <w:r w:rsidR="008800E6">
        <w:rPr>
          <w:rFonts w:ascii="Roboto" w:hAnsi="Roboto"/>
          <w:color w:val="000000"/>
          <w:sz w:val="21"/>
          <w:szCs w:val="21"/>
        </w:rPr>
        <w:t>September</w:t>
      </w:r>
      <w:r>
        <w:rPr>
          <w:rFonts w:ascii="Roboto" w:hAnsi="Roboto"/>
          <w:color w:val="000000"/>
          <w:sz w:val="21"/>
          <w:szCs w:val="21"/>
        </w:rPr>
        <w:t xml:space="preserve"> 2025-last update, Learning and development: How to develop and deliver effective learning. Available: </w:t>
      </w:r>
      <w:hyperlink r:id="rId8" w:tgtFrame="_blank" w:history="1">
        <w:r>
          <w:rPr>
            <w:rStyle w:val="Hyperlink"/>
            <w:rFonts w:ascii="Roboto" w:eastAsiaTheme="majorEastAsia" w:hAnsi="Roboto"/>
            <w:color w:val="0066CC"/>
            <w:sz w:val="21"/>
            <w:szCs w:val="21"/>
          </w:rPr>
          <w:t>https://www.cipd.org/uk/knowledge/guides/learning-and-development/</w:t>
        </w:r>
      </w:hyperlink>
      <w:r>
        <w:rPr>
          <w:rFonts w:ascii="Roboto" w:hAnsi="Roboto"/>
          <w:color w:val="000000"/>
          <w:sz w:val="21"/>
          <w:szCs w:val="21"/>
        </w:rPr>
        <w:t xml:space="preserve"> [28 </w:t>
      </w:r>
      <w:r w:rsidR="008800E6">
        <w:rPr>
          <w:rFonts w:ascii="Roboto" w:hAnsi="Roboto"/>
          <w:color w:val="000000"/>
          <w:sz w:val="21"/>
          <w:szCs w:val="21"/>
        </w:rPr>
        <w:t>January</w:t>
      </w:r>
      <w:r>
        <w:rPr>
          <w:rFonts w:ascii="Roboto" w:hAnsi="Roboto"/>
          <w:color w:val="000000"/>
          <w:sz w:val="21"/>
          <w:szCs w:val="21"/>
        </w:rPr>
        <w:t>, 2026].</w:t>
      </w:r>
    </w:p>
    <w:p w14:paraId="7DEB1917" w14:textId="17D5EDE5" w:rsidR="008A0E02" w:rsidRDefault="008A0E02" w:rsidP="008A0E02">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 xml:space="preserve">HAYDEN, D., 22 </w:t>
      </w:r>
      <w:r w:rsidR="008800E6">
        <w:rPr>
          <w:rFonts w:ascii="Roboto" w:hAnsi="Roboto"/>
          <w:color w:val="000000"/>
          <w:sz w:val="21"/>
          <w:szCs w:val="21"/>
        </w:rPr>
        <w:t>August</w:t>
      </w:r>
      <w:r>
        <w:rPr>
          <w:rFonts w:ascii="Roboto" w:hAnsi="Roboto"/>
          <w:color w:val="000000"/>
          <w:sz w:val="21"/>
          <w:szCs w:val="21"/>
        </w:rPr>
        <w:t xml:space="preserve"> 2025-last update, Methods of delivery learning interventions. Available: </w:t>
      </w:r>
      <w:hyperlink r:id="rId9" w:tgtFrame="_blank" w:history="1">
        <w:r>
          <w:rPr>
            <w:rStyle w:val="Hyperlink"/>
            <w:rFonts w:ascii="Roboto" w:eastAsiaTheme="majorEastAsia" w:hAnsi="Roboto"/>
            <w:color w:val="0066CC"/>
            <w:sz w:val="21"/>
            <w:szCs w:val="21"/>
          </w:rPr>
          <w:t>https://www.cipd.org/uk/knowledge/factsheets/learning-methods-factsheet/</w:t>
        </w:r>
      </w:hyperlink>
      <w:r>
        <w:rPr>
          <w:rFonts w:ascii="Roboto" w:hAnsi="Roboto"/>
          <w:color w:val="000000"/>
          <w:sz w:val="21"/>
          <w:szCs w:val="21"/>
        </w:rPr>
        <w:t> [01/02, 2026].</w:t>
      </w:r>
    </w:p>
    <w:p w14:paraId="21793FEF" w14:textId="3688202D" w:rsidR="002F7085" w:rsidRDefault="002F7085" w:rsidP="008A0E02">
      <w:pPr>
        <w:pStyle w:val="NormalWeb"/>
        <w:shd w:val="clear" w:color="auto" w:fill="FFFFFF"/>
        <w:spacing w:before="0" w:beforeAutospacing="0" w:after="173" w:afterAutospacing="0"/>
        <w:rPr>
          <w:rFonts w:ascii="Roboto" w:hAnsi="Roboto"/>
          <w:color w:val="000000"/>
          <w:sz w:val="21"/>
          <w:szCs w:val="21"/>
          <w:shd w:val="clear" w:color="auto" w:fill="FFFFFF"/>
        </w:rPr>
      </w:pPr>
      <w:r>
        <w:rPr>
          <w:rFonts w:ascii="Roboto" w:hAnsi="Roboto"/>
          <w:color w:val="000000"/>
          <w:sz w:val="21"/>
          <w:szCs w:val="21"/>
          <w:shd w:val="clear" w:color="auto" w:fill="FFFFFF"/>
        </w:rPr>
        <w:t>Skills matching: Using and deploying people’s skills effectively in the workplace</w:t>
      </w:r>
      <w:r w:rsidR="008800E6">
        <w:rPr>
          <w:rFonts w:ascii="Roboto" w:hAnsi="Roboto"/>
          <w:color w:val="000000"/>
          <w:sz w:val="21"/>
          <w:szCs w:val="21"/>
          <w:shd w:val="clear" w:color="auto" w:fill="FFFFFF"/>
        </w:rPr>
        <w:t xml:space="preserve"> </w:t>
      </w:r>
      <w:r>
        <w:rPr>
          <w:rFonts w:ascii="Roboto" w:hAnsi="Roboto"/>
          <w:color w:val="000000"/>
          <w:sz w:val="21"/>
          <w:szCs w:val="21"/>
          <w:shd w:val="clear" w:color="auto" w:fill="FFFFFF"/>
        </w:rPr>
        <w:t xml:space="preserve">09 </w:t>
      </w:r>
      <w:r w:rsidR="008800E6">
        <w:rPr>
          <w:rFonts w:ascii="Roboto" w:hAnsi="Roboto"/>
          <w:color w:val="000000"/>
          <w:sz w:val="21"/>
          <w:szCs w:val="21"/>
          <w:shd w:val="clear" w:color="auto" w:fill="FFFFFF"/>
        </w:rPr>
        <w:t>December</w:t>
      </w:r>
      <w:r>
        <w:rPr>
          <w:rFonts w:ascii="Roboto" w:hAnsi="Roboto"/>
          <w:color w:val="000000"/>
          <w:sz w:val="21"/>
          <w:szCs w:val="21"/>
          <w:shd w:val="clear" w:color="auto" w:fill="FFFFFF"/>
        </w:rPr>
        <w:t xml:space="preserve"> 2024-last update. Available: </w:t>
      </w:r>
      <w:hyperlink r:id="rId10" w:tgtFrame="_blank" w:history="1">
        <w:r>
          <w:rPr>
            <w:rStyle w:val="Hyperlink"/>
            <w:rFonts w:ascii="Roboto" w:eastAsiaTheme="majorEastAsia" w:hAnsi="Roboto"/>
            <w:color w:val="0066CC"/>
            <w:sz w:val="21"/>
            <w:szCs w:val="21"/>
            <w:shd w:val="clear" w:color="auto" w:fill="FFFFFF"/>
          </w:rPr>
          <w:t>https://www.cipd.org/uk/knowledge/guides/countering-skills-mismatches-through-people-management-practice/</w:t>
        </w:r>
      </w:hyperlink>
      <w:r>
        <w:rPr>
          <w:rFonts w:ascii="Roboto" w:hAnsi="Roboto"/>
          <w:color w:val="000000"/>
          <w:sz w:val="21"/>
          <w:szCs w:val="21"/>
          <w:shd w:val="clear" w:color="auto" w:fill="FFFFFF"/>
        </w:rPr>
        <w:t> [01/02, 2026].</w:t>
      </w:r>
    </w:p>
    <w:p w14:paraId="3FA45458" w14:textId="77777777" w:rsidR="008800E6" w:rsidRDefault="008800E6" w:rsidP="008800E6">
      <w:r w:rsidRPr="004A4A7F">
        <w:t xml:space="preserve">Kurt, S. (2018). </w:t>
      </w:r>
      <w:r w:rsidRPr="004A4A7F">
        <w:rPr>
          <w:i/>
          <w:iCs/>
        </w:rPr>
        <w:t>Kirkpatrick model: Four levels of learning evaluation</w:t>
      </w:r>
      <w:r w:rsidRPr="004A4A7F">
        <w:t>. [online] Educational Technology. Available at: https://educationaltechnology.net/kirkpatrick-model-four-levels-learning-evaluation/ [Accessed 28 Jan. 2026].</w:t>
      </w:r>
    </w:p>
    <w:p w14:paraId="707532C6" w14:textId="34F5189E" w:rsidR="008800E6" w:rsidRDefault="008800E6" w:rsidP="008800E6">
      <w:pPr>
        <w:rPr>
          <w:rFonts w:ascii="Roboto" w:hAnsi="Roboto"/>
          <w:color w:val="000000"/>
          <w:sz w:val="21"/>
          <w:szCs w:val="21"/>
          <w:shd w:val="clear" w:color="auto" w:fill="FFFFFF"/>
        </w:rPr>
      </w:pPr>
      <w:r>
        <w:rPr>
          <w:rFonts w:ascii="Roboto" w:hAnsi="Roboto"/>
          <w:color w:val="000000"/>
          <w:sz w:val="21"/>
          <w:szCs w:val="21"/>
          <w:shd w:val="clear" w:color="auto" w:fill="FFFFFF"/>
        </w:rPr>
        <w:t xml:space="preserve">BANKS, P., Adrian, 05 </w:t>
      </w:r>
      <w:r>
        <w:rPr>
          <w:rFonts w:ascii="Roboto" w:hAnsi="Roboto"/>
          <w:color w:val="000000"/>
          <w:sz w:val="21"/>
          <w:szCs w:val="21"/>
          <w:shd w:val="clear" w:color="auto" w:fill="FFFFFF"/>
        </w:rPr>
        <w:t>February</w:t>
      </w:r>
      <w:r>
        <w:rPr>
          <w:rFonts w:ascii="Roboto" w:hAnsi="Roboto"/>
          <w:color w:val="000000"/>
          <w:sz w:val="21"/>
          <w:szCs w:val="21"/>
          <w:shd w:val="clear" w:color="auto" w:fill="FFFFFF"/>
        </w:rPr>
        <w:t xml:space="preserve"> 2014-last update, Fresh thinking in learning and development. Available: </w:t>
      </w:r>
      <w:hyperlink r:id="rId11" w:tgtFrame="_blank" w:history="1">
        <w:r>
          <w:rPr>
            <w:rStyle w:val="Hyperlink"/>
            <w:rFonts w:ascii="Roboto" w:hAnsi="Roboto"/>
            <w:color w:val="0066CC"/>
            <w:sz w:val="21"/>
            <w:szCs w:val="21"/>
            <w:shd w:val="clear" w:color="auto" w:fill="FFFFFF"/>
          </w:rPr>
          <w:t>https://www.cipd.org/uk/knowledge/evidence-reviews/fresh-thinking-learning-development/</w:t>
        </w:r>
      </w:hyperlink>
      <w:r>
        <w:rPr>
          <w:rFonts w:ascii="Roboto" w:hAnsi="Roboto"/>
          <w:color w:val="000000"/>
          <w:sz w:val="21"/>
          <w:szCs w:val="21"/>
          <w:shd w:val="clear" w:color="auto" w:fill="FFFFFF"/>
        </w:rPr>
        <w:t> [01/02, 2026].</w:t>
      </w:r>
    </w:p>
    <w:p w14:paraId="7C31EBB2" w14:textId="02A2D8FB" w:rsidR="00A733EA" w:rsidRDefault="00A733EA" w:rsidP="008800E6">
      <w:pPr>
        <w:rPr>
          <w:rFonts w:ascii="Roboto" w:hAnsi="Roboto"/>
          <w:color w:val="000000"/>
          <w:sz w:val="21"/>
          <w:szCs w:val="21"/>
          <w:shd w:val="clear" w:color="auto" w:fill="FFFFFF"/>
        </w:rPr>
      </w:pPr>
      <w:r>
        <w:rPr>
          <w:rFonts w:ascii="Roboto" w:hAnsi="Roboto"/>
          <w:color w:val="000000"/>
          <w:sz w:val="21"/>
          <w:szCs w:val="21"/>
          <w:shd w:val="clear" w:color="auto" w:fill="FFFFFF"/>
        </w:rPr>
        <w:t xml:space="preserve">BANKS, P., Adrian and MCGURK, J., </w:t>
      </w:r>
      <w:r>
        <w:rPr>
          <w:rFonts w:ascii="Roboto" w:hAnsi="Roboto"/>
          <w:color w:val="000000"/>
          <w:sz w:val="21"/>
          <w:szCs w:val="21"/>
          <w:shd w:val="clear" w:color="auto" w:fill="FFFFFF"/>
        </w:rPr>
        <w:t>February</w:t>
      </w:r>
      <w:r>
        <w:rPr>
          <w:rFonts w:ascii="Roboto" w:hAnsi="Roboto"/>
          <w:color w:val="000000"/>
          <w:sz w:val="21"/>
          <w:szCs w:val="21"/>
          <w:shd w:val="clear" w:color="auto" w:fill="FFFFFF"/>
        </w:rPr>
        <w:t xml:space="preserve"> 2014-last update, Fresh thinking in</w:t>
      </w:r>
      <w:r>
        <w:rPr>
          <w:rFonts w:ascii="Roboto" w:hAnsi="Roboto"/>
          <w:color w:val="000000"/>
          <w:sz w:val="21"/>
          <w:szCs w:val="21"/>
        </w:rPr>
        <w:br/>
      </w:r>
      <w:r>
        <w:rPr>
          <w:rFonts w:ascii="Roboto" w:hAnsi="Roboto"/>
          <w:color w:val="000000"/>
          <w:sz w:val="21"/>
          <w:szCs w:val="21"/>
          <w:shd w:val="clear" w:color="auto" w:fill="FFFFFF"/>
        </w:rPr>
        <w:t>learning and development. Available: </w:t>
      </w:r>
      <w:hyperlink r:id="rId12" w:tgtFrame="_blank" w:history="1">
        <w:r>
          <w:rPr>
            <w:rStyle w:val="Hyperlink"/>
            <w:rFonts w:ascii="Roboto" w:hAnsi="Roboto"/>
            <w:color w:val="0066CC"/>
            <w:sz w:val="21"/>
            <w:szCs w:val="21"/>
            <w:shd w:val="clear" w:color="auto" w:fill="FFFFFF"/>
          </w:rPr>
          <w:t>https://www.cipd.org/globalassets/media/misc-hero-images/444cognition-decision-and-expertise_2014-part-2-of-3-fresh-thinking_tcm18-15115.pdf</w:t>
        </w:r>
      </w:hyperlink>
      <w:r>
        <w:rPr>
          <w:rFonts w:ascii="Roboto" w:hAnsi="Roboto"/>
          <w:color w:val="000000"/>
          <w:sz w:val="21"/>
          <w:szCs w:val="21"/>
          <w:shd w:val="clear" w:color="auto" w:fill="FFFFFF"/>
        </w:rPr>
        <w:t> [01/02, 2026].</w:t>
      </w:r>
    </w:p>
    <w:p w14:paraId="20AED77A" w14:textId="3BD7F4EC" w:rsidR="00A733EA" w:rsidRDefault="00A733EA" w:rsidP="008800E6">
      <w:pPr>
        <w:rPr>
          <w:rFonts w:ascii="Roboto" w:hAnsi="Roboto"/>
          <w:color w:val="000000"/>
          <w:sz w:val="21"/>
          <w:szCs w:val="21"/>
          <w:shd w:val="clear" w:color="auto" w:fill="FFFFFF"/>
        </w:rPr>
      </w:pPr>
      <w:r>
        <w:rPr>
          <w:rFonts w:ascii="Roboto" w:hAnsi="Roboto"/>
          <w:color w:val="000000"/>
          <w:sz w:val="21"/>
          <w:szCs w:val="21"/>
          <w:shd w:val="clear" w:color="auto" w:fill="FFFFFF"/>
        </w:rPr>
        <w:t xml:space="preserve">BARNETT, </w:t>
      </w:r>
      <w:proofErr w:type="gramStart"/>
      <w:r>
        <w:rPr>
          <w:rFonts w:ascii="Roboto" w:hAnsi="Roboto"/>
          <w:color w:val="000000"/>
          <w:sz w:val="21"/>
          <w:szCs w:val="21"/>
          <w:shd w:val="clear" w:color="auto" w:fill="FFFFFF"/>
        </w:rPr>
        <w:t>N.</w:t>
      </w:r>
      <w:r w:rsidR="006E3A4F">
        <w:rPr>
          <w:rFonts w:ascii="Roboto" w:hAnsi="Roboto"/>
          <w:color w:val="000000"/>
          <w:sz w:val="21"/>
          <w:szCs w:val="21"/>
          <w:shd w:val="clear" w:color="auto" w:fill="FFFFFF"/>
        </w:rPr>
        <w:t>,,</w:t>
      </w:r>
      <w:proofErr w:type="gramEnd"/>
      <w:r>
        <w:rPr>
          <w:rFonts w:ascii="Roboto" w:hAnsi="Roboto"/>
          <w:color w:val="000000"/>
          <w:sz w:val="21"/>
          <w:szCs w:val="21"/>
          <w:shd w:val="clear" w:color="auto" w:fill="FFFFFF"/>
        </w:rPr>
        <w:t xml:space="preserve"> </w:t>
      </w:r>
      <w:r>
        <w:rPr>
          <w:rFonts w:ascii="Roboto" w:hAnsi="Roboto"/>
          <w:color w:val="000000"/>
          <w:sz w:val="21"/>
          <w:szCs w:val="21"/>
          <w:shd w:val="clear" w:color="auto" w:fill="FFFFFF"/>
        </w:rPr>
        <w:t>A Day</w:t>
      </w:r>
      <w:r>
        <w:rPr>
          <w:rFonts w:ascii="Roboto" w:hAnsi="Roboto"/>
          <w:color w:val="000000"/>
          <w:sz w:val="21"/>
          <w:szCs w:val="21"/>
          <w:shd w:val="clear" w:color="auto" w:fill="FFFFFF"/>
        </w:rPr>
        <w:t xml:space="preserve"> in the life of an L&amp;D specialist. Available: </w:t>
      </w:r>
      <w:hyperlink r:id="rId13" w:tgtFrame="_blank" w:history="1">
        <w:r>
          <w:rPr>
            <w:rStyle w:val="Hyperlink"/>
            <w:rFonts w:ascii="Roboto" w:hAnsi="Roboto"/>
            <w:color w:val="0066CC"/>
            <w:sz w:val="21"/>
            <w:szCs w:val="21"/>
            <w:shd w:val="clear" w:color="auto" w:fill="FFFFFF"/>
          </w:rPr>
          <w:t>https://www.cipd.org/uk/the-people-profession/meet-the-people-professionals/day-in-the-life-learning-development-specialist/</w:t>
        </w:r>
      </w:hyperlink>
      <w:r>
        <w:rPr>
          <w:rFonts w:ascii="Roboto" w:hAnsi="Roboto"/>
          <w:color w:val="000000"/>
          <w:sz w:val="21"/>
          <w:szCs w:val="21"/>
          <w:shd w:val="clear" w:color="auto" w:fill="FFFFFF"/>
        </w:rPr>
        <w:t> [01/02, 2026].</w:t>
      </w:r>
    </w:p>
    <w:p w14:paraId="584DC5A3" w14:textId="10AC266E" w:rsidR="006E3A4F" w:rsidRDefault="006E3A4F" w:rsidP="008800E6">
      <w:pPr>
        <w:rPr>
          <w:rFonts w:ascii="Roboto" w:hAnsi="Roboto"/>
          <w:i/>
          <w:iCs/>
          <w:color w:val="000000"/>
          <w:sz w:val="21"/>
          <w:szCs w:val="21"/>
          <w:shd w:val="clear" w:color="auto" w:fill="FFFFFF"/>
        </w:rPr>
      </w:pPr>
      <w:r>
        <w:rPr>
          <w:rFonts w:ascii="Roboto" w:hAnsi="Roboto"/>
          <w:color w:val="000000"/>
          <w:sz w:val="21"/>
          <w:szCs w:val="21"/>
          <w:shd w:val="clear" w:color="auto" w:fill="FFFFFF"/>
        </w:rPr>
        <w:t>CASSIDY, N., WALLIS, R. and CROWLEY, L., 2018. </w:t>
      </w:r>
      <w:r>
        <w:rPr>
          <w:rFonts w:ascii="Roboto" w:hAnsi="Roboto"/>
          <w:i/>
          <w:iCs/>
          <w:color w:val="000000"/>
          <w:sz w:val="21"/>
          <w:szCs w:val="21"/>
          <w:shd w:val="clear" w:color="auto" w:fill="FFFFFF"/>
        </w:rPr>
        <w:t>Leading from the heart: making an impact through soft skills.</w:t>
      </w:r>
    </w:p>
    <w:p w14:paraId="5C05023C" w14:textId="77777777" w:rsidR="006E3A4F" w:rsidRDefault="006E3A4F" w:rsidP="008800E6">
      <w:pPr>
        <w:rPr>
          <w:rFonts w:ascii="Roboto" w:hAnsi="Roboto"/>
          <w:color w:val="000000"/>
          <w:sz w:val="21"/>
          <w:szCs w:val="21"/>
          <w:shd w:val="clear" w:color="auto" w:fill="FFFFFF"/>
        </w:rPr>
      </w:pPr>
    </w:p>
    <w:p w14:paraId="2EB19988" w14:textId="77777777" w:rsidR="00A733EA" w:rsidRDefault="00A733EA" w:rsidP="008800E6">
      <w:pPr>
        <w:rPr>
          <w:rFonts w:ascii="Roboto" w:hAnsi="Roboto"/>
          <w:color w:val="000000"/>
          <w:sz w:val="21"/>
          <w:szCs w:val="21"/>
          <w:shd w:val="clear" w:color="auto" w:fill="FFFFFF"/>
        </w:rPr>
      </w:pPr>
    </w:p>
    <w:p w14:paraId="529E526C" w14:textId="77777777" w:rsidR="008800E6" w:rsidRPr="004A4A7F" w:rsidRDefault="008800E6" w:rsidP="008800E6"/>
    <w:p w14:paraId="27D55ED8" w14:textId="77777777" w:rsidR="008800E6" w:rsidRDefault="008800E6" w:rsidP="008A0E02">
      <w:pPr>
        <w:pStyle w:val="NormalWeb"/>
        <w:shd w:val="clear" w:color="auto" w:fill="FFFFFF"/>
        <w:spacing w:before="0" w:beforeAutospacing="0" w:after="173" w:afterAutospacing="0"/>
        <w:rPr>
          <w:rFonts w:ascii="Roboto" w:hAnsi="Roboto"/>
          <w:color w:val="000000"/>
          <w:sz w:val="21"/>
          <w:szCs w:val="21"/>
          <w:shd w:val="clear" w:color="auto" w:fill="FFFFFF"/>
        </w:rPr>
      </w:pPr>
    </w:p>
    <w:p w14:paraId="21495A8C" w14:textId="77777777" w:rsidR="002F7085" w:rsidRDefault="002F7085" w:rsidP="008A0E02">
      <w:pPr>
        <w:pStyle w:val="NormalWeb"/>
        <w:shd w:val="clear" w:color="auto" w:fill="FFFFFF"/>
        <w:spacing w:before="0" w:beforeAutospacing="0" w:after="173" w:afterAutospacing="0"/>
        <w:rPr>
          <w:rFonts w:ascii="Roboto" w:hAnsi="Roboto"/>
          <w:color w:val="000000"/>
          <w:sz w:val="21"/>
          <w:szCs w:val="21"/>
        </w:rPr>
      </w:pPr>
    </w:p>
    <w:p w14:paraId="0BF40218" w14:textId="77777777" w:rsidR="0060477D" w:rsidRPr="005E16B3" w:rsidRDefault="0060477D" w:rsidP="0060477D">
      <w:pPr>
        <w:pStyle w:val="NormalWeb"/>
        <w:spacing w:before="0" w:beforeAutospacing="0" w:after="240" w:afterAutospacing="0" w:line="360" w:lineRule="auto"/>
        <w:rPr>
          <w:rFonts w:ascii="Tahoma" w:hAnsi="Tahoma" w:cs="Tahoma"/>
        </w:rPr>
      </w:pPr>
    </w:p>
    <w:p w14:paraId="70BC4DB9" w14:textId="77777777" w:rsidR="005E16B3" w:rsidRPr="005E16B3" w:rsidRDefault="005E16B3" w:rsidP="00AC73D4">
      <w:pPr>
        <w:rPr>
          <w:rFonts w:ascii="Tahoma" w:hAnsi="Tahoma" w:cs="Tahoma"/>
        </w:rPr>
      </w:pPr>
    </w:p>
    <w:p w14:paraId="21F338D3" w14:textId="77777777" w:rsidR="005E16B3" w:rsidRPr="005E16B3" w:rsidRDefault="005E16B3" w:rsidP="00AC73D4">
      <w:pPr>
        <w:rPr>
          <w:rFonts w:ascii="Tahoma" w:hAnsi="Tahoma" w:cs="Tahoma"/>
        </w:rPr>
      </w:pPr>
    </w:p>
    <w:p w14:paraId="369CF018" w14:textId="77777777" w:rsidR="0071641A" w:rsidRPr="005E16B3" w:rsidRDefault="0071641A" w:rsidP="00AC73D4">
      <w:pPr>
        <w:rPr>
          <w:rFonts w:ascii="Tahoma" w:hAnsi="Tahoma" w:cs="Tahoma"/>
        </w:rPr>
      </w:pPr>
    </w:p>
    <w:p w14:paraId="4332CE0D" w14:textId="77777777" w:rsidR="00A347AB" w:rsidRPr="005E16B3" w:rsidRDefault="00A347AB" w:rsidP="00AC73D4">
      <w:pPr>
        <w:rPr>
          <w:rFonts w:ascii="Tahoma" w:hAnsi="Tahoma" w:cs="Tahoma"/>
          <w:u w:val="single"/>
        </w:rPr>
      </w:pPr>
    </w:p>
    <w:sectPr w:rsidR="00A347AB" w:rsidRPr="005E16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E92"/>
    <w:rsid w:val="00023A6E"/>
    <w:rsid w:val="00025772"/>
    <w:rsid w:val="0003455B"/>
    <w:rsid w:val="000425F8"/>
    <w:rsid w:val="0004309C"/>
    <w:rsid w:val="00051F1A"/>
    <w:rsid w:val="00052EC1"/>
    <w:rsid w:val="00053EE4"/>
    <w:rsid w:val="00056894"/>
    <w:rsid w:val="00064135"/>
    <w:rsid w:val="000642D6"/>
    <w:rsid w:val="000711D6"/>
    <w:rsid w:val="00073C4A"/>
    <w:rsid w:val="00074842"/>
    <w:rsid w:val="00075D55"/>
    <w:rsid w:val="0008745E"/>
    <w:rsid w:val="00090DB9"/>
    <w:rsid w:val="000948A2"/>
    <w:rsid w:val="000A5BC4"/>
    <w:rsid w:val="000C047E"/>
    <w:rsid w:val="000D027A"/>
    <w:rsid w:val="000D22FB"/>
    <w:rsid w:val="000D43BE"/>
    <w:rsid w:val="000E6945"/>
    <w:rsid w:val="000E705A"/>
    <w:rsid w:val="000F030F"/>
    <w:rsid w:val="000F3141"/>
    <w:rsid w:val="000F62B6"/>
    <w:rsid w:val="00102545"/>
    <w:rsid w:val="0010464E"/>
    <w:rsid w:val="001154FB"/>
    <w:rsid w:val="001167DA"/>
    <w:rsid w:val="001269AE"/>
    <w:rsid w:val="00127952"/>
    <w:rsid w:val="00130F8E"/>
    <w:rsid w:val="0013594D"/>
    <w:rsid w:val="00137D6D"/>
    <w:rsid w:val="00144095"/>
    <w:rsid w:val="001464B4"/>
    <w:rsid w:val="00150D47"/>
    <w:rsid w:val="00153B75"/>
    <w:rsid w:val="00156E21"/>
    <w:rsid w:val="00164DA0"/>
    <w:rsid w:val="00165301"/>
    <w:rsid w:val="0016729C"/>
    <w:rsid w:val="00170BE9"/>
    <w:rsid w:val="00173E25"/>
    <w:rsid w:val="0017478D"/>
    <w:rsid w:val="00181AC5"/>
    <w:rsid w:val="0019513C"/>
    <w:rsid w:val="001A0D7B"/>
    <w:rsid w:val="001A333D"/>
    <w:rsid w:val="001A3FE0"/>
    <w:rsid w:val="001A4BED"/>
    <w:rsid w:val="001A688F"/>
    <w:rsid w:val="001A72C4"/>
    <w:rsid w:val="001D0D2D"/>
    <w:rsid w:val="001D1A3F"/>
    <w:rsid w:val="001D757A"/>
    <w:rsid w:val="001E4295"/>
    <w:rsid w:val="001F1650"/>
    <w:rsid w:val="001F3152"/>
    <w:rsid w:val="001F47EE"/>
    <w:rsid w:val="001F5826"/>
    <w:rsid w:val="00202825"/>
    <w:rsid w:val="00202CDF"/>
    <w:rsid w:val="00210B8D"/>
    <w:rsid w:val="00212AAA"/>
    <w:rsid w:val="00223E06"/>
    <w:rsid w:val="00226019"/>
    <w:rsid w:val="00230D1B"/>
    <w:rsid w:val="0023339B"/>
    <w:rsid w:val="00236C53"/>
    <w:rsid w:val="00236DAD"/>
    <w:rsid w:val="00245A1F"/>
    <w:rsid w:val="00252CFF"/>
    <w:rsid w:val="00254C84"/>
    <w:rsid w:val="002651F3"/>
    <w:rsid w:val="0027535F"/>
    <w:rsid w:val="00290065"/>
    <w:rsid w:val="00297B11"/>
    <w:rsid w:val="002A1371"/>
    <w:rsid w:val="002A6720"/>
    <w:rsid w:val="002A76AC"/>
    <w:rsid w:val="002C4C08"/>
    <w:rsid w:val="002C6BAE"/>
    <w:rsid w:val="002D0907"/>
    <w:rsid w:val="002D6F6D"/>
    <w:rsid w:val="002E22FD"/>
    <w:rsid w:val="002E2D8D"/>
    <w:rsid w:val="002E39D8"/>
    <w:rsid w:val="002E62A6"/>
    <w:rsid w:val="002F26AD"/>
    <w:rsid w:val="002F3631"/>
    <w:rsid w:val="002F5000"/>
    <w:rsid w:val="002F7085"/>
    <w:rsid w:val="00303850"/>
    <w:rsid w:val="0030479B"/>
    <w:rsid w:val="00310F57"/>
    <w:rsid w:val="00311886"/>
    <w:rsid w:val="0031604C"/>
    <w:rsid w:val="00316B2D"/>
    <w:rsid w:val="0032041F"/>
    <w:rsid w:val="00320E68"/>
    <w:rsid w:val="0032302E"/>
    <w:rsid w:val="003260CE"/>
    <w:rsid w:val="00327089"/>
    <w:rsid w:val="00330E4B"/>
    <w:rsid w:val="00333358"/>
    <w:rsid w:val="0033401F"/>
    <w:rsid w:val="00335AC5"/>
    <w:rsid w:val="003420D5"/>
    <w:rsid w:val="00344AC3"/>
    <w:rsid w:val="00351CEE"/>
    <w:rsid w:val="00354529"/>
    <w:rsid w:val="00355DCF"/>
    <w:rsid w:val="003611D4"/>
    <w:rsid w:val="003637B6"/>
    <w:rsid w:val="003705FF"/>
    <w:rsid w:val="00377646"/>
    <w:rsid w:val="00381722"/>
    <w:rsid w:val="0038581C"/>
    <w:rsid w:val="003861A5"/>
    <w:rsid w:val="003873CD"/>
    <w:rsid w:val="00395044"/>
    <w:rsid w:val="003A2992"/>
    <w:rsid w:val="003A356A"/>
    <w:rsid w:val="003A5E19"/>
    <w:rsid w:val="003B160C"/>
    <w:rsid w:val="003B23C7"/>
    <w:rsid w:val="003B4B5D"/>
    <w:rsid w:val="003B4E13"/>
    <w:rsid w:val="003B4F12"/>
    <w:rsid w:val="003B669C"/>
    <w:rsid w:val="003B6F1F"/>
    <w:rsid w:val="003C4DD2"/>
    <w:rsid w:val="003C679B"/>
    <w:rsid w:val="003C68BC"/>
    <w:rsid w:val="003D08D7"/>
    <w:rsid w:val="003D21C4"/>
    <w:rsid w:val="003D5B84"/>
    <w:rsid w:val="003E3F59"/>
    <w:rsid w:val="003E4672"/>
    <w:rsid w:val="003F03F9"/>
    <w:rsid w:val="003F6C36"/>
    <w:rsid w:val="00404F32"/>
    <w:rsid w:val="00406B37"/>
    <w:rsid w:val="00411F25"/>
    <w:rsid w:val="004235DD"/>
    <w:rsid w:val="00434FAC"/>
    <w:rsid w:val="00435ED0"/>
    <w:rsid w:val="00436875"/>
    <w:rsid w:val="00437584"/>
    <w:rsid w:val="00437E48"/>
    <w:rsid w:val="004407B5"/>
    <w:rsid w:val="004444FC"/>
    <w:rsid w:val="004453C5"/>
    <w:rsid w:val="00446442"/>
    <w:rsid w:val="00454539"/>
    <w:rsid w:val="0045799D"/>
    <w:rsid w:val="0046453D"/>
    <w:rsid w:val="004662E3"/>
    <w:rsid w:val="00471C16"/>
    <w:rsid w:val="00472385"/>
    <w:rsid w:val="004861B1"/>
    <w:rsid w:val="004866B2"/>
    <w:rsid w:val="00496415"/>
    <w:rsid w:val="004A2E4B"/>
    <w:rsid w:val="004A351C"/>
    <w:rsid w:val="004A7FE0"/>
    <w:rsid w:val="004B1E78"/>
    <w:rsid w:val="004B4C84"/>
    <w:rsid w:val="004B60EC"/>
    <w:rsid w:val="004C04BE"/>
    <w:rsid w:val="004C196A"/>
    <w:rsid w:val="004C50E2"/>
    <w:rsid w:val="004D0801"/>
    <w:rsid w:val="004D0CB3"/>
    <w:rsid w:val="004F2205"/>
    <w:rsid w:val="004F6EC8"/>
    <w:rsid w:val="004F7D58"/>
    <w:rsid w:val="00510A5C"/>
    <w:rsid w:val="00512144"/>
    <w:rsid w:val="0051257D"/>
    <w:rsid w:val="00517089"/>
    <w:rsid w:val="005247F2"/>
    <w:rsid w:val="005315A1"/>
    <w:rsid w:val="005373C1"/>
    <w:rsid w:val="0053749A"/>
    <w:rsid w:val="00544A77"/>
    <w:rsid w:val="005539CE"/>
    <w:rsid w:val="00554450"/>
    <w:rsid w:val="00555BF2"/>
    <w:rsid w:val="00555FA7"/>
    <w:rsid w:val="00560E3F"/>
    <w:rsid w:val="005669F2"/>
    <w:rsid w:val="00570DEE"/>
    <w:rsid w:val="005766AC"/>
    <w:rsid w:val="0058039F"/>
    <w:rsid w:val="0058270F"/>
    <w:rsid w:val="00583D7C"/>
    <w:rsid w:val="00585F9C"/>
    <w:rsid w:val="00586818"/>
    <w:rsid w:val="00587841"/>
    <w:rsid w:val="00590A46"/>
    <w:rsid w:val="0059732F"/>
    <w:rsid w:val="005A1705"/>
    <w:rsid w:val="005A2477"/>
    <w:rsid w:val="005A382A"/>
    <w:rsid w:val="005A4565"/>
    <w:rsid w:val="005A5183"/>
    <w:rsid w:val="005A7027"/>
    <w:rsid w:val="005A786E"/>
    <w:rsid w:val="005B31BA"/>
    <w:rsid w:val="005B697B"/>
    <w:rsid w:val="005C4E63"/>
    <w:rsid w:val="005C7677"/>
    <w:rsid w:val="005D1F15"/>
    <w:rsid w:val="005D3FE0"/>
    <w:rsid w:val="005E16B3"/>
    <w:rsid w:val="005E6813"/>
    <w:rsid w:val="005E6D39"/>
    <w:rsid w:val="005F2DF8"/>
    <w:rsid w:val="005F778C"/>
    <w:rsid w:val="00600B33"/>
    <w:rsid w:val="0060477D"/>
    <w:rsid w:val="006064D4"/>
    <w:rsid w:val="00607886"/>
    <w:rsid w:val="00607BF3"/>
    <w:rsid w:val="00617878"/>
    <w:rsid w:val="00622659"/>
    <w:rsid w:val="00624093"/>
    <w:rsid w:val="006324BA"/>
    <w:rsid w:val="0063275F"/>
    <w:rsid w:val="00636C7D"/>
    <w:rsid w:val="00636C9B"/>
    <w:rsid w:val="00645D0F"/>
    <w:rsid w:val="00655BB2"/>
    <w:rsid w:val="00657B6A"/>
    <w:rsid w:val="00657E34"/>
    <w:rsid w:val="00667E17"/>
    <w:rsid w:val="00671A41"/>
    <w:rsid w:val="0067542E"/>
    <w:rsid w:val="0067765F"/>
    <w:rsid w:val="006816BF"/>
    <w:rsid w:val="006846F4"/>
    <w:rsid w:val="00686022"/>
    <w:rsid w:val="006935C4"/>
    <w:rsid w:val="00693948"/>
    <w:rsid w:val="006940B7"/>
    <w:rsid w:val="006A075F"/>
    <w:rsid w:val="006A09D3"/>
    <w:rsid w:val="006A36D7"/>
    <w:rsid w:val="006A559E"/>
    <w:rsid w:val="006A7A1D"/>
    <w:rsid w:val="006A7F6C"/>
    <w:rsid w:val="006B326C"/>
    <w:rsid w:val="006B4CF2"/>
    <w:rsid w:val="006C6ECD"/>
    <w:rsid w:val="006E1A82"/>
    <w:rsid w:val="006E3A4F"/>
    <w:rsid w:val="006E5EF2"/>
    <w:rsid w:val="006F0489"/>
    <w:rsid w:val="006F1FCF"/>
    <w:rsid w:val="00702CE7"/>
    <w:rsid w:val="00710324"/>
    <w:rsid w:val="0071641A"/>
    <w:rsid w:val="007245ED"/>
    <w:rsid w:val="00732631"/>
    <w:rsid w:val="00756B06"/>
    <w:rsid w:val="00757FF9"/>
    <w:rsid w:val="00767C1E"/>
    <w:rsid w:val="007732D4"/>
    <w:rsid w:val="00790CF1"/>
    <w:rsid w:val="0079308D"/>
    <w:rsid w:val="0079534C"/>
    <w:rsid w:val="007A2A9E"/>
    <w:rsid w:val="007A4A13"/>
    <w:rsid w:val="007B3BBF"/>
    <w:rsid w:val="007C3F0C"/>
    <w:rsid w:val="007C497B"/>
    <w:rsid w:val="007D0226"/>
    <w:rsid w:val="007D1AAF"/>
    <w:rsid w:val="007E5820"/>
    <w:rsid w:val="007F2C72"/>
    <w:rsid w:val="007F3D5C"/>
    <w:rsid w:val="007F79FA"/>
    <w:rsid w:val="007F7C52"/>
    <w:rsid w:val="008052FE"/>
    <w:rsid w:val="008105A6"/>
    <w:rsid w:val="00811F38"/>
    <w:rsid w:val="00811F8D"/>
    <w:rsid w:val="00815412"/>
    <w:rsid w:val="008344B3"/>
    <w:rsid w:val="00841618"/>
    <w:rsid w:val="00841EA8"/>
    <w:rsid w:val="00850036"/>
    <w:rsid w:val="008501F3"/>
    <w:rsid w:val="00853B36"/>
    <w:rsid w:val="00861472"/>
    <w:rsid w:val="00866929"/>
    <w:rsid w:val="008776CB"/>
    <w:rsid w:val="008800E6"/>
    <w:rsid w:val="00880129"/>
    <w:rsid w:val="00890795"/>
    <w:rsid w:val="008911C6"/>
    <w:rsid w:val="00894273"/>
    <w:rsid w:val="00895DA1"/>
    <w:rsid w:val="008A0E02"/>
    <w:rsid w:val="008A1BA1"/>
    <w:rsid w:val="008A696E"/>
    <w:rsid w:val="008C18A3"/>
    <w:rsid w:val="008C2F5D"/>
    <w:rsid w:val="008D15F8"/>
    <w:rsid w:val="008E3DEA"/>
    <w:rsid w:val="008E4BAD"/>
    <w:rsid w:val="008E4C46"/>
    <w:rsid w:val="008E5243"/>
    <w:rsid w:val="008E55AC"/>
    <w:rsid w:val="008F26A6"/>
    <w:rsid w:val="008F4AC8"/>
    <w:rsid w:val="008F4C61"/>
    <w:rsid w:val="008F64B8"/>
    <w:rsid w:val="00903F6D"/>
    <w:rsid w:val="009045F8"/>
    <w:rsid w:val="009067E2"/>
    <w:rsid w:val="009116C5"/>
    <w:rsid w:val="00912669"/>
    <w:rsid w:val="0091495B"/>
    <w:rsid w:val="00926D00"/>
    <w:rsid w:val="009349B1"/>
    <w:rsid w:val="00946C28"/>
    <w:rsid w:val="009500C0"/>
    <w:rsid w:val="00950A5B"/>
    <w:rsid w:val="00951BA4"/>
    <w:rsid w:val="00952D01"/>
    <w:rsid w:val="0095461C"/>
    <w:rsid w:val="009570C2"/>
    <w:rsid w:val="00957548"/>
    <w:rsid w:val="00961402"/>
    <w:rsid w:val="009655BD"/>
    <w:rsid w:val="00970061"/>
    <w:rsid w:val="00971380"/>
    <w:rsid w:val="00973135"/>
    <w:rsid w:val="00982DF1"/>
    <w:rsid w:val="009868CA"/>
    <w:rsid w:val="00987CC1"/>
    <w:rsid w:val="009901C1"/>
    <w:rsid w:val="009A3CF3"/>
    <w:rsid w:val="009A3F40"/>
    <w:rsid w:val="009A59DB"/>
    <w:rsid w:val="009A6E7F"/>
    <w:rsid w:val="009B4637"/>
    <w:rsid w:val="009B4AED"/>
    <w:rsid w:val="009B5CE3"/>
    <w:rsid w:val="009C447A"/>
    <w:rsid w:val="009C5023"/>
    <w:rsid w:val="009C7099"/>
    <w:rsid w:val="009C7D7D"/>
    <w:rsid w:val="009D1843"/>
    <w:rsid w:val="009D34AC"/>
    <w:rsid w:val="009D47FB"/>
    <w:rsid w:val="009D480F"/>
    <w:rsid w:val="009F2EFE"/>
    <w:rsid w:val="009F3342"/>
    <w:rsid w:val="009F5833"/>
    <w:rsid w:val="00A00AC7"/>
    <w:rsid w:val="00A00E43"/>
    <w:rsid w:val="00A066B1"/>
    <w:rsid w:val="00A15463"/>
    <w:rsid w:val="00A2382B"/>
    <w:rsid w:val="00A26AA9"/>
    <w:rsid w:val="00A347AB"/>
    <w:rsid w:val="00A356D4"/>
    <w:rsid w:val="00A45349"/>
    <w:rsid w:val="00A470F7"/>
    <w:rsid w:val="00A509F4"/>
    <w:rsid w:val="00A51281"/>
    <w:rsid w:val="00A54148"/>
    <w:rsid w:val="00A55510"/>
    <w:rsid w:val="00A5736C"/>
    <w:rsid w:val="00A623C8"/>
    <w:rsid w:val="00A6291B"/>
    <w:rsid w:val="00A62985"/>
    <w:rsid w:val="00A714B1"/>
    <w:rsid w:val="00A733EA"/>
    <w:rsid w:val="00A761C1"/>
    <w:rsid w:val="00A770DE"/>
    <w:rsid w:val="00A80571"/>
    <w:rsid w:val="00A80F9B"/>
    <w:rsid w:val="00A9569E"/>
    <w:rsid w:val="00A96A26"/>
    <w:rsid w:val="00A97173"/>
    <w:rsid w:val="00AA4A54"/>
    <w:rsid w:val="00AA7097"/>
    <w:rsid w:val="00AB08DD"/>
    <w:rsid w:val="00AB3854"/>
    <w:rsid w:val="00AB4BC2"/>
    <w:rsid w:val="00AC39E1"/>
    <w:rsid w:val="00AC4E53"/>
    <w:rsid w:val="00AC6AFD"/>
    <w:rsid w:val="00AC73D4"/>
    <w:rsid w:val="00AE526D"/>
    <w:rsid w:val="00AE5DB0"/>
    <w:rsid w:val="00AF5312"/>
    <w:rsid w:val="00B009F7"/>
    <w:rsid w:val="00B02435"/>
    <w:rsid w:val="00B02C09"/>
    <w:rsid w:val="00B043B4"/>
    <w:rsid w:val="00B070FB"/>
    <w:rsid w:val="00B12829"/>
    <w:rsid w:val="00B12BBA"/>
    <w:rsid w:val="00B15532"/>
    <w:rsid w:val="00B2133B"/>
    <w:rsid w:val="00B2774B"/>
    <w:rsid w:val="00B30CB4"/>
    <w:rsid w:val="00B33130"/>
    <w:rsid w:val="00B33AB9"/>
    <w:rsid w:val="00B34C24"/>
    <w:rsid w:val="00B37679"/>
    <w:rsid w:val="00B407F6"/>
    <w:rsid w:val="00B42CE9"/>
    <w:rsid w:val="00B510A5"/>
    <w:rsid w:val="00B51985"/>
    <w:rsid w:val="00B51FB5"/>
    <w:rsid w:val="00B57F79"/>
    <w:rsid w:val="00B72143"/>
    <w:rsid w:val="00B7348A"/>
    <w:rsid w:val="00B76DB0"/>
    <w:rsid w:val="00B83749"/>
    <w:rsid w:val="00B9407B"/>
    <w:rsid w:val="00B94B01"/>
    <w:rsid w:val="00B96F7A"/>
    <w:rsid w:val="00BA08F2"/>
    <w:rsid w:val="00BA6B9F"/>
    <w:rsid w:val="00BB2727"/>
    <w:rsid w:val="00BC010D"/>
    <w:rsid w:val="00BC3636"/>
    <w:rsid w:val="00BD059A"/>
    <w:rsid w:val="00BD276B"/>
    <w:rsid w:val="00BD5CEF"/>
    <w:rsid w:val="00BE03D7"/>
    <w:rsid w:val="00BE102A"/>
    <w:rsid w:val="00BE5EA8"/>
    <w:rsid w:val="00BE7668"/>
    <w:rsid w:val="00BF20B9"/>
    <w:rsid w:val="00BF44B1"/>
    <w:rsid w:val="00BF7697"/>
    <w:rsid w:val="00C0035F"/>
    <w:rsid w:val="00C03910"/>
    <w:rsid w:val="00C178DB"/>
    <w:rsid w:val="00C20BA3"/>
    <w:rsid w:val="00C21E0C"/>
    <w:rsid w:val="00C27707"/>
    <w:rsid w:val="00C32E05"/>
    <w:rsid w:val="00C40AC3"/>
    <w:rsid w:val="00C4180B"/>
    <w:rsid w:val="00C43DBF"/>
    <w:rsid w:val="00C46F76"/>
    <w:rsid w:val="00C4737C"/>
    <w:rsid w:val="00C52C0B"/>
    <w:rsid w:val="00C54688"/>
    <w:rsid w:val="00C57973"/>
    <w:rsid w:val="00C607F1"/>
    <w:rsid w:val="00C62D2E"/>
    <w:rsid w:val="00C63157"/>
    <w:rsid w:val="00C741C4"/>
    <w:rsid w:val="00C75DF6"/>
    <w:rsid w:val="00C803BF"/>
    <w:rsid w:val="00C83194"/>
    <w:rsid w:val="00C864DC"/>
    <w:rsid w:val="00C866A2"/>
    <w:rsid w:val="00C90B33"/>
    <w:rsid w:val="00C94FD9"/>
    <w:rsid w:val="00C95414"/>
    <w:rsid w:val="00CA6C5F"/>
    <w:rsid w:val="00CA6E53"/>
    <w:rsid w:val="00CB04EF"/>
    <w:rsid w:val="00CB2EE6"/>
    <w:rsid w:val="00CB6464"/>
    <w:rsid w:val="00CC3F1C"/>
    <w:rsid w:val="00CF21AB"/>
    <w:rsid w:val="00CF77BF"/>
    <w:rsid w:val="00D10A54"/>
    <w:rsid w:val="00D14021"/>
    <w:rsid w:val="00D15E77"/>
    <w:rsid w:val="00D20139"/>
    <w:rsid w:val="00D243A7"/>
    <w:rsid w:val="00D24900"/>
    <w:rsid w:val="00D24F17"/>
    <w:rsid w:val="00D31445"/>
    <w:rsid w:val="00D33A65"/>
    <w:rsid w:val="00D3702A"/>
    <w:rsid w:val="00D37AA7"/>
    <w:rsid w:val="00D40237"/>
    <w:rsid w:val="00D40EB0"/>
    <w:rsid w:val="00D45D55"/>
    <w:rsid w:val="00D461EE"/>
    <w:rsid w:val="00D469A8"/>
    <w:rsid w:val="00D56DC1"/>
    <w:rsid w:val="00D578B8"/>
    <w:rsid w:val="00D57C92"/>
    <w:rsid w:val="00D728D6"/>
    <w:rsid w:val="00D84F70"/>
    <w:rsid w:val="00D90254"/>
    <w:rsid w:val="00D90A0C"/>
    <w:rsid w:val="00DA3FFF"/>
    <w:rsid w:val="00DB57E1"/>
    <w:rsid w:val="00DB603B"/>
    <w:rsid w:val="00DC0EED"/>
    <w:rsid w:val="00DD3A06"/>
    <w:rsid w:val="00DD43FF"/>
    <w:rsid w:val="00DD576C"/>
    <w:rsid w:val="00DD790F"/>
    <w:rsid w:val="00DE3661"/>
    <w:rsid w:val="00E101F4"/>
    <w:rsid w:val="00E11834"/>
    <w:rsid w:val="00E12547"/>
    <w:rsid w:val="00E1663B"/>
    <w:rsid w:val="00E16C5F"/>
    <w:rsid w:val="00E17C50"/>
    <w:rsid w:val="00E212C8"/>
    <w:rsid w:val="00E257F5"/>
    <w:rsid w:val="00E337F6"/>
    <w:rsid w:val="00E3392A"/>
    <w:rsid w:val="00E4028A"/>
    <w:rsid w:val="00E40AC0"/>
    <w:rsid w:val="00E414D7"/>
    <w:rsid w:val="00E42654"/>
    <w:rsid w:val="00E43875"/>
    <w:rsid w:val="00E43E67"/>
    <w:rsid w:val="00E45436"/>
    <w:rsid w:val="00E5751A"/>
    <w:rsid w:val="00E6208B"/>
    <w:rsid w:val="00E63371"/>
    <w:rsid w:val="00E64AB0"/>
    <w:rsid w:val="00E73CCB"/>
    <w:rsid w:val="00E73E92"/>
    <w:rsid w:val="00E75C72"/>
    <w:rsid w:val="00E837C3"/>
    <w:rsid w:val="00E860E7"/>
    <w:rsid w:val="00E86EA8"/>
    <w:rsid w:val="00E877F7"/>
    <w:rsid w:val="00E87D17"/>
    <w:rsid w:val="00E96910"/>
    <w:rsid w:val="00EA1A62"/>
    <w:rsid w:val="00EB1DF8"/>
    <w:rsid w:val="00EB7E99"/>
    <w:rsid w:val="00EC4B56"/>
    <w:rsid w:val="00EC7340"/>
    <w:rsid w:val="00ED6EB0"/>
    <w:rsid w:val="00EE276E"/>
    <w:rsid w:val="00EE4E99"/>
    <w:rsid w:val="00EF5D55"/>
    <w:rsid w:val="00F01C8C"/>
    <w:rsid w:val="00F059BE"/>
    <w:rsid w:val="00F11F6C"/>
    <w:rsid w:val="00F15AED"/>
    <w:rsid w:val="00F2260E"/>
    <w:rsid w:val="00F24239"/>
    <w:rsid w:val="00F322E0"/>
    <w:rsid w:val="00F42AAF"/>
    <w:rsid w:val="00F446DE"/>
    <w:rsid w:val="00F51EC4"/>
    <w:rsid w:val="00F52936"/>
    <w:rsid w:val="00F5598E"/>
    <w:rsid w:val="00F570FF"/>
    <w:rsid w:val="00F61B98"/>
    <w:rsid w:val="00F656F3"/>
    <w:rsid w:val="00F66FE2"/>
    <w:rsid w:val="00F67100"/>
    <w:rsid w:val="00F74838"/>
    <w:rsid w:val="00F75172"/>
    <w:rsid w:val="00F762F7"/>
    <w:rsid w:val="00F8122A"/>
    <w:rsid w:val="00F834BF"/>
    <w:rsid w:val="00F9081F"/>
    <w:rsid w:val="00F918A7"/>
    <w:rsid w:val="00F93D0C"/>
    <w:rsid w:val="00F94A21"/>
    <w:rsid w:val="00F979FE"/>
    <w:rsid w:val="00FA1739"/>
    <w:rsid w:val="00FA1AA2"/>
    <w:rsid w:val="00FA359C"/>
    <w:rsid w:val="00FA46BF"/>
    <w:rsid w:val="00FA63D0"/>
    <w:rsid w:val="00FB5188"/>
    <w:rsid w:val="00FC17E4"/>
    <w:rsid w:val="00FC1E90"/>
    <w:rsid w:val="00FC4A05"/>
    <w:rsid w:val="00FC59F7"/>
    <w:rsid w:val="00FD4043"/>
    <w:rsid w:val="00FD42DC"/>
    <w:rsid w:val="00FD48F7"/>
    <w:rsid w:val="00FD7DA5"/>
    <w:rsid w:val="00FF51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3ED915"/>
  <w15:chartTrackingRefBased/>
  <w15:docId w15:val="{CBB85E84-254E-43F7-9AF2-2F09112D31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3E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3E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3E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3E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3E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3E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3E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3E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3E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3E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3E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3E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3E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3E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3E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3E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3E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3E92"/>
    <w:rPr>
      <w:rFonts w:eastAsiaTheme="majorEastAsia" w:cstheme="majorBidi"/>
      <w:color w:val="272727" w:themeColor="text1" w:themeTint="D8"/>
    </w:rPr>
  </w:style>
  <w:style w:type="paragraph" w:styleId="Title">
    <w:name w:val="Title"/>
    <w:basedOn w:val="Normal"/>
    <w:next w:val="Normal"/>
    <w:link w:val="TitleChar"/>
    <w:uiPriority w:val="10"/>
    <w:qFormat/>
    <w:rsid w:val="00E73E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3E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3E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3E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3E92"/>
    <w:pPr>
      <w:spacing w:before="160"/>
      <w:jc w:val="center"/>
    </w:pPr>
    <w:rPr>
      <w:i/>
      <w:iCs/>
      <w:color w:val="404040" w:themeColor="text1" w:themeTint="BF"/>
    </w:rPr>
  </w:style>
  <w:style w:type="character" w:customStyle="1" w:styleId="QuoteChar">
    <w:name w:val="Quote Char"/>
    <w:basedOn w:val="DefaultParagraphFont"/>
    <w:link w:val="Quote"/>
    <w:uiPriority w:val="29"/>
    <w:rsid w:val="00E73E92"/>
    <w:rPr>
      <w:i/>
      <w:iCs/>
      <w:color w:val="404040" w:themeColor="text1" w:themeTint="BF"/>
    </w:rPr>
  </w:style>
  <w:style w:type="paragraph" w:styleId="ListParagraph">
    <w:name w:val="List Paragraph"/>
    <w:basedOn w:val="Normal"/>
    <w:uiPriority w:val="34"/>
    <w:qFormat/>
    <w:rsid w:val="00E73E92"/>
    <w:pPr>
      <w:ind w:left="720"/>
      <w:contextualSpacing/>
    </w:pPr>
  </w:style>
  <w:style w:type="character" w:styleId="IntenseEmphasis">
    <w:name w:val="Intense Emphasis"/>
    <w:basedOn w:val="DefaultParagraphFont"/>
    <w:uiPriority w:val="21"/>
    <w:qFormat/>
    <w:rsid w:val="00E73E92"/>
    <w:rPr>
      <w:i/>
      <w:iCs/>
      <w:color w:val="0F4761" w:themeColor="accent1" w:themeShade="BF"/>
    </w:rPr>
  </w:style>
  <w:style w:type="paragraph" w:styleId="IntenseQuote">
    <w:name w:val="Intense Quote"/>
    <w:basedOn w:val="Normal"/>
    <w:next w:val="Normal"/>
    <w:link w:val="IntenseQuoteChar"/>
    <w:uiPriority w:val="30"/>
    <w:qFormat/>
    <w:rsid w:val="00E73E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3E92"/>
    <w:rPr>
      <w:i/>
      <w:iCs/>
      <w:color w:val="0F4761" w:themeColor="accent1" w:themeShade="BF"/>
    </w:rPr>
  </w:style>
  <w:style w:type="character" w:styleId="IntenseReference">
    <w:name w:val="Intense Reference"/>
    <w:basedOn w:val="DefaultParagraphFont"/>
    <w:uiPriority w:val="32"/>
    <w:qFormat/>
    <w:rsid w:val="00E73E92"/>
    <w:rPr>
      <w:b/>
      <w:bCs/>
      <w:smallCaps/>
      <w:color w:val="0F4761" w:themeColor="accent1" w:themeShade="BF"/>
      <w:spacing w:val="5"/>
    </w:rPr>
  </w:style>
  <w:style w:type="paragraph" w:styleId="NormalWeb">
    <w:name w:val="Normal (Web)"/>
    <w:basedOn w:val="Normal"/>
    <w:uiPriority w:val="99"/>
    <w:semiHidden/>
    <w:unhideWhenUsed/>
    <w:rsid w:val="005E16B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8A0E0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guides/learning-and-development/" TargetMode="External"/><Relationship Id="rId13" Type="http://schemas.openxmlformats.org/officeDocument/2006/relationships/hyperlink" Target="https://www.cipd.org/uk/the-people-profession/meet-the-people-professionals/day-in-the-life-learning-development-specialist/" TargetMode="External"/><Relationship Id="rId3" Type="http://schemas.openxmlformats.org/officeDocument/2006/relationships/settings" Target="settings.xml"/><Relationship Id="rId7" Type="http://schemas.openxmlformats.org/officeDocument/2006/relationships/chart" Target="charts/chart3.xml"/><Relationship Id="rId12" Type="http://schemas.openxmlformats.org/officeDocument/2006/relationships/hyperlink" Target="https://www.cipd.org/globalassets/media/misc-hero-images/444cognition-decision-and-expertise_2014-part-2-of-3-fresh-thinking_tcm18-15115.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chart" Target="charts/chart2.xml"/><Relationship Id="rId11" Type="http://schemas.openxmlformats.org/officeDocument/2006/relationships/hyperlink" Target="https://www.cipd.org/uk/knowledge/evidence-reviews/fresh-thinking-learning-development/" TargetMode="External"/><Relationship Id="rId5" Type="http://schemas.openxmlformats.org/officeDocument/2006/relationships/chart" Target="charts/chart1.xml"/><Relationship Id="rId15" Type="http://schemas.openxmlformats.org/officeDocument/2006/relationships/theme" Target="theme/theme1.xml"/><Relationship Id="rId10" Type="http://schemas.openxmlformats.org/officeDocument/2006/relationships/hyperlink" Target="https://www.cipd.org/uk/knowledge/guides/countering-skills-mismatches-through-people-management-practice/" TargetMode="External"/><Relationship Id="rId4" Type="http://schemas.openxmlformats.org/officeDocument/2006/relationships/webSettings" Target="webSettings.xml"/><Relationship Id="rId9" Type="http://schemas.openxmlformats.org/officeDocument/2006/relationships/hyperlink" Target="https://www.cipd.org/uk/knowledge/factsheets/learning-methods-factsheet/" TargetMode="Externa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embeddings/oleObject2.bin"/><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embeddings/oleObject3.bin"/><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Leavers</a:t>
            </a:r>
            <a:r>
              <a:rPr lang="en-GB" baseline="0"/>
              <a:t> as a % of the total number of employees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'[Worksheet in Document1]Sheet1'!$B$3</c:f>
              <c:strCache>
                <c:ptCount val="1"/>
                <c:pt idx="0">
                  <c:v>Total in Department 2024</c:v>
                </c:pt>
              </c:strCache>
            </c:strRef>
          </c:tx>
          <c:spPr>
            <a:solidFill>
              <a:schemeClr val="accent1"/>
            </a:solidFill>
            <a:ln>
              <a:noFill/>
            </a:ln>
            <a:effectLst/>
            <a:sp3d/>
          </c:spPr>
          <c:invertIfNegative val="0"/>
          <c:cat>
            <c:strRef>
              <c:f>'[Worksheet in Document1]Sheet1'!$A$4:$A$22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'[Worksheet in Document1]Sheet1'!$B$4:$B$22</c:f>
              <c:numCache>
                <c:formatCode>General</c:formatCode>
                <c:ptCount val="19"/>
                <c:pt idx="0">
                  <c:v>26</c:v>
                </c:pt>
                <c:pt idx="2">
                  <c:v>15</c:v>
                </c:pt>
                <c:pt idx="4">
                  <c:v>8</c:v>
                </c:pt>
                <c:pt idx="6">
                  <c:v>4</c:v>
                </c:pt>
                <c:pt idx="8">
                  <c:v>15</c:v>
                </c:pt>
                <c:pt idx="10">
                  <c:v>35</c:v>
                </c:pt>
                <c:pt idx="12">
                  <c:v>6</c:v>
                </c:pt>
                <c:pt idx="14">
                  <c:v>12</c:v>
                </c:pt>
                <c:pt idx="16">
                  <c:v>4</c:v>
                </c:pt>
                <c:pt idx="18">
                  <c:v>12</c:v>
                </c:pt>
              </c:numCache>
            </c:numRef>
          </c:val>
          <c:extLst>
            <c:ext xmlns:c16="http://schemas.microsoft.com/office/drawing/2014/chart" uri="{C3380CC4-5D6E-409C-BE32-E72D297353CC}">
              <c16:uniqueId val="{00000000-4D0D-4754-BC2B-23AC2CFA7071}"/>
            </c:ext>
          </c:extLst>
        </c:ser>
        <c:ser>
          <c:idx val="1"/>
          <c:order val="1"/>
          <c:tx>
            <c:strRef>
              <c:f>'[Worksheet in Document1]Sheet1'!$D$3</c:f>
              <c:strCache>
                <c:ptCount val="1"/>
                <c:pt idx="0">
                  <c:v>Leavers as a % against total in each Department</c:v>
                </c:pt>
              </c:strCache>
            </c:strRef>
          </c:tx>
          <c:spPr>
            <a:solidFill>
              <a:schemeClr val="accent2"/>
            </a:solidFill>
            <a:ln>
              <a:noFill/>
            </a:ln>
            <a:effectLst/>
            <a:sp3d/>
          </c:spPr>
          <c:invertIfNegative val="0"/>
          <c:cat>
            <c:strRef>
              <c:f>'[Worksheet in Document1]Sheet1'!$A$4:$A$22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'[Worksheet in Document1]Sheet1'!$D$4:$D$22</c:f>
              <c:numCache>
                <c:formatCode>General</c:formatCode>
                <c:ptCount val="19"/>
                <c:pt idx="0" formatCode="0%">
                  <c:v>0.23076923076923078</c:v>
                </c:pt>
                <c:pt idx="2" formatCode="0%">
                  <c:v>0.26666666666666666</c:v>
                </c:pt>
                <c:pt idx="4" formatCode="0%">
                  <c:v>0.125</c:v>
                </c:pt>
                <c:pt idx="6" formatCode="0%">
                  <c:v>0.5</c:v>
                </c:pt>
                <c:pt idx="8" formatCode="0%">
                  <c:v>0.26666666666666666</c:v>
                </c:pt>
                <c:pt idx="10" formatCode="0%">
                  <c:v>0.22857142857142856</c:v>
                </c:pt>
                <c:pt idx="12" formatCode="0%">
                  <c:v>0.5</c:v>
                </c:pt>
                <c:pt idx="14" formatCode="0%">
                  <c:v>0.33333333333333331</c:v>
                </c:pt>
                <c:pt idx="16" formatCode="0%">
                  <c:v>0.25</c:v>
                </c:pt>
                <c:pt idx="18" formatCode="0%">
                  <c:v>0.25</c:v>
                </c:pt>
              </c:numCache>
            </c:numRef>
          </c:val>
          <c:extLst>
            <c:ext xmlns:c16="http://schemas.microsoft.com/office/drawing/2014/chart" uri="{C3380CC4-5D6E-409C-BE32-E72D297353CC}">
              <c16:uniqueId val="{00000001-4D0D-4754-BC2B-23AC2CFA7071}"/>
            </c:ext>
          </c:extLst>
        </c:ser>
        <c:dLbls>
          <c:showLegendKey val="0"/>
          <c:showVal val="0"/>
          <c:showCatName val="0"/>
          <c:showSerName val="0"/>
          <c:showPercent val="0"/>
          <c:showBubbleSize val="0"/>
        </c:dLbls>
        <c:gapWidth val="150"/>
        <c:shape val="box"/>
        <c:axId val="511471440"/>
        <c:axId val="511471920"/>
        <c:axId val="0"/>
      </c:bar3DChart>
      <c:catAx>
        <c:axId val="51147144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1471920"/>
        <c:crosses val="autoZero"/>
        <c:auto val="1"/>
        <c:lblAlgn val="ctr"/>
        <c:lblOffset val="100"/>
        <c:noMultiLvlLbl val="0"/>
      </c:catAx>
      <c:valAx>
        <c:axId val="5114719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14714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Vacancies</a:t>
            </a:r>
            <a:r>
              <a:rPr lang="en-GB" baseline="0"/>
              <a:t> as % of the total number of employees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strRef>
              <c:f>'[Worksheet in Document1]Sheet1'!$B$3</c:f>
              <c:strCache>
                <c:ptCount val="1"/>
                <c:pt idx="0">
                  <c:v>Total in Department 2024</c:v>
                </c:pt>
              </c:strCache>
            </c:strRef>
          </c:tx>
          <c:spPr>
            <a:solidFill>
              <a:schemeClr val="accent1"/>
            </a:solidFill>
            <a:ln>
              <a:noFill/>
            </a:ln>
            <a:effectLst/>
            <a:sp3d/>
          </c:spPr>
          <c:invertIfNegative val="0"/>
          <c:cat>
            <c:strRef>
              <c:f>'[Worksheet in Document1]Sheet1'!$A$4:$A$22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'[Worksheet in Document1]Sheet1'!$B$4:$B$22</c:f>
              <c:numCache>
                <c:formatCode>General</c:formatCode>
                <c:ptCount val="19"/>
                <c:pt idx="0">
                  <c:v>26</c:v>
                </c:pt>
                <c:pt idx="2">
                  <c:v>15</c:v>
                </c:pt>
                <c:pt idx="4">
                  <c:v>8</c:v>
                </c:pt>
                <c:pt idx="6">
                  <c:v>4</c:v>
                </c:pt>
                <c:pt idx="8">
                  <c:v>15</c:v>
                </c:pt>
                <c:pt idx="10">
                  <c:v>35</c:v>
                </c:pt>
                <c:pt idx="12">
                  <c:v>6</c:v>
                </c:pt>
                <c:pt idx="14">
                  <c:v>12</c:v>
                </c:pt>
                <c:pt idx="16">
                  <c:v>4</c:v>
                </c:pt>
                <c:pt idx="18">
                  <c:v>12</c:v>
                </c:pt>
              </c:numCache>
            </c:numRef>
          </c:val>
          <c:extLst>
            <c:ext xmlns:c16="http://schemas.microsoft.com/office/drawing/2014/chart" uri="{C3380CC4-5D6E-409C-BE32-E72D297353CC}">
              <c16:uniqueId val="{00000000-55DB-40A5-AD6C-476CBC078105}"/>
            </c:ext>
          </c:extLst>
        </c:ser>
        <c:ser>
          <c:idx val="1"/>
          <c:order val="1"/>
          <c:tx>
            <c:strRef>
              <c:f>'[Worksheet in Document1]Sheet1'!$F$3</c:f>
              <c:strCache>
                <c:ptCount val="1"/>
                <c:pt idx="0">
                  <c:v>Vacancies as a % against total in each Department</c:v>
                </c:pt>
              </c:strCache>
            </c:strRef>
          </c:tx>
          <c:spPr>
            <a:solidFill>
              <a:schemeClr val="accent2"/>
            </a:solidFill>
            <a:ln>
              <a:noFill/>
            </a:ln>
            <a:effectLst/>
            <a:sp3d/>
          </c:spPr>
          <c:invertIfNegative val="0"/>
          <c:cat>
            <c:strRef>
              <c:f>'[Worksheet in Document1]Sheet1'!$A$4:$A$22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'[Worksheet in Document1]Sheet1'!$F$4:$F$22</c:f>
              <c:numCache>
                <c:formatCode>General</c:formatCode>
                <c:ptCount val="19"/>
                <c:pt idx="0" formatCode="0%">
                  <c:v>0.30769230769230771</c:v>
                </c:pt>
                <c:pt idx="2" formatCode="0%">
                  <c:v>0.33333333333333331</c:v>
                </c:pt>
                <c:pt idx="4" formatCode="0%">
                  <c:v>0.5</c:v>
                </c:pt>
                <c:pt idx="6" formatCode="0%">
                  <c:v>0.75</c:v>
                </c:pt>
                <c:pt idx="8" formatCode="0%">
                  <c:v>0.4</c:v>
                </c:pt>
                <c:pt idx="10" formatCode="0%">
                  <c:v>0.22857142857142856</c:v>
                </c:pt>
                <c:pt idx="12" formatCode="0%">
                  <c:v>0.83333333333333337</c:v>
                </c:pt>
                <c:pt idx="14" formatCode="0%">
                  <c:v>0.25</c:v>
                </c:pt>
                <c:pt idx="16" formatCode="0%">
                  <c:v>0.25</c:v>
                </c:pt>
                <c:pt idx="18" formatCode="0%">
                  <c:v>0.41666666666666669</c:v>
                </c:pt>
              </c:numCache>
            </c:numRef>
          </c:val>
          <c:extLst>
            <c:ext xmlns:c16="http://schemas.microsoft.com/office/drawing/2014/chart" uri="{C3380CC4-5D6E-409C-BE32-E72D297353CC}">
              <c16:uniqueId val="{00000001-55DB-40A5-AD6C-476CBC078105}"/>
            </c:ext>
          </c:extLst>
        </c:ser>
        <c:dLbls>
          <c:showLegendKey val="0"/>
          <c:showVal val="0"/>
          <c:showCatName val="0"/>
          <c:showSerName val="0"/>
          <c:showPercent val="0"/>
          <c:showBubbleSize val="0"/>
        </c:dLbls>
        <c:gapWidth val="150"/>
        <c:shape val="box"/>
        <c:axId val="507018672"/>
        <c:axId val="507020112"/>
        <c:axId val="0"/>
      </c:bar3DChart>
      <c:catAx>
        <c:axId val="507018672"/>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7020112"/>
        <c:crosses val="autoZero"/>
        <c:auto val="1"/>
        <c:lblAlgn val="ctr"/>
        <c:lblOffset val="100"/>
        <c:noMultiLvlLbl val="0"/>
      </c:catAx>
      <c:valAx>
        <c:axId val="50702011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70186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Positions filled as a % of the total</a:t>
            </a:r>
            <a:r>
              <a:rPr lang="en-GB" baseline="0"/>
              <a:t> number of employees.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lineChart>
        <c:grouping val="stacked"/>
        <c:varyColors val="0"/>
        <c:ser>
          <c:idx val="0"/>
          <c:order val="0"/>
          <c:tx>
            <c:strRef>
              <c:f>'[Worksheet in Document1]Sheet1'!$B$3</c:f>
              <c:strCache>
                <c:ptCount val="1"/>
                <c:pt idx="0">
                  <c:v>Total in Department 2024</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'[Worksheet in Document1]Sheet1'!$A$4:$A$22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'[Worksheet in Document1]Sheet1'!$B$4:$B$22</c:f>
              <c:numCache>
                <c:formatCode>General</c:formatCode>
                <c:ptCount val="19"/>
                <c:pt idx="0">
                  <c:v>26</c:v>
                </c:pt>
                <c:pt idx="2">
                  <c:v>15</c:v>
                </c:pt>
                <c:pt idx="4">
                  <c:v>8</c:v>
                </c:pt>
                <c:pt idx="6">
                  <c:v>4</c:v>
                </c:pt>
                <c:pt idx="8">
                  <c:v>15</c:v>
                </c:pt>
                <c:pt idx="10">
                  <c:v>35</c:v>
                </c:pt>
                <c:pt idx="12">
                  <c:v>6</c:v>
                </c:pt>
                <c:pt idx="14">
                  <c:v>12</c:v>
                </c:pt>
                <c:pt idx="16">
                  <c:v>4</c:v>
                </c:pt>
                <c:pt idx="18">
                  <c:v>12</c:v>
                </c:pt>
              </c:numCache>
            </c:numRef>
          </c:val>
          <c:smooth val="0"/>
          <c:extLst>
            <c:ext xmlns:c16="http://schemas.microsoft.com/office/drawing/2014/chart" uri="{C3380CC4-5D6E-409C-BE32-E72D297353CC}">
              <c16:uniqueId val="{00000000-C993-40F4-9536-C36AEF514F86}"/>
            </c:ext>
          </c:extLst>
        </c:ser>
        <c:ser>
          <c:idx val="1"/>
          <c:order val="1"/>
          <c:tx>
            <c:strRef>
              <c:f>'[Worksheet in Document1]Sheet1'!$H$3</c:f>
              <c:strCache>
                <c:ptCount val="1"/>
                <c:pt idx="0">
                  <c:v>Positions filled as a % of total in each Department</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'[Worksheet in Document1]Sheet1'!$A$4:$A$22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'[Worksheet in Document1]Sheet1'!$H$4:$H$22</c:f>
              <c:numCache>
                <c:formatCode>General</c:formatCode>
                <c:ptCount val="19"/>
                <c:pt idx="0" formatCode="0%">
                  <c:v>0.11538461538461539</c:v>
                </c:pt>
                <c:pt idx="2" formatCode="0%">
                  <c:v>0.33333333333333331</c:v>
                </c:pt>
                <c:pt idx="4" formatCode="0%">
                  <c:v>0.5</c:v>
                </c:pt>
                <c:pt idx="6" formatCode="0%">
                  <c:v>0.75</c:v>
                </c:pt>
                <c:pt idx="8" formatCode="0%">
                  <c:v>0.4</c:v>
                </c:pt>
                <c:pt idx="10" formatCode="0%">
                  <c:v>8.5714285714285715E-2</c:v>
                </c:pt>
                <c:pt idx="12" formatCode="0%">
                  <c:v>0.33333333333333331</c:v>
                </c:pt>
                <c:pt idx="14" formatCode="0%">
                  <c:v>0.25</c:v>
                </c:pt>
                <c:pt idx="16" formatCode="0%">
                  <c:v>0.25</c:v>
                </c:pt>
                <c:pt idx="18" formatCode="0%">
                  <c:v>0.16666666666666666</c:v>
                </c:pt>
              </c:numCache>
            </c:numRef>
          </c:val>
          <c:smooth val="0"/>
          <c:extLst>
            <c:ext xmlns:c16="http://schemas.microsoft.com/office/drawing/2014/chart" uri="{C3380CC4-5D6E-409C-BE32-E72D297353CC}">
              <c16:uniqueId val="{00000001-C993-40F4-9536-C36AEF514F86}"/>
            </c:ext>
          </c:extLst>
        </c:ser>
        <c:dLbls>
          <c:showLegendKey val="0"/>
          <c:showVal val="0"/>
          <c:showCatName val="0"/>
          <c:showSerName val="0"/>
          <c:showPercent val="0"/>
          <c:showBubbleSize val="0"/>
        </c:dLbls>
        <c:marker val="1"/>
        <c:smooth val="0"/>
        <c:axId val="2138673968"/>
        <c:axId val="2138669168"/>
      </c:lineChart>
      <c:catAx>
        <c:axId val="21386739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38669168"/>
        <c:crosses val="autoZero"/>
        <c:auto val="1"/>
        <c:lblAlgn val="ctr"/>
        <c:lblOffset val="100"/>
        <c:noMultiLvlLbl val="0"/>
      </c:catAx>
      <c:valAx>
        <c:axId val="21386691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386739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84B5BB-1284-467C-A1C5-D8C9C6A896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20</Pages>
  <Words>6036</Words>
  <Characters>34411</Characters>
  <Application>Microsoft Office Word</Application>
  <DocSecurity>0</DocSecurity>
  <Lines>286</Lines>
  <Paragraphs>80</Paragraphs>
  <ScaleCrop>false</ScaleCrop>
  <Company/>
  <LinksUpToDate>false</LinksUpToDate>
  <CharactersWithSpaces>40367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damion richards</dc:creator>
  <cp:keywords/>
  <dc:description/>
  <cp:lastModifiedBy>damion richards</cp:lastModifiedBy>
  <cp:revision>2</cp:revision>
  <cp:lastPrinted>2026-02-01T15:58:00Z</cp:lastPrinted>
  <dcterms:created xsi:type="dcterms:W3CDTF">2026-02-01T18:09:00Z</dcterms:created>
  <dcterms:modified xsi:type="dcterms:W3CDTF">2026-02-01T18:09:00Z</dcterms:modified>
</cp:coreProperties>
</file>