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8B09A" w14:textId="6AB62175" w:rsidR="00F90530" w:rsidRPr="00136BAA" w:rsidRDefault="00F90530" w:rsidP="00136BAA">
      <w:pPr>
        <w:jc w:val="center"/>
        <w:rPr>
          <w:b/>
          <w:bCs/>
          <w:sz w:val="40"/>
          <w:szCs w:val="36"/>
        </w:rPr>
      </w:pPr>
      <w:r w:rsidRPr="00F90530">
        <w:rPr>
          <w:b/>
          <w:bCs/>
          <w:sz w:val="40"/>
          <w:szCs w:val="36"/>
        </w:rPr>
        <w:t>LCBB5000 Data Handling and Business Intelligence Essay</w:t>
      </w:r>
    </w:p>
    <w:p w14:paraId="02C480B4" w14:textId="4673FCCD" w:rsidR="00F90530" w:rsidRPr="00136BAA" w:rsidRDefault="00136BAA" w:rsidP="00136BAA">
      <w:pPr>
        <w:jc w:val="center"/>
      </w:pPr>
      <w:r>
        <w:fldChar w:fldCharType="begin"/>
      </w:r>
      <w:r>
        <w:instrText xml:space="preserve"> INCLUDEPICTURE "/Users/erinfinnerty/Library/Group Containers/UBF8T346G9.ms/WebArchiveCopyPasteTempFiles/com.microsoft.Word/w9zi6GeKxnQ4AAAAABJRU5ErkJggg==" \* MERGEFORMATINET </w:instrText>
      </w:r>
      <w:r>
        <w:fldChar w:fldCharType="separate"/>
      </w:r>
      <w:r>
        <w:rPr>
          <w:noProof/>
        </w:rPr>
        <w:drawing>
          <wp:inline distT="0" distB="0" distL="0" distR="0" wp14:anchorId="752D82BB" wp14:editId="00B8B358">
            <wp:extent cx="3833495" cy="1535430"/>
            <wp:effectExtent l="0" t="0" r="1905" b="127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33495" cy="1535430"/>
                    </a:xfrm>
                    <a:prstGeom prst="rect">
                      <a:avLst/>
                    </a:prstGeom>
                    <a:noFill/>
                    <a:ln>
                      <a:noFill/>
                    </a:ln>
                  </pic:spPr>
                </pic:pic>
              </a:graphicData>
            </a:graphic>
          </wp:inline>
        </w:drawing>
      </w:r>
      <w:r>
        <w:fldChar w:fldCharType="end"/>
      </w:r>
    </w:p>
    <w:p w14:paraId="617D6931" w14:textId="0F6C2AB7" w:rsidR="00F90530" w:rsidRPr="00F90530" w:rsidRDefault="00F90530" w:rsidP="00F90530">
      <w:pPr>
        <w:rPr>
          <w:b/>
          <w:bCs/>
          <w:sz w:val="32"/>
          <w:szCs w:val="28"/>
        </w:rPr>
      </w:pPr>
      <w:r w:rsidRPr="00F90530">
        <w:rPr>
          <w:b/>
          <w:bCs/>
          <w:sz w:val="32"/>
          <w:szCs w:val="28"/>
        </w:rPr>
        <w:t>Student Name:</w:t>
      </w:r>
      <w:r w:rsidR="00136BAA">
        <w:rPr>
          <w:b/>
          <w:bCs/>
          <w:sz w:val="32"/>
          <w:szCs w:val="28"/>
        </w:rPr>
        <w:t xml:space="preserve"> Sebastian </w:t>
      </w:r>
      <w:proofErr w:type="spellStart"/>
      <w:r w:rsidR="00136BAA">
        <w:rPr>
          <w:b/>
          <w:bCs/>
          <w:sz w:val="32"/>
          <w:szCs w:val="28"/>
        </w:rPr>
        <w:t>Patrascu</w:t>
      </w:r>
      <w:proofErr w:type="spellEnd"/>
    </w:p>
    <w:p w14:paraId="5A12DE21" w14:textId="45600F56" w:rsidR="00146443" w:rsidRDefault="00F90530" w:rsidP="00F90530">
      <w:pPr>
        <w:rPr>
          <w:b/>
          <w:bCs/>
          <w:sz w:val="32"/>
          <w:szCs w:val="28"/>
        </w:rPr>
      </w:pPr>
      <w:r w:rsidRPr="00F90530">
        <w:rPr>
          <w:b/>
          <w:bCs/>
          <w:sz w:val="32"/>
          <w:szCs w:val="28"/>
        </w:rPr>
        <w:t>Student ID:</w:t>
      </w:r>
      <w:r w:rsidR="00136BAA">
        <w:rPr>
          <w:b/>
          <w:bCs/>
          <w:sz w:val="32"/>
          <w:szCs w:val="28"/>
        </w:rPr>
        <w:t xml:space="preserve"> 2122706</w:t>
      </w:r>
    </w:p>
    <w:p w14:paraId="1139322F" w14:textId="64F60964" w:rsidR="00136BAA" w:rsidRDefault="00136BAA" w:rsidP="00F90530">
      <w:pPr>
        <w:rPr>
          <w:b/>
          <w:bCs/>
          <w:sz w:val="32"/>
          <w:szCs w:val="28"/>
        </w:rPr>
      </w:pPr>
      <w:r>
        <w:rPr>
          <w:b/>
          <w:bCs/>
          <w:sz w:val="32"/>
          <w:szCs w:val="28"/>
        </w:rPr>
        <w:t xml:space="preserve">Lecturer Name: </w:t>
      </w:r>
      <w:proofErr w:type="spellStart"/>
      <w:r>
        <w:rPr>
          <w:b/>
          <w:bCs/>
          <w:sz w:val="32"/>
          <w:szCs w:val="28"/>
        </w:rPr>
        <w:t>Amitave</w:t>
      </w:r>
      <w:proofErr w:type="spellEnd"/>
      <w:r>
        <w:rPr>
          <w:b/>
          <w:bCs/>
          <w:sz w:val="32"/>
          <w:szCs w:val="28"/>
        </w:rPr>
        <w:t xml:space="preserve"> </w:t>
      </w:r>
      <w:proofErr w:type="spellStart"/>
      <w:r>
        <w:rPr>
          <w:b/>
          <w:bCs/>
          <w:sz w:val="32"/>
          <w:szCs w:val="28"/>
        </w:rPr>
        <w:t>Banik</w:t>
      </w:r>
      <w:proofErr w:type="spellEnd"/>
    </w:p>
    <w:p w14:paraId="4005EB9E" w14:textId="224BA8A4" w:rsidR="00136BAA" w:rsidRDefault="00136BAA" w:rsidP="00F90530">
      <w:pPr>
        <w:rPr>
          <w:b/>
          <w:bCs/>
          <w:sz w:val="32"/>
          <w:szCs w:val="28"/>
        </w:rPr>
      </w:pPr>
      <w:r>
        <w:rPr>
          <w:b/>
          <w:bCs/>
          <w:sz w:val="32"/>
          <w:szCs w:val="28"/>
        </w:rPr>
        <w:t>Session: June 2023</w:t>
      </w:r>
    </w:p>
    <w:p w14:paraId="19EB1DB5" w14:textId="0C0E0A9D" w:rsidR="00E671C9" w:rsidRDefault="00E671C9">
      <w:pPr>
        <w:spacing w:line="259" w:lineRule="auto"/>
        <w:jc w:val="left"/>
      </w:pPr>
      <w:r>
        <w:br w:type="page"/>
      </w:r>
    </w:p>
    <w:p w14:paraId="5064F70A" w14:textId="72038E68" w:rsidR="00F90530" w:rsidRDefault="00E671C9" w:rsidP="00E671C9">
      <w:r w:rsidRPr="00E671C9">
        <w:lastRenderedPageBreak/>
        <w:t>The report</w:t>
      </w:r>
      <w:r>
        <w:t xml:space="preserve"> aim</w:t>
      </w:r>
      <w:r w:rsidRPr="00E671C9">
        <w:t xml:space="preserve">s to employ Excel and SPSS for the analysis of a dataset to extract essential information. In the first stage of the study, </w:t>
      </w:r>
      <w:r w:rsidR="00B44AA9">
        <w:t xml:space="preserve">Microsoft </w:t>
      </w:r>
      <w:r w:rsidRPr="00E671C9">
        <w:t>Excel features like pivot tables and lookup functions will be used</w:t>
      </w:r>
      <w:r w:rsidR="0070382C" w:rsidRPr="0070382C">
        <w:t xml:space="preserve"> (Alexander, 2010)</w:t>
      </w:r>
      <w:r w:rsidRPr="00E671C9">
        <w:t xml:space="preserve">. The student data file will then be imported into SPSS for further analysis </w:t>
      </w:r>
      <w:r>
        <w:t>to extract</w:t>
      </w:r>
      <w:r w:rsidRPr="00E671C9">
        <w:t xml:space="preserve"> the required findings from the dataset.</w:t>
      </w:r>
    </w:p>
    <w:p w14:paraId="5C110B25" w14:textId="65D1A9E4" w:rsidR="00E671C9" w:rsidRDefault="00E671C9" w:rsidP="00E671C9">
      <w:r w:rsidRPr="0018114E">
        <w:rPr>
          <w:noProof/>
        </w:rPr>
        <w:drawing>
          <wp:inline distT="0" distB="0" distL="0" distR="0" wp14:anchorId="0FDD26B7" wp14:editId="6380F8B2">
            <wp:extent cx="5731510" cy="1995619"/>
            <wp:effectExtent l="0" t="0" r="2540" b="5080"/>
            <wp:docPr id="167925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54141" name=""/>
                    <pic:cNvPicPr/>
                  </pic:nvPicPr>
                  <pic:blipFill>
                    <a:blip r:embed="rId7"/>
                    <a:stretch>
                      <a:fillRect/>
                    </a:stretch>
                  </pic:blipFill>
                  <pic:spPr>
                    <a:xfrm>
                      <a:off x="0" y="0"/>
                      <a:ext cx="5731510" cy="1995619"/>
                    </a:xfrm>
                    <a:prstGeom prst="rect">
                      <a:avLst/>
                    </a:prstGeom>
                  </pic:spPr>
                </pic:pic>
              </a:graphicData>
            </a:graphic>
          </wp:inline>
        </w:drawing>
      </w:r>
    </w:p>
    <w:p w14:paraId="16C69CBE" w14:textId="581032D9" w:rsidR="00E671C9" w:rsidRDefault="00E671C9" w:rsidP="00E671C9">
      <w:r>
        <w:t>This essay comes with an Excel file that's filled with different booking-related information. This dataset contains important data regarding hotel reservations, such as the number of people and children, whether the reservation is for a weekday or a weekend, the price, and the year of the reservation</w:t>
      </w:r>
      <w:r w:rsidR="0070382C" w:rsidRPr="0070382C">
        <w:t xml:space="preserve"> (</w:t>
      </w:r>
      <w:proofErr w:type="spellStart"/>
      <w:r w:rsidR="0070382C" w:rsidRPr="0070382C">
        <w:t>Barreras</w:t>
      </w:r>
      <w:proofErr w:type="spellEnd"/>
      <w:r w:rsidR="0070382C" w:rsidRPr="0070382C">
        <w:t xml:space="preserve"> </w:t>
      </w:r>
      <w:proofErr w:type="spellStart"/>
      <w:r w:rsidR="0070382C" w:rsidRPr="0070382C">
        <w:t>Alconchel</w:t>
      </w:r>
      <w:proofErr w:type="spellEnd"/>
      <w:r w:rsidR="0070382C" w:rsidRPr="0070382C">
        <w:t>, 2006)</w:t>
      </w:r>
      <w:r>
        <w:t>. Although there are many analytical uses for this data, the main goal of this report is to follow changes in the average booking price over time and spot any rising or falling patterns. The essay will make use of Microsoft Excel's pivot table capability to do this analysis and get the precise data required</w:t>
      </w:r>
      <w:r w:rsidR="0070382C" w:rsidRPr="0070382C">
        <w:t xml:space="preserve"> (</w:t>
      </w:r>
      <w:proofErr w:type="spellStart"/>
      <w:r w:rsidR="0070382C" w:rsidRPr="0070382C">
        <w:t>Bilisoly</w:t>
      </w:r>
      <w:proofErr w:type="spellEnd"/>
      <w:r w:rsidR="0070382C" w:rsidRPr="0070382C">
        <w:t>, 2008)</w:t>
      </w:r>
      <w:r>
        <w:t>. An essential Excel tool renowned for its effectiveness in data analysis across all dataset sizes is the pivot table. It provides a variety of areas where necessary analysis columns may be added, streamlining the analysis and data filtering process</w:t>
      </w:r>
      <w:r w:rsidR="0070382C" w:rsidRPr="0070382C">
        <w:t xml:space="preserve"> (</w:t>
      </w:r>
      <w:proofErr w:type="spellStart"/>
      <w:r w:rsidR="0070382C" w:rsidRPr="0070382C">
        <w:t>Cleophas</w:t>
      </w:r>
      <w:proofErr w:type="spellEnd"/>
      <w:r w:rsidR="0070382C" w:rsidRPr="0070382C">
        <w:t xml:space="preserve"> and </w:t>
      </w:r>
      <w:proofErr w:type="spellStart"/>
      <w:r w:rsidR="0070382C" w:rsidRPr="0070382C">
        <w:t>Zwinderman</w:t>
      </w:r>
      <w:proofErr w:type="spellEnd"/>
      <w:r w:rsidR="0070382C" w:rsidRPr="0070382C">
        <w:t>, 2014)</w:t>
      </w:r>
      <w:r>
        <w:t>. This report's first component will concentrate on the pivot table analysis.</w:t>
      </w:r>
    </w:p>
    <w:p w14:paraId="6E486938" w14:textId="21E0AE4B" w:rsidR="00E671C9" w:rsidRDefault="00E671C9" w:rsidP="00E671C9">
      <w:r w:rsidRPr="0046060F">
        <w:rPr>
          <w:noProof/>
        </w:rPr>
        <w:drawing>
          <wp:inline distT="0" distB="0" distL="0" distR="0" wp14:anchorId="0319F9B1" wp14:editId="2521EF29">
            <wp:extent cx="5731510" cy="2326283"/>
            <wp:effectExtent l="0" t="0" r="2540" b="0"/>
            <wp:docPr id="930603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03468" name=""/>
                    <pic:cNvPicPr/>
                  </pic:nvPicPr>
                  <pic:blipFill>
                    <a:blip r:embed="rId8"/>
                    <a:stretch>
                      <a:fillRect/>
                    </a:stretch>
                  </pic:blipFill>
                  <pic:spPr>
                    <a:xfrm>
                      <a:off x="0" y="0"/>
                      <a:ext cx="5731510" cy="2326283"/>
                    </a:xfrm>
                    <a:prstGeom prst="rect">
                      <a:avLst/>
                    </a:prstGeom>
                  </pic:spPr>
                </pic:pic>
              </a:graphicData>
            </a:graphic>
          </wp:inline>
        </w:drawing>
      </w:r>
    </w:p>
    <w:p w14:paraId="438B4824" w14:textId="43C22A33" w:rsidR="00E671C9" w:rsidRDefault="00E671C9" w:rsidP="00E671C9">
      <w:r w:rsidRPr="00E671C9">
        <w:lastRenderedPageBreak/>
        <w:t>The accompanying picture shows a pivot table that is already present in the file and will be the basis for getting the required findings for this analysis</w:t>
      </w:r>
      <w:r w:rsidR="0070382C" w:rsidRPr="0070382C">
        <w:t xml:space="preserve"> (Das, 2021)</w:t>
      </w:r>
      <w:r w:rsidRPr="00E671C9">
        <w:t>. The pivot table's chosen fields, however, will be adjusted since they do not correspond to the analysis's needs. Additionally, the sheet's name will change to improve file management and report clarity</w:t>
      </w:r>
      <w:r w:rsidR="0070382C" w:rsidRPr="0070382C">
        <w:t xml:space="preserve"> (Das, 2021)</w:t>
      </w:r>
      <w:r w:rsidRPr="00E671C9">
        <w:t>.</w:t>
      </w:r>
    </w:p>
    <w:p w14:paraId="2E8262BC" w14:textId="2486D706" w:rsidR="00E671C9" w:rsidRDefault="00E671C9" w:rsidP="00E671C9">
      <w:r w:rsidRPr="0046060F">
        <w:rPr>
          <w:noProof/>
        </w:rPr>
        <w:drawing>
          <wp:inline distT="0" distB="0" distL="0" distR="0" wp14:anchorId="260A9FDA" wp14:editId="63FE0EB3">
            <wp:extent cx="5731510" cy="2039707"/>
            <wp:effectExtent l="0" t="0" r="2540" b="0"/>
            <wp:docPr id="332926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26011" name=""/>
                    <pic:cNvPicPr/>
                  </pic:nvPicPr>
                  <pic:blipFill>
                    <a:blip r:embed="rId9"/>
                    <a:stretch>
                      <a:fillRect/>
                    </a:stretch>
                  </pic:blipFill>
                  <pic:spPr>
                    <a:xfrm>
                      <a:off x="0" y="0"/>
                      <a:ext cx="5731510" cy="2039707"/>
                    </a:xfrm>
                    <a:prstGeom prst="rect">
                      <a:avLst/>
                    </a:prstGeom>
                  </pic:spPr>
                </pic:pic>
              </a:graphicData>
            </a:graphic>
          </wp:inline>
        </w:drawing>
      </w:r>
    </w:p>
    <w:p w14:paraId="63F3CD88" w14:textId="65BB512F" w:rsidR="00E671C9" w:rsidRDefault="00E671C9" w:rsidP="00E671C9">
      <w:r w:rsidRPr="00E671C9">
        <w:t>The required fields have been modified in the given picture, and the sheet name has been changed correctly. The "</w:t>
      </w:r>
      <w:proofErr w:type="spellStart"/>
      <w:r w:rsidRPr="00E671C9">
        <w:t>Arrival_Year</w:t>
      </w:r>
      <w:proofErr w:type="spellEnd"/>
      <w:r w:rsidRPr="00E671C9">
        <w:t>" field has been added to the pivot table as a Row, and the configuration has added a second column for the average price. The default inclusion of the average price total in the pivot table, however, does not support the goals of this research and must be changed</w:t>
      </w:r>
      <w:r w:rsidR="00C17B3F" w:rsidRPr="00C17B3F">
        <w:t xml:space="preserve"> (Day, 2015)</w:t>
      </w:r>
      <w:r w:rsidRPr="00E671C9">
        <w:t>.</w:t>
      </w:r>
    </w:p>
    <w:p w14:paraId="21DB4DC0" w14:textId="67FA2FB8" w:rsidR="00E671C9" w:rsidRDefault="00E671C9" w:rsidP="00E671C9">
      <w:pPr>
        <w:jc w:val="center"/>
      </w:pPr>
      <w:r w:rsidRPr="00043FF4">
        <w:rPr>
          <w:noProof/>
        </w:rPr>
        <w:drawing>
          <wp:inline distT="0" distB="0" distL="0" distR="0" wp14:anchorId="44B18644" wp14:editId="05FD1BA8">
            <wp:extent cx="3889612" cy="3263790"/>
            <wp:effectExtent l="0" t="0" r="0" b="0"/>
            <wp:docPr id="146285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58073" name=""/>
                    <pic:cNvPicPr/>
                  </pic:nvPicPr>
                  <pic:blipFill>
                    <a:blip r:embed="rId10"/>
                    <a:stretch>
                      <a:fillRect/>
                    </a:stretch>
                  </pic:blipFill>
                  <pic:spPr>
                    <a:xfrm>
                      <a:off x="0" y="0"/>
                      <a:ext cx="3906440" cy="3277910"/>
                    </a:xfrm>
                    <a:prstGeom prst="rect">
                      <a:avLst/>
                    </a:prstGeom>
                  </pic:spPr>
                </pic:pic>
              </a:graphicData>
            </a:graphic>
          </wp:inline>
        </w:drawing>
      </w:r>
    </w:p>
    <w:p w14:paraId="04058635" w14:textId="172BF348" w:rsidR="00E671C9" w:rsidRDefault="00E671C9" w:rsidP="00E671C9">
      <w:r w:rsidRPr="00E671C9">
        <w:t xml:space="preserve">By selecting "Sum of Average Price" from the drop-down menu, the "Value Field Settings" option has been activated in the picture that has been supplied. The "Average" setting found in </w:t>
      </w:r>
      <w:r w:rsidRPr="00E671C9">
        <w:lastRenderedPageBreak/>
        <w:t>the "Value Field Settings" menu has been chosen and will be used for the pivot table field</w:t>
      </w:r>
      <w:r w:rsidR="00C17B3F" w:rsidRPr="00C17B3F">
        <w:t xml:space="preserve"> (Dias, 2022)</w:t>
      </w:r>
      <w:r w:rsidRPr="00E671C9">
        <w:t>. The criteria of the analysis have been satisfied with the implementation of this correction, which was successful.</w:t>
      </w:r>
    </w:p>
    <w:p w14:paraId="08E00C23" w14:textId="3F55E7B9" w:rsidR="00E671C9" w:rsidRDefault="00E671C9" w:rsidP="00E671C9">
      <w:r w:rsidRPr="00207FF2">
        <w:rPr>
          <w:noProof/>
        </w:rPr>
        <w:drawing>
          <wp:inline distT="0" distB="0" distL="0" distR="0" wp14:anchorId="500AE9D2" wp14:editId="4556EE43">
            <wp:extent cx="5731510" cy="2220348"/>
            <wp:effectExtent l="0" t="0" r="2540" b="8890"/>
            <wp:docPr id="353490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90249" name=""/>
                    <pic:cNvPicPr/>
                  </pic:nvPicPr>
                  <pic:blipFill>
                    <a:blip r:embed="rId11"/>
                    <a:stretch>
                      <a:fillRect/>
                    </a:stretch>
                  </pic:blipFill>
                  <pic:spPr>
                    <a:xfrm>
                      <a:off x="0" y="0"/>
                      <a:ext cx="5731510" cy="2220348"/>
                    </a:xfrm>
                    <a:prstGeom prst="rect">
                      <a:avLst/>
                    </a:prstGeom>
                  </pic:spPr>
                </pic:pic>
              </a:graphicData>
            </a:graphic>
          </wp:inline>
        </w:drawing>
      </w:r>
    </w:p>
    <w:p w14:paraId="376F78E1" w14:textId="613472B8" w:rsidR="00E671C9" w:rsidRDefault="00E671C9" w:rsidP="00E671C9">
      <w:pPr>
        <w:spacing w:before="240"/>
      </w:pPr>
      <w:r w:rsidRPr="00E671C9">
        <w:t xml:space="preserve">Microsoft Excel has already produced the appropriate findings, as shown in the accompanying picture, and the fields that are being presented here are those that have been determined to be pertinent </w:t>
      </w:r>
      <w:r>
        <w:t>to</w:t>
      </w:r>
      <w:r w:rsidRPr="00E671C9">
        <w:t xml:space="preserve"> this study. It</w:t>
      </w:r>
      <w:r>
        <w:t xml:space="preserve"> i</w:t>
      </w:r>
      <w:r w:rsidRPr="00E671C9">
        <w:t>s important to keep in mind that the pivot table does not contain the data from the dataset for the arrival year 2022</w:t>
      </w:r>
      <w:r w:rsidR="00C17B3F" w:rsidRPr="00C17B3F">
        <w:t xml:space="preserve"> (Freund</w:t>
      </w:r>
      <w:r w:rsidR="00C17B3F">
        <w:t xml:space="preserve"> et al.</w:t>
      </w:r>
      <w:r w:rsidR="00C17B3F" w:rsidRPr="00C17B3F">
        <w:t>, 2013)</w:t>
      </w:r>
      <w:r w:rsidRPr="00E671C9">
        <w:t>. Because this crucial data for the year 2022 is missing, it may be assumed that the data displayed in the pivot table may be erroneous.</w:t>
      </w:r>
    </w:p>
    <w:p w14:paraId="022D83B4" w14:textId="7F8AE8BF" w:rsidR="00E671C9" w:rsidRDefault="00E671C9" w:rsidP="00E671C9">
      <w:pPr>
        <w:rPr>
          <w:noProof/>
        </w:rPr>
      </w:pPr>
      <w:r w:rsidRPr="00207FF2">
        <w:rPr>
          <w:noProof/>
        </w:rPr>
        <w:drawing>
          <wp:inline distT="0" distB="0" distL="0" distR="0" wp14:anchorId="732EA61E" wp14:editId="5FA7CF59">
            <wp:extent cx="2674852" cy="1577477"/>
            <wp:effectExtent l="0" t="0" r="0" b="3810"/>
            <wp:docPr id="1147614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14842" name=""/>
                    <pic:cNvPicPr/>
                  </pic:nvPicPr>
                  <pic:blipFill>
                    <a:blip r:embed="rId12"/>
                    <a:stretch>
                      <a:fillRect/>
                    </a:stretch>
                  </pic:blipFill>
                  <pic:spPr>
                    <a:xfrm>
                      <a:off x="0" y="0"/>
                      <a:ext cx="2674852" cy="1577477"/>
                    </a:xfrm>
                    <a:prstGeom prst="rect">
                      <a:avLst/>
                    </a:prstGeom>
                  </pic:spPr>
                </pic:pic>
              </a:graphicData>
            </a:graphic>
          </wp:inline>
        </w:drawing>
      </w:r>
      <w:r>
        <w:rPr>
          <w:noProof/>
        </w:rPr>
        <w:t xml:space="preserve">      </w:t>
      </w:r>
      <w:r w:rsidRPr="00207FF2">
        <w:rPr>
          <w:noProof/>
        </w:rPr>
        <w:drawing>
          <wp:inline distT="0" distB="0" distL="0" distR="0" wp14:anchorId="6D0B52CA" wp14:editId="6674034B">
            <wp:extent cx="2324301" cy="1638442"/>
            <wp:effectExtent l="0" t="0" r="0" b="0"/>
            <wp:docPr id="611239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39556" name=""/>
                    <pic:cNvPicPr/>
                  </pic:nvPicPr>
                  <pic:blipFill>
                    <a:blip r:embed="rId13"/>
                    <a:stretch>
                      <a:fillRect/>
                    </a:stretch>
                  </pic:blipFill>
                  <pic:spPr>
                    <a:xfrm>
                      <a:off x="0" y="0"/>
                      <a:ext cx="2324301" cy="1638442"/>
                    </a:xfrm>
                    <a:prstGeom prst="rect">
                      <a:avLst/>
                    </a:prstGeom>
                  </pic:spPr>
                </pic:pic>
              </a:graphicData>
            </a:graphic>
          </wp:inline>
        </w:drawing>
      </w:r>
    </w:p>
    <w:p w14:paraId="29CD42A8" w14:textId="4EFB27EA" w:rsidR="00E671C9" w:rsidRDefault="00E671C9" w:rsidP="00E671C9">
      <w:r>
        <w:t>Located in the uppermost section of the screen, there exists a designated tab denoted as "PivotTable Analyse." Upon selecting this tab, a fresh array of choices becomes accessible to the user</w:t>
      </w:r>
      <w:r w:rsidR="00C17B3F" w:rsidRPr="00C17B3F">
        <w:t xml:space="preserve"> (Alexander, 2010)</w:t>
      </w:r>
      <w:r>
        <w:t xml:space="preserve">. Within the available choices, there exists a function referred to as "Refresh," which may be used to effectively refresh the dataset that is being </w:t>
      </w:r>
      <w:proofErr w:type="spellStart"/>
      <w:r>
        <w:t>utilised</w:t>
      </w:r>
      <w:proofErr w:type="spellEnd"/>
      <w:r>
        <w:t xml:space="preserve"> by the pivot table</w:t>
      </w:r>
      <w:r w:rsidR="00C17B3F" w:rsidRPr="00C17B3F">
        <w:t xml:space="preserve"> (Gent, 2002)</w:t>
      </w:r>
      <w:r>
        <w:t>. After being refreshed, Microsoft Excel does a reevaluation of the findings.</w:t>
      </w:r>
    </w:p>
    <w:p w14:paraId="4283025E" w14:textId="653624C6" w:rsidR="00E671C9" w:rsidRDefault="00E671C9" w:rsidP="00E671C9">
      <w:r>
        <w:t>After the data refresh, the data has been effectively updated. The anticipated outcomes have been achieved, as seen in the accompanying picture.</w:t>
      </w:r>
    </w:p>
    <w:p w14:paraId="692DBC02" w14:textId="5D21C35B" w:rsidR="00E671C9" w:rsidRDefault="00E671C9" w:rsidP="00E671C9">
      <w:pPr>
        <w:jc w:val="center"/>
      </w:pPr>
      <w:r>
        <w:rPr>
          <w:noProof/>
          <w14:ligatures w14:val="standardContextual"/>
        </w:rPr>
        <w:lastRenderedPageBreak/>
        <w:drawing>
          <wp:inline distT="0" distB="0" distL="0" distR="0" wp14:anchorId="5DC71209" wp14:editId="0C3D680D">
            <wp:extent cx="4572000" cy="2743200"/>
            <wp:effectExtent l="0" t="0" r="0" b="0"/>
            <wp:docPr id="1141745563" name="Chart 1">
              <a:extLst xmlns:a="http://schemas.openxmlformats.org/drawingml/2006/main">
                <a:ext uri="{FF2B5EF4-FFF2-40B4-BE49-F238E27FC236}">
                  <a16:creationId xmlns:a16="http://schemas.microsoft.com/office/drawing/2014/main" id="{76E8494B-F802-1A2A-E8F8-F0AE234C9A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B352C3" w14:textId="507FD5E3" w:rsidR="00E671C9" w:rsidRDefault="00E671C9" w:rsidP="00E671C9">
      <w:r>
        <w:t xml:space="preserve">A detailed </w:t>
      </w:r>
      <w:proofErr w:type="spellStart"/>
      <w:r>
        <w:t>visualisation</w:t>
      </w:r>
      <w:proofErr w:type="spellEnd"/>
      <w:r>
        <w:t xml:space="preserve"> of the yearly changes in average prices has been built by making use of the pivot chart that is given above</w:t>
      </w:r>
      <w:r w:rsidR="00C17B3F" w:rsidRPr="00C17B3F">
        <w:t xml:space="preserve"> (</w:t>
      </w:r>
      <w:proofErr w:type="spellStart"/>
      <w:r w:rsidR="00C17B3F" w:rsidRPr="00C17B3F">
        <w:t>Barreras</w:t>
      </w:r>
      <w:proofErr w:type="spellEnd"/>
      <w:r w:rsidR="00C17B3F" w:rsidRPr="00C17B3F">
        <w:t xml:space="preserve"> </w:t>
      </w:r>
      <w:proofErr w:type="spellStart"/>
      <w:r w:rsidR="00C17B3F" w:rsidRPr="00C17B3F">
        <w:t>Alconchel</w:t>
      </w:r>
      <w:proofErr w:type="spellEnd"/>
      <w:r w:rsidR="00C17B3F" w:rsidRPr="00C17B3F">
        <w:t>, 2006)</w:t>
      </w:r>
      <w:r>
        <w:t>. The year 2017 is notable because it was the year in which the average price dropped to an all-time low of $90.04. On the other hand, prices had a huge increase the very following year, reaching a high point of $106.45 in the year 2018. Establishing a stable range, none of the succeeding years were able to achieve a higher price than this one, nor did they go below the level seen in 2017, which was the moment at which the price was at its lowest.</w:t>
      </w:r>
    </w:p>
    <w:p w14:paraId="5954FFCD" w14:textId="7EB95218" w:rsidR="00E671C9" w:rsidRDefault="00E671C9" w:rsidP="00E671C9">
      <w:r>
        <w:t xml:space="preserve">This research reveals an unusual trend, which may be </w:t>
      </w:r>
      <w:proofErr w:type="spellStart"/>
      <w:r>
        <w:t>summarised</w:t>
      </w:r>
      <w:proofErr w:type="spellEnd"/>
      <w:r>
        <w:t xml:space="preserve"> as follows: if there is a price increase in one year, it is always followed by a price drop in the succeeding year. This is a fascinating pattern to observe. For example, the average price in 2021 was $101.23, and it was almost identical to the average price in 2022, which was $101.499. This pattern of fluctuating prices, with increases followed by decreases, is consistent across all of the data</w:t>
      </w:r>
      <w:r w:rsidR="00C17B3F" w:rsidRPr="00C17B3F">
        <w:t xml:space="preserve"> (</w:t>
      </w:r>
      <w:proofErr w:type="spellStart"/>
      <w:r w:rsidR="00C17B3F" w:rsidRPr="00C17B3F">
        <w:t>Barreras</w:t>
      </w:r>
      <w:proofErr w:type="spellEnd"/>
      <w:r w:rsidR="00C17B3F" w:rsidRPr="00C17B3F">
        <w:t xml:space="preserve"> </w:t>
      </w:r>
      <w:proofErr w:type="spellStart"/>
      <w:r w:rsidR="00C17B3F" w:rsidRPr="00C17B3F">
        <w:t>Alconchel</w:t>
      </w:r>
      <w:proofErr w:type="spellEnd"/>
      <w:r w:rsidR="00C17B3F" w:rsidRPr="00C17B3F">
        <w:t>, 2006)</w:t>
      </w:r>
      <w:r>
        <w:t xml:space="preserve">. These results have substantial repercussions for </w:t>
      </w:r>
      <w:proofErr w:type="spellStart"/>
      <w:r>
        <w:t>analysing</w:t>
      </w:r>
      <w:proofErr w:type="spellEnd"/>
      <w:r>
        <w:t xml:space="preserve"> future patterns and making predictions based on them</w:t>
      </w:r>
      <w:r w:rsidR="00C17B3F" w:rsidRPr="00C17B3F">
        <w:t xml:space="preserve"> (</w:t>
      </w:r>
      <w:proofErr w:type="spellStart"/>
      <w:r w:rsidR="00C17B3F" w:rsidRPr="00C17B3F">
        <w:t>Barreras</w:t>
      </w:r>
      <w:proofErr w:type="spellEnd"/>
      <w:r w:rsidR="00C17B3F" w:rsidRPr="00C17B3F">
        <w:t xml:space="preserve"> </w:t>
      </w:r>
      <w:proofErr w:type="spellStart"/>
      <w:r w:rsidR="00C17B3F" w:rsidRPr="00C17B3F">
        <w:t>Alconchel</w:t>
      </w:r>
      <w:proofErr w:type="spellEnd"/>
      <w:r w:rsidR="00C17B3F" w:rsidRPr="00C17B3F">
        <w:t>, 2006)</w:t>
      </w:r>
      <w:r>
        <w:t>. Given the previous years' behaviour, it is not unreasonable to assume a price reduction in 2023.</w:t>
      </w:r>
    </w:p>
    <w:p w14:paraId="4AA9F053" w14:textId="1F33E33E" w:rsidR="00E671C9" w:rsidRDefault="00E671C9" w:rsidP="00E671C9">
      <w:r>
        <w:t xml:space="preserve">Excel provides users with several helpful tools, one of which is the Lookup Function, which makes it much easier to </w:t>
      </w:r>
      <w:proofErr w:type="spellStart"/>
      <w:r>
        <w:t>analyse</w:t>
      </w:r>
      <w:proofErr w:type="spellEnd"/>
      <w:r>
        <w:t xml:space="preserve"> vast information. Pivot charts are one example of these tools. This multipurpose function looks for specified data in one column and then pulls related data from another column</w:t>
      </w:r>
      <w:r w:rsidR="00C17B3F" w:rsidRPr="00C17B3F">
        <w:t xml:space="preserve"> (</w:t>
      </w:r>
      <w:proofErr w:type="spellStart"/>
      <w:r w:rsidR="00C17B3F" w:rsidRPr="00C17B3F">
        <w:t>Barreras</w:t>
      </w:r>
      <w:proofErr w:type="spellEnd"/>
      <w:r w:rsidR="00C17B3F" w:rsidRPr="00C17B3F">
        <w:t xml:space="preserve"> </w:t>
      </w:r>
      <w:proofErr w:type="spellStart"/>
      <w:r w:rsidR="00C17B3F" w:rsidRPr="00C17B3F">
        <w:t>Alconchel</w:t>
      </w:r>
      <w:proofErr w:type="spellEnd"/>
      <w:r w:rsidR="00C17B3F" w:rsidRPr="00C17B3F">
        <w:t>, 2006)</w:t>
      </w:r>
      <w:r>
        <w:t>. The Lookup Function can discover data emanating from the specified column in both the forward and backward directions thanks to its unique bidirectional search feature. This is what sets it different from other functions. This capability is particularly helpful for activities that call for the rapid retrieval and examination of data. In a nutshell, the pivot chart and the Lookup Function in Excel are both effective tools for examining data trends, illuminating patterns, and producing well-informed forecasts, which eventually contribute to an improvement in the decision-making processes that take place in a variety of analytical situations</w:t>
      </w:r>
      <w:r w:rsidR="00C17B3F" w:rsidRPr="00C17B3F">
        <w:t xml:space="preserve"> (Das, 2021)</w:t>
      </w:r>
      <w:r>
        <w:t>.</w:t>
      </w:r>
    </w:p>
    <w:p w14:paraId="7034118E" w14:textId="63FBCFB2" w:rsidR="00E671C9" w:rsidRDefault="00E671C9" w:rsidP="00E671C9">
      <w:pPr>
        <w:jc w:val="center"/>
      </w:pPr>
      <w:r w:rsidRPr="00226393">
        <w:rPr>
          <w:noProof/>
        </w:rPr>
        <w:drawing>
          <wp:inline distT="0" distB="0" distL="0" distR="0" wp14:anchorId="6FCBD86F" wp14:editId="32BEFCFA">
            <wp:extent cx="5307498" cy="3369921"/>
            <wp:effectExtent l="0" t="0" r="7620" b="2540"/>
            <wp:docPr id="89023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36045" name=""/>
                    <pic:cNvPicPr/>
                  </pic:nvPicPr>
                  <pic:blipFill>
                    <a:blip r:embed="rId15"/>
                    <a:stretch>
                      <a:fillRect/>
                    </a:stretch>
                  </pic:blipFill>
                  <pic:spPr>
                    <a:xfrm>
                      <a:off x="0" y="0"/>
                      <a:ext cx="5314100" cy="3374113"/>
                    </a:xfrm>
                    <a:prstGeom prst="rect">
                      <a:avLst/>
                    </a:prstGeom>
                  </pic:spPr>
                </pic:pic>
              </a:graphicData>
            </a:graphic>
          </wp:inline>
        </w:drawing>
      </w:r>
    </w:p>
    <w:p w14:paraId="70F48B8C" w14:textId="6F33D6BC" w:rsidR="00E671C9" w:rsidRDefault="00E671C9" w:rsidP="00E671C9">
      <w:r>
        <w:t>The "Arrival Year" information is in column J of the spreadsheet, and for the sake of this report, the "Average Price" column has been transferred to column V. The aim is to group average price values according to arrival year using the Lookup function</w:t>
      </w:r>
      <w:r w:rsidR="00C17B3F" w:rsidRPr="00C17B3F">
        <w:t xml:space="preserve"> (Das, 2021)</w:t>
      </w:r>
      <w:r>
        <w:t>. This calculation is based on the following formula:</w:t>
      </w:r>
    </w:p>
    <w:p w14:paraId="4AC5EF98" w14:textId="60E0D692" w:rsidR="00E671C9" w:rsidRDefault="00E671C9" w:rsidP="00E671C9">
      <w:r>
        <w:t>=</w:t>
      </w:r>
      <w:proofErr w:type="gramStart"/>
      <w:r>
        <w:t>IFERROR(</w:t>
      </w:r>
      <w:proofErr w:type="gramEnd"/>
      <w:r>
        <w:t>LOOKUP(2017, J2:J2, V2:V2), "No Match")</w:t>
      </w:r>
    </w:p>
    <w:p w14:paraId="570D8163" w14:textId="43149125" w:rsidR="00E671C9" w:rsidRDefault="00E671C9" w:rsidP="00E671C9">
      <w:r>
        <w:t>Three different inputs are necessary for the lookup function. the cell where the data will be searched (in this example, cell J in column J), the data to be searched (in this case, 2017), and the intended result (in column V). Since there are no values smaller than 2017 to match, this formula assures that if the cell in column J does not contain the number 2017, an error may occur</w:t>
      </w:r>
      <w:r w:rsidR="00C17B3F" w:rsidRPr="00C17B3F">
        <w:t xml:space="preserve"> (Das, 2021)</w:t>
      </w:r>
      <w:r>
        <w:t>. The use of the IFERROR function is necessary to get around this problem. Consequently, the cell will provide the required output if its output does not include an error. However, as a type of error management, the formula will return "No Match" as the output if the output produces an error</w:t>
      </w:r>
      <w:r w:rsidR="00C17B3F" w:rsidRPr="00C17B3F">
        <w:t xml:space="preserve"> (Freund</w:t>
      </w:r>
      <w:r w:rsidR="00C17B3F">
        <w:t xml:space="preserve"> et al.</w:t>
      </w:r>
      <w:r w:rsidR="00C17B3F" w:rsidRPr="00C17B3F">
        <w:t>, 2013)</w:t>
      </w:r>
      <w:r w:rsidR="00C17B3F">
        <w:t>.</w:t>
      </w:r>
      <w:r>
        <w:t xml:space="preserve"> This method streamlines the examination of data subsets based on arrival year and makes it easier to obtain average pricing data for the given year. It makes sure that even if column J doesn't include a match for the specified year, the formula graciously handles the circumstance by clearly indicating "No Match" in the output.</w:t>
      </w:r>
    </w:p>
    <w:p w14:paraId="4FB986EF" w14:textId="11CBAC26" w:rsidR="00E671C9" w:rsidRDefault="00E671C9" w:rsidP="00E671C9">
      <w:pPr>
        <w:rPr>
          <w:noProof/>
        </w:rPr>
      </w:pPr>
      <w:r w:rsidRPr="00556868">
        <w:rPr>
          <w:noProof/>
        </w:rPr>
        <w:drawing>
          <wp:inline distT="0" distB="0" distL="0" distR="0" wp14:anchorId="2C44BE40" wp14:editId="644356A5">
            <wp:extent cx="2415749" cy="4892464"/>
            <wp:effectExtent l="0" t="0" r="3810" b="3810"/>
            <wp:docPr id="139599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96527" name=""/>
                    <pic:cNvPicPr/>
                  </pic:nvPicPr>
                  <pic:blipFill>
                    <a:blip r:embed="rId16"/>
                    <a:stretch>
                      <a:fillRect/>
                    </a:stretch>
                  </pic:blipFill>
                  <pic:spPr>
                    <a:xfrm>
                      <a:off x="0" y="0"/>
                      <a:ext cx="2415749" cy="4892464"/>
                    </a:xfrm>
                    <a:prstGeom prst="rect">
                      <a:avLst/>
                    </a:prstGeom>
                  </pic:spPr>
                </pic:pic>
              </a:graphicData>
            </a:graphic>
          </wp:inline>
        </w:drawing>
      </w:r>
      <w:r>
        <w:rPr>
          <w:noProof/>
        </w:rPr>
        <w:t xml:space="preserve">                 </w:t>
      </w:r>
      <w:r w:rsidRPr="00BC6930">
        <w:rPr>
          <w:noProof/>
        </w:rPr>
        <w:drawing>
          <wp:inline distT="0" distB="0" distL="0" distR="0" wp14:anchorId="4430889B" wp14:editId="14F57D46">
            <wp:extent cx="1272650" cy="4397121"/>
            <wp:effectExtent l="0" t="0" r="3810" b="3810"/>
            <wp:docPr id="193691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12636" name=""/>
                    <pic:cNvPicPr/>
                  </pic:nvPicPr>
                  <pic:blipFill>
                    <a:blip r:embed="rId17"/>
                    <a:stretch>
                      <a:fillRect/>
                    </a:stretch>
                  </pic:blipFill>
                  <pic:spPr>
                    <a:xfrm>
                      <a:off x="0" y="0"/>
                      <a:ext cx="1272650" cy="4397121"/>
                    </a:xfrm>
                    <a:prstGeom prst="rect">
                      <a:avLst/>
                    </a:prstGeom>
                  </pic:spPr>
                </pic:pic>
              </a:graphicData>
            </a:graphic>
          </wp:inline>
        </w:drawing>
      </w:r>
    </w:p>
    <w:p w14:paraId="0A1C5692" w14:textId="3F3A82AF" w:rsidR="00E671C9" w:rsidRDefault="00E671C9" w:rsidP="00E671C9">
      <w:r>
        <w:t>The data pertinent to the year 2017 has been successfully retrieved and put in the X column, as seen above, with all other cells being marked as "No Match." The next step is to figure out the average value for this collection of data. The following formula is used to do this:</w:t>
      </w:r>
    </w:p>
    <w:p w14:paraId="21B3A3F1" w14:textId="42B4574E" w:rsidR="00E671C9" w:rsidRDefault="00E671C9" w:rsidP="00E671C9">
      <w:r>
        <w:t>=</w:t>
      </w:r>
      <w:proofErr w:type="gramStart"/>
      <w:r>
        <w:t>AVERAGE(</w:t>
      </w:r>
      <w:proofErr w:type="gramEnd"/>
      <w:r>
        <w:t>X2:X36276)</w:t>
      </w:r>
    </w:p>
    <w:p w14:paraId="518A5BD9" w14:textId="63E80ECA" w:rsidR="00E671C9" w:rsidRDefault="00E671C9" w:rsidP="00E671C9">
      <w:r>
        <w:t>This algorithm generates an accurate average for the dataset by averaging the numerical values in the X column.</w:t>
      </w:r>
    </w:p>
    <w:p w14:paraId="3D6A873C" w14:textId="3DFD290E" w:rsidR="00E671C9" w:rsidRDefault="00E671C9" w:rsidP="00E671C9">
      <w:r>
        <w:t>However, it is impossible to apply the same formula directly to the 2018 data. This is due to the Lookup function's property that, in the absence of a precise match, returns the nearest shorter data</w:t>
      </w:r>
      <w:r w:rsidR="00C17B3F">
        <w:t xml:space="preserve"> </w:t>
      </w:r>
      <w:r w:rsidR="00C17B3F" w:rsidRPr="00C17B3F">
        <w:t>(Freund</w:t>
      </w:r>
      <w:r w:rsidR="00C17B3F">
        <w:t xml:space="preserve"> et al.</w:t>
      </w:r>
      <w:r w:rsidR="00C17B3F" w:rsidRPr="00C17B3F">
        <w:t>, 2013)</w:t>
      </w:r>
      <w:r>
        <w:t>. It would be impossible to show both sets of data using the same formula for the 2018 and 2017 data, which would have led to analytical mistakes. The following formula is used to handle this:</w:t>
      </w:r>
    </w:p>
    <w:p w14:paraId="147234FF" w14:textId="77777777" w:rsidR="00E671C9" w:rsidRDefault="00E671C9" w:rsidP="00E671C9">
      <w:r w:rsidRPr="00E671C9">
        <w:t>=</w:t>
      </w:r>
      <w:proofErr w:type="gramStart"/>
      <w:r w:rsidRPr="00E671C9">
        <w:t>IF(</w:t>
      </w:r>
      <w:proofErr w:type="gramEnd"/>
      <w:r w:rsidRPr="00E671C9">
        <w:t>J2=2018, LOOKUP(2018, J2:J2, V2:V2), "No Match")</w:t>
      </w:r>
    </w:p>
    <w:p w14:paraId="6F9EEEC2" w14:textId="5038A06B" w:rsidR="00E671C9" w:rsidRDefault="00E671C9" w:rsidP="00E671C9">
      <w:r>
        <w:t>To guarantee reliable results, this formula uses the IF function. It determines whether the year 2018 is present in the cell in column J. If it does, the formula uses the Lookup function to retrieve the data; if it doesn't, it outputs "No Match". Similar to the previous procedure, this strategy enables the extraction of data, assuring accurate and error-free analysis for each particular year</w:t>
      </w:r>
      <w:r w:rsidR="00C17B3F">
        <w:t xml:space="preserve"> </w:t>
      </w:r>
      <w:r w:rsidR="00C17B3F" w:rsidRPr="00C17B3F">
        <w:t>(Freund</w:t>
      </w:r>
      <w:r w:rsidR="00C17B3F">
        <w:t xml:space="preserve"> et al.</w:t>
      </w:r>
      <w:r w:rsidR="00C17B3F" w:rsidRPr="00C17B3F">
        <w:t>, 2013)</w:t>
      </w:r>
      <w:r>
        <w:t>.</w:t>
      </w:r>
    </w:p>
    <w:p w14:paraId="4D97FB94" w14:textId="5E0D22D0" w:rsidR="00E671C9" w:rsidRDefault="00E671C9" w:rsidP="00E671C9">
      <w:r w:rsidRPr="00E671C9">
        <w:t>The average method has also been used to get the average of the average price associated with 2018. This is because the data was discovered as displayed in the column.</w:t>
      </w:r>
    </w:p>
    <w:tbl>
      <w:tblPr>
        <w:tblStyle w:val="PlainTable3"/>
        <w:tblW w:w="0" w:type="auto"/>
        <w:jc w:val="center"/>
        <w:tblLook w:val="04A0" w:firstRow="1" w:lastRow="0" w:firstColumn="1" w:lastColumn="0" w:noHBand="0" w:noVBand="1"/>
      </w:tblPr>
      <w:tblGrid>
        <w:gridCol w:w="4466"/>
        <w:gridCol w:w="4472"/>
      </w:tblGrid>
      <w:tr w:rsidR="00E671C9" w14:paraId="53801C66" w14:textId="77777777" w:rsidTr="00E671C9">
        <w:trPr>
          <w:cnfStyle w:val="100000000000" w:firstRow="1" w:lastRow="0" w:firstColumn="0" w:lastColumn="0" w:oddVBand="0" w:evenVBand="0" w:oddHBand="0" w:evenHBand="0" w:firstRowFirstColumn="0" w:firstRowLastColumn="0" w:lastRowFirstColumn="0" w:lastRowLastColumn="0"/>
          <w:trHeight w:val="466"/>
          <w:jc w:val="center"/>
        </w:trPr>
        <w:tc>
          <w:tcPr>
            <w:cnfStyle w:val="001000000100" w:firstRow="0" w:lastRow="0" w:firstColumn="1" w:lastColumn="0" w:oddVBand="0" w:evenVBand="0" w:oddHBand="0" w:evenHBand="0" w:firstRowFirstColumn="1" w:firstRowLastColumn="0" w:lastRowFirstColumn="0" w:lastRowLastColumn="0"/>
            <w:tcW w:w="4466" w:type="dxa"/>
          </w:tcPr>
          <w:p w14:paraId="341EA0F9" w14:textId="77777777" w:rsidR="00E671C9" w:rsidRDefault="00E671C9" w:rsidP="009C3784">
            <w:r>
              <w:t>Arrival Year</w:t>
            </w:r>
          </w:p>
        </w:tc>
        <w:tc>
          <w:tcPr>
            <w:tcW w:w="4472" w:type="dxa"/>
          </w:tcPr>
          <w:p w14:paraId="161234CB" w14:textId="77777777" w:rsidR="00E671C9" w:rsidRDefault="00E671C9" w:rsidP="009C3784">
            <w:pPr>
              <w:cnfStyle w:val="100000000000" w:firstRow="1" w:lastRow="0" w:firstColumn="0" w:lastColumn="0" w:oddVBand="0" w:evenVBand="0" w:oddHBand="0" w:evenHBand="0" w:firstRowFirstColumn="0" w:firstRowLastColumn="0" w:lastRowFirstColumn="0" w:lastRowLastColumn="0"/>
            </w:pPr>
            <w:r>
              <w:t>Average Price</w:t>
            </w:r>
          </w:p>
        </w:tc>
      </w:tr>
      <w:tr w:rsidR="00E671C9" w14:paraId="225617EC" w14:textId="77777777" w:rsidTr="00E671C9">
        <w:trPr>
          <w:cnfStyle w:val="000000100000" w:firstRow="0" w:lastRow="0" w:firstColumn="0" w:lastColumn="0" w:oddVBand="0" w:evenVBand="0" w:oddHBand="1" w:evenHBand="0" w:firstRowFirstColumn="0" w:firstRowLastColumn="0" w:lastRowFirstColumn="0" w:lastRowLastColumn="0"/>
          <w:trHeight w:val="491"/>
          <w:jc w:val="center"/>
        </w:trPr>
        <w:tc>
          <w:tcPr>
            <w:cnfStyle w:val="001000000000" w:firstRow="0" w:lastRow="0" w:firstColumn="1" w:lastColumn="0" w:oddVBand="0" w:evenVBand="0" w:oddHBand="0" w:evenHBand="0" w:firstRowFirstColumn="0" w:firstRowLastColumn="0" w:lastRowFirstColumn="0" w:lastRowLastColumn="0"/>
            <w:tcW w:w="4466" w:type="dxa"/>
          </w:tcPr>
          <w:p w14:paraId="74CE47EC" w14:textId="77777777" w:rsidR="00E671C9" w:rsidRDefault="00E671C9" w:rsidP="009C3784">
            <w:r>
              <w:t>2017</w:t>
            </w:r>
          </w:p>
        </w:tc>
        <w:tc>
          <w:tcPr>
            <w:tcW w:w="4472" w:type="dxa"/>
          </w:tcPr>
          <w:p w14:paraId="28AA24E4" w14:textId="77777777" w:rsidR="00E671C9" w:rsidRDefault="00E671C9" w:rsidP="009C3784">
            <w:pPr>
              <w:cnfStyle w:val="000000100000" w:firstRow="0" w:lastRow="0" w:firstColumn="0" w:lastColumn="0" w:oddVBand="0" w:evenVBand="0" w:oddHBand="1" w:evenHBand="0" w:firstRowFirstColumn="0" w:firstRowLastColumn="0" w:lastRowFirstColumn="0" w:lastRowLastColumn="0"/>
            </w:pPr>
            <w:r w:rsidRPr="00BC6930">
              <w:t>90.0498541</w:t>
            </w:r>
          </w:p>
        </w:tc>
      </w:tr>
      <w:tr w:rsidR="00E671C9" w14:paraId="7D172CE9" w14:textId="77777777" w:rsidTr="00E671C9">
        <w:trPr>
          <w:trHeight w:val="466"/>
          <w:jc w:val="center"/>
        </w:trPr>
        <w:tc>
          <w:tcPr>
            <w:cnfStyle w:val="001000000000" w:firstRow="0" w:lastRow="0" w:firstColumn="1" w:lastColumn="0" w:oddVBand="0" w:evenVBand="0" w:oddHBand="0" w:evenHBand="0" w:firstRowFirstColumn="0" w:firstRowLastColumn="0" w:lastRowFirstColumn="0" w:lastRowLastColumn="0"/>
            <w:tcW w:w="4466" w:type="dxa"/>
          </w:tcPr>
          <w:p w14:paraId="5BE06B16" w14:textId="77777777" w:rsidR="00E671C9" w:rsidRDefault="00E671C9" w:rsidP="009C3784">
            <w:r>
              <w:t>2018</w:t>
            </w:r>
          </w:p>
        </w:tc>
        <w:tc>
          <w:tcPr>
            <w:tcW w:w="4472" w:type="dxa"/>
          </w:tcPr>
          <w:p w14:paraId="4B79073B" w14:textId="77777777" w:rsidR="00E671C9" w:rsidRDefault="00E671C9" w:rsidP="009C3784">
            <w:pPr>
              <w:cnfStyle w:val="000000000000" w:firstRow="0" w:lastRow="0" w:firstColumn="0" w:lastColumn="0" w:oddVBand="0" w:evenVBand="0" w:oddHBand="0" w:evenHBand="0" w:firstRowFirstColumn="0" w:firstRowLastColumn="0" w:lastRowFirstColumn="0" w:lastRowLastColumn="0"/>
            </w:pPr>
            <w:r w:rsidRPr="00BC6930">
              <w:t>106.4527274</w:t>
            </w:r>
          </w:p>
        </w:tc>
      </w:tr>
      <w:tr w:rsidR="00E671C9" w14:paraId="4050BF59" w14:textId="77777777" w:rsidTr="00E671C9">
        <w:trPr>
          <w:cnfStyle w:val="000000100000" w:firstRow="0" w:lastRow="0" w:firstColumn="0" w:lastColumn="0" w:oddVBand="0" w:evenVBand="0" w:oddHBand="1" w:evenHBand="0" w:firstRowFirstColumn="0" w:firstRowLastColumn="0" w:lastRowFirstColumn="0" w:lastRowLastColumn="0"/>
          <w:trHeight w:val="491"/>
          <w:jc w:val="center"/>
        </w:trPr>
        <w:tc>
          <w:tcPr>
            <w:cnfStyle w:val="001000000000" w:firstRow="0" w:lastRow="0" w:firstColumn="1" w:lastColumn="0" w:oddVBand="0" w:evenVBand="0" w:oddHBand="0" w:evenHBand="0" w:firstRowFirstColumn="0" w:firstRowLastColumn="0" w:lastRowFirstColumn="0" w:lastRowLastColumn="0"/>
            <w:tcW w:w="4466" w:type="dxa"/>
          </w:tcPr>
          <w:p w14:paraId="7D22D59C" w14:textId="77777777" w:rsidR="00E671C9" w:rsidRDefault="00E671C9" w:rsidP="009C3784">
            <w:r>
              <w:t>2019</w:t>
            </w:r>
          </w:p>
        </w:tc>
        <w:tc>
          <w:tcPr>
            <w:tcW w:w="4472" w:type="dxa"/>
          </w:tcPr>
          <w:p w14:paraId="3C69C253" w14:textId="77777777" w:rsidR="00E671C9" w:rsidRDefault="00E671C9" w:rsidP="009C3784">
            <w:pPr>
              <w:cnfStyle w:val="000000100000" w:firstRow="0" w:lastRow="0" w:firstColumn="0" w:lastColumn="0" w:oddVBand="0" w:evenVBand="0" w:oddHBand="1" w:evenHBand="0" w:firstRowFirstColumn="0" w:firstRowLastColumn="0" w:lastRowFirstColumn="0" w:lastRowLastColumn="0"/>
            </w:pPr>
            <w:r w:rsidRPr="00BC6930">
              <w:t>101.7812994</w:t>
            </w:r>
          </w:p>
        </w:tc>
      </w:tr>
      <w:tr w:rsidR="00E671C9" w14:paraId="56BE1310" w14:textId="77777777" w:rsidTr="00E671C9">
        <w:trPr>
          <w:trHeight w:val="466"/>
          <w:jc w:val="center"/>
        </w:trPr>
        <w:tc>
          <w:tcPr>
            <w:cnfStyle w:val="001000000000" w:firstRow="0" w:lastRow="0" w:firstColumn="1" w:lastColumn="0" w:oddVBand="0" w:evenVBand="0" w:oddHBand="0" w:evenHBand="0" w:firstRowFirstColumn="0" w:firstRowLastColumn="0" w:lastRowFirstColumn="0" w:lastRowLastColumn="0"/>
            <w:tcW w:w="4466" w:type="dxa"/>
          </w:tcPr>
          <w:p w14:paraId="74C980F6" w14:textId="77777777" w:rsidR="00E671C9" w:rsidRDefault="00E671C9" w:rsidP="009C3784">
            <w:r>
              <w:t>2020</w:t>
            </w:r>
          </w:p>
        </w:tc>
        <w:tc>
          <w:tcPr>
            <w:tcW w:w="4472" w:type="dxa"/>
          </w:tcPr>
          <w:p w14:paraId="71655014" w14:textId="77777777" w:rsidR="00E671C9" w:rsidRDefault="00E671C9" w:rsidP="009C3784">
            <w:pPr>
              <w:cnfStyle w:val="000000000000" w:firstRow="0" w:lastRow="0" w:firstColumn="0" w:lastColumn="0" w:oddVBand="0" w:evenVBand="0" w:oddHBand="0" w:evenHBand="0" w:firstRowFirstColumn="0" w:firstRowLastColumn="0" w:lastRowFirstColumn="0" w:lastRowLastColumn="0"/>
            </w:pPr>
            <w:r w:rsidRPr="00BC6930">
              <w:t>105.339899</w:t>
            </w:r>
          </w:p>
        </w:tc>
      </w:tr>
      <w:tr w:rsidR="00E671C9" w14:paraId="7076BC91" w14:textId="77777777" w:rsidTr="00E671C9">
        <w:trPr>
          <w:cnfStyle w:val="000000100000" w:firstRow="0" w:lastRow="0" w:firstColumn="0" w:lastColumn="0" w:oddVBand="0" w:evenVBand="0" w:oddHBand="1"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4466" w:type="dxa"/>
          </w:tcPr>
          <w:p w14:paraId="54EE3A22" w14:textId="77777777" w:rsidR="00E671C9" w:rsidRDefault="00E671C9" w:rsidP="009C3784">
            <w:r>
              <w:t>2021</w:t>
            </w:r>
          </w:p>
        </w:tc>
        <w:tc>
          <w:tcPr>
            <w:tcW w:w="4472" w:type="dxa"/>
          </w:tcPr>
          <w:p w14:paraId="523904B7" w14:textId="77777777" w:rsidR="00E671C9" w:rsidRDefault="00E671C9" w:rsidP="009C3784">
            <w:pPr>
              <w:cnfStyle w:val="000000100000" w:firstRow="0" w:lastRow="0" w:firstColumn="0" w:lastColumn="0" w:oddVBand="0" w:evenVBand="0" w:oddHBand="1" w:evenHBand="0" w:firstRowFirstColumn="0" w:firstRowLastColumn="0" w:lastRowFirstColumn="0" w:lastRowLastColumn="0"/>
            </w:pPr>
            <w:r w:rsidRPr="00BC6930">
              <w:t>101.2333333</w:t>
            </w:r>
          </w:p>
        </w:tc>
      </w:tr>
      <w:tr w:rsidR="00E671C9" w14:paraId="1696554A" w14:textId="77777777" w:rsidTr="00E671C9">
        <w:trPr>
          <w:trHeight w:val="466"/>
          <w:jc w:val="center"/>
        </w:trPr>
        <w:tc>
          <w:tcPr>
            <w:cnfStyle w:val="001000000000" w:firstRow="0" w:lastRow="0" w:firstColumn="1" w:lastColumn="0" w:oddVBand="0" w:evenVBand="0" w:oddHBand="0" w:evenHBand="0" w:firstRowFirstColumn="0" w:firstRowLastColumn="0" w:lastRowFirstColumn="0" w:lastRowLastColumn="0"/>
            <w:tcW w:w="4466" w:type="dxa"/>
          </w:tcPr>
          <w:p w14:paraId="162CE996" w14:textId="77777777" w:rsidR="00E671C9" w:rsidRDefault="00E671C9" w:rsidP="009C3784">
            <w:r>
              <w:t>2022</w:t>
            </w:r>
          </w:p>
        </w:tc>
        <w:tc>
          <w:tcPr>
            <w:tcW w:w="4472" w:type="dxa"/>
          </w:tcPr>
          <w:p w14:paraId="5409C9FA" w14:textId="77777777" w:rsidR="00E671C9" w:rsidRDefault="00E671C9" w:rsidP="009C3784">
            <w:pPr>
              <w:cnfStyle w:val="000000000000" w:firstRow="0" w:lastRow="0" w:firstColumn="0" w:lastColumn="0" w:oddVBand="0" w:evenVBand="0" w:oddHBand="0" w:evenHBand="0" w:firstRowFirstColumn="0" w:firstRowLastColumn="0" w:lastRowFirstColumn="0" w:lastRowLastColumn="0"/>
            </w:pPr>
            <w:r w:rsidRPr="00BC6930">
              <w:t>101.499242</w:t>
            </w:r>
          </w:p>
        </w:tc>
      </w:tr>
    </w:tbl>
    <w:p w14:paraId="38FD694B" w14:textId="42676219" w:rsidR="00E671C9" w:rsidRDefault="00E671C9" w:rsidP="00E671C9"/>
    <w:p w14:paraId="132B1F38" w14:textId="3CF0C156" w:rsidR="00E671C9" w:rsidRDefault="00E671C9" w:rsidP="00E671C9">
      <w:r w:rsidRPr="00E671C9">
        <w:t>The chart was created using the trend that was seen in this dataset. This graphic is a replica of the PivotTable-created one, and the report's preceding sections have already explained some of its major conclusions.</w:t>
      </w:r>
    </w:p>
    <w:p w14:paraId="184BE69A" w14:textId="6D4F7110" w:rsidR="00E671C9" w:rsidRDefault="00E671C9" w:rsidP="00E671C9">
      <w:pPr>
        <w:jc w:val="center"/>
      </w:pPr>
      <w:r>
        <w:rPr>
          <w:noProof/>
          <w14:ligatures w14:val="standardContextual"/>
        </w:rPr>
        <w:drawing>
          <wp:inline distT="0" distB="0" distL="0" distR="0" wp14:anchorId="1BB16BC0" wp14:editId="49A75FB2">
            <wp:extent cx="4572000" cy="2743200"/>
            <wp:effectExtent l="0" t="0" r="0" b="0"/>
            <wp:docPr id="130449882" name="Chart 1">
              <a:extLst xmlns:a="http://schemas.openxmlformats.org/drawingml/2006/main">
                <a:ext uri="{FF2B5EF4-FFF2-40B4-BE49-F238E27FC236}">
                  <a16:creationId xmlns:a16="http://schemas.microsoft.com/office/drawing/2014/main" id="{BA512462-B267-E131-3939-4810CA1718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8E566D3" w14:textId="68B3B2B1" w:rsidR="00E671C9" w:rsidRDefault="00E671C9" w:rsidP="00E671C9">
      <w:r>
        <w:t>Due to its effectiveness and time-saving qualities in data analysis, SPSS is becoming more and more popular. Microsoft Excel and SPSS may both provide comparable findings, yet they operate quite differently</w:t>
      </w:r>
      <w:r w:rsidR="00C17B3F">
        <w:t xml:space="preserve"> </w:t>
      </w:r>
      <w:r w:rsidR="00C17B3F" w:rsidRPr="00C17B3F">
        <w:t>(Freund</w:t>
      </w:r>
      <w:r w:rsidR="00C17B3F">
        <w:t xml:space="preserve"> et al.</w:t>
      </w:r>
      <w:r w:rsidR="00C17B3F" w:rsidRPr="00C17B3F">
        <w:t>, 2013)</w:t>
      </w:r>
      <w:r>
        <w:t>. With only a few clicks, SPSS can automate complicated computations, saving time-consuming manual procedures.</w:t>
      </w:r>
    </w:p>
    <w:p w14:paraId="33A663BA" w14:textId="35515407" w:rsidR="00E671C9" w:rsidRDefault="00E671C9" w:rsidP="00E671C9">
      <w:r>
        <w:t>The significance of correctly preparing the data for analysis is one of the fundamental components of SPSS. The Variable View sheet, which enables users to create data properties and assign variable types, makes this possible. Users may guarantee that the analysis goes precisely and successfully by setting variables in this view in the proper ways</w:t>
      </w:r>
      <w:r w:rsidR="00C17B3F">
        <w:t xml:space="preserve"> </w:t>
      </w:r>
      <w:r w:rsidR="00C17B3F" w:rsidRPr="00C17B3F">
        <w:t>(Hinton et al., 2023)</w:t>
      </w:r>
      <w:r>
        <w:t>. For researchers and data analysts, SPSS is a significant tool since it simplifies the analytical process.</w:t>
      </w:r>
    </w:p>
    <w:p w14:paraId="7BD0339B" w14:textId="3019351B" w:rsidR="00E671C9" w:rsidRDefault="00E671C9" w:rsidP="00E671C9">
      <w:r w:rsidRPr="00C40E51">
        <w:rPr>
          <w:noProof/>
        </w:rPr>
        <w:drawing>
          <wp:inline distT="0" distB="0" distL="0" distR="0" wp14:anchorId="52171AF5" wp14:editId="66363304">
            <wp:extent cx="5731510" cy="2555298"/>
            <wp:effectExtent l="0" t="0" r="2540" b="0"/>
            <wp:docPr id="164380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02231" name=""/>
                    <pic:cNvPicPr/>
                  </pic:nvPicPr>
                  <pic:blipFill>
                    <a:blip r:embed="rId19"/>
                    <a:stretch>
                      <a:fillRect/>
                    </a:stretch>
                  </pic:blipFill>
                  <pic:spPr>
                    <a:xfrm>
                      <a:off x="0" y="0"/>
                      <a:ext cx="5731510" cy="2555298"/>
                    </a:xfrm>
                    <a:prstGeom prst="rect">
                      <a:avLst/>
                    </a:prstGeom>
                  </pic:spPr>
                </pic:pic>
              </a:graphicData>
            </a:graphic>
          </wp:inline>
        </w:drawing>
      </w:r>
    </w:p>
    <w:p w14:paraId="00A682B4" w14:textId="2F4386B9" w:rsidR="00E671C9" w:rsidRDefault="00E671C9" w:rsidP="00E671C9">
      <w:r w:rsidRPr="00E671C9">
        <w:t>The data from the Microsoft Excel file was originally copied and pasted into the SPSS file to start the analysis. There are two tabs at the bottom of the screen in SPSS. "Data View," the first tab, is where all the data is shown and kept</w:t>
      </w:r>
      <w:r w:rsidR="00C17B3F">
        <w:t xml:space="preserve"> </w:t>
      </w:r>
      <w:r w:rsidR="00C17B3F" w:rsidRPr="00C17B3F">
        <w:t>(Hinton et al., 2023)</w:t>
      </w:r>
      <w:r w:rsidRPr="00E671C9">
        <w:t xml:space="preserve">. The "Variable View" tab, the second tab, is very important to the data analysis process. </w:t>
      </w:r>
      <w:r w:rsidR="0070382C">
        <w:t>Users have to</w:t>
      </w:r>
      <w:r w:rsidRPr="00E671C9">
        <w:t xml:space="preserve"> assign variable types and make necessary modifications under the Variable View tab</w:t>
      </w:r>
      <w:r w:rsidR="0070382C" w:rsidRPr="0070382C">
        <w:t xml:space="preserve"> (Davis, 2013)</w:t>
      </w:r>
      <w:r w:rsidRPr="00E671C9">
        <w:t xml:space="preserve">. These changes have a direct effect on the handling and presentation of variables in the Data View tab, which </w:t>
      </w:r>
      <w:r>
        <w:t>influences</w:t>
      </w:r>
      <w:r w:rsidRPr="00E671C9">
        <w:t xml:space="preserve"> the overall analysis procedure.</w:t>
      </w:r>
    </w:p>
    <w:p w14:paraId="40675823" w14:textId="604C7C30" w:rsidR="00E671C9" w:rsidRDefault="00E671C9" w:rsidP="00E671C9">
      <w:r w:rsidRPr="00E671C9">
        <w:t>The Variable tab is shown in the image below, where the names of the variables have been set to make the tab clear.</w:t>
      </w:r>
    </w:p>
    <w:p w14:paraId="0614E623" w14:textId="66994357" w:rsidR="00E671C9" w:rsidRDefault="00E671C9" w:rsidP="00E671C9">
      <w:pPr>
        <w:jc w:val="center"/>
      </w:pPr>
      <w:r w:rsidRPr="00C40E51">
        <w:rPr>
          <w:noProof/>
        </w:rPr>
        <w:drawing>
          <wp:inline distT="0" distB="0" distL="0" distR="0" wp14:anchorId="20B94DB4" wp14:editId="31AD82C1">
            <wp:extent cx="5483971" cy="3575713"/>
            <wp:effectExtent l="0" t="0" r="2540" b="5715"/>
            <wp:docPr id="1626170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70135" name=""/>
                    <pic:cNvPicPr/>
                  </pic:nvPicPr>
                  <pic:blipFill>
                    <a:blip r:embed="rId20"/>
                    <a:stretch>
                      <a:fillRect/>
                    </a:stretch>
                  </pic:blipFill>
                  <pic:spPr>
                    <a:xfrm>
                      <a:off x="0" y="0"/>
                      <a:ext cx="5494366" cy="3582491"/>
                    </a:xfrm>
                    <a:prstGeom prst="rect">
                      <a:avLst/>
                    </a:prstGeom>
                  </pic:spPr>
                </pic:pic>
              </a:graphicData>
            </a:graphic>
          </wp:inline>
        </w:drawing>
      </w:r>
    </w:p>
    <w:p w14:paraId="4E5BC770" w14:textId="5B4CA5B8" w:rsidR="00E671C9" w:rsidRDefault="00E671C9" w:rsidP="00E671C9">
      <w:pPr>
        <w:jc w:val="center"/>
      </w:pPr>
      <w:r w:rsidRPr="00E0725D">
        <w:rPr>
          <w:noProof/>
        </w:rPr>
        <w:drawing>
          <wp:inline distT="0" distB="0" distL="0" distR="0" wp14:anchorId="55C9AA98" wp14:editId="1629C3E3">
            <wp:extent cx="5375623" cy="1409378"/>
            <wp:effectExtent l="0" t="0" r="0" b="635"/>
            <wp:docPr id="1397284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84992" name=""/>
                    <pic:cNvPicPr/>
                  </pic:nvPicPr>
                  <pic:blipFill>
                    <a:blip r:embed="rId21"/>
                    <a:stretch>
                      <a:fillRect/>
                    </a:stretch>
                  </pic:blipFill>
                  <pic:spPr>
                    <a:xfrm>
                      <a:off x="0" y="0"/>
                      <a:ext cx="5383047" cy="1411324"/>
                    </a:xfrm>
                    <a:prstGeom prst="rect">
                      <a:avLst/>
                    </a:prstGeom>
                  </pic:spPr>
                </pic:pic>
              </a:graphicData>
            </a:graphic>
          </wp:inline>
        </w:drawing>
      </w:r>
    </w:p>
    <w:p w14:paraId="267E5DE9" w14:textId="0ADF1700" w:rsidR="00E671C9" w:rsidRDefault="00E671C9" w:rsidP="00E671C9">
      <w:r w:rsidRPr="00E671C9">
        <w:t>The analysis may now be performed on the sheet since the variable view sheet has been updated with the necessary adjustments, as can be seen in the previous paragraph</w:t>
      </w:r>
      <w:r w:rsidR="00C17B3F">
        <w:t xml:space="preserve"> </w:t>
      </w:r>
      <w:r w:rsidR="00C17B3F" w:rsidRPr="00C17B3F">
        <w:t>(Davis, 2013)</w:t>
      </w:r>
      <w:r w:rsidRPr="00E671C9">
        <w:t>. It was necessary to make some adjustments to the measure column, which had the numerical values formatted as Scale</w:t>
      </w:r>
      <w:r w:rsidR="00C17B3F" w:rsidRPr="00C17B3F">
        <w:t xml:space="preserve"> (Hinton et al., 2023)</w:t>
      </w:r>
      <w:r w:rsidRPr="00E671C9">
        <w:t xml:space="preserve">. The </w:t>
      </w:r>
      <w:proofErr w:type="gramStart"/>
      <w:r w:rsidRPr="00E671C9">
        <w:t>Lunch</w:t>
      </w:r>
      <w:proofErr w:type="gramEnd"/>
      <w:r w:rsidRPr="00E671C9">
        <w:t xml:space="preserve"> variable on the variable view sheet also required a significant adjustment, since it was previously formatted as Ordinal.</w:t>
      </w:r>
    </w:p>
    <w:p w14:paraId="5C2393D5" w14:textId="3E3D5C17" w:rsidR="00E671C9" w:rsidRDefault="00E671C9" w:rsidP="00E671C9">
      <w:r w:rsidRPr="00E671C9">
        <w:t xml:space="preserve">The </w:t>
      </w:r>
      <w:proofErr w:type="gramStart"/>
      <w:r w:rsidRPr="00E671C9">
        <w:t>Lunch</w:t>
      </w:r>
      <w:proofErr w:type="gramEnd"/>
      <w:r w:rsidRPr="00E671C9">
        <w:t xml:space="preserve"> variable requires some adjustments since it is currently configured to be a String, which will complicate analysis because SPSS cannot correctly </w:t>
      </w:r>
      <w:proofErr w:type="spellStart"/>
      <w:r w:rsidRPr="00E671C9">
        <w:t>analyse</w:t>
      </w:r>
      <w:proofErr w:type="spellEnd"/>
      <w:r w:rsidRPr="00E671C9">
        <w:t xml:space="preserve"> string data. For converting a string into a numeric input, the SPSS offers the Recode into Different Variables option under Transform</w:t>
      </w:r>
      <w:r w:rsidR="00C17B3F">
        <w:t xml:space="preserve"> </w:t>
      </w:r>
      <w:r w:rsidR="00C17B3F" w:rsidRPr="00C17B3F">
        <w:t>(Davis, 2013)</w:t>
      </w:r>
      <w:r w:rsidRPr="00E671C9">
        <w:t xml:space="preserve">. There, the Lunch has been chosen to be set as an output variable, and the new output variable's name has been set to </w:t>
      </w:r>
      <w:proofErr w:type="spellStart"/>
      <w:r w:rsidRPr="00E671C9">
        <w:t>Lunch_Numeric</w:t>
      </w:r>
      <w:proofErr w:type="spellEnd"/>
      <w:r w:rsidRPr="00E671C9">
        <w:t xml:space="preserve"> to denote that the values under this variable would reflect the lunch variable but in a numeric form</w:t>
      </w:r>
      <w:r w:rsidR="00C17B3F" w:rsidRPr="00C17B3F">
        <w:t xml:space="preserve"> (Miller et al., 2009)</w:t>
      </w:r>
      <w:r w:rsidRPr="00E671C9">
        <w:t>.</w:t>
      </w:r>
    </w:p>
    <w:p w14:paraId="042549EC" w14:textId="30EB7B0A" w:rsidR="00E671C9" w:rsidRDefault="00E671C9" w:rsidP="00E671C9">
      <w:r w:rsidRPr="00260C55">
        <w:rPr>
          <w:noProof/>
        </w:rPr>
        <w:drawing>
          <wp:inline distT="0" distB="0" distL="0" distR="0" wp14:anchorId="1045AE5C" wp14:editId="49648913">
            <wp:extent cx="5731510" cy="3212895"/>
            <wp:effectExtent l="0" t="0" r="2540" b="6985"/>
            <wp:docPr id="1764840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40662" name=""/>
                    <pic:cNvPicPr/>
                  </pic:nvPicPr>
                  <pic:blipFill>
                    <a:blip r:embed="rId22"/>
                    <a:stretch>
                      <a:fillRect/>
                    </a:stretch>
                  </pic:blipFill>
                  <pic:spPr>
                    <a:xfrm>
                      <a:off x="0" y="0"/>
                      <a:ext cx="5731510" cy="3212895"/>
                    </a:xfrm>
                    <a:prstGeom prst="rect">
                      <a:avLst/>
                    </a:prstGeom>
                  </pic:spPr>
                </pic:pic>
              </a:graphicData>
            </a:graphic>
          </wp:inline>
        </w:drawing>
      </w:r>
    </w:p>
    <w:p w14:paraId="54DC0001" w14:textId="1F09AFB1" w:rsidR="00E671C9" w:rsidRDefault="00E671C9" w:rsidP="00E671C9">
      <w:r w:rsidRPr="005450C3">
        <w:rPr>
          <w:noProof/>
        </w:rPr>
        <w:drawing>
          <wp:inline distT="0" distB="0" distL="0" distR="0" wp14:anchorId="5FEA50F1" wp14:editId="46329EFA">
            <wp:extent cx="5731510" cy="3337870"/>
            <wp:effectExtent l="0" t="0" r="2540" b="0"/>
            <wp:docPr id="198599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98855" name=""/>
                    <pic:cNvPicPr/>
                  </pic:nvPicPr>
                  <pic:blipFill>
                    <a:blip r:embed="rId23"/>
                    <a:stretch>
                      <a:fillRect/>
                    </a:stretch>
                  </pic:blipFill>
                  <pic:spPr>
                    <a:xfrm>
                      <a:off x="0" y="0"/>
                      <a:ext cx="5731510" cy="3337870"/>
                    </a:xfrm>
                    <a:prstGeom prst="rect">
                      <a:avLst/>
                    </a:prstGeom>
                  </pic:spPr>
                </pic:pic>
              </a:graphicData>
            </a:graphic>
          </wp:inline>
        </w:drawing>
      </w:r>
    </w:p>
    <w:p w14:paraId="51A5EF18" w14:textId="50A79D00" w:rsidR="00E671C9" w:rsidRDefault="00E671C9" w:rsidP="00E671C9">
      <w:r w:rsidRPr="00E671C9">
        <w:t>To convert qualitative data into quantitative values, choose the "Old and New Values" option on the previous tab</w:t>
      </w:r>
      <w:r w:rsidR="00C17B3F" w:rsidRPr="00C17B3F">
        <w:t xml:space="preserve"> (</w:t>
      </w:r>
      <w:proofErr w:type="spellStart"/>
      <w:r w:rsidR="00C17B3F" w:rsidRPr="00C17B3F">
        <w:t>Reding</w:t>
      </w:r>
      <w:proofErr w:type="spellEnd"/>
      <w:r w:rsidR="00C17B3F" w:rsidRPr="00C17B3F">
        <w:t xml:space="preserve"> and </w:t>
      </w:r>
      <w:proofErr w:type="spellStart"/>
      <w:r w:rsidR="00C17B3F" w:rsidRPr="00C17B3F">
        <w:t>Wermers</w:t>
      </w:r>
      <w:proofErr w:type="spellEnd"/>
      <w:r w:rsidR="00C17B3F" w:rsidRPr="00C17B3F">
        <w:t>, 2013)</w:t>
      </w:r>
      <w:r w:rsidRPr="00E671C9">
        <w:t>. This will open a new tab with values already allocated. As an example, the option "Does not qualify" has the numerical value 0. The values on the Data View sheet are updated properly thanks to this assignment. The choice has been given the numeric value of 1, too. These numerical assignments make it possible to add a new column to the Data View sheet, which makes it easier to add these changed values to the dataset for analysis</w:t>
      </w:r>
      <w:r w:rsidR="00C17B3F" w:rsidRPr="00C17B3F">
        <w:t xml:space="preserve"> (</w:t>
      </w:r>
      <w:proofErr w:type="spellStart"/>
      <w:r w:rsidR="00C17B3F" w:rsidRPr="00C17B3F">
        <w:t>Reding</w:t>
      </w:r>
      <w:proofErr w:type="spellEnd"/>
      <w:r w:rsidR="00C17B3F" w:rsidRPr="00C17B3F">
        <w:t xml:space="preserve"> and </w:t>
      </w:r>
      <w:proofErr w:type="spellStart"/>
      <w:r w:rsidR="00C17B3F" w:rsidRPr="00C17B3F">
        <w:t>Wermers</w:t>
      </w:r>
      <w:proofErr w:type="spellEnd"/>
      <w:r w:rsidR="00C17B3F" w:rsidRPr="00C17B3F">
        <w:t>, 2013)</w:t>
      </w:r>
      <w:r w:rsidRPr="00E671C9">
        <w:t>.</w:t>
      </w:r>
    </w:p>
    <w:p w14:paraId="0F0FD8D5" w14:textId="65607A2A" w:rsidR="00E671C9" w:rsidRDefault="00E671C9" w:rsidP="00E671C9">
      <w:pPr>
        <w:jc w:val="center"/>
      </w:pPr>
      <w:r w:rsidRPr="005450C3">
        <w:rPr>
          <w:noProof/>
        </w:rPr>
        <w:drawing>
          <wp:inline distT="0" distB="0" distL="0" distR="0" wp14:anchorId="560D14FA" wp14:editId="6C9D30A7">
            <wp:extent cx="5301674" cy="5036024"/>
            <wp:effectExtent l="0" t="0" r="0" b="0"/>
            <wp:docPr id="87475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56390" name=""/>
                    <pic:cNvPicPr/>
                  </pic:nvPicPr>
                  <pic:blipFill>
                    <a:blip r:embed="rId24"/>
                    <a:stretch>
                      <a:fillRect/>
                    </a:stretch>
                  </pic:blipFill>
                  <pic:spPr>
                    <a:xfrm>
                      <a:off x="0" y="0"/>
                      <a:ext cx="5304304" cy="5038522"/>
                    </a:xfrm>
                    <a:prstGeom prst="rect">
                      <a:avLst/>
                    </a:prstGeom>
                  </pic:spPr>
                </pic:pic>
              </a:graphicData>
            </a:graphic>
          </wp:inline>
        </w:drawing>
      </w:r>
    </w:p>
    <w:p w14:paraId="12DD317E" w14:textId="46285B17" w:rsidR="00E671C9" w:rsidRDefault="00E671C9" w:rsidP="00E671C9">
      <w:r>
        <w:t>It has been effective in adding a new column that represents the "Lunch" variable in numerical form, as seen in the figure above. The graphic shows that all the rows in the "</w:t>
      </w:r>
      <w:proofErr w:type="spellStart"/>
      <w:r>
        <w:t>Lunch_Numeric</w:t>
      </w:r>
      <w:proofErr w:type="spellEnd"/>
      <w:r>
        <w:t>" column have the value 0, which corresponds to their entries in the "Lunch" column, which say "Does not qualify," to demonstrate the validity of this transformation</w:t>
      </w:r>
      <w:r w:rsidR="00C17B3F" w:rsidRPr="00C17B3F">
        <w:t xml:space="preserve"> (</w:t>
      </w:r>
      <w:proofErr w:type="spellStart"/>
      <w:r w:rsidR="00C17B3F" w:rsidRPr="00C17B3F">
        <w:t>Reding</w:t>
      </w:r>
      <w:proofErr w:type="spellEnd"/>
      <w:r w:rsidR="00C17B3F" w:rsidRPr="00C17B3F">
        <w:t xml:space="preserve"> and </w:t>
      </w:r>
      <w:proofErr w:type="spellStart"/>
      <w:r w:rsidR="00C17B3F" w:rsidRPr="00C17B3F">
        <w:t>Wermers</w:t>
      </w:r>
      <w:proofErr w:type="spellEnd"/>
      <w:r w:rsidR="00C17B3F" w:rsidRPr="00C17B3F">
        <w:t>, 2013)</w:t>
      </w:r>
      <w:r>
        <w:t>.</w:t>
      </w:r>
    </w:p>
    <w:p w14:paraId="4AC05895" w14:textId="522AF6B6" w:rsidR="00E671C9" w:rsidRDefault="00E671C9" w:rsidP="00E671C9">
      <w:r>
        <w:t>The "</w:t>
      </w:r>
      <w:proofErr w:type="spellStart"/>
      <w:r>
        <w:t>Lunch_Numeric</w:t>
      </w:r>
      <w:proofErr w:type="spellEnd"/>
      <w:r>
        <w:t>" column in the final row of the picture shows a 1 next to the text "Qualifies for reduced/free lunch", which corresponds to the item in the "Lunch" column. This verifies the conversion process' correctness, and the dataset is now ready for the necessary analysis</w:t>
      </w:r>
      <w:r w:rsidR="00C17B3F">
        <w:t xml:space="preserve"> </w:t>
      </w:r>
      <w:r w:rsidR="00C17B3F" w:rsidRPr="00C17B3F">
        <w:t>(Davis, 2013)</w:t>
      </w:r>
      <w:r>
        <w:t>. The last step is to make the "</w:t>
      </w:r>
      <w:proofErr w:type="spellStart"/>
      <w:r>
        <w:t>Lunch_Numeric</w:t>
      </w:r>
      <w:proofErr w:type="spellEnd"/>
      <w:r>
        <w:t>" variable an ordinal variable, which will allow for more sophisticated analysis methods.</w:t>
      </w:r>
    </w:p>
    <w:p w14:paraId="2966C148" w14:textId="339DC8A4" w:rsidR="00E671C9" w:rsidRPr="00E671C9" w:rsidRDefault="00E671C9" w:rsidP="00E671C9">
      <w:r w:rsidRPr="00E671C9">
        <w:t>Counting the number of male and female pupils was the first assignment</w:t>
      </w:r>
      <w:r w:rsidR="00C17B3F">
        <w:t xml:space="preserve"> </w:t>
      </w:r>
      <w:r w:rsidR="00C17B3F" w:rsidRPr="00C17B3F">
        <w:t>(Dias, 2022)</w:t>
      </w:r>
      <w:r w:rsidRPr="00E671C9">
        <w:t>. Specifically, the study tab of SPSS, where the Descriptive Statistics option was chosen, was used for this study. The findings showed that there are 2,133 pupils in the class overall, 1,056 of them are female and 1,077 of whom are male. This data offers a thorough picture of the gender distribution throughout the student body.</w:t>
      </w:r>
    </w:p>
    <w:p w14:paraId="1FDFBE5A" w14:textId="6AAD9D31" w:rsidR="00E671C9" w:rsidRDefault="00E671C9" w:rsidP="00E671C9">
      <w:pPr>
        <w:jc w:val="center"/>
      </w:pPr>
      <w:r w:rsidRPr="00A33161">
        <w:rPr>
          <w:noProof/>
        </w:rPr>
        <w:drawing>
          <wp:inline distT="0" distB="0" distL="0" distR="0" wp14:anchorId="45ACE94E" wp14:editId="1F93D6A0">
            <wp:extent cx="5126602" cy="3289110"/>
            <wp:effectExtent l="0" t="0" r="0" b="6985"/>
            <wp:docPr id="7110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6428" name=""/>
                    <pic:cNvPicPr/>
                  </pic:nvPicPr>
                  <pic:blipFill>
                    <a:blip r:embed="rId25"/>
                    <a:stretch>
                      <a:fillRect/>
                    </a:stretch>
                  </pic:blipFill>
                  <pic:spPr>
                    <a:xfrm>
                      <a:off x="0" y="0"/>
                      <a:ext cx="5134526" cy="3294194"/>
                    </a:xfrm>
                    <a:prstGeom prst="rect">
                      <a:avLst/>
                    </a:prstGeom>
                  </pic:spPr>
                </pic:pic>
              </a:graphicData>
            </a:graphic>
          </wp:inline>
        </w:drawing>
      </w:r>
    </w:p>
    <w:p w14:paraId="217449ED" w14:textId="4BC8468D" w:rsidR="00E671C9" w:rsidRDefault="00E671C9" w:rsidP="00E671C9">
      <w:pPr>
        <w:jc w:val="center"/>
      </w:pPr>
      <w:r w:rsidRPr="00A33161">
        <w:rPr>
          <w:noProof/>
        </w:rPr>
        <w:drawing>
          <wp:inline distT="0" distB="0" distL="0" distR="0" wp14:anchorId="2004CC0A" wp14:editId="5284CD64">
            <wp:extent cx="4720684" cy="3111690"/>
            <wp:effectExtent l="0" t="0" r="3810" b="0"/>
            <wp:docPr id="418645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45887" name=""/>
                    <pic:cNvPicPr/>
                  </pic:nvPicPr>
                  <pic:blipFill rotWithShape="1">
                    <a:blip r:embed="rId26"/>
                    <a:srcRect r="11363" b="11330"/>
                    <a:stretch/>
                  </pic:blipFill>
                  <pic:spPr bwMode="auto">
                    <a:xfrm>
                      <a:off x="0" y="0"/>
                      <a:ext cx="4739914" cy="3124366"/>
                    </a:xfrm>
                    <a:prstGeom prst="rect">
                      <a:avLst/>
                    </a:prstGeom>
                    <a:ln>
                      <a:noFill/>
                    </a:ln>
                    <a:extLst>
                      <a:ext uri="{53640926-AAD7-44D8-BBD7-CCE9431645EC}">
                        <a14:shadowObscured xmlns:a14="http://schemas.microsoft.com/office/drawing/2010/main"/>
                      </a:ext>
                    </a:extLst>
                  </pic:spPr>
                </pic:pic>
              </a:graphicData>
            </a:graphic>
          </wp:inline>
        </w:drawing>
      </w:r>
    </w:p>
    <w:p w14:paraId="3A50B875" w14:textId="7F3DB3F3" w:rsidR="00E671C9" w:rsidRDefault="00E671C9" w:rsidP="00E671C9">
      <w:r>
        <w:t>Similarly, the frequencies related to lunch were obtained using the same methodology. The total number of students concerning lunch also adds up to 2,133 students. However, the values are represented as 0 and 1, following the conversion of qualitative values into numeric values.</w:t>
      </w:r>
    </w:p>
    <w:p w14:paraId="5D47652A" w14:textId="29E20B6C" w:rsidR="00E671C9" w:rsidRDefault="00E671C9" w:rsidP="00E671C9">
      <w:r>
        <w:t>The frequency analysis reveals that the majority, comprising 1,215 students, do not qualify for reduced/free lunch. On the other hand, 918 students enjoy the benefit of reduced lunch. Together, these two groups constitute the total number of students in the class, providing valuable insights into the distribution of lunch qualifications among the student population.</w:t>
      </w:r>
    </w:p>
    <w:p w14:paraId="5FDCEB73" w14:textId="632AA051" w:rsidR="00E671C9" w:rsidRDefault="00E671C9" w:rsidP="00E671C9">
      <w:pPr>
        <w:jc w:val="center"/>
      </w:pPr>
      <w:r w:rsidRPr="00A33161">
        <w:rPr>
          <w:noProof/>
        </w:rPr>
        <w:drawing>
          <wp:inline distT="0" distB="0" distL="0" distR="0" wp14:anchorId="363C8C56" wp14:editId="7C65A9A9">
            <wp:extent cx="4230806" cy="2720340"/>
            <wp:effectExtent l="0" t="0" r="0" b="3810"/>
            <wp:docPr id="342425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425873" name=""/>
                    <pic:cNvPicPr/>
                  </pic:nvPicPr>
                  <pic:blipFill rotWithShape="1">
                    <a:blip r:embed="rId27"/>
                    <a:srcRect r="6212"/>
                    <a:stretch/>
                  </pic:blipFill>
                  <pic:spPr bwMode="auto">
                    <a:xfrm>
                      <a:off x="0" y="0"/>
                      <a:ext cx="4231173" cy="2720576"/>
                    </a:xfrm>
                    <a:prstGeom prst="rect">
                      <a:avLst/>
                    </a:prstGeom>
                    <a:ln>
                      <a:noFill/>
                    </a:ln>
                    <a:extLst>
                      <a:ext uri="{53640926-AAD7-44D8-BBD7-CCE9431645EC}">
                        <a14:shadowObscured xmlns:a14="http://schemas.microsoft.com/office/drawing/2010/main"/>
                      </a:ext>
                    </a:extLst>
                  </pic:spPr>
                </pic:pic>
              </a:graphicData>
            </a:graphic>
          </wp:inline>
        </w:drawing>
      </w:r>
    </w:p>
    <w:p w14:paraId="38EEF7A4" w14:textId="131F17E7" w:rsidR="00E671C9" w:rsidRDefault="00E671C9" w:rsidP="00E671C9">
      <w:r>
        <w:t>Similarly, the frequencies related to lunch were determined using the same approach. The total number of students with lunch information remains at 2,133, in line with the total student count in the class. However, the values are represented as 0 and 1, reflecting the conversion of qualitative values into numeric ones.</w:t>
      </w:r>
    </w:p>
    <w:p w14:paraId="579336DF" w14:textId="384F644D" w:rsidR="00E671C9" w:rsidRDefault="00E671C9" w:rsidP="00E671C9">
      <w:pPr>
        <w:jc w:val="center"/>
      </w:pPr>
      <w:r w:rsidRPr="00A33161">
        <w:rPr>
          <w:noProof/>
        </w:rPr>
        <w:drawing>
          <wp:inline distT="0" distB="0" distL="0" distR="0" wp14:anchorId="6FD835EB" wp14:editId="54995B93">
            <wp:extent cx="4328535" cy="2644369"/>
            <wp:effectExtent l="0" t="0" r="0" b="3810"/>
            <wp:docPr id="57120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07935" name=""/>
                    <pic:cNvPicPr/>
                  </pic:nvPicPr>
                  <pic:blipFill>
                    <a:blip r:embed="rId28"/>
                    <a:stretch>
                      <a:fillRect/>
                    </a:stretch>
                  </pic:blipFill>
                  <pic:spPr>
                    <a:xfrm>
                      <a:off x="0" y="0"/>
                      <a:ext cx="4328535" cy="2644369"/>
                    </a:xfrm>
                    <a:prstGeom prst="rect">
                      <a:avLst/>
                    </a:prstGeom>
                  </pic:spPr>
                </pic:pic>
              </a:graphicData>
            </a:graphic>
          </wp:inline>
        </w:drawing>
      </w:r>
    </w:p>
    <w:p w14:paraId="26B1D1C0" w14:textId="7AB3892D" w:rsidR="00E671C9" w:rsidRDefault="00E671C9" w:rsidP="00E671C9">
      <w:r>
        <w:t>The frequency analysis reveals that the majority, comprising 1,215 students, do not qualify for reduced/free lunch. In contrast, 918 students are eligible for reduced lunch. Together, these two groups constitute the entire student population in the class, providing valuable insights into the distribution of lunch qualifications among the students</w:t>
      </w:r>
      <w:r w:rsidR="00C17B3F">
        <w:t xml:space="preserve"> </w:t>
      </w:r>
      <w:r w:rsidR="00C17B3F" w:rsidRPr="00C17B3F">
        <w:t>(Dias, 2022)</w:t>
      </w:r>
      <w:r>
        <w:t>.</w:t>
      </w:r>
    </w:p>
    <w:p w14:paraId="58C7C2D3" w14:textId="41962F97" w:rsidR="00E671C9" w:rsidRDefault="00E671C9" w:rsidP="00E671C9">
      <w:pPr>
        <w:jc w:val="center"/>
      </w:pPr>
      <w:r w:rsidRPr="00A33161">
        <w:rPr>
          <w:noProof/>
        </w:rPr>
        <w:drawing>
          <wp:inline distT="0" distB="0" distL="0" distR="0" wp14:anchorId="4D062246" wp14:editId="7F5DB95C">
            <wp:extent cx="3017782" cy="2217612"/>
            <wp:effectExtent l="0" t="0" r="0" b="0"/>
            <wp:docPr id="151257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70452" name=""/>
                    <pic:cNvPicPr/>
                  </pic:nvPicPr>
                  <pic:blipFill>
                    <a:blip r:embed="rId29"/>
                    <a:stretch>
                      <a:fillRect/>
                    </a:stretch>
                  </pic:blipFill>
                  <pic:spPr>
                    <a:xfrm>
                      <a:off x="0" y="0"/>
                      <a:ext cx="3017782" cy="2217612"/>
                    </a:xfrm>
                    <a:prstGeom prst="rect">
                      <a:avLst/>
                    </a:prstGeom>
                  </pic:spPr>
                </pic:pic>
              </a:graphicData>
            </a:graphic>
          </wp:inline>
        </w:drawing>
      </w:r>
    </w:p>
    <w:p w14:paraId="39AC7AAA" w14:textId="7CBC6DFA" w:rsidR="00E671C9" w:rsidRDefault="00E671C9" w:rsidP="00E671C9">
      <w:r w:rsidRPr="00E671C9">
        <w:t>Finding the mean and median values is the next step in the investigation. This computation heavily relies on the extra column "</w:t>
      </w:r>
      <w:proofErr w:type="spellStart"/>
      <w:r w:rsidRPr="00E671C9">
        <w:t>Lunch_Numeric</w:t>
      </w:r>
      <w:proofErr w:type="spellEnd"/>
      <w:r w:rsidRPr="00E671C9">
        <w:t>," which was previously generated. It was possible to calculate the mean value using this column, and the result was a mean of 0.4304. The median value, which has a value of 0.0000, was also computed and is shown on the same tab. These statistical measurements give insights into the general distribution of lunch qualification among students by providing central trends for the lunch qualification data</w:t>
      </w:r>
      <w:r w:rsidR="00C17B3F">
        <w:t xml:space="preserve"> </w:t>
      </w:r>
      <w:r w:rsidR="00C17B3F" w:rsidRPr="00C17B3F">
        <w:t>(Hinton et al., 2023)</w:t>
      </w:r>
      <w:r w:rsidRPr="00E671C9">
        <w:t>.</w:t>
      </w:r>
    </w:p>
    <w:p w14:paraId="5A3D0151" w14:textId="299A9148" w:rsidR="00E671C9" w:rsidRDefault="00E671C9" w:rsidP="00E671C9">
      <w:pPr>
        <w:jc w:val="center"/>
      </w:pPr>
      <w:r w:rsidRPr="007737BC">
        <w:rPr>
          <w:noProof/>
        </w:rPr>
        <w:drawing>
          <wp:inline distT="0" distB="0" distL="0" distR="0" wp14:anchorId="79D9F7A7" wp14:editId="39FEAD57">
            <wp:extent cx="4366638" cy="2712955"/>
            <wp:effectExtent l="0" t="0" r="0" b="0"/>
            <wp:docPr id="15721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9580" name=""/>
                    <pic:cNvPicPr/>
                  </pic:nvPicPr>
                  <pic:blipFill>
                    <a:blip r:embed="rId30"/>
                    <a:stretch>
                      <a:fillRect/>
                    </a:stretch>
                  </pic:blipFill>
                  <pic:spPr>
                    <a:xfrm>
                      <a:off x="0" y="0"/>
                      <a:ext cx="4366638" cy="2712955"/>
                    </a:xfrm>
                    <a:prstGeom prst="rect">
                      <a:avLst/>
                    </a:prstGeom>
                  </pic:spPr>
                </pic:pic>
              </a:graphicData>
            </a:graphic>
          </wp:inline>
        </w:drawing>
      </w:r>
    </w:p>
    <w:p w14:paraId="63958FC9" w14:textId="2BAB5D23" w:rsidR="00E671C9" w:rsidRDefault="00E671C9" w:rsidP="00E671C9">
      <w:r>
        <w:t xml:space="preserve">Both score variables were chosen for analysis and are situated on the right side of the tab. This selection was made to compute the mean and median differences </w:t>
      </w:r>
      <w:proofErr w:type="spellStart"/>
      <w:r>
        <w:t>utilising</w:t>
      </w:r>
      <w:proofErr w:type="spellEnd"/>
      <w:r>
        <w:t xml:space="preserve"> the score variables</w:t>
      </w:r>
      <w:r w:rsidR="00C17B3F">
        <w:t xml:space="preserve"> </w:t>
      </w:r>
      <w:r w:rsidR="00C17B3F" w:rsidRPr="00C17B3F">
        <w:t>(Hinton et al., 2023)</w:t>
      </w:r>
      <w:r>
        <w:t>. After obtaining the mean and median values, it is straightforward to compute the differences by subtracting the two numbers.</w:t>
      </w:r>
    </w:p>
    <w:p w14:paraId="276BFF28" w14:textId="5BB38139" w:rsidR="00E671C9" w:rsidRDefault="00E671C9" w:rsidP="00E671C9">
      <w:r>
        <w:t>The mean difference is equal to 12.1463 (67.1022 minus 54.9559).</w:t>
      </w:r>
    </w:p>
    <w:p w14:paraId="45B403CA" w14:textId="10715C4C" w:rsidR="00E671C9" w:rsidRDefault="00E671C9" w:rsidP="00E671C9">
      <w:r>
        <w:t>Difference in the median: 68.0000 - 56.0000 = 12.0000</w:t>
      </w:r>
    </w:p>
    <w:p w14:paraId="14EEA08B" w14:textId="67EE9B5C" w:rsidR="00E671C9" w:rsidRDefault="00E671C9" w:rsidP="00E671C9">
      <w:r>
        <w:t>These changes provide light on how the mean and median values for the score factors varied.</w:t>
      </w:r>
    </w:p>
    <w:p w14:paraId="29C4489B" w14:textId="77E8FF8A" w:rsidR="00E671C9" w:rsidRDefault="00E671C9" w:rsidP="00E671C9">
      <w:r>
        <w:t xml:space="preserve">SPSS provides a useful feature that automates several analytical steps for a K-means clustering study. </w:t>
      </w:r>
      <w:r w:rsidR="009234B7">
        <w:t>The user</w:t>
      </w:r>
      <w:r>
        <w:t xml:space="preserve"> may choose the "K-means Cluster" option under the "Analyse" page to access this capability</w:t>
      </w:r>
      <w:r w:rsidR="00C17B3F">
        <w:t xml:space="preserve"> </w:t>
      </w:r>
      <w:r w:rsidR="00C17B3F" w:rsidRPr="00C17B3F">
        <w:t>(Davis, 2013)</w:t>
      </w:r>
      <w:r>
        <w:t xml:space="preserve">. As shown in the supplied picture, selecting this option launches a page where </w:t>
      </w:r>
      <w:r w:rsidR="009234B7">
        <w:t>the user</w:t>
      </w:r>
      <w:r>
        <w:t xml:space="preserve"> may configure and run a K-means clustering analysis. By clustering data points according to similarity, this analytical method is useful for revealing patterns and correlations in the data</w:t>
      </w:r>
      <w:r w:rsidR="00C17B3F">
        <w:t xml:space="preserve"> </w:t>
      </w:r>
      <w:r w:rsidR="00C17B3F" w:rsidRPr="00C17B3F">
        <w:t>(Davis, 2013)</w:t>
      </w:r>
      <w:r>
        <w:t>.</w:t>
      </w:r>
    </w:p>
    <w:p w14:paraId="77D71BED" w14:textId="73F67CB9" w:rsidR="00E671C9" w:rsidRDefault="00E671C9" w:rsidP="00E671C9">
      <w:pPr>
        <w:jc w:val="center"/>
      </w:pPr>
      <w:r w:rsidRPr="007737BC">
        <w:rPr>
          <w:noProof/>
        </w:rPr>
        <w:drawing>
          <wp:inline distT="0" distB="0" distL="0" distR="0" wp14:anchorId="78E7E669" wp14:editId="737F2FAB">
            <wp:extent cx="2819644" cy="2027096"/>
            <wp:effectExtent l="0" t="0" r="0" b="0"/>
            <wp:docPr id="15652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406" name=""/>
                    <pic:cNvPicPr/>
                  </pic:nvPicPr>
                  <pic:blipFill>
                    <a:blip r:embed="rId31"/>
                    <a:stretch>
                      <a:fillRect/>
                    </a:stretch>
                  </pic:blipFill>
                  <pic:spPr>
                    <a:xfrm>
                      <a:off x="0" y="0"/>
                      <a:ext cx="2819644" cy="2027096"/>
                    </a:xfrm>
                    <a:prstGeom prst="rect">
                      <a:avLst/>
                    </a:prstGeom>
                  </pic:spPr>
                </pic:pic>
              </a:graphicData>
            </a:graphic>
          </wp:inline>
        </w:drawing>
      </w:r>
    </w:p>
    <w:p w14:paraId="521BC136" w14:textId="4C4761A7" w:rsidR="00E671C9" w:rsidRDefault="00E671C9" w:rsidP="00E671C9">
      <w:pPr>
        <w:jc w:val="center"/>
      </w:pPr>
      <w:r w:rsidRPr="00517E34">
        <w:rPr>
          <w:noProof/>
        </w:rPr>
        <w:drawing>
          <wp:inline distT="0" distB="0" distL="0" distR="0" wp14:anchorId="4F50EBB4" wp14:editId="2D3102DB">
            <wp:extent cx="3930732" cy="3466648"/>
            <wp:effectExtent l="0" t="0" r="0" b="635"/>
            <wp:docPr id="2000927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27109" name=""/>
                    <pic:cNvPicPr/>
                  </pic:nvPicPr>
                  <pic:blipFill>
                    <a:blip r:embed="rId32"/>
                    <a:stretch>
                      <a:fillRect/>
                    </a:stretch>
                  </pic:blipFill>
                  <pic:spPr>
                    <a:xfrm>
                      <a:off x="0" y="0"/>
                      <a:ext cx="3934454" cy="3469930"/>
                    </a:xfrm>
                    <a:prstGeom prst="rect">
                      <a:avLst/>
                    </a:prstGeom>
                  </pic:spPr>
                </pic:pic>
              </a:graphicData>
            </a:graphic>
          </wp:inline>
        </w:drawing>
      </w:r>
    </w:p>
    <w:p w14:paraId="697A1231" w14:textId="504D4E2C" w:rsidR="00E671C9" w:rsidRDefault="00E671C9" w:rsidP="00E671C9">
      <w:pPr>
        <w:jc w:val="center"/>
      </w:pPr>
      <w:r w:rsidRPr="00517E34">
        <w:rPr>
          <w:noProof/>
        </w:rPr>
        <w:drawing>
          <wp:inline distT="0" distB="0" distL="0" distR="0" wp14:anchorId="61B4515D" wp14:editId="781A381C">
            <wp:extent cx="4251366" cy="3682095"/>
            <wp:effectExtent l="0" t="0" r="0" b="0"/>
            <wp:docPr id="1987318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18178" name=""/>
                    <pic:cNvPicPr/>
                  </pic:nvPicPr>
                  <pic:blipFill>
                    <a:blip r:embed="rId33"/>
                    <a:stretch>
                      <a:fillRect/>
                    </a:stretch>
                  </pic:blipFill>
                  <pic:spPr>
                    <a:xfrm>
                      <a:off x="0" y="0"/>
                      <a:ext cx="4258949" cy="3688663"/>
                    </a:xfrm>
                    <a:prstGeom prst="rect">
                      <a:avLst/>
                    </a:prstGeom>
                  </pic:spPr>
                </pic:pic>
              </a:graphicData>
            </a:graphic>
          </wp:inline>
        </w:drawing>
      </w:r>
    </w:p>
    <w:p w14:paraId="40BCD72F" w14:textId="065D9991" w:rsidR="00E671C9" w:rsidRDefault="00E671C9" w:rsidP="00E671C9">
      <w:pPr>
        <w:jc w:val="center"/>
        <w:rPr>
          <w:noProof/>
        </w:rPr>
      </w:pPr>
      <w:r w:rsidRPr="00517E34">
        <w:rPr>
          <w:noProof/>
        </w:rPr>
        <w:drawing>
          <wp:inline distT="0" distB="0" distL="0" distR="0" wp14:anchorId="0744EC2B" wp14:editId="05AB4CD0">
            <wp:extent cx="1744522" cy="3384467"/>
            <wp:effectExtent l="0" t="0" r="8255" b="6985"/>
            <wp:docPr id="1216387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87969" name=""/>
                    <pic:cNvPicPr/>
                  </pic:nvPicPr>
                  <pic:blipFill>
                    <a:blip r:embed="rId34"/>
                    <a:stretch>
                      <a:fillRect/>
                    </a:stretch>
                  </pic:blipFill>
                  <pic:spPr>
                    <a:xfrm>
                      <a:off x="0" y="0"/>
                      <a:ext cx="1751236" cy="3397493"/>
                    </a:xfrm>
                    <a:prstGeom prst="rect">
                      <a:avLst/>
                    </a:prstGeom>
                  </pic:spPr>
                </pic:pic>
              </a:graphicData>
            </a:graphic>
          </wp:inline>
        </w:drawing>
      </w:r>
      <w:r>
        <w:rPr>
          <w:noProof/>
        </w:rPr>
        <w:t xml:space="preserve">    </w:t>
      </w:r>
      <w:r w:rsidRPr="00517E34">
        <w:rPr>
          <w:noProof/>
        </w:rPr>
        <w:drawing>
          <wp:inline distT="0" distB="0" distL="0" distR="0" wp14:anchorId="5513A56D" wp14:editId="0340E89E">
            <wp:extent cx="2044782" cy="2933205"/>
            <wp:effectExtent l="0" t="0" r="0" b="635"/>
            <wp:docPr id="157374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741599" name=""/>
                    <pic:cNvPicPr/>
                  </pic:nvPicPr>
                  <pic:blipFill>
                    <a:blip r:embed="rId35"/>
                    <a:stretch>
                      <a:fillRect/>
                    </a:stretch>
                  </pic:blipFill>
                  <pic:spPr>
                    <a:xfrm>
                      <a:off x="0" y="0"/>
                      <a:ext cx="2046337" cy="2935436"/>
                    </a:xfrm>
                    <a:prstGeom prst="rect">
                      <a:avLst/>
                    </a:prstGeom>
                  </pic:spPr>
                </pic:pic>
              </a:graphicData>
            </a:graphic>
          </wp:inline>
        </w:drawing>
      </w:r>
    </w:p>
    <w:p w14:paraId="740AFDDE" w14:textId="143F3C4E" w:rsidR="00E671C9" w:rsidRDefault="00E671C9" w:rsidP="00E671C9">
      <w:r>
        <w:t>Software programs like SPSS and Excel are essential for gaining insights and reaching well-informed judgements in this data-driven era</w:t>
      </w:r>
      <w:r w:rsidR="00C17B3F">
        <w:t xml:space="preserve"> </w:t>
      </w:r>
      <w:r w:rsidR="00C17B3F" w:rsidRPr="00C17B3F">
        <w:t>(Davis, 2013)</w:t>
      </w:r>
      <w:r>
        <w:t>. They enable experts from a variety of sectors to fully use their data. Organisations use the powerful method of data mining to get priceless insights from their accumulated data. In this field, clustering is a well-known technique that divides data into groups to enable focused actions</w:t>
      </w:r>
      <w:r w:rsidR="00C17B3F">
        <w:t xml:space="preserve"> </w:t>
      </w:r>
      <w:r w:rsidR="00C17B3F" w:rsidRPr="00C17B3F">
        <w:t>(Gent, 2002)</w:t>
      </w:r>
      <w:r>
        <w:t>. Take retail businesses as an example. They use cluster data mining to classify clients based on their purchasing habits</w:t>
      </w:r>
      <w:r w:rsidR="00C17B3F">
        <w:t xml:space="preserve"> </w:t>
      </w:r>
      <w:r w:rsidR="00C17B3F" w:rsidRPr="00C17B3F">
        <w:t>(Dias, 2022)</w:t>
      </w:r>
      <w:r>
        <w:t xml:space="preserve">. </w:t>
      </w:r>
    </w:p>
    <w:p w14:paraId="5F56ECD0" w14:textId="5FC9B198" w:rsidR="00E671C9" w:rsidRDefault="00E671C9" w:rsidP="00E671C9">
      <w:r>
        <w:t xml:space="preserve">A crucial data mining technique called classification </w:t>
      </w:r>
      <w:proofErr w:type="spellStart"/>
      <w:r>
        <w:t>recognises</w:t>
      </w:r>
      <w:proofErr w:type="spellEnd"/>
      <w:r>
        <w:t xml:space="preserve"> and classifies data based on certain attributes. It is useful in a variety of situations, including email spam detection</w:t>
      </w:r>
      <w:r w:rsidR="00C17B3F">
        <w:t xml:space="preserve"> </w:t>
      </w:r>
      <w:r w:rsidR="00C17B3F" w:rsidRPr="00C17B3F">
        <w:t>(Dias, 2022)</w:t>
      </w:r>
      <w:r>
        <w:t>. Inboxes stay clutter-free by identifying emails as spam or not, improving user experience. Data mining's mainstay, regression analysis, finds connections between independent and dependent variables</w:t>
      </w:r>
      <w:r w:rsidR="00C17B3F">
        <w:t xml:space="preserve"> </w:t>
      </w:r>
      <w:r w:rsidR="00C17B3F" w:rsidRPr="00C17B3F">
        <w:t>(Miller et al., 2009)</w:t>
      </w:r>
      <w:r>
        <w:t>. This approach helps in forecasting in business, where it is very useful. Based on anticipated advertising spending, businesses may project future profits and make strategic choices. For applications like market basket research, association rule mining uncovers co-occurrence patterns in data</w:t>
      </w:r>
      <w:r w:rsidR="00C17B3F">
        <w:t xml:space="preserve"> </w:t>
      </w:r>
      <w:r w:rsidR="00C17B3F" w:rsidRPr="00C17B3F">
        <w:t>(Miller et al., 2009)</w:t>
      </w:r>
      <w:r>
        <w:t>. When grocery shopping, a consumer who buys bread could also want to buy butter and milk. This technique finds these connections and proposes related goods, improving the buying experience</w:t>
      </w:r>
      <w:r w:rsidR="00C17B3F">
        <w:t xml:space="preserve"> </w:t>
      </w:r>
      <w:r w:rsidR="00C17B3F" w:rsidRPr="00C17B3F">
        <w:t>(Dias, 2022)</w:t>
      </w:r>
      <w:r>
        <w:t xml:space="preserve">. Another crucial data mining method that draws attention to data points that drastically deviate from the norm is anomaly detection. </w:t>
      </w:r>
    </w:p>
    <w:p w14:paraId="6232072A" w14:textId="7C5ECECB" w:rsidR="00E671C9" w:rsidRDefault="00E671C9" w:rsidP="00E671C9">
      <w:r>
        <w:t>Text classification, which includes grouping text documents into separate groups, is a frequently used technique in organisations to determine public opinion from client feedback. It contributes to product upgrades that increase profitability</w:t>
      </w:r>
      <w:r w:rsidR="00C17B3F">
        <w:t xml:space="preserve"> </w:t>
      </w:r>
      <w:r w:rsidR="00C17B3F" w:rsidRPr="00C17B3F">
        <w:t>(Dias, 2022)</w:t>
      </w:r>
      <w:r>
        <w:t xml:space="preserve">. Named Entity Recognition (NER) </w:t>
      </w:r>
      <w:proofErr w:type="spellStart"/>
      <w:r>
        <w:t>recognises</w:t>
      </w:r>
      <w:proofErr w:type="spellEnd"/>
      <w:r>
        <w:t xml:space="preserve"> important textual information, such as names of people or places. This technique improves several activities, including reporting incidents and </w:t>
      </w:r>
      <w:proofErr w:type="spellStart"/>
      <w:r>
        <w:t>analysing</w:t>
      </w:r>
      <w:proofErr w:type="spellEnd"/>
      <w:r>
        <w:t xml:space="preserve"> news articles</w:t>
      </w:r>
      <w:r w:rsidR="00C17B3F">
        <w:t xml:space="preserve"> </w:t>
      </w:r>
      <w:r w:rsidR="00C17B3F" w:rsidRPr="00C17B3F">
        <w:t>(Miller et al., 2009)</w:t>
      </w:r>
      <w:r>
        <w:t xml:space="preserve">. Research organisations dealing with massive amounts of research articles benefit from text clustering, which </w:t>
      </w:r>
      <w:proofErr w:type="spellStart"/>
      <w:r>
        <w:t>organises</w:t>
      </w:r>
      <w:proofErr w:type="spellEnd"/>
      <w:r>
        <w:t xml:space="preserve"> text based on content type. Another text mining approach called topic modelling finds recurrent topics from large document or collection sets. This approach supports content recommendation systems by making sure that users are shown articles or posts that are relevant to them, maintaining their engagement on social media sites</w:t>
      </w:r>
      <w:r w:rsidR="00C17B3F">
        <w:t xml:space="preserve"> </w:t>
      </w:r>
      <w:r w:rsidR="00C17B3F" w:rsidRPr="00C17B3F">
        <w:t>(Miller et al., 2009)</w:t>
      </w:r>
      <w:r>
        <w:t xml:space="preserve">. Another essential text mining technique is text summarization, which reduces large texts to summaries. This promotes understanding and time-saving in a variety of contexts. </w:t>
      </w:r>
    </w:p>
    <w:p w14:paraId="59544E56" w14:textId="53DFBCBA" w:rsidR="00E671C9" w:rsidRDefault="00E671C9" w:rsidP="00E671C9">
      <w:r>
        <w:t>Throughout this essay, software programs like SPSS and Excel are used to demonstrate how data mining and text mining are used. These technologies simplify difficult analyses, producing worthwhile outcomes. Additionally, by including other dataset elements, they facilitate deeper study and open the door to a variety of insights. Data mining and text mining become crucial tools in a world overflowing with data for seeing hidden patterns, making wise judgements, and spurring innovation in a variety of sectors. Professionals may unleash the full potential of their data by using software tools like SPSS and Excel, laying the foundation for an excellent data-driven future.</w:t>
      </w:r>
    </w:p>
    <w:p w14:paraId="4FD8FD96" w14:textId="77777777" w:rsidR="00E671C9" w:rsidRDefault="00E671C9" w:rsidP="00E671C9"/>
    <w:p w14:paraId="413B9512" w14:textId="79CDF91C" w:rsidR="00E671C9" w:rsidRDefault="00E671C9">
      <w:pPr>
        <w:spacing w:line="259" w:lineRule="auto"/>
        <w:jc w:val="left"/>
      </w:pPr>
      <w:r>
        <w:br w:type="page"/>
      </w:r>
    </w:p>
    <w:p w14:paraId="6DDA9AB5" w14:textId="76EEA082" w:rsidR="00E671C9" w:rsidRDefault="00E671C9" w:rsidP="00E671C9">
      <w:pPr>
        <w:pStyle w:val="Heading1"/>
      </w:pPr>
      <w:r>
        <w:t>References</w:t>
      </w:r>
    </w:p>
    <w:p w14:paraId="56EF5B41" w14:textId="77777777" w:rsidR="00B44AA9" w:rsidRDefault="00B44AA9" w:rsidP="00B44AA9">
      <w:pPr>
        <w:spacing w:before="240"/>
      </w:pPr>
      <w:r>
        <w:t>Alexander, M. (2010) Easy Microsoft Excel 2010. Que Corporation.</w:t>
      </w:r>
    </w:p>
    <w:p w14:paraId="378CAEFF" w14:textId="77777777" w:rsidR="00B44AA9" w:rsidRDefault="00B44AA9" w:rsidP="00B44AA9">
      <w:pPr>
        <w:spacing w:before="240"/>
      </w:pPr>
      <w:proofErr w:type="spellStart"/>
      <w:r>
        <w:t>Barreras</w:t>
      </w:r>
      <w:proofErr w:type="spellEnd"/>
      <w:r>
        <w:t xml:space="preserve"> </w:t>
      </w:r>
      <w:proofErr w:type="spellStart"/>
      <w:r>
        <w:t>Alconchel</w:t>
      </w:r>
      <w:proofErr w:type="spellEnd"/>
      <w:r>
        <w:t xml:space="preserve">, M. (2006) </w:t>
      </w:r>
      <w:proofErr w:type="spellStart"/>
      <w:r>
        <w:t>Matematicas</w:t>
      </w:r>
      <w:proofErr w:type="spellEnd"/>
      <w:r>
        <w:t xml:space="preserve"> con Microsoft excel. </w:t>
      </w:r>
      <w:proofErr w:type="spellStart"/>
      <w:r>
        <w:t>Alfaomega</w:t>
      </w:r>
      <w:proofErr w:type="spellEnd"/>
      <w:r>
        <w:t xml:space="preserve"> </w:t>
      </w:r>
      <w:proofErr w:type="spellStart"/>
      <w:r>
        <w:t>Grupo</w:t>
      </w:r>
      <w:proofErr w:type="spellEnd"/>
      <w:r>
        <w:t xml:space="preserve"> Editor.</w:t>
      </w:r>
    </w:p>
    <w:p w14:paraId="2B223312" w14:textId="77777777" w:rsidR="00B44AA9" w:rsidRDefault="00B44AA9" w:rsidP="00B44AA9">
      <w:pPr>
        <w:spacing w:before="240"/>
      </w:pPr>
      <w:proofErr w:type="spellStart"/>
      <w:r>
        <w:t>Bilisoly</w:t>
      </w:r>
      <w:proofErr w:type="spellEnd"/>
      <w:r>
        <w:t>, R. (2008) Practical text mining with Perl. Wiley series on methods and applications in data mining. John Wiley &amp; Sons.</w:t>
      </w:r>
    </w:p>
    <w:p w14:paraId="5A0E097C" w14:textId="77777777" w:rsidR="00B44AA9" w:rsidRDefault="00B44AA9" w:rsidP="00B44AA9">
      <w:pPr>
        <w:spacing w:before="240"/>
      </w:pPr>
      <w:r>
        <w:t xml:space="preserve">Cleophas, T. J. and </w:t>
      </w:r>
      <w:proofErr w:type="spellStart"/>
      <w:r>
        <w:t>Zwinderman</w:t>
      </w:r>
      <w:proofErr w:type="spellEnd"/>
      <w:r>
        <w:t xml:space="preserve">, A. H. (2014) SPSS for Starters. 2010th </w:t>
      </w:r>
      <w:proofErr w:type="spellStart"/>
      <w:r>
        <w:t>edn</w:t>
      </w:r>
      <w:proofErr w:type="spellEnd"/>
      <w:r>
        <w:t>. Dordrecht, Netherlands: Springer.</w:t>
      </w:r>
    </w:p>
    <w:p w14:paraId="678ED2FB" w14:textId="77777777" w:rsidR="00B44AA9" w:rsidRDefault="00B44AA9" w:rsidP="00B44AA9">
      <w:pPr>
        <w:spacing w:before="240"/>
      </w:pPr>
      <w:r>
        <w:t>Das, K. (2021) Microsoft excel: Shortcut keys and formulas. Notion Press.</w:t>
      </w:r>
    </w:p>
    <w:p w14:paraId="6D40C777" w14:textId="77777777" w:rsidR="00B44AA9" w:rsidRDefault="00B44AA9" w:rsidP="00B44AA9">
      <w:pPr>
        <w:spacing w:before="240"/>
      </w:pPr>
      <w:r>
        <w:t>Davis, C. (2013) SPSS step by step: Essentials for social and political science. Bristol: Policy Press.</w:t>
      </w:r>
    </w:p>
    <w:p w14:paraId="693109BA" w14:textId="77777777" w:rsidR="00B44AA9" w:rsidRDefault="00B44AA9" w:rsidP="00B44AA9">
      <w:pPr>
        <w:spacing w:before="240"/>
      </w:pPr>
      <w:r>
        <w:t xml:space="preserve">Day, A. (2015) Mastering Financial Mathematics in Microsoft Excel: A practical guide to business calculations. 3rd </w:t>
      </w:r>
      <w:proofErr w:type="spellStart"/>
      <w:r>
        <w:t>edn</w:t>
      </w:r>
      <w:proofErr w:type="spellEnd"/>
      <w:r>
        <w:t>. Harlow: FT Publishing International.</w:t>
      </w:r>
    </w:p>
    <w:p w14:paraId="194F1B2F" w14:textId="77777777" w:rsidR="00B44AA9" w:rsidRDefault="00B44AA9" w:rsidP="00B44AA9">
      <w:pPr>
        <w:spacing w:before="240"/>
      </w:pPr>
      <w:r>
        <w:t>Dias, S. (2022) Analysis of distributional data. Edited by P. Brito and S. Dias. Philadelphia, PA, USA: Chapman &amp; Hall/CRC.</w:t>
      </w:r>
    </w:p>
    <w:p w14:paraId="0AD2A229" w14:textId="77777777" w:rsidR="00B44AA9" w:rsidRDefault="00B44AA9" w:rsidP="00B44AA9">
      <w:pPr>
        <w:spacing w:before="240"/>
      </w:pPr>
      <w:r>
        <w:t xml:space="preserve">Freund, S., </w:t>
      </w:r>
      <w:proofErr w:type="spellStart"/>
      <w:r>
        <w:t>Enger</w:t>
      </w:r>
      <w:proofErr w:type="spellEnd"/>
      <w:r>
        <w:t>, R. and Jones, M. (2013) Microsoft Excel 2013: Complete. Florence, AL, USA: South-Western College Publishing.</w:t>
      </w:r>
    </w:p>
    <w:p w14:paraId="4DA3A854" w14:textId="77777777" w:rsidR="00B44AA9" w:rsidRDefault="00B44AA9" w:rsidP="00B44AA9">
      <w:pPr>
        <w:spacing w:before="240"/>
      </w:pPr>
      <w:r>
        <w:t>Gent, P. (2002) Microsoft Excel: Spreadsheets. Dublin, Ireland: Blackhall Publishing.</w:t>
      </w:r>
    </w:p>
    <w:p w14:paraId="1A7D8984" w14:textId="77777777" w:rsidR="00B44AA9" w:rsidRDefault="00B44AA9" w:rsidP="00B44AA9">
      <w:pPr>
        <w:spacing w:before="240"/>
      </w:pPr>
      <w:r>
        <w:t xml:space="preserve">Hinton, P. R. et al. (2023) SPSS explained. 3rd </w:t>
      </w:r>
      <w:proofErr w:type="spellStart"/>
      <w:r>
        <w:t>edn</w:t>
      </w:r>
      <w:proofErr w:type="spellEnd"/>
      <w:r>
        <w:t>. London: Routledge.</w:t>
      </w:r>
    </w:p>
    <w:p w14:paraId="5D114F1D" w14:textId="77777777" w:rsidR="00B44AA9" w:rsidRDefault="00B44AA9" w:rsidP="00B44AA9">
      <w:pPr>
        <w:spacing w:before="240"/>
      </w:pPr>
      <w:r>
        <w:t xml:space="preserve">Miller, R. et al. (2009) SPSS for Social Scientists. 2009th </w:t>
      </w:r>
      <w:proofErr w:type="spellStart"/>
      <w:r>
        <w:t>edn</w:t>
      </w:r>
      <w:proofErr w:type="spellEnd"/>
      <w:r>
        <w:t xml:space="preserve">. Edited by J. </w:t>
      </w:r>
      <w:proofErr w:type="spellStart"/>
      <w:r>
        <w:t>Campling</w:t>
      </w:r>
      <w:proofErr w:type="spellEnd"/>
      <w:r>
        <w:t>. London: Red Globe Press.</w:t>
      </w:r>
    </w:p>
    <w:p w14:paraId="7C14F448" w14:textId="77777777" w:rsidR="00B44AA9" w:rsidRDefault="00B44AA9" w:rsidP="00B44AA9">
      <w:pPr>
        <w:spacing w:before="240"/>
      </w:pPr>
      <w:r>
        <w:t xml:space="preserve">Reding, E. E. and </w:t>
      </w:r>
      <w:proofErr w:type="spellStart"/>
      <w:r>
        <w:t>Wermers</w:t>
      </w:r>
      <w:proofErr w:type="spellEnd"/>
      <w:r>
        <w:t>, L. (2013) Microsoft Excel 2013: Illustrated Complete. Florence, AL, USA: South-Western College Publishing.</w:t>
      </w:r>
    </w:p>
    <w:p w14:paraId="5D754540" w14:textId="77777777" w:rsidR="00E671C9" w:rsidRPr="00F90530" w:rsidRDefault="00E671C9" w:rsidP="00E671C9"/>
    <w:sectPr w:rsidR="00E671C9" w:rsidRPr="00F90530" w:rsidSect="005A5699">
      <w:footerReference w:type="default" r:id="rId3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AC7FE" w14:textId="77777777" w:rsidR="00C05678" w:rsidRDefault="00C05678" w:rsidP="00F90530">
      <w:pPr>
        <w:spacing w:after="0" w:line="240" w:lineRule="auto"/>
      </w:pPr>
      <w:r>
        <w:separator/>
      </w:r>
    </w:p>
  </w:endnote>
  <w:endnote w:type="continuationSeparator" w:id="0">
    <w:p w14:paraId="1CA996D5" w14:textId="77777777" w:rsidR="00C05678" w:rsidRDefault="00C05678" w:rsidP="00F90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938240"/>
      <w:docPartObj>
        <w:docPartGallery w:val="Page Numbers (Bottom of Page)"/>
        <w:docPartUnique/>
      </w:docPartObj>
    </w:sdtPr>
    <w:sdtEndPr>
      <w:rPr>
        <w:noProof/>
      </w:rPr>
    </w:sdtEndPr>
    <w:sdtContent>
      <w:p w14:paraId="237BC4CD" w14:textId="6926607C" w:rsidR="00F90530" w:rsidRDefault="00F905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065787" w14:textId="77777777" w:rsidR="00F90530" w:rsidRDefault="00F90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A2861" w14:textId="77777777" w:rsidR="00C05678" w:rsidRDefault="00C05678" w:rsidP="00F90530">
      <w:pPr>
        <w:spacing w:after="0" w:line="240" w:lineRule="auto"/>
      </w:pPr>
      <w:r>
        <w:separator/>
      </w:r>
    </w:p>
  </w:footnote>
  <w:footnote w:type="continuationSeparator" w:id="0">
    <w:p w14:paraId="3B00B26A" w14:textId="77777777" w:rsidR="00C05678" w:rsidRDefault="00C05678" w:rsidP="00F905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hideSpellingErrors/>
  <w:hideGrammaticalErrors/>
  <w:proofState w:spelling="clean" w:grammar="clean"/>
  <w:revisionView w:inkAnnotation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A1tTAxNTA1NjIFspV0lIJTi4sz8/NACgxrAdfAXLksAAAA"/>
  </w:docVars>
  <w:rsids>
    <w:rsidRoot w:val="00E0600A"/>
    <w:rsid w:val="00136BAA"/>
    <w:rsid w:val="00146443"/>
    <w:rsid w:val="00175228"/>
    <w:rsid w:val="00451DEA"/>
    <w:rsid w:val="00461851"/>
    <w:rsid w:val="005A5699"/>
    <w:rsid w:val="006C5193"/>
    <w:rsid w:val="0070382C"/>
    <w:rsid w:val="0084324A"/>
    <w:rsid w:val="009234B7"/>
    <w:rsid w:val="00B44AA9"/>
    <w:rsid w:val="00C05678"/>
    <w:rsid w:val="00C17B3F"/>
    <w:rsid w:val="00CC21AB"/>
    <w:rsid w:val="00E0600A"/>
    <w:rsid w:val="00E671C9"/>
    <w:rsid w:val="00F56468"/>
    <w:rsid w:val="00F65423"/>
    <w:rsid w:val="00F90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7DB8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F905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530"/>
    <w:rPr>
      <w:rFonts w:ascii="Times New Roman" w:hAnsi="Times New Roman"/>
      <w:color w:val="000000" w:themeColor="text1"/>
      <w:sz w:val="24"/>
    </w:rPr>
  </w:style>
  <w:style w:type="paragraph" w:styleId="Footer">
    <w:name w:val="footer"/>
    <w:basedOn w:val="Normal"/>
    <w:link w:val="FooterChar"/>
    <w:uiPriority w:val="99"/>
    <w:unhideWhenUsed/>
    <w:rsid w:val="00F90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530"/>
    <w:rPr>
      <w:rFonts w:ascii="Times New Roman" w:hAnsi="Times New Roman"/>
      <w:color w:val="000000" w:themeColor="text1"/>
      <w:sz w:val="24"/>
    </w:rPr>
  </w:style>
  <w:style w:type="table" w:styleId="TableGrid">
    <w:name w:val="Table Grid"/>
    <w:basedOn w:val="TableNormal"/>
    <w:uiPriority w:val="39"/>
    <w:rsid w:val="00E671C9"/>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671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chart" Target="charts/chart2.xml" /><Relationship Id="rId26" Type="http://schemas.openxmlformats.org/officeDocument/2006/relationships/image" Target="media/image19.png" /><Relationship Id="rId3" Type="http://schemas.openxmlformats.org/officeDocument/2006/relationships/webSettings" Target="webSettings.xml" /><Relationship Id="rId21" Type="http://schemas.openxmlformats.org/officeDocument/2006/relationships/image" Target="media/image14.png" /><Relationship Id="rId34" Type="http://schemas.openxmlformats.org/officeDocument/2006/relationships/image" Target="media/image27.png"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1.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image" Target="media/image10.png" /><Relationship Id="rId20" Type="http://schemas.openxmlformats.org/officeDocument/2006/relationships/image" Target="media/image13.png" /><Relationship Id="rId29" Type="http://schemas.openxmlformats.org/officeDocument/2006/relationships/image" Target="media/image22.png"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image" Target="media/image9.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footer" Target="footer1.xml" /><Relationship Id="rId10" Type="http://schemas.openxmlformats.org/officeDocument/2006/relationships/image" Target="media/image5.png" /><Relationship Id="rId19" Type="http://schemas.openxmlformats.org/officeDocument/2006/relationships/image" Target="media/image12.png" /><Relationship Id="rId31" Type="http://schemas.openxmlformats.org/officeDocument/2006/relationships/image" Target="media/image24.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chart" Target="charts/chart1.xml"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Hotel%20Reservation-FOR%20A2(TASK%201).xls"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E:\AbroadNext\July\18-07-2023\Hotel%20Reservation-FOR%20A2(TASK%201).xlsx" TargetMode="External"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Reservation-FOR A2(TASK 1).xlsx]Pivot table!PivotTable1</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Arrival Year vs Average Price Graph</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c:spPr>
        <c:marker>
          <c:symbol val="circle"/>
          <c:size val="5"/>
          <c:spPr>
            <a:solidFill>
              <a:schemeClr val="accent1">
                <a:lumMod val="60000"/>
                <a:lumOff val="4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c:spPr>
        <c:marker>
          <c:symbol val="circle"/>
          <c:size val="5"/>
          <c:spPr>
            <a:solidFill>
              <a:schemeClr val="accent1">
                <a:lumMod val="60000"/>
                <a:lumOff val="4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c:spPr>
        <c:marker>
          <c:symbol val="circle"/>
          <c:size val="5"/>
          <c:spPr>
            <a:solidFill>
              <a:schemeClr val="accent1">
                <a:lumMod val="60000"/>
                <a:lumOff val="4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'Pivot table'!$B$3:$B$4</c:f>
              <c:strCache>
                <c:ptCount val="1"/>
                <c:pt idx="0">
                  <c:v>Total</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table'!$A$5:$A$11</c:f>
              <c:strCache>
                <c:ptCount val="6"/>
                <c:pt idx="0">
                  <c:v>2017</c:v>
                </c:pt>
                <c:pt idx="1">
                  <c:v>2018</c:v>
                </c:pt>
                <c:pt idx="2">
                  <c:v>2019</c:v>
                </c:pt>
                <c:pt idx="3">
                  <c:v>2020</c:v>
                </c:pt>
                <c:pt idx="4">
                  <c:v>2021</c:v>
                </c:pt>
                <c:pt idx="5">
                  <c:v>2022</c:v>
                </c:pt>
              </c:strCache>
            </c:strRef>
          </c:cat>
          <c:val>
            <c:numRef>
              <c:f>'Pivot table'!$B$5:$B$11</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smooth val="0"/>
          <c:extLst>
            <c:ext xmlns:c16="http://schemas.microsoft.com/office/drawing/2014/chart" uri="{C3380CC4-5D6E-409C-BE32-E72D297353CC}">
              <c16:uniqueId val="{00000000-3CC9-42E3-B245-6E398F0162FC}"/>
            </c:ext>
          </c:extLst>
        </c:ser>
        <c:dLbls>
          <c:dLblPos val="t"/>
          <c:showLegendKey val="0"/>
          <c:showVal val="1"/>
          <c:showCatName val="0"/>
          <c:showSerName val="0"/>
          <c:showPercent val="0"/>
          <c:showBubbleSize val="0"/>
        </c:dLbls>
        <c:smooth val="0"/>
        <c:axId val="1244850575"/>
        <c:axId val="1244847695"/>
      </c:lineChart>
      <c:catAx>
        <c:axId val="124485057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Arrival 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44847695"/>
        <c:crosses val="autoZero"/>
        <c:auto val="1"/>
        <c:lblAlgn val="ctr"/>
        <c:lblOffset val="100"/>
        <c:noMultiLvlLbl val="0"/>
      </c:catAx>
      <c:valAx>
        <c:axId val="1244847695"/>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4485057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'Hotel Reservation'!$AL$2</c:f>
              <c:strCache>
                <c:ptCount val="1"/>
                <c:pt idx="0">
                  <c:v>Average Price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'Hotel Reservation'!$AL$3:$AL$8</c:f>
              <c:numCache>
                <c:formatCode>General</c:formatCode>
                <c:ptCount val="6"/>
                <c:pt idx="0">
                  <c:v>90.049854100000005</c:v>
                </c:pt>
                <c:pt idx="1">
                  <c:v>106.4527274</c:v>
                </c:pt>
                <c:pt idx="2">
                  <c:v>101.78129939999999</c:v>
                </c:pt>
                <c:pt idx="3">
                  <c:v>105.339899</c:v>
                </c:pt>
                <c:pt idx="4">
                  <c:v>101.2333333</c:v>
                </c:pt>
                <c:pt idx="5">
                  <c:v>101.499242</c:v>
                </c:pt>
              </c:numCache>
            </c:numRef>
          </c:val>
          <c:extLst>
            <c:ext xmlns:c16="http://schemas.microsoft.com/office/drawing/2014/chart" uri="{C3380CC4-5D6E-409C-BE32-E72D297353CC}">
              <c16:uniqueId val="{00000000-E46B-4B26-80E1-AB6B03C447EA}"/>
            </c:ext>
          </c:extLst>
        </c:ser>
        <c:dLbls>
          <c:dLblPos val="outEnd"/>
          <c:showLegendKey val="0"/>
          <c:showVal val="1"/>
          <c:showCatName val="0"/>
          <c:showSerName val="0"/>
          <c:showPercent val="0"/>
          <c:showBubbleSize val="0"/>
        </c:dLbls>
        <c:gapWidth val="267"/>
        <c:overlap val="-43"/>
        <c:axId val="1719439599"/>
        <c:axId val="1719440559"/>
      </c:barChart>
      <c:catAx>
        <c:axId val="1719439599"/>
        <c:scaling>
          <c:orientation val="minMax"/>
        </c:scaling>
        <c:delete val="0"/>
        <c:axPos val="b"/>
        <c:majorGridlines>
          <c:spPr>
            <a:ln w="9525" cap="flat" cmpd="sng" algn="ctr">
              <a:solidFill>
                <a:schemeClr val="dk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19440559"/>
        <c:crosses val="autoZero"/>
        <c:auto val="1"/>
        <c:lblAlgn val="ctr"/>
        <c:lblOffset val="100"/>
        <c:noMultiLvlLbl val="0"/>
      </c:catAx>
      <c:valAx>
        <c:axId val="1719440559"/>
        <c:scaling>
          <c:orientation val="minMax"/>
        </c:scaling>
        <c:delete val="0"/>
        <c:axPos val="l"/>
        <c:majorGridlines>
          <c:spPr>
            <a:ln w="9525" cap="flat" cmpd="sng" algn="ctr">
              <a:solidFill>
                <a:schemeClr val="dk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1943959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3262</Words>
  <Characters>18598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2023-09-07T21:17:00Z</dcterms:created>
  <dcterms:modified xsi:type="dcterms:W3CDTF">2023-09-07T21:17:00Z</dcterms:modified>
</cp:coreProperties>
</file>