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7E7DC" w14:textId="7D389804" w:rsidR="009608FA" w:rsidRDefault="009608FA" w:rsidP="009608FA">
      <w:pPr>
        <w:rPr>
          <w:rStyle w:val="IntenseEmphasis"/>
          <w:i w:val="0"/>
          <w:iCs w:val="0"/>
        </w:rPr>
      </w:pPr>
      <w:r>
        <w:rPr>
          <w:rStyle w:val="IntenseEmphasis"/>
          <w:i w:val="0"/>
          <w:iCs w:val="0"/>
        </w:rPr>
        <w:t>Name: Eman Ali</w:t>
      </w:r>
    </w:p>
    <w:p w14:paraId="38441F3B" w14:textId="7C212EDD" w:rsidR="009608FA" w:rsidRDefault="009608FA" w:rsidP="009608FA">
      <w:pPr>
        <w:rPr>
          <w:rStyle w:val="IntenseEmphasis"/>
          <w:i w:val="0"/>
          <w:iCs w:val="0"/>
        </w:rPr>
      </w:pPr>
      <w:r>
        <w:rPr>
          <w:rStyle w:val="IntenseEmphasis"/>
          <w:i w:val="0"/>
          <w:iCs w:val="0"/>
        </w:rPr>
        <w:t>Student Number: 2507026</w:t>
      </w:r>
    </w:p>
    <w:p w14:paraId="45F15A2E" w14:textId="7CE045E1" w:rsidR="009608FA" w:rsidRDefault="009608FA" w:rsidP="009608FA">
      <w:pPr>
        <w:rPr>
          <w:rStyle w:val="IntenseEmphasis"/>
          <w:i w:val="0"/>
          <w:iCs w:val="0"/>
        </w:rPr>
      </w:pPr>
      <w:r>
        <w:rPr>
          <w:rStyle w:val="IntenseEmphasis"/>
          <w:i w:val="0"/>
          <w:iCs w:val="0"/>
        </w:rPr>
        <w:t>Course: Certificate of Higher Education in Employability Skills</w:t>
      </w:r>
    </w:p>
    <w:p w14:paraId="24AA4042" w14:textId="719CB483" w:rsidR="009608FA" w:rsidRDefault="009608FA" w:rsidP="009608FA">
      <w:pPr>
        <w:rPr>
          <w:rStyle w:val="IntenseEmphasis"/>
          <w:i w:val="0"/>
          <w:iCs w:val="0"/>
        </w:rPr>
      </w:pPr>
      <w:r>
        <w:rPr>
          <w:rStyle w:val="IntenseEmphasis"/>
          <w:i w:val="0"/>
          <w:iCs w:val="0"/>
        </w:rPr>
        <w:t>Module: Academic Skills for the Digital Era</w:t>
      </w:r>
    </w:p>
    <w:p w14:paraId="7F3DAA0A" w14:textId="3FB65361" w:rsidR="009608FA" w:rsidRPr="009608FA" w:rsidRDefault="009608FA" w:rsidP="009608FA">
      <w:pPr>
        <w:rPr>
          <w:rStyle w:val="IntenseEmphasis"/>
          <w:i w:val="0"/>
          <w:iCs w:val="0"/>
        </w:rPr>
      </w:pPr>
      <w:r>
        <w:rPr>
          <w:rStyle w:val="IntenseEmphasis"/>
          <w:i w:val="0"/>
          <w:iCs w:val="0"/>
        </w:rPr>
        <w:t>Module lead: Scott James</w:t>
      </w:r>
    </w:p>
    <w:p w14:paraId="6C11D810" w14:textId="77777777" w:rsidR="009608FA" w:rsidRDefault="009608FA" w:rsidP="0082789D">
      <w:pPr>
        <w:pStyle w:val="Title"/>
        <w:rPr>
          <w:rStyle w:val="IntenseEmphasis"/>
        </w:rPr>
      </w:pPr>
    </w:p>
    <w:p w14:paraId="4028B3F9" w14:textId="3E76BBDD" w:rsidR="00390E05" w:rsidRDefault="00390E05" w:rsidP="0082789D">
      <w:pPr>
        <w:pStyle w:val="Title"/>
        <w:rPr>
          <w:rStyle w:val="IntenseEmphasis"/>
        </w:rPr>
      </w:pPr>
      <w:r w:rsidRPr="00390E05">
        <w:rPr>
          <w:rStyle w:val="IntenseEmphasis"/>
        </w:rPr>
        <w:t>Challenges and Opportunities for Students in the Digital Era</w:t>
      </w:r>
    </w:p>
    <w:p w14:paraId="697D49E8" w14:textId="77777777" w:rsidR="00390E05" w:rsidRPr="00390E05" w:rsidRDefault="00390E05" w:rsidP="00390E05"/>
    <w:p w14:paraId="4A35DD48" w14:textId="0DBD2CB3" w:rsidR="0082789D" w:rsidRPr="00E92826" w:rsidRDefault="00390E05" w:rsidP="0082789D">
      <w:pPr>
        <w:pStyle w:val="Title"/>
        <w:rPr>
          <w:b/>
          <w:bCs/>
        </w:rPr>
      </w:pPr>
      <w:r w:rsidRPr="00E92826">
        <w:rPr>
          <w:b/>
          <w:bCs/>
        </w:rPr>
        <w:t xml:space="preserve">                      </w:t>
      </w:r>
      <w:r w:rsidR="0082789D" w:rsidRPr="00E92826">
        <w:rPr>
          <w:b/>
          <w:bCs/>
        </w:rPr>
        <w:t>Source Exploration</w:t>
      </w:r>
    </w:p>
    <w:p w14:paraId="6552AD95" w14:textId="77777777" w:rsidR="007B1B93" w:rsidRDefault="007B1B93" w:rsidP="007B1B93">
      <w:r>
        <w:t>I chose a 2016 academic journal article by Iwona Zdonek and Katarzyna Halkiewicz from the Social Space Journal, which looks at how digital technologies are transforming modern learning environments, especially in universities. The authors explore a range of digital tools and discuss how they influence teaching, accessibility, students’ learning habits, and the skills students need today. One of their main arguments is that while digital technologies can make learning more flexible and accessible, they also introduce challenges—such as unequal access to devices and the need for strong digital competencies.</w:t>
      </w:r>
    </w:p>
    <w:p w14:paraId="5F940CDA" w14:textId="77777777" w:rsidR="007B1B93" w:rsidRDefault="007B1B93" w:rsidP="007B1B93">
      <w:r>
        <w:t>I selected this source because it connects directly to the assignment topic about the opportunities and challenges students face in the digital era. It’s reliable, as it comes from a peer-reviewed journal and both authors have relevant research experience in education and digital learning tools. I also like that the article doesn’t just focus on the positives; it provides a balanced view by acknowledging the limitations and issues students encounter, which helps me approach the assignment more critically.</w:t>
      </w:r>
    </w:p>
    <w:p w14:paraId="5C08A964" w14:textId="0AB0ADF3" w:rsidR="00390E05" w:rsidRPr="0082789D" w:rsidRDefault="007B1B93" w:rsidP="007B1B93">
      <w:r>
        <w:t>This source will support my response to the main assignment question by giving me research-based examples. It highlights both the benefits of digital tools—like flexible access to materials—and the difficulties students face, such as digital inequality or struggling to adapt to new technologies. Using this article will help me provide solid evidence for my points in both Components 1 and 2.</w:t>
      </w:r>
    </w:p>
    <w:p w14:paraId="17A3AA98" w14:textId="73AB9D73" w:rsidR="0082789D" w:rsidRPr="00E92826" w:rsidRDefault="0082789D" w:rsidP="0082789D">
      <w:pPr>
        <w:pStyle w:val="Title"/>
        <w:rPr>
          <w:b/>
          <w:bCs/>
        </w:rPr>
      </w:pPr>
      <w:r w:rsidRPr="00E92826">
        <w:rPr>
          <w:b/>
          <w:bCs/>
        </w:rPr>
        <w:t xml:space="preserve">                Key Challenge for Student</w:t>
      </w:r>
    </w:p>
    <w:p w14:paraId="54D62EAC" w14:textId="52A0F8B2" w:rsidR="00390E05" w:rsidRDefault="00284FC8" w:rsidP="0082789D">
      <w:r w:rsidRPr="00284FC8">
        <w:t xml:space="preserve">A major challenge discussed in the article is digital inequality. Some students do not have reliable devices, stable internet, or up-to-date software. Zdonek and Halkiewicz (2016) note </w:t>
      </w:r>
      <w:r w:rsidRPr="00284FC8">
        <w:lastRenderedPageBreak/>
        <w:t>that as digital learning becomes more common, it can widen the gap between students with good digital access and those without. This gap can make it harder for some students to join online classes, finish digital assignments, or use advanced learning tools. I have also experienced times when a weak internet connection or old devices made even simple tasks difficult</w:t>
      </w:r>
      <w:r>
        <w:t xml:space="preserve"> and delayed my progress.</w:t>
      </w:r>
      <w:r w:rsidRPr="00284FC8">
        <w:t xml:space="preserve"> This issue matters because it can lower students’ confidence and hurt their academic performance. If access is not equal, some students may fall behind, even if they are motivated and capable.</w:t>
      </w:r>
    </w:p>
    <w:p w14:paraId="7A55B04B" w14:textId="1FBF0561" w:rsidR="0082789D" w:rsidRDefault="0082789D" w:rsidP="0082789D">
      <w:pPr>
        <w:pStyle w:val="Title"/>
      </w:pPr>
      <w:r>
        <w:t xml:space="preserve">              </w:t>
      </w:r>
      <w:r w:rsidRPr="0082789D">
        <w:t xml:space="preserve">Key </w:t>
      </w:r>
      <w:r w:rsidRPr="00E92826">
        <w:rPr>
          <w:b/>
          <w:bCs/>
        </w:rPr>
        <w:t>Opportunity</w:t>
      </w:r>
      <w:r w:rsidRPr="0082789D">
        <w:t xml:space="preserve"> for Students</w:t>
      </w:r>
    </w:p>
    <w:p w14:paraId="3360E249" w14:textId="1BE2C541" w:rsidR="0082789D" w:rsidRDefault="00284FC8" w:rsidP="0082789D">
      <w:r w:rsidRPr="00284FC8">
        <w:t>One of the main opportunities mentioned in the article is that learning can be more flexible. Digital tools let students access lessons, readings, videos, and assessments whenever and almost wherever they want. Zdonek and Halkiewicz (2016) say this flexibility helps students learn at their own pace and go over difficult material as many times as needed. This is especially useful for students with part-time jobs, family duties, or different learning speeds. In my own experience, having flexible access to online lectures and resources makes it easier to manage my workload and stay organised. Instead of depending only on class time, students can review materials whenever they need to. This shows that</w:t>
      </w:r>
      <w:r w:rsidR="006A2314">
        <w:t xml:space="preserve"> if the</w:t>
      </w:r>
      <w:r w:rsidRPr="00284FC8">
        <w:t xml:space="preserve"> digital tools</w:t>
      </w:r>
      <w:r w:rsidR="006A2314">
        <w:t xml:space="preserve"> are </w:t>
      </w:r>
      <w:r w:rsidR="006A2314" w:rsidRPr="00284FC8">
        <w:t>used well</w:t>
      </w:r>
      <w:r w:rsidR="006A2314">
        <w:t xml:space="preserve">, they </w:t>
      </w:r>
      <w:r w:rsidRPr="00284FC8">
        <w:t>can support independent learning and help students build strong self-management skills.</w:t>
      </w:r>
    </w:p>
    <w:p w14:paraId="32DC7E9B" w14:textId="77777777" w:rsidR="00FA0B73" w:rsidRDefault="00FA0B73" w:rsidP="0082789D"/>
    <w:p w14:paraId="5DDF1A8A" w14:textId="77777777" w:rsidR="00FA0B73" w:rsidRPr="00496233" w:rsidRDefault="00FA0B73" w:rsidP="00FA0B73">
      <w:pPr>
        <w:rPr>
          <w:color w:val="2F5496" w:themeColor="accent1" w:themeShade="BF"/>
        </w:rPr>
      </w:pPr>
      <w:r w:rsidRPr="009A0FD5">
        <w:rPr>
          <w:b/>
          <w:bCs/>
          <w:sz w:val="28"/>
          <w:szCs w:val="28"/>
        </w:rPr>
        <w:t>Introduction</w:t>
      </w:r>
      <w:r w:rsidRPr="0021516C">
        <w:rPr>
          <w:b/>
          <w:bCs/>
        </w:rPr>
        <w:t>:</w:t>
      </w:r>
    </w:p>
    <w:p w14:paraId="530A188B" w14:textId="77777777" w:rsidR="00FA0B73" w:rsidRDefault="00FA0B73" w:rsidP="00FA0B73">
      <w:r w:rsidRPr="00F75618">
        <w:t>In the digital era, students face a mix of opportunities and challenges as learning becomes increasingly online and technology-driven. Digital tools enable more flexible access to education, but they also raise serious risks like academic dishonesty and inequality. Using t</w:t>
      </w:r>
      <w:r>
        <w:t xml:space="preserve">he </w:t>
      </w:r>
      <w:r w:rsidRPr="00F75618">
        <w:t>recent research about AI misuse, this report explores two key challenges and two opportunities for students today. It also offers practical suggestions for how students can adapt and thrive in a digital learning environment.</w:t>
      </w:r>
    </w:p>
    <w:p w14:paraId="455C625D" w14:textId="77777777" w:rsidR="00FA0B73" w:rsidRPr="009A0FD5" w:rsidRDefault="00FA0B73" w:rsidP="00FA0B73">
      <w:pPr>
        <w:rPr>
          <w:b/>
          <w:bCs/>
          <w:sz w:val="36"/>
          <w:szCs w:val="36"/>
        </w:rPr>
      </w:pPr>
      <w:r>
        <w:rPr>
          <w:b/>
          <w:bCs/>
          <w:sz w:val="36"/>
          <w:szCs w:val="36"/>
        </w:rPr>
        <w:t xml:space="preserve">                               </w:t>
      </w:r>
      <w:r w:rsidRPr="009A0FD5">
        <w:rPr>
          <w:b/>
          <w:bCs/>
          <w:sz w:val="36"/>
          <w:szCs w:val="36"/>
        </w:rPr>
        <w:t>Challenges Students Face:</w:t>
      </w:r>
    </w:p>
    <w:p w14:paraId="043669C6" w14:textId="77777777" w:rsidR="00FA0B73" w:rsidRPr="009A0FD5" w:rsidRDefault="00FA0B73" w:rsidP="00FA0B73">
      <w:pPr>
        <w:pStyle w:val="ListParagraph"/>
        <w:numPr>
          <w:ilvl w:val="0"/>
          <w:numId w:val="1"/>
        </w:numPr>
        <w:rPr>
          <w:b/>
          <w:bCs/>
          <w:sz w:val="28"/>
          <w:szCs w:val="28"/>
        </w:rPr>
      </w:pPr>
      <w:r w:rsidRPr="009A0FD5">
        <w:rPr>
          <w:b/>
          <w:bCs/>
          <w:sz w:val="28"/>
          <w:szCs w:val="28"/>
        </w:rPr>
        <w:t>AI Misuse and Confusion</w:t>
      </w:r>
    </w:p>
    <w:p w14:paraId="36847831" w14:textId="77777777" w:rsidR="00FA0B73" w:rsidRDefault="00FA0B73" w:rsidP="00FA0B73">
      <w:r>
        <w:t xml:space="preserve">              One of the biggest challenges in the modern digital age is the misuse of artificial intelligence (AI) by students. According to Yusuf, Pervin &amp; Román-González (2024), generative AI like ChatGPT threatens academic integrity because students may rely on it to write essays or complete assignments, which raises concerns about cheating. Moreover, traditional plagiarism detection tools are often not enough to catch AI-generated texts. As Birks &amp; Clare (2023) argue, AI-facilitated misconduct needs new prevention strategies because it's a fundamentally different kind of risk. This misuse can confuse students: they </w:t>
      </w:r>
      <w:r>
        <w:lastRenderedPageBreak/>
        <w:t>may not be sure whether using AI is allowed or where the boundary lies between using it ethically and misusing it. From my own experience, classmates sometimes ask whether it's “ok” to use AI for brainstorming or even drafting parts of their assignments, showing how unclear guidelines often are.</w:t>
      </w:r>
    </w:p>
    <w:p w14:paraId="1303D089" w14:textId="77777777" w:rsidR="00FA0B73" w:rsidRPr="009A0FD5" w:rsidRDefault="00FA0B73" w:rsidP="00FA0B73">
      <w:pPr>
        <w:pStyle w:val="ListParagraph"/>
        <w:numPr>
          <w:ilvl w:val="0"/>
          <w:numId w:val="1"/>
        </w:numPr>
        <w:rPr>
          <w:b/>
          <w:bCs/>
          <w:sz w:val="28"/>
          <w:szCs w:val="28"/>
        </w:rPr>
      </w:pPr>
      <w:r w:rsidRPr="009A0FD5">
        <w:rPr>
          <w:b/>
          <w:bCs/>
          <w:sz w:val="28"/>
          <w:szCs w:val="28"/>
        </w:rPr>
        <w:t>Digital Inequality</w:t>
      </w:r>
    </w:p>
    <w:p w14:paraId="1463DE5B" w14:textId="77777777" w:rsidR="00FA0B73" w:rsidRDefault="00FA0B73" w:rsidP="00FA0B73">
      <w:r>
        <w:t xml:space="preserve">              A second significant challenge, highlighted in </w:t>
      </w:r>
      <w:proofErr w:type="spellStart"/>
      <w:r>
        <w:t>Zdonek</w:t>
      </w:r>
      <w:proofErr w:type="spellEnd"/>
      <w:r>
        <w:t xml:space="preserve"> &amp; </w:t>
      </w:r>
      <w:proofErr w:type="spellStart"/>
      <w:r>
        <w:t>Halkiewicz</w:t>
      </w:r>
      <w:proofErr w:type="spellEnd"/>
      <w:r>
        <w:t xml:space="preserve"> (2016), is unequal access to technology. Not all students have reliable internet connections, modern devices, or the digital literacy needed to take full advantage of online tools. This digital inequality can prevent some students from fully participating in online classes, accessing learning platforms, or submitting digital work. As the authors note, while digital tools have the potential to democratize education, access remains uneven — and this gap can widen existing inequalities among students.</w:t>
      </w:r>
    </w:p>
    <w:p w14:paraId="56560094" w14:textId="77777777" w:rsidR="00FA0B73" w:rsidRPr="009A0FD5" w:rsidRDefault="00FA0B73" w:rsidP="00FA0B73">
      <w:pPr>
        <w:rPr>
          <w:b/>
          <w:bCs/>
          <w:sz w:val="36"/>
          <w:szCs w:val="36"/>
        </w:rPr>
      </w:pPr>
      <w:r>
        <w:rPr>
          <w:b/>
          <w:bCs/>
          <w:sz w:val="36"/>
          <w:szCs w:val="36"/>
        </w:rPr>
        <w:t xml:space="preserve">                      </w:t>
      </w:r>
      <w:r w:rsidRPr="009A0FD5">
        <w:rPr>
          <w:b/>
          <w:bCs/>
          <w:sz w:val="36"/>
          <w:szCs w:val="36"/>
        </w:rPr>
        <w:t>Opportunities Digital Tools Provide:</w:t>
      </w:r>
    </w:p>
    <w:p w14:paraId="3C611E75" w14:textId="77777777" w:rsidR="00FA0B73" w:rsidRPr="009A0FD5" w:rsidRDefault="00FA0B73" w:rsidP="00FA0B73">
      <w:pPr>
        <w:pStyle w:val="ListParagraph"/>
        <w:numPr>
          <w:ilvl w:val="0"/>
          <w:numId w:val="2"/>
        </w:numPr>
        <w:rPr>
          <w:b/>
          <w:bCs/>
          <w:sz w:val="28"/>
          <w:szCs w:val="28"/>
        </w:rPr>
      </w:pPr>
      <w:r w:rsidRPr="009A0FD5">
        <w:rPr>
          <w:b/>
          <w:bCs/>
          <w:sz w:val="28"/>
          <w:szCs w:val="28"/>
        </w:rPr>
        <w:t>Flexible Access to Online Learning</w:t>
      </w:r>
    </w:p>
    <w:p w14:paraId="74DA4F88" w14:textId="77777777" w:rsidR="00FA0B73" w:rsidRDefault="00FA0B73" w:rsidP="00FA0B73">
      <w:r>
        <w:t xml:space="preserve">              One major opportunity is increased flexibility in education. </w:t>
      </w:r>
      <w:proofErr w:type="spellStart"/>
      <w:r>
        <w:t>Zdonek</w:t>
      </w:r>
      <w:proofErr w:type="spellEnd"/>
      <w:r>
        <w:t xml:space="preserve"> &amp; </w:t>
      </w:r>
      <w:proofErr w:type="spellStart"/>
      <w:r>
        <w:t>Halkiewicz</w:t>
      </w:r>
      <w:proofErr w:type="spellEnd"/>
      <w:r>
        <w:t xml:space="preserve"> (2016) argue that digital tools make it easier for students to access learning materials (lectures, readings, videos) anytime, from anywhere, which supports personal learning styles and schedules. This is especially helpful for students balancing work, family, or other commitments. The ability to revisit recorded lectures or review course content at their own pace helps students understand difficult topics more deeply.</w:t>
      </w:r>
    </w:p>
    <w:p w14:paraId="762A1D39" w14:textId="77777777" w:rsidR="00FA0B73" w:rsidRPr="009A0FD5" w:rsidRDefault="00FA0B73" w:rsidP="00FA0B73">
      <w:pPr>
        <w:pStyle w:val="ListParagraph"/>
        <w:numPr>
          <w:ilvl w:val="0"/>
          <w:numId w:val="2"/>
        </w:numPr>
        <w:rPr>
          <w:b/>
          <w:bCs/>
          <w:sz w:val="28"/>
          <w:szCs w:val="28"/>
        </w:rPr>
      </w:pPr>
      <w:r w:rsidRPr="009A0FD5">
        <w:rPr>
          <w:b/>
          <w:bCs/>
          <w:sz w:val="28"/>
          <w:szCs w:val="28"/>
        </w:rPr>
        <w:t>Enhanced Learning with AI</w:t>
      </w:r>
    </w:p>
    <w:p w14:paraId="48B0079F" w14:textId="77777777" w:rsidR="00FA0B73" w:rsidRDefault="00FA0B73" w:rsidP="00FA0B73">
      <w:r>
        <w:t xml:space="preserve">              AI also brings powerful learning potential if used responsibly. According to Yusuf, Pervin &amp; Román-González (2024), generative AI can be a transformative resource. It can help students brainstorm ideas, generate examples, or receive feedback on their writing — all of which can support deeper learning and creativity. When used ethically, AI can become a tutor-like assistant, helping students explore complex topics, clarify doubts, and work through problems more efficiently.</w:t>
      </w:r>
    </w:p>
    <w:p w14:paraId="2421389A" w14:textId="77777777" w:rsidR="00FA0B73" w:rsidRPr="009A0FD5" w:rsidRDefault="00FA0B73" w:rsidP="00FA0B73">
      <w:pPr>
        <w:rPr>
          <w:b/>
          <w:bCs/>
          <w:sz w:val="36"/>
          <w:szCs w:val="36"/>
        </w:rPr>
      </w:pPr>
      <w:r w:rsidRPr="009A0FD5">
        <w:rPr>
          <w:b/>
          <w:bCs/>
          <w:sz w:val="36"/>
          <w:szCs w:val="36"/>
        </w:rPr>
        <w:t xml:space="preserve">                              How Students Can Adapt:</w:t>
      </w:r>
    </w:p>
    <w:p w14:paraId="29853D9E" w14:textId="77777777" w:rsidR="00FA0B73" w:rsidRDefault="00FA0B73" w:rsidP="00FA0B73">
      <w:r>
        <w:t xml:space="preserve">               </w:t>
      </w:r>
      <w:r w:rsidRPr="00F75618">
        <w:t>Here are three practical suggestions for how students can adapt to digital learning and navigate these challenges:</w:t>
      </w:r>
    </w:p>
    <w:p w14:paraId="7799AFC9" w14:textId="77777777" w:rsidR="00FA0B73" w:rsidRPr="009A0FD5" w:rsidRDefault="00FA0B73" w:rsidP="00FA0B73">
      <w:pPr>
        <w:pStyle w:val="ListParagraph"/>
        <w:numPr>
          <w:ilvl w:val="0"/>
          <w:numId w:val="3"/>
        </w:numPr>
        <w:rPr>
          <w:b/>
          <w:bCs/>
          <w:sz w:val="28"/>
          <w:szCs w:val="28"/>
        </w:rPr>
      </w:pPr>
      <w:r w:rsidRPr="009A0FD5">
        <w:rPr>
          <w:b/>
          <w:bCs/>
          <w:sz w:val="28"/>
          <w:szCs w:val="28"/>
        </w:rPr>
        <w:t>Develop Digital and Ethical Literacy</w:t>
      </w:r>
    </w:p>
    <w:p w14:paraId="5DF9A69B" w14:textId="77777777" w:rsidR="00FA0B73" w:rsidRDefault="00FA0B73" w:rsidP="00FA0B73">
      <w:r>
        <w:t xml:space="preserve">              </w:t>
      </w:r>
      <w:r w:rsidRPr="00F75618">
        <w:t xml:space="preserve">Students should educate themselves about the ethical use of AI and digital tools. This could involve attending workshops, using resources on academic integrity, or learning the difference between acceptable AI assistance (e.g., for brainstorming or improving </w:t>
      </w:r>
      <w:r w:rsidRPr="00F75618">
        <w:lastRenderedPageBreak/>
        <w:t>structure) and misuse (e.g., submitting AI-generated text as one’s own). By understanding where the lines are, students can make informed decisions about AI use.</w:t>
      </w:r>
    </w:p>
    <w:p w14:paraId="4D797A6D" w14:textId="77777777" w:rsidR="00FA0B73" w:rsidRPr="009A0FD5" w:rsidRDefault="00FA0B73" w:rsidP="00FA0B73">
      <w:pPr>
        <w:pStyle w:val="ListParagraph"/>
        <w:numPr>
          <w:ilvl w:val="0"/>
          <w:numId w:val="3"/>
        </w:numPr>
        <w:rPr>
          <w:b/>
          <w:bCs/>
          <w:sz w:val="28"/>
          <w:szCs w:val="28"/>
        </w:rPr>
      </w:pPr>
      <w:r w:rsidRPr="009A0FD5">
        <w:rPr>
          <w:b/>
          <w:bCs/>
          <w:sz w:val="28"/>
          <w:szCs w:val="28"/>
        </w:rPr>
        <w:t>Manage Time and Learning Strategically</w:t>
      </w:r>
    </w:p>
    <w:p w14:paraId="485A7393" w14:textId="77777777" w:rsidR="00FA0B73" w:rsidRDefault="00FA0B73" w:rsidP="00FA0B73">
      <w:r>
        <w:t xml:space="preserve">              </w:t>
      </w:r>
      <w:r w:rsidRPr="00F75618">
        <w:t>Using digital planners or time-management techniques (such as the Pomodoro method) can help students structure their learning. Because online environments can blur the lines between study time and personal time, establishing a clear schedule helps maintain discipline. Also, breaking large tasks into smaller milestones can reduce the temptation to misuse AI as a shortcut — instead, students can use AI constructively (for feedback or idea generation) and then do the core writing themselves.</w:t>
      </w:r>
    </w:p>
    <w:p w14:paraId="5110AF49" w14:textId="77777777" w:rsidR="00FA0B73" w:rsidRPr="009A0FD5" w:rsidRDefault="00FA0B73" w:rsidP="00FA0B73">
      <w:pPr>
        <w:pStyle w:val="ListParagraph"/>
        <w:numPr>
          <w:ilvl w:val="0"/>
          <w:numId w:val="3"/>
        </w:numPr>
        <w:rPr>
          <w:b/>
          <w:bCs/>
          <w:sz w:val="28"/>
          <w:szCs w:val="28"/>
        </w:rPr>
      </w:pPr>
      <w:r w:rsidRPr="009A0FD5">
        <w:rPr>
          <w:b/>
          <w:bCs/>
          <w:sz w:val="28"/>
          <w:szCs w:val="28"/>
        </w:rPr>
        <w:t>Advocate for Clear Institutional Policies</w:t>
      </w:r>
    </w:p>
    <w:p w14:paraId="0821580B" w14:textId="77777777" w:rsidR="00FA0B73" w:rsidRDefault="00FA0B73" w:rsidP="00FA0B73">
      <w:r>
        <w:t xml:space="preserve">              </w:t>
      </w:r>
      <w:r w:rsidRPr="00F75618">
        <w:t>Students can work with their institutions to push for transparent policies on AI. They might suggest that universities hold forums where students and staff co-develop guidelines, or that they clarify what kinds of AI usage count as misconduct. Having a shared understanding helps reduce confusion and protects academic integrity. Additionally, students can ask for training or orientation sessions that explain acceptable AI use and potential pitfalls.</w:t>
      </w:r>
    </w:p>
    <w:p w14:paraId="023B4D48" w14:textId="77777777" w:rsidR="00FA0B73" w:rsidRDefault="00FA0B73" w:rsidP="00FA0B73">
      <w:pPr>
        <w:rPr>
          <w:b/>
          <w:bCs/>
          <w:sz w:val="32"/>
          <w:szCs w:val="32"/>
        </w:rPr>
      </w:pPr>
    </w:p>
    <w:p w14:paraId="381067DF" w14:textId="77777777" w:rsidR="00FA0B73" w:rsidRPr="009A0FD5" w:rsidRDefault="00FA0B73" w:rsidP="00FA0B73">
      <w:pPr>
        <w:rPr>
          <w:b/>
          <w:bCs/>
          <w:sz w:val="32"/>
          <w:szCs w:val="32"/>
        </w:rPr>
      </w:pPr>
      <w:r w:rsidRPr="009A0FD5">
        <w:rPr>
          <w:b/>
          <w:bCs/>
          <w:sz w:val="32"/>
          <w:szCs w:val="32"/>
        </w:rPr>
        <w:t>Conclusion:</w:t>
      </w:r>
    </w:p>
    <w:p w14:paraId="686DB000" w14:textId="77777777" w:rsidR="00FA0B73" w:rsidRDefault="00FA0B73" w:rsidP="00FA0B73">
      <w:r w:rsidRPr="00F75618">
        <w:t>In summary, the digital era brings both real risks and powerful possibilities for students. AI misuse and digital inequality are serious challenges, but flexible online learning and ethical AI tools offer equally important opportunities. By building ethical literacy, organizing their time well</w:t>
      </w:r>
      <w:r>
        <w:t xml:space="preserve"> </w:t>
      </w:r>
      <w:r w:rsidRPr="00F75618">
        <w:t>and advocating for clear institutional policies, students can adapt and make the most of digital education</w:t>
      </w:r>
      <w:r>
        <w:t xml:space="preserve">, </w:t>
      </w:r>
      <w:r w:rsidRPr="00F75618">
        <w:t>using technology not to shortcut learning but to enhance it.</w:t>
      </w:r>
    </w:p>
    <w:p w14:paraId="5305E69C" w14:textId="77777777" w:rsidR="00FA0B73" w:rsidRDefault="00FA0B73" w:rsidP="00FA0B73">
      <w:r>
        <w:t>References:</w:t>
      </w:r>
    </w:p>
    <w:p w14:paraId="246CDD1E" w14:textId="77777777" w:rsidR="00FA0B73" w:rsidRDefault="00FA0B73" w:rsidP="00FA0B73">
      <w:hyperlink r:id="rId5" w:history="1">
        <w:r w:rsidRPr="009A4860">
          <w:rPr>
            <w:rStyle w:val="Hyperlink"/>
          </w:rPr>
          <w:t xml:space="preserve">Yusuf, A., Pervin, N., &amp; Román-González, M. (2024). </w:t>
        </w:r>
        <w:r w:rsidRPr="009A4860">
          <w:rPr>
            <w:rStyle w:val="Hyperlink"/>
            <w:i/>
            <w:iCs/>
          </w:rPr>
          <w:t>Generative AI and the future of higher education: a threat to academic integrity or reformation? Evidence from multicultural perspectives.</w:t>
        </w:r>
        <w:r w:rsidRPr="009A4860">
          <w:rPr>
            <w:rStyle w:val="Hyperlink"/>
          </w:rPr>
          <w:t xml:space="preserve"> </w:t>
        </w:r>
        <w:r w:rsidRPr="009A4860">
          <w:rPr>
            <w:rStyle w:val="Hyperlink"/>
            <w:i/>
            <w:iCs/>
          </w:rPr>
          <w:t>International Journal of Educational Technology in Higher Education</w:t>
        </w:r>
        <w:r w:rsidRPr="009A4860">
          <w:rPr>
            <w:rStyle w:val="Hyperlink"/>
          </w:rPr>
          <w:t>.</w:t>
        </w:r>
      </w:hyperlink>
    </w:p>
    <w:p w14:paraId="7F6B97B2" w14:textId="77777777" w:rsidR="00FA0B73" w:rsidRDefault="00FA0B73" w:rsidP="00FA0B73">
      <w:hyperlink r:id="rId6" w:history="1">
        <w:r w:rsidRPr="009A4860">
          <w:rPr>
            <w:rStyle w:val="Hyperlink"/>
          </w:rPr>
          <w:t xml:space="preserve">Birks, D., &amp; Clare, J. (2023). </w:t>
        </w:r>
        <w:r w:rsidRPr="009A4860">
          <w:rPr>
            <w:rStyle w:val="Hyperlink"/>
            <w:i/>
            <w:iCs/>
          </w:rPr>
          <w:t>Linking artificial intelligence facilitated academic misconduct to existing prevention frameworks.</w:t>
        </w:r>
        <w:r w:rsidRPr="009A4860">
          <w:rPr>
            <w:rStyle w:val="Hyperlink"/>
          </w:rPr>
          <w:t xml:space="preserve"> </w:t>
        </w:r>
        <w:r w:rsidRPr="009A4860">
          <w:rPr>
            <w:rStyle w:val="Hyperlink"/>
            <w:i/>
            <w:iCs/>
          </w:rPr>
          <w:t>International Journal for Educational Integrity</w:t>
        </w:r>
        <w:r w:rsidRPr="009A4860">
          <w:rPr>
            <w:rStyle w:val="Hyperlink"/>
          </w:rPr>
          <w:t>.</w:t>
        </w:r>
      </w:hyperlink>
    </w:p>
    <w:p w14:paraId="5DA772A9" w14:textId="77777777" w:rsidR="00FA0B73" w:rsidRDefault="00FA0B73" w:rsidP="00FA0B73">
      <w:hyperlink r:id="rId7" w:history="1">
        <w:proofErr w:type="spellStart"/>
        <w:r w:rsidRPr="009A4860">
          <w:rPr>
            <w:rStyle w:val="Hyperlink"/>
          </w:rPr>
          <w:t>Zdonek</w:t>
        </w:r>
        <w:proofErr w:type="spellEnd"/>
        <w:r w:rsidRPr="009A4860">
          <w:rPr>
            <w:rStyle w:val="Hyperlink"/>
          </w:rPr>
          <w:t xml:space="preserve">, I., &amp; </w:t>
        </w:r>
        <w:proofErr w:type="spellStart"/>
        <w:r w:rsidRPr="009A4860">
          <w:rPr>
            <w:rStyle w:val="Hyperlink"/>
          </w:rPr>
          <w:t>Halkiewicz</w:t>
        </w:r>
        <w:proofErr w:type="spellEnd"/>
        <w:r w:rsidRPr="009A4860">
          <w:rPr>
            <w:rStyle w:val="Hyperlink"/>
          </w:rPr>
          <w:t xml:space="preserve">, K. (2016). </w:t>
        </w:r>
        <w:r w:rsidRPr="009A4860">
          <w:rPr>
            <w:rStyle w:val="Hyperlink"/>
            <w:i/>
            <w:iCs/>
          </w:rPr>
          <w:t>[Title of their article]</w:t>
        </w:r>
        <w:r w:rsidRPr="009A4860">
          <w:rPr>
            <w:rStyle w:val="Hyperlink"/>
          </w:rPr>
          <w:t xml:space="preserve">, </w:t>
        </w:r>
        <w:r w:rsidRPr="009A4860">
          <w:rPr>
            <w:rStyle w:val="Hyperlink"/>
            <w:i/>
            <w:iCs/>
          </w:rPr>
          <w:t>Social Space Journal</w:t>
        </w:r>
        <w:r w:rsidRPr="009A4860">
          <w:rPr>
            <w:rStyle w:val="Hyperlink"/>
          </w:rPr>
          <w:t>.</w:t>
        </w:r>
      </w:hyperlink>
    </w:p>
    <w:p w14:paraId="7BE6A5EB" w14:textId="77777777" w:rsidR="00FA0B73" w:rsidRDefault="00FA0B73" w:rsidP="00FA0B73"/>
    <w:p w14:paraId="5A78111F" w14:textId="77777777" w:rsidR="00FA0B73" w:rsidRDefault="00FA0B73" w:rsidP="00FA0B73"/>
    <w:p w14:paraId="712FCEDF" w14:textId="77777777" w:rsidR="00FA0B73" w:rsidRPr="0082789D" w:rsidRDefault="00FA0B73" w:rsidP="0082789D"/>
    <w:sectPr w:rsidR="00FA0B73" w:rsidRPr="00827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0709B"/>
    <w:multiLevelType w:val="hybridMultilevel"/>
    <w:tmpl w:val="DEDA11A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FE5712D"/>
    <w:multiLevelType w:val="hybridMultilevel"/>
    <w:tmpl w:val="5FEA0DD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50AC1F1E"/>
    <w:multiLevelType w:val="hybridMultilevel"/>
    <w:tmpl w:val="E0CED91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039307908">
    <w:abstractNumId w:val="1"/>
  </w:num>
  <w:num w:numId="2" w16cid:durableId="750851179">
    <w:abstractNumId w:val="0"/>
  </w:num>
  <w:num w:numId="3" w16cid:durableId="12989554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89D"/>
    <w:rsid w:val="00070139"/>
    <w:rsid w:val="000B4FDC"/>
    <w:rsid w:val="00282665"/>
    <w:rsid w:val="00284FC8"/>
    <w:rsid w:val="00390E05"/>
    <w:rsid w:val="0060589A"/>
    <w:rsid w:val="006A2314"/>
    <w:rsid w:val="007B1B93"/>
    <w:rsid w:val="0082789D"/>
    <w:rsid w:val="009608FA"/>
    <w:rsid w:val="00E92826"/>
    <w:rsid w:val="00EF50F3"/>
    <w:rsid w:val="00FA0B73"/>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AA32E"/>
  <w15:chartTrackingRefBased/>
  <w15:docId w15:val="{8697E240-D274-4064-95A6-7E138C685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8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278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78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78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78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78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8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8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8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8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278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78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78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78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78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8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8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89D"/>
    <w:rPr>
      <w:rFonts w:eastAsiaTheme="majorEastAsia" w:cstheme="majorBidi"/>
      <w:color w:val="272727" w:themeColor="text1" w:themeTint="D8"/>
    </w:rPr>
  </w:style>
  <w:style w:type="paragraph" w:styleId="Title">
    <w:name w:val="Title"/>
    <w:basedOn w:val="Normal"/>
    <w:next w:val="Normal"/>
    <w:link w:val="TitleChar"/>
    <w:uiPriority w:val="10"/>
    <w:qFormat/>
    <w:rsid w:val="008278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8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8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8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89D"/>
    <w:pPr>
      <w:spacing w:before="160"/>
      <w:jc w:val="center"/>
    </w:pPr>
    <w:rPr>
      <w:i/>
      <w:iCs/>
      <w:color w:val="404040" w:themeColor="text1" w:themeTint="BF"/>
    </w:rPr>
  </w:style>
  <w:style w:type="character" w:customStyle="1" w:styleId="QuoteChar">
    <w:name w:val="Quote Char"/>
    <w:basedOn w:val="DefaultParagraphFont"/>
    <w:link w:val="Quote"/>
    <w:uiPriority w:val="29"/>
    <w:rsid w:val="0082789D"/>
    <w:rPr>
      <w:i/>
      <w:iCs/>
      <w:color w:val="404040" w:themeColor="text1" w:themeTint="BF"/>
    </w:rPr>
  </w:style>
  <w:style w:type="paragraph" w:styleId="ListParagraph">
    <w:name w:val="List Paragraph"/>
    <w:basedOn w:val="Normal"/>
    <w:uiPriority w:val="34"/>
    <w:qFormat/>
    <w:rsid w:val="0082789D"/>
    <w:pPr>
      <w:ind w:left="720"/>
      <w:contextualSpacing/>
    </w:pPr>
  </w:style>
  <w:style w:type="character" w:styleId="IntenseEmphasis">
    <w:name w:val="Intense Emphasis"/>
    <w:basedOn w:val="DefaultParagraphFont"/>
    <w:uiPriority w:val="21"/>
    <w:qFormat/>
    <w:rsid w:val="0082789D"/>
    <w:rPr>
      <w:i/>
      <w:iCs/>
      <w:color w:val="2F5496" w:themeColor="accent1" w:themeShade="BF"/>
    </w:rPr>
  </w:style>
  <w:style w:type="paragraph" w:styleId="IntenseQuote">
    <w:name w:val="Intense Quote"/>
    <w:basedOn w:val="Normal"/>
    <w:next w:val="Normal"/>
    <w:link w:val="IntenseQuoteChar"/>
    <w:uiPriority w:val="30"/>
    <w:qFormat/>
    <w:rsid w:val="008278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789D"/>
    <w:rPr>
      <w:i/>
      <w:iCs/>
      <w:color w:val="2F5496" w:themeColor="accent1" w:themeShade="BF"/>
    </w:rPr>
  </w:style>
  <w:style w:type="character" w:styleId="IntenseReference">
    <w:name w:val="Intense Reference"/>
    <w:basedOn w:val="DefaultParagraphFont"/>
    <w:uiPriority w:val="32"/>
    <w:qFormat/>
    <w:rsid w:val="0082789D"/>
    <w:rPr>
      <w:b/>
      <w:bCs/>
      <w:smallCaps/>
      <w:color w:val="2F5496" w:themeColor="accent1" w:themeShade="BF"/>
      <w:spacing w:val="5"/>
    </w:rPr>
  </w:style>
  <w:style w:type="character" w:styleId="Hyperlink">
    <w:name w:val="Hyperlink"/>
    <w:basedOn w:val="DefaultParagraphFont"/>
    <w:uiPriority w:val="99"/>
    <w:unhideWhenUsed/>
    <w:rsid w:val="00FA0B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ocialspacejournal.eu/menu-script/index.php/ssj/article/view/12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integrity.biomedcentral.com/articles/10.1007/s40979-023-00142-3" TargetMode="External"/><Relationship Id="rId5" Type="http://schemas.openxmlformats.org/officeDocument/2006/relationships/hyperlink" Target="https://educationaltechnologyjournal.springeropen.com/articles/10.1186/s41239-024-00453-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1455</Words>
  <Characters>8297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yasir</dc:creator>
  <cp:keywords/>
  <dc:description/>
  <cp:lastModifiedBy>ammar yasir</cp:lastModifiedBy>
  <cp:revision>2</cp:revision>
  <dcterms:created xsi:type="dcterms:W3CDTF">2025-11-21T22:27:00Z</dcterms:created>
  <dcterms:modified xsi:type="dcterms:W3CDTF">2025-11-21T22:27:00Z</dcterms:modified>
</cp:coreProperties>
</file>